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kern w:val="2"/>
          <w:sz w:val="24"/>
          <w:szCs w:val="24"/>
          <w:lang w:val="en-IN"/>
          <w14:ligatures w14:val="standardContextual"/>
        </w:rPr>
        <w:id w:val="-1678261490"/>
        <w:docPartObj>
          <w:docPartGallery w:val="Cover Pages"/>
          <w:docPartUnique/>
        </w:docPartObj>
      </w:sdtPr>
      <w:sdtEndPr>
        <w:rPr>
          <w:b/>
          <w:bCs/>
          <w:color w:val="0D0D0D" w:themeColor="text1" w:themeTint="F2"/>
        </w:rPr>
      </w:sdtEndPr>
      <w:sdtContent>
        <w:p w14:paraId="692AE0FE" w14:textId="73844995" w:rsidR="00222EED" w:rsidRPr="00241F15" w:rsidRDefault="00464F52">
          <w:pPr>
            <w:pStyle w:val="NoSpacing"/>
            <w:rPr>
              <w:rFonts w:ascii="Times New Roman" w:hAnsi="Times New Roman" w:cs="Times New Roman"/>
              <w:sz w:val="24"/>
              <w:szCs w:val="24"/>
            </w:rPr>
          </w:pPr>
          <w:r>
            <w:rPr>
              <w:noProof/>
            </w:rPr>
            <w:drawing>
              <wp:anchor distT="0" distB="0" distL="114300" distR="114300" simplePos="0" relativeHeight="251660800" behindDoc="0" locked="0" layoutInCell="1" allowOverlap="1" wp14:anchorId="7971AB5F" wp14:editId="664BCB0A">
                <wp:simplePos x="0" y="0"/>
                <wp:positionH relativeFrom="column">
                  <wp:posOffset>-914400</wp:posOffset>
                </wp:positionH>
                <wp:positionV relativeFrom="paragraph">
                  <wp:posOffset>172720</wp:posOffset>
                </wp:positionV>
                <wp:extent cx="7573645" cy="6386830"/>
                <wp:effectExtent l="0" t="0" r="8255" b="0"/>
                <wp:wrapTopAndBottom/>
                <wp:docPr id="1313661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61305" name=""/>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7573645" cy="6386830"/>
                        </a:xfrm>
                        <a:prstGeom prst="rect">
                          <a:avLst/>
                        </a:prstGeom>
                      </pic:spPr>
                    </pic:pic>
                  </a:graphicData>
                </a:graphic>
                <wp14:sizeRelH relativeFrom="margin">
                  <wp14:pctWidth>0</wp14:pctWidth>
                </wp14:sizeRelH>
                <wp14:sizeRelV relativeFrom="margin">
                  <wp14:pctHeight>0</wp14:pctHeight>
                </wp14:sizeRelV>
              </wp:anchor>
            </w:drawing>
          </w:r>
          <w:r w:rsidR="00222EED" w:rsidRPr="00241F15">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250257F8" wp14:editId="3507D09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464DFF" w14:textId="43AA1A31" w:rsidR="00222EED" w:rsidRDefault="006A0077">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b/>
                                      <w:bCs/>
                                      <w:color w:val="0D0D0D" w:themeColor="text1" w:themeTint="F2"/>
                                      <w:sz w:val="24"/>
                                      <w:szCs w:val="24"/>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610206">
                                      <w:rPr>
                                        <w:rFonts w:ascii="Times New Roman" w:hAnsi="Times New Roman" w:cs="Times New Roman"/>
                                        <w:b/>
                                        <w:bCs/>
                                        <w:color w:val="0D0D0D" w:themeColor="text1" w:themeTint="F2"/>
                                        <w:sz w:val="24"/>
                                        <w:szCs w:val="24"/>
                                      </w:rPr>
                                      <w:t xml:space="preserve">     </w:t>
                                    </w:r>
                                  </w:sdtContent>
                                </w:sdt>
                              </w:p>
                              <w:p w14:paraId="262B2EF1" w14:textId="2245B61A" w:rsidR="00222EED" w:rsidRDefault="006A007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A2066">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0257F8" id="_x0000_t202" coordsize="21600,21600" o:spt="202" path="m,l,21600r21600,l21600,xe">
                    <v:stroke joinstyle="miter"/>
                    <v:path gradientshapeok="t" o:connecttype="rect"/>
                  </v:shapetype>
                  <v:shape id="Text Box 3" o:spid="_x0000_s1026" type="#_x0000_t202" style="position:absolute;margin-left:0;margin-top:0;width:4in;height:84.25pt;z-index:2516567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A464DFF" w14:textId="43AA1A31" w:rsidR="00222EED" w:rsidRDefault="006A0077">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b/>
                                <w:bCs/>
                                <w:color w:val="0D0D0D" w:themeColor="text1" w:themeTint="F2"/>
                                <w:sz w:val="24"/>
                                <w:szCs w:val="24"/>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610206">
                                <w:rPr>
                                  <w:rFonts w:ascii="Times New Roman" w:hAnsi="Times New Roman" w:cs="Times New Roman"/>
                                  <w:b/>
                                  <w:bCs/>
                                  <w:color w:val="0D0D0D" w:themeColor="text1" w:themeTint="F2"/>
                                  <w:sz w:val="24"/>
                                  <w:szCs w:val="24"/>
                                </w:rPr>
                                <w:t xml:space="preserve">     </w:t>
                              </w:r>
                            </w:sdtContent>
                          </w:sdt>
                        </w:p>
                        <w:p w14:paraId="262B2EF1" w14:textId="2245B61A" w:rsidR="00222EED" w:rsidRDefault="006A007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A2066">
                                <w:rPr>
                                  <w:color w:val="404040" w:themeColor="text1" w:themeTint="BF"/>
                                  <w:sz w:val="36"/>
                                  <w:szCs w:val="36"/>
                                </w:rPr>
                                <w:t xml:space="preserve">     </w:t>
                              </w:r>
                            </w:sdtContent>
                          </w:sdt>
                        </w:p>
                      </w:txbxContent>
                    </v:textbox>
                    <w10:wrap anchorx="page" anchory="page"/>
                  </v:shape>
                </w:pict>
              </mc:Fallback>
            </mc:AlternateContent>
          </w:r>
        </w:p>
        <w:p w14:paraId="4A249AA9" w14:textId="13BCC883" w:rsidR="00222EED" w:rsidRPr="00241F15" w:rsidRDefault="00222EED">
          <w:pPr>
            <w:rPr>
              <w:rFonts w:ascii="Times New Roman" w:hAnsi="Times New Roman" w:cs="Times New Roman"/>
              <w:b/>
              <w:bCs/>
              <w:color w:val="0D0D0D" w:themeColor="text1" w:themeTint="F2"/>
              <w:sz w:val="24"/>
              <w:szCs w:val="24"/>
            </w:rPr>
          </w:pPr>
          <w:r w:rsidRPr="00241F15">
            <w:rPr>
              <w:rFonts w:ascii="Times New Roman" w:hAnsi="Times New Roman" w:cs="Times New Roman"/>
              <w:b/>
              <w:bCs/>
              <w:color w:val="0D0D0D" w:themeColor="text1" w:themeTint="F2"/>
              <w:sz w:val="24"/>
              <w:szCs w:val="24"/>
            </w:rPr>
            <w:br w:type="page"/>
          </w:r>
        </w:p>
      </w:sdtContent>
    </w:sdt>
    <w:p w14:paraId="179E4041" w14:textId="15F25458" w:rsidR="00222EED" w:rsidRPr="00241F15" w:rsidRDefault="00222EED" w:rsidP="00222EED">
      <w:pPr>
        <w:spacing w:line="360" w:lineRule="auto"/>
        <w:jc w:val="center"/>
        <w:rPr>
          <w:rFonts w:ascii="Times New Roman" w:hAnsi="Times New Roman" w:cs="Times New Roman"/>
          <w:b/>
          <w:bCs/>
          <w:color w:val="0D0D0D" w:themeColor="text1" w:themeTint="F2"/>
          <w:sz w:val="24"/>
          <w:szCs w:val="24"/>
        </w:rPr>
      </w:pPr>
      <w:r w:rsidRPr="00241F15">
        <w:rPr>
          <w:rFonts w:ascii="Times New Roman" w:hAnsi="Times New Roman" w:cs="Times New Roman"/>
          <w:b/>
          <w:bCs/>
          <w:color w:val="0D0D0D" w:themeColor="text1" w:themeTint="F2"/>
          <w:sz w:val="24"/>
          <w:szCs w:val="24"/>
        </w:rPr>
        <w:lastRenderedPageBreak/>
        <w:t>Health and Well-Being</w:t>
      </w:r>
    </w:p>
    <w:p w14:paraId="4294DAE0"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Introduction</w:t>
      </w:r>
    </w:p>
    <w:p w14:paraId="639D8C81" w14:textId="3EF7FFF5"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 xml:space="preserve">The present work is focused on the feasibility study of an event themed "Health and Well-Being." This report critically </w:t>
      </w:r>
      <w:r w:rsidR="0043144A" w:rsidRPr="006C7D2A">
        <w:rPr>
          <w:rFonts w:ascii="Times New Roman" w:hAnsi="Times New Roman" w:cs="Times New Roman"/>
          <w:color w:val="0D0D0D" w:themeColor="text1" w:themeTint="F2"/>
          <w:sz w:val="24"/>
          <w:szCs w:val="24"/>
        </w:rPr>
        <w:t>analyses</w:t>
      </w:r>
      <w:r w:rsidRPr="006C7D2A">
        <w:rPr>
          <w:rFonts w:ascii="Times New Roman" w:hAnsi="Times New Roman" w:cs="Times New Roman"/>
          <w:color w:val="0D0D0D" w:themeColor="text1" w:themeTint="F2"/>
          <w:sz w:val="24"/>
          <w:szCs w:val="24"/>
        </w:rPr>
        <w:t xml:space="preserve"> the feasibility of this original event within the MICE industry, aiming to discuss the viability and strategic pre-planning required for its success.</w:t>
      </w:r>
      <w:r>
        <w:rPr>
          <w:rFonts w:ascii="Times New Roman" w:hAnsi="Times New Roman" w:cs="Times New Roman"/>
          <w:color w:val="0D0D0D" w:themeColor="text1" w:themeTint="F2"/>
          <w:sz w:val="24"/>
          <w:szCs w:val="24"/>
        </w:rPr>
        <w:t xml:space="preserve"> </w:t>
      </w:r>
      <w:r w:rsidRPr="006C7D2A">
        <w:rPr>
          <w:rFonts w:ascii="Times New Roman" w:hAnsi="Times New Roman" w:cs="Times New Roman"/>
          <w:color w:val="0D0D0D" w:themeColor="text1" w:themeTint="F2"/>
          <w:sz w:val="24"/>
          <w:szCs w:val="24"/>
        </w:rPr>
        <w:t xml:space="preserve">The Green Haven Convention Centre will host a "Health and Well-Being" conference on October 15, 2023. This event addressed the post-COVID-19 need for stress alleviation and healthy lifestyle promotion. Health awareness has grown. Peaceful surroundings support the event's health and wellness theme. </w:t>
      </w:r>
    </w:p>
    <w:p w14:paraId="2E24157E"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39595A71"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The Event Cycle</w:t>
      </w:r>
    </w:p>
    <w:p w14:paraId="5A13D6F9" w14:textId="2FCC12A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Event Cycle includes event planning and management from start to completion. The "Health and Well-Being" event emphasises holistic health, making this cycle crucial.</w:t>
      </w:r>
    </w:p>
    <w:p w14:paraId="462AF0FD"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Conceptualization</w:t>
      </w:r>
    </w:p>
    <w:p w14:paraId="5FA107DC" w14:textId="79662878"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The main idea and practicality are addressed during conception. This stage showed that post-pandemic society needs a "Health and Well-Being" event to address physical, mental, and emotional health. This campaign educated and inspired tourists to adopt healthy practices. Brainstorming, market research to identify interests and difficulties, and health expert interviews assure conference relevance and appeal.</w:t>
      </w:r>
    </w:p>
    <w:p w14:paraId="3FB77CAE"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Planning</w:t>
      </w:r>
    </w:p>
    <w:p w14:paraId="41F18E67" w14:textId="58E5FA53"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Event planning demands a precise plan after conception. Choose October 15, 2023, in the Green Haven Convention Centre, whose tranquil atmosphere complements the theme. To promote healthy living, this stage includes yoga, meditation, exercise programmes, and dietary discussions. Speakers, facilitators, marketing, registration, and emergencies are planned. Effective planning integrates event components for wellbeing.</w:t>
      </w:r>
    </w:p>
    <w:p w14:paraId="6AF0D9DC"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Execution</w:t>
      </w:r>
    </w:p>
    <w:p w14:paraId="34E2C1F6" w14:textId="41055402"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 xml:space="preserve">Plan execution brings the event to life. The Green Haven Convention Centre will hold October 15 health and wellness programmes. This phase requires meticulous planning to follow the event schedule, prepare speakers and facilitators, and engage participants. Last-minute changes </w:t>
      </w:r>
      <w:r w:rsidRPr="006C7D2A">
        <w:rPr>
          <w:rFonts w:ascii="Times New Roman" w:hAnsi="Times New Roman" w:cs="Times New Roman"/>
          <w:color w:val="0D0D0D" w:themeColor="text1" w:themeTint="F2"/>
          <w:sz w:val="24"/>
          <w:szCs w:val="24"/>
        </w:rPr>
        <w:lastRenderedPageBreak/>
        <w:t>or issues often need on-the-spot implementation tweaks. You'll collaborate with venue staff, check in participants, and ensure seamless session and activity transitions. This stage relies on the planning phase's foundation and the event team's flexibility.</w:t>
      </w:r>
    </w:p>
    <w:p w14:paraId="7A37C9B7"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49425908"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Evaluation</w:t>
      </w:r>
    </w:p>
    <w:p w14:paraId="33EF6875" w14:textId="22CE4B75"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Post-event evaluation is necessary for effect analysis and improvement suggestions. Speakers and sponsors provide input, attendance and engagement data are analysed, and event goals are appraised. The "Health and Well-Being" event may evaluate how well seminars and workshops engaged guests, informed them about holistic health, and delighted them. Knowing what worked and what may be improved helps organise future events.</w:t>
      </w:r>
    </w:p>
    <w:p w14:paraId="02872E51"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17089CCA"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Event Concept</w:t>
      </w:r>
    </w:p>
    <w:p w14:paraId="4073B02D" w14:textId="311A9703" w:rsidR="006C7D2A" w:rsidRPr="006C7D2A"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A fun and thorough "Health and Well-Being" event promotes holistic wellbeing. Balanced living requires physical, mental, and emotional health. A carefully selected programme of activities and workshops delivered by top health and wellness experts brings the notion to life.</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Welcome comments will set the tone for a day of learning, growth, and personal development. There are wellness breakout talks. Meditation increases cerebral clarity and emotional stability, while yoga and exercise improve physical health and agility.</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Nutrition classes will emphasise the need of a balanced diet and offer practical recommendations. Modules encourage healthy behaviours via interactive learning.</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The day's lessons and healthy living will be summarised in the finale. This thorough strategy guarantees that the event idea covers multidimensional health and well-being and inspires guests to improve their lives.</w:t>
      </w:r>
    </w:p>
    <w:p w14:paraId="313A8112"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2C765766"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Aim and Objectives</w:t>
      </w:r>
    </w:p>
    <w:p w14:paraId="24C00137" w14:textId="77777777" w:rsidR="005B36D6"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Aim</w:t>
      </w:r>
    </w:p>
    <w:p w14:paraId="53039EF3" w14:textId="71E2CC2E" w:rsid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To inspire attendees to adopt healthier lifestyles for improved physical, mental, and emotional well-being.</w:t>
      </w:r>
    </w:p>
    <w:p w14:paraId="60642253" w14:textId="77777777" w:rsidR="00FC444B" w:rsidRDefault="00FC444B" w:rsidP="006C7D2A">
      <w:pPr>
        <w:spacing w:line="360" w:lineRule="auto"/>
        <w:jc w:val="both"/>
        <w:rPr>
          <w:rFonts w:ascii="Times New Roman" w:hAnsi="Times New Roman" w:cs="Times New Roman"/>
          <w:color w:val="0D0D0D" w:themeColor="text1" w:themeTint="F2"/>
          <w:sz w:val="24"/>
          <w:szCs w:val="24"/>
        </w:rPr>
      </w:pPr>
    </w:p>
    <w:p w14:paraId="293716EF" w14:textId="77777777" w:rsidR="00FC444B" w:rsidRPr="006C7D2A" w:rsidRDefault="00FC444B" w:rsidP="006C7D2A">
      <w:pPr>
        <w:spacing w:line="360" w:lineRule="auto"/>
        <w:jc w:val="both"/>
        <w:rPr>
          <w:rFonts w:ascii="Times New Roman" w:hAnsi="Times New Roman" w:cs="Times New Roman"/>
          <w:color w:val="0D0D0D" w:themeColor="text1" w:themeTint="F2"/>
          <w:sz w:val="24"/>
          <w:szCs w:val="24"/>
        </w:rPr>
      </w:pPr>
    </w:p>
    <w:p w14:paraId="4CF5A146" w14:textId="74FB623C"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lastRenderedPageBreak/>
        <w:t>Objectives</w:t>
      </w:r>
    </w:p>
    <w:p w14:paraId="64F9A3D1" w14:textId="3C389687" w:rsidR="006C7D2A" w:rsidRPr="006C7D2A" w:rsidRDefault="005B36D6" w:rsidP="006C7D2A">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 xml:space="preserve">Success and achievement are integrated into "Health and Well-Being" event goals. Increase holistic health awareness by 30% in attendance. 500 attendees will evaluate the event's impact on event day, October 15, 2023.   </w:t>
      </w:r>
    </w:p>
    <w:p w14:paraId="580E72F3"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Event Operations</w:t>
      </w:r>
    </w:p>
    <w:p w14:paraId="3D5CAEF1" w14:textId="5235B7F8" w:rsidR="006C7D2A" w:rsidRPr="006C7D2A"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Ability, competence, and logistical organisation must be balanced to operate the "Health and Well-Being" event smoothly for everyone. These events require substantial planning. This requires careful scheduling, planning, and event component integration. Planners must manage multiple sessions to ensure they don't disrupt the event.</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Events depend on customer service. Staff and volunteers must be helpful, answer questions, and greet people. This service boosts event participation.</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Event validity depends on health and wellness content quality and relevance. Experts in yoga, meditation, fitness, and nutrition must be able to connect with varied audiences. To encourage healthy living, they must be informed and passionate.</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Event logistics include site preparation, audio-visual equipment coordination, and catering. The health and well-being concept requires a Green Haven Convention Centre makeover. Provide exercise, silent meditation, and workshop and lecture seating for participant safety.</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Audio-visual equipment must be set up and managed for presentations, workshops, and interactive activities. Catering must deliver healthy, tasty cuisine to reflect the event's wellness concept.</w:t>
      </w:r>
    </w:p>
    <w:p w14:paraId="27B02526"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2B8DF53A"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Event Budget</w:t>
      </w:r>
    </w:p>
    <w:p w14:paraId="4ED00EC0" w14:textId="27D49F02" w:rsidR="006C7D2A"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The "Health and Well-Being" event aims to make $40,000. Sponsorships, ticket sales, session fees, and wellness products will help. Wellness sponsors fund most events, attracting health-conscious organisations. Tickets provide a day of exciting activities and talks, while workshop fees and item purchases allow guests to investigate the event's topics.</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The $26,000 budget is meticulously planned to cover all costs. Hire the quiet and welcoming Green Haven Convention Centre, hire famous speakers and experts, promote to raise awareness and involvement, and run the event.</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Strategic financial planning forecasts $14,000 profit. Event earnings fund future health programmes, maintaining financial stability. Reinvestment shows long-term health and community wellness.</w:t>
      </w:r>
    </w:p>
    <w:p w14:paraId="3F694414" w14:textId="26C13578" w:rsidR="00610206" w:rsidRPr="006C7D2A" w:rsidRDefault="00610206" w:rsidP="005B36D6">
      <w:pPr>
        <w:spacing w:line="360" w:lineRule="auto"/>
        <w:jc w:val="both"/>
        <w:rPr>
          <w:rFonts w:ascii="Times New Roman" w:hAnsi="Times New Roman" w:cs="Times New Roman"/>
          <w:color w:val="0D0D0D" w:themeColor="text1" w:themeTint="F2"/>
          <w:sz w:val="24"/>
          <w:szCs w:val="24"/>
        </w:rPr>
      </w:pPr>
      <w:r>
        <w:rPr>
          <w:noProof/>
        </w:rPr>
        <w:lastRenderedPageBreak/>
        <w:drawing>
          <wp:inline distT="0" distB="0" distL="0" distR="0" wp14:anchorId="5D2CFC22" wp14:editId="2FF25CC3">
            <wp:extent cx="5731510" cy="3223895"/>
            <wp:effectExtent l="0" t="0" r="2540" b="0"/>
            <wp:docPr id="331949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492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ED2B8BD" w14:textId="41CA5DE4"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Industry Trends</w:t>
      </w:r>
    </w:p>
    <w:p w14:paraId="1505EE19" w14:textId="01FF7857" w:rsidR="006C7D2A" w:rsidRPr="006C7D2A" w:rsidRDefault="005B36D6" w:rsidP="006C7D2A">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Digital wellness, mental health awareness, and customised health programmes are altering wellbeing. A social shift towards personalised and accessible health and wellness options is occurring. The "Health and Well-Being" event is leading these changes by using digital technologies to improve event administration and participant engagement. Meditation with VR, workshop scheduling using apps, and post-event community support online are examples. The event increases mental health awareness via holistic health practices and seminars on physical and mental health. The event follows industry trends by offering customised health programmes where visitors may pick activities depending on their interests and wellness goals. Due to this strategic relationship, the "Health and Well-Being" event promotes holistic wellness and new health solutions.</w:t>
      </w:r>
    </w:p>
    <w:p w14:paraId="1F8BFAD8"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p>
    <w:p w14:paraId="5822E810" w14:textId="77777777" w:rsidR="006C7D2A" w:rsidRPr="006C7D2A" w:rsidRDefault="006C7D2A" w:rsidP="006C7D2A">
      <w:pPr>
        <w:spacing w:line="360" w:lineRule="auto"/>
        <w:jc w:val="both"/>
        <w:rPr>
          <w:rFonts w:ascii="Times New Roman" w:hAnsi="Times New Roman" w:cs="Times New Roman"/>
          <w:color w:val="0D0D0D" w:themeColor="text1" w:themeTint="F2"/>
          <w:sz w:val="24"/>
          <w:szCs w:val="24"/>
        </w:rPr>
      </w:pPr>
      <w:r w:rsidRPr="006C7D2A">
        <w:rPr>
          <w:rFonts w:ascii="Times New Roman" w:hAnsi="Times New Roman" w:cs="Times New Roman"/>
          <w:color w:val="0D0D0D" w:themeColor="text1" w:themeTint="F2"/>
          <w:sz w:val="24"/>
          <w:szCs w:val="24"/>
        </w:rPr>
        <w:t>Cultural and Situational Considerations</w:t>
      </w:r>
    </w:p>
    <w:p w14:paraId="7E33926D" w14:textId="5EAE20BF" w:rsidR="006C7D2A" w:rsidRDefault="005B36D6" w:rsidP="006C7D2A">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 xml:space="preserve">Global cultural and socioeconomic shifts prioritise mental health and sustainability. Social ideas and ambitions are permanently changed by these changes. The "Health and Well-Being" event must touch five key issues to connect. The event's psychological well-being lectures, seminars, and activities address a neglected holistic health topic. Green goods, waste reduction, and sustainable lifestyle promotion are in demand, thus the event is timely. Understanding and </w:t>
      </w:r>
      <w:r w:rsidRPr="005B36D6">
        <w:rPr>
          <w:rFonts w:ascii="Times New Roman" w:hAnsi="Times New Roman" w:cs="Times New Roman"/>
          <w:color w:val="0D0D0D" w:themeColor="text1" w:themeTint="F2"/>
          <w:sz w:val="24"/>
          <w:szCs w:val="24"/>
        </w:rPr>
        <w:lastRenderedPageBreak/>
        <w:t>honouring these cultural and socioeconomic elements helps the event satisfy audience expectations and interact deeper, more meaningfully.</w:t>
      </w:r>
    </w:p>
    <w:p w14:paraId="64965BC6" w14:textId="77777777" w:rsidR="006C7D2A" w:rsidRDefault="006C7D2A" w:rsidP="009B3F6B">
      <w:pPr>
        <w:spacing w:line="360" w:lineRule="auto"/>
        <w:jc w:val="both"/>
        <w:rPr>
          <w:rFonts w:ascii="Times New Roman" w:hAnsi="Times New Roman" w:cs="Times New Roman"/>
          <w:color w:val="0D0D0D" w:themeColor="text1" w:themeTint="F2"/>
          <w:sz w:val="24"/>
          <w:szCs w:val="24"/>
        </w:rPr>
      </w:pPr>
    </w:p>
    <w:p w14:paraId="3EAA767D" w14:textId="28ACE49A"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Event Overview</w:t>
      </w:r>
    </w:p>
    <w:p w14:paraId="1F117776" w14:textId="25335C32"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The "Health and Well-Being" event, scheduled for October 15, 2023, at the Green Haven Convention </w:t>
      </w:r>
      <w:r w:rsidR="001A548F" w:rsidRPr="00241F15">
        <w:rPr>
          <w:rFonts w:ascii="Times New Roman" w:hAnsi="Times New Roman" w:cs="Times New Roman"/>
          <w:color w:val="0D0D0D" w:themeColor="text1" w:themeTint="F2"/>
          <w:sz w:val="24"/>
          <w:szCs w:val="24"/>
        </w:rPr>
        <w:t>Centre</w:t>
      </w:r>
      <w:r w:rsidRPr="00241F15">
        <w:rPr>
          <w:rFonts w:ascii="Times New Roman" w:hAnsi="Times New Roman" w:cs="Times New Roman"/>
          <w:color w:val="0D0D0D" w:themeColor="text1" w:themeTint="F2"/>
          <w:sz w:val="24"/>
          <w:szCs w:val="24"/>
        </w:rPr>
        <w:t>, is designed to combat stress and promote a healthy lifestyle. It will feature activities and workshops led by experts, all aimed at inspiring attendees to make positive, lasting changes to their health.</w:t>
      </w:r>
      <w:r w:rsidR="00A44551" w:rsidRPr="00241F15">
        <w:rPr>
          <w:rFonts w:ascii="Times New Roman" w:hAnsi="Times New Roman" w:cs="Times New Roman"/>
          <w:color w:val="0D0D0D" w:themeColor="text1" w:themeTint="F2"/>
          <w:sz w:val="24"/>
          <w:szCs w:val="24"/>
        </w:rPr>
        <w:t xml:space="preserve"> </w:t>
      </w:r>
      <w:r w:rsidR="00B46DBA" w:rsidRPr="00241F15">
        <w:rPr>
          <w:rFonts w:ascii="Times New Roman" w:hAnsi="Times New Roman" w:cs="Times New Roman"/>
          <w:color w:val="0D0D0D" w:themeColor="text1" w:themeTint="F2"/>
          <w:sz w:val="24"/>
          <w:szCs w:val="24"/>
        </w:rPr>
        <w:t xml:space="preserve">Throughout medical history, numerous factors have been identified as causes of disease, ranging from miasma theories to germ-based understandings, with contributing elements such as poverty, inadequate education, and subpar living </w:t>
      </w:r>
      <w:r w:rsidR="00FC444B" w:rsidRPr="00241F15">
        <w:rPr>
          <w:rFonts w:ascii="Times New Roman" w:hAnsi="Times New Roman" w:cs="Times New Roman"/>
          <w:color w:val="0D0D0D" w:themeColor="text1" w:themeTint="F2"/>
          <w:sz w:val="24"/>
          <w:szCs w:val="24"/>
        </w:rPr>
        <w:t>conditions (</w:t>
      </w:r>
      <w:r w:rsidR="00222EED" w:rsidRPr="00241F15">
        <w:rPr>
          <w:rFonts w:ascii="Times New Roman" w:hAnsi="Times New Roman" w:cs="Times New Roman"/>
          <w:color w:val="0D0D0D" w:themeColor="text1" w:themeTint="F2"/>
          <w:sz w:val="24"/>
          <w:szCs w:val="24"/>
        </w:rPr>
        <w:t>Fancourt and Finn, 2019)</w:t>
      </w:r>
      <w:r w:rsidR="00B46DBA" w:rsidRPr="00241F15">
        <w:rPr>
          <w:rFonts w:ascii="Times New Roman" w:hAnsi="Times New Roman" w:cs="Times New Roman"/>
          <w:color w:val="0D0D0D" w:themeColor="text1" w:themeTint="F2"/>
          <w:sz w:val="24"/>
          <w:szCs w:val="24"/>
        </w:rPr>
        <w:t xml:space="preserve">. Health promotion efforts can focus on prevalent health issues that impact large segments of the population while supporting a variety of intervention </w:t>
      </w:r>
      <w:r w:rsidR="00FC444B" w:rsidRPr="00241F15">
        <w:rPr>
          <w:rFonts w:ascii="Times New Roman" w:hAnsi="Times New Roman" w:cs="Times New Roman"/>
          <w:color w:val="0D0D0D" w:themeColor="text1" w:themeTint="F2"/>
          <w:sz w:val="24"/>
          <w:szCs w:val="24"/>
        </w:rPr>
        <w:t>strategies (</w:t>
      </w:r>
      <w:r w:rsidR="00222EED" w:rsidRPr="00241F15">
        <w:rPr>
          <w:rFonts w:ascii="Times New Roman" w:hAnsi="Times New Roman" w:cs="Times New Roman"/>
          <w:color w:val="0D0D0D" w:themeColor="text1" w:themeTint="F2"/>
          <w:sz w:val="24"/>
          <w:szCs w:val="24"/>
        </w:rPr>
        <w:t>Herje and Fuglestad, 2023)</w:t>
      </w:r>
      <w:r w:rsidR="00B46DBA" w:rsidRPr="00241F15">
        <w:rPr>
          <w:rFonts w:ascii="Times New Roman" w:hAnsi="Times New Roman" w:cs="Times New Roman"/>
          <w:color w:val="0D0D0D" w:themeColor="text1" w:themeTint="F2"/>
          <w:sz w:val="24"/>
          <w:szCs w:val="24"/>
        </w:rPr>
        <w:t>. There are several methods to advance health</w:t>
      </w:r>
      <w:r w:rsidR="00222EED" w:rsidRPr="00241F15">
        <w:rPr>
          <w:rFonts w:ascii="Times New Roman" w:hAnsi="Times New Roman" w:cs="Times New Roman"/>
          <w:color w:val="0D0D0D" w:themeColor="text1" w:themeTint="F2"/>
          <w:sz w:val="24"/>
          <w:szCs w:val="24"/>
        </w:rPr>
        <w:t>,</w:t>
      </w:r>
      <w:r w:rsidR="00B46DBA" w:rsidRPr="00241F15">
        <w:rPr>
          <w:rFonts w:ascii="Times New Roman" w:hAnsi="Times New Roman" w:cs="Times New Roman"/>
          <w:color w:val="0D0D0D" w:themeColor="text1" w:themeTint="F2"/>
          <w:sz w:val="24"/>
          <w:szCs w:val="24"/>
        </w:rPr>
        <w:t xml:space="preserve"> for instance, an issue-based approach combined with a settings-based framework effectively tackles leading health issues by </w:t>
      </w:r>
      <w:proofErr w:type="gramStart"/>
      <w:r w:rsidR="00B46DBA" w:rsidRPr="00241F15">
        <w:rPr>
          <w:rFonts w:ascii="Times New Roman" w:hAnsi="Times New Roman" w:cs="Times New Roman"/>
          <w:color w:val="0D0D0D" w:themeColor="text1" w:themeTint="F2"/>
          <w:sz w:val="24"/>
          <w:szCs w:val="24"/>
        </w:rPr>
        <w:t>taking into account</w:t>
      </w:r>
      <w:proofErr w:type="gramEnd"/>
      <w:r w:rsidR="00B46DBA" w:rsidRPr="00241F15">
        <w:rPr>
          <w:rFonts w:ascii="Times New Roman" w:hAnsi="Times New Roman" w:cs="Times New Roman"/>
          <w:color w:val="0D0D0D" w:themeColor="text1" w:themeTint="F2"/>
          <w:sz w:val="24"/>
          <w:szCs w:val="24"/>
        </w:rPr>
        <w:t xml:space="preserve"> complex determinants of health like </w:t>
      </w:r>
      <w:r w:rsidR="001A548F" w:rsidRPr="00241F15">
        <w:rPr>
          <w:rFonts w:ascii="Times New Roman" w:hAnsi="Times New Roman" w:cs="Times New Roman"/>
          <w:color w:val="0D0D0D" w:themeColor="text1" w:themeTint="F2"/>
          <w:sz w:val="24"/>
          <w:szCs w:val="24"/>
        </w:rPr>
        <w:t>behaviours</w:t>
      </w:r>
      <w:r w:rsidR="00B46DBA" w:rsidRPr="00241F15">
        <w:rPr>
          <w:rFonts w:ascii="Times New Roman" w:hAnsi="Times New Roman" w:cs="Times New Roman"/>
          <w:color w:val="0D0D0D" w:themeColor="text1" w:themeTint="F2"/>
          <w:sz w:val="24"/>
          <w:szCs w:val="24"/>
        </w:rPr>
        <w:t xml:space="preserve">, cultural norms, and practices within the environments where people dwell and </w:t>
      </w:r>
      <w:r w:rsidR="00FC444B" w:rsidRPr="00241F15">
        <w:rPr>
          <w:rFonts w:ascii="Times New Roman" w:hAnsi="Times New Roman" w:cs="Times New Roman"/>
          <w:color w:val="0D0D0D" w:themeColor="text1" w:themeTint="F2"/>
          <w:sz w:val="24"/>
          <w:szCs w:val="24"/>
        </w:rPr>
        <w:t>work (</w:t>
      </w:r>
      <w:r w:rsidR="00222EED" w:rsidRPr="00241F15">
        <w:rPr>
          <w:rFonts w:ascii="Times New Roman" w:hAnsi="Times New Roman" w:cs="Times New Roman"/>
          <w:color w:val="0D0D0D" w:themeColor="text1" w:themeTint="F2"/>
          <w:sz w:val="24"/>
          <w:szCs w:val="24"/>
        </w:rPr>
        <w:t>Brian Luke Seaward, 2020)</w:t>
      </w:r>
      <w:r w:rsidR="00B46DBA" w:rsidRPr="00241F15">
        <w:rPr>
          <w:rFonts w:ascii="Times New Roman" w:hAnsi="Times New Roman" w:cs="Times New Roman"/>
          <w:color w:val="0D0D0D" w:themeColor="text1" w:themeTint="F2"/>
          <w:sz w:val="24"/>
          <w:szCs w:val="24"/>
        </w:rPr>
        <w:t xml:space="preserve">. Wellness encompasses a comprehensive blending of physical, mental, and spiritual health, energizing the body, stimulating the mind, and feeding the spirit. It encompasses eight interrelated facets: physical, intellectual, emotional, social, spiritual, vocational, financial, and environmental </w:t>
      </w:r>
      <w:r w:rsidR="00FC444B" w:rsidRPr="00241F15">
        <w:rPr>
          <w:rFonts w:ascii="Times New Roman" w:hAnsi="Times New Roman" w:cs="Times New Roman"/>
          <w:color w:val="0D0D0D" w:themeColor="text1" w:themeTint="F2"/>
          <w:sz w:val="24"/>
          <w:szCs w:val="24"/>
        </w:rPr>
        <w:t>wellness (</w:t>
      </w:r>
      <w:r w:rsidR="00222EED" w:rsidRPr="00241F15">
        <w:rPr>
          <w:rFonts w:ascii="Times New Roman" w:hAnsi="Times New Roman" w:cs="Times New Roman"/>
          <w:color w:val="0D0D0D" w:themeColor="text1" w:themeTint="F2"/>
          <w:sz w:val="24"/>
          <w:szCs w:val="24"/>
        </w:rPr>
        <w:t>10times, 2023)</w:t>
      </w:r>
      <w:r w:rsidR="00B46DBA" w:rsidRPr="00241F15">
        <w:rPr>
          <w:rFonts w:ascii="Times New Roman" w:hAnsi="Times New Roman" w:cs="Times New Roman"/>
          <w:color w:val="0D0D0D" w:themeColor="text1" w:themeTint="F2"/>
          <w:sz w:val="24"/>
          <w:szCs w:val="24"/>
        </w:rPr>
        <w:t>. It's crucial to maintain balance among these aspects because neglecting any single dimension over time can negatively impact the others, and consequently, one’s overall health, well-being, and life satisfaction.</w:t>
      </w:r>
    </w:p>
    <w:p w14:paraId="7C20B22B" w14:textId="0A5CBF5E"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Market Factors</w:t>
      </w:r>
    </w:p>
    <w:p w14:paraId="3CB90C93" w14:textId="2A136490"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Targeting health-conscious individuals aged 25 to 55, our event taps into a substantial demand for wellness, intensified by heightened health awareness post-COVID-19 pandemic. </w:t>
      </w:r>
      <w:r w:rsidR="00B46DBA" w:rsidRPr="00241F15">
        <w:rPr>
          <w:rFonts w:ascii="Times New Roman" w:hAnsi="Times New Roman" w:cs="Times New Roman"/>
          <w:color w:val="0D0D0D" w:themeColor="text1" w:themeTint="F2"/>
          <w:sz w:val="24"/>
          <w:szCs w:val="24"/>
        </w:rPr>
        <w:t>Despite the presence of competitors, their event stands out with its distinct theme, a wide array of activities, and a firm dedication to ensuring inclusivity and accessibility for all</w:t>
      </w:r>
      <w:r w:rsidR="007B7ABD" w:rsidRPr="007B7ABD">
        <w:t xml:space="preserve"> </w:t>
      </w:r>
      <w:r w:rsidR="007B7ABD" w:rsidRPr="007B7ABD">
        <w:rPr>
          <w:rFonts w:ascii="Times New Roman" w:hAnsi="Times New Roman" w:cs="Times New Roman"/>
          <w:color w:val="0D0D0D" w:themeColor="text1" w:themeTint="F2"/>
          <w:sz w:val="24"/>
          <w:szCs w:val="24"/>
        </w:rPr>
        <w:t>(Mishra et al., 2020)</w:t>
      </w:r>
      <w:r w:rsidR="00B46DBA" w:rsidRPr="00241F15">
        <w:rPr>
          <w:rFonts w:ascii="Times New Roman" w:hAnsi="Times New Roman" w:cs="Times New Roman"/>
          <w:color w:val="0D0D0D" w:themeColor="text1" w:themeTint="F2"/>
          <w:sz w:val="24"/>
          <w:szCs w:val="24"/>
        </w:rPr>
        <w:t>. A primary issue in health promotion is reconciling the public health policy's assumption</w:t>
      </w:r>
      <w:r w:rsidR="00222EED" w:rsidRPr="00241F15">
        <w:rPr>
          <w:rFonts w:ascii="Times New Roman" w:hAnsi="Times New Roman" w:cs="Times New Roman"/>
          <w:color w:val="0D0D0D" w:themeColor="text1" w:themeTint="F2"/>
          <w:sz w:val="24"/>
          <w:szCs w:val="24"/>
        </w:rPr>
        <w:t xml:space="preserve"> </w:t>
      </w:r>
      <w:r w:rsidR="00B46DBA" w:rsidRPr="00241F15">
        <w:rPr>
          <w:rFonts w:ascii="Times New Roman" w:hAnsi="Times New Roman" w:cs="Times New Roman"/>
          <w:color w:val="0D0D0D" w:themeColor="text1" w:themeTint="F2"/>
          <w:sz w:val="24"/>
          <w:szCs w:val="24"/>
        </w:rPr>
        <w:t xml:space="preserve">that promoting healthy lifestyles is beneficial for both individuals and the community </w:t>
      </w:r>
      <w:proofErr w:type="gramStart"/>
      <w:r w:rsidR="00B46DBA" w:rsidRPr="00241F15">
        <w:rPr>
          <w:rFonts w:ascii="Times New Roman" w:hAnsi="Times New Roman" w:cs="Times New Roman"/>
          <w:color w:val="0D0D0D" w:themeColor="text1" w:themeTint="F2"/>
          <w:sz w:val="24"/>
          <w:szCs w:val="24"/>
        </w:rPr>
        <w:t>at large, and</w:t>
      </w:r>
      <w:proofErr w:type="gramEnd"/>
      <w:r w:rsidR="00B46DBA" w:rsidRPr="00241F15">
        <w:rPr>
          <w:rFonts w:ascii="Times New Roman" w:hAnsi="Times New Roman" w:cs="Times New Roman"/>
          <w:color w:val="0D0D0D" w:themeColor="text1" w:themeTint="F2"/>
          <w:sz w:val="24"/>
          <w:szCs w:val="24"/>
        </w:rPr>
        <w:t xml:space="preserve"> should be actively pursued with the liberal perspective that advocates for governmental non-intervention in personal </w:t>
      </w:r>
      <w:r w:rsidR="00FC444B" w:rsidRPr="00241F15">
        <w:rPr>
          <w:rFonts w:ascii="Times New Roman" w:hAnsi="Times New Roman" w:cs="Times New Roman"/>
          <w:color w:val="0D0D0D" w:themeColor="text1" w:themeTint="F2"/>
          <w:sz w:val="24"/>
          <w:szCs w:val="24"/>
        </w:rPr>
        <w:t>matters (</w:t>
      </w:r>
      <w:r w:rsidR="00222EED" w:rsidRPr="00241F15">
        <w:rPr>
          <w:rFonts w:ascii="Times New Roman" w:hAnsi="Times New Roman" w:cs="Times New Roman"/>
          <w:color w:val="0D0D0D" w:themeColor="text1" w:themeTint="F2"/>
          <w:sz w:val="24"/>
          <w:szCs w:val="24"/>
        </w:rPr>
        <w:t>Jiang et al., 2023)</w:t>
      </w:r>
      <w:r w:rsidR="00B46DBA" w:rsidRPr="00241F15">
        <w:rPr>
          <w:rFonts w:ascii="Times New Roman" w:hAnsi="Times New Roman" w:cs="Times New Roman"/>
          <w:color w:val="0D0D0D" w:themeColor="text1" w:themeTint="F2"/>
          <w:sz w:val="24"/>
          <w:szCs w:val="24"/>
        </w:rPr>
        <w:t xml:space="preserve">. </w:t>
      </w:r>
    </w:p>
    <w:p w14:paraId="5FED0C1F" w14:textId="3BAACAC8"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lastRenderedPageBreak/>
        <w:t>Operational Factors</w:t>
      </w:r>
    </w:p>
    <w:p w14:paraId="6584090F" w14:textId="43E615A8" w:rsidR="00B46DBA" w:rsidRPr="007B7ABD" w:rsidRDefault="00314942" w:rsidP="00B46DBA">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The chosen venue, Green Haven Convention </w:t>
      </w:r>
      <w:r w:rsidR="001A548F" w:rsidRPr="00241F15">
        <w:rPr>
          <w:rFonts w:ascii="Times New Roman" w:hAnsi="Times New Roman" w:cs="Times New Roman"/>
          <w:color w:val="0D0D0D" w:themeColor="text1" w:themeTint="F2"/>
          <w:sz w:val="24"/>
          <w:szCs w:val="24"/>
        </w:rPr>
        <w:t>Centre</w:t>
      </w:r>
      <w:r w:rsidRPr="00241F15">
        <w:rPr>
          <w:rFonts w:ascii="Times New Roman" w:hAnsi="Times New Roman" w:cs="Times New Roman"/>
          <w:color w:val="0D0D0D" w:themeColor="text1" w:themeTint="F2"/>
          <w:sz w:val="24"/>
          <w:szCs w:val="24"/>
        </w:rPr>
        <w:t>, complements our theme with its serene ambience. Event staff will possess skills in event planning, customer service, and well-being practices, with professionals in yoga, meditation, fitness, and nutrition leading activities.</w:t>
      </w:r>
      <w:r w:rsidR="00A44551" w:rsidRPr="00241F15">
        <w:rPr>
          <w:rFonts w:ascii="Times New Roman" w:hAnsi="Times New Roman" w:cs="Times New Roman"/>
          <w:color w:val="0D0D0D" w:themeColor="text1" w:themeTint="F2"/>
          <w:sz w:val="24"/>
          <w:szCs w:val="24"/>
        </w:rPr>
        <w:t xml:space="preserve"> </w:t>
      </w:r>
      <w:r w:rsidR="00B46DBA" w:rsidRPr="00241F15">
        <w:rPr>
          <w:rFonts w:ascii="Times New Roman" w:hAnsi="Times New Roman" w:cs="Times New Roman"/>
          <w:color w:val="0D0D0D" w:themeColor="text1" w:themeTint="F2"/>
          <w:sz w:val="24"/>
          <w:szCs w:val="24"/>
        </w:rPr>
        <w:t xml:space="preserve">Leisure activities encompass voluntary pursuits within one's free time, often selected for the joy, satisfaction, or creative </w:t>
      </w:r>
      <w:r w:rsidR="001A548F" w:rsidRPr="00241F15">
        <w:rPr>
          <w:rFonts w:ascii="Times New Roman" w:hAnsi="Times New Roman" w:cs="Times New Roman"/>
          <w:color w:val="0D0D0D" w:themeColor="text1" w:themeTint="F2"/>
          <w:sz w:val="24"/>
          <w:szCs w:val="24"/>
        </w:rPr>
        <w:t>fulfilment</w:t>
      </w:r>
      <w:r w:rsidR="00B46DBA" w:rsidRPr="00241F15">
        <w:rPr>
          <w:rFonts w:ascii="Times New Roman" w:hAnsi="Times New Roman" w:cs="Times New Roman"/>
          <w:color w:val="0D0D0D" w:themeColor="text1" w:themeTint="F2"/>
          <w:sz w:val="24"/>
          <w:szCs w:val="24"/>
        </w:rPr>
        <w:t xml:space="preserve"> they provide, or for the personal or communal benefits they are perceived to offer. </w:t>
      </w:r>
    </w:p>
    <w:p w14:paraId="18AA743B" w14:textId="04BD5478" w:rsidR="00B46DBA" w:rsidRPr="00241F15" w:rsidRDefault="00B46DBA" w:rsidP="00B46DBA">
      <w:pPr>
        <w:spacing w:line="360" w:lineRule="auto"/>
        <w:jc w:val="both"/>
        <w:rPr>
          <w:rFonts w:ascii="Times New Roman" w:hAnsi="Times New Roman" w:cs="Times New Roman"/>
          <w:color w:val="0D0D0D" w:themeColor="text1" w:themeTint="F2"/>
          <w:sz w:val="24"/>
          <w:szCs w:val="24"/>
        </w:rPr>
      </w:pPr>
      <w:r w:rsidRPr="007B7ABD">
        <w:rPr>
          <w:rFonts w:ascii="Times New Roman" w:hAnsi="Times New Roman" w:cs="Times New Roman"/>
          <w:color w:val="0D0D0D" w:themeColor="text1" w:themeTint="F2"/>
          <w:sz w:val="24"/>
          <w:szCs w:val="24"/>
        </w:rPr>
        <w:t>Understanding the role and need for recreational pursuits in life is vital before delving into their integration into educational curricula</w:t>
      </w:r>
      <w:r w:rsidR="007B7ABD" w:rsidRPr="007B7ABD">
        <w:rPr>
          <w:rFonts w:ascii="Times New Roman" w:hAnsi="Times New Roman" w:cs="Times New Roman"/>
          <w:sz w:val="24"/>
          <w:szCs w:val="24"/>
        </w:rPr>
        <w:t xml:space="preserve"> (</w:t>
      </w:r>
      <w:proofErr w:type="spellStart"/>
      <w:r w:rsidR="007B7ABD" w:rsidRPr="007B7ABD">
        <w:rPr>
          <w:rFonts w:ascii="Times New Roman" w:hAnsi="Times New Roman" w:cs="Times New Roman"/>
          <w:sz w:val="24"/>
          <w:szCs w:val="24"/>
        </w:rPr>
        <w:t>Dall’Alba</w:t>
      </w:r>
      <w:proofErr w:type="spellEnd"/>
      <w:r w:rsidR="007B7ABD" w:rsidRPr="007B7ABD">
        <w:rPr>
          <w:rFonts w:ascii="Times New Roman" w:hAnsi="Times New Roman" w:cs="Times New Roman"/>
          <w:sz w:val="24"/>
          <w:szCs w:val="24"/>
        </w:rPr>
        <w:t xml:space="preserve"> and Bengtsen, 2019)</w:t>
      </w:r>
      <w:r w:rsidRPr="007B7ABD">
        <w:rPr>
          <w:rFonts w:ascii="Times New Roman" w:hAnsi="Times New Roman" w:cs="Times New Roman"/>
          <w:color w:val="0D0D0D" w:themeColor="text1" w:themeTint="F2"/>
          <w:sz w:val="24"/>
          <w:szCs w:val="24"/>
        </w:rPr>
        <w:t>. Modern societal complexities and lifestyles have led to students being less robust than</w:t>
      </w:r>
      <w:r w:rsidRPr="00241F15">
        <w:rPr>
          <w:rFonts w:ascii="Times New Roman" w:hAnsi="Times New Roman" w:cs="Times New Roman"/>
          <w:color w:val="0D0D0D" w:themeColor="text1" w:themeTint="F2"/>
          <w:sz w:val="24"/>
          <w:szCs w:val="24"/>
        </w:rPr>
        <w:t xml:space="preserve"> previous generations, both physically and mentally, which is evident in their health, </w:t>
      </w:r>
      <w:r w:rsidR="001A548F" w:rsidRPr="00241F15">
        <w:rPr>
          <w:rFonts w:ascii="Times New Roman" w:hAnsi="Times New Roman" w:cs="Times New Roman"/>
          <w:color w:val="0D0D0D" w:themeColor="text1" w:themeTint="F2"/>
          <w:sz w:val="24"/>
          <w:szCs w:val="24"/>
        </w:rPr>
        <w:t>behaviour</w:t>
      </w:r>
      <w:r w:rsidRPr="00241F15">
        <w:rPr>
          <w:rFonts w:ascii="Times New Roman" w:hAnsi="Times New Roman" w:cs="Times New Roman"/>
          <w:color w:val="0D0D0D" w:themeColor="text1" w:themeTint="F2"/>
          <w:sz w:val="24"/>
          <w:szCs w:val="24"/>
        </w:rPr>
        <w:t xml:space="preserve">, and development. This </w:t>
      </w:r>
      <w:r w:rsidR="007B7ABD" w:rsidRPr="00241F15">
        <w:rPr>
          <w:rFonts w:ascii="Times New Roman" w:hAnsi="Times New Roman" w:cs="Times New Roman"/>
          <w:color w:val="0D0D0D" w:themeColor="text1" w:themeTint="F2"/>
          <w:sz w:val="24"/>
          <w:szCs w:val="24"/>
        </w:rPr>
        <w:t>highlights</w:t>
      </w:r>
      <w:r w:rsidRPr="00241F15">
        <w:rPr>
          <w:rFonts w:ascii="Times New Roman" w:hAnsi="Times New Roman" w:cs="Times New Roman"/>
          <w:color w:val="0D0D0D" w:themeColor="text1" w:themeTint="F2"/>
          <w:sz w:val="24"/>
          <w:szCs w:val="24"/>
        </w:rPr>
        <w:t xml:space="preserve"> the importance of recreation. Studies have highlighted its benefits across three key areas: physical health, mental health, and life quality enhancement. Outdoor recreational activities</w:t>
      </w:r>
      <w:r w:rsidR="00FC444B" w:rsidRPr="00241F15">
        <w:rPr>
          <w:rFonts w:ascii="Times New Roman" w:hAnsi="Times New Roman" w:cs="Times New Roman"/>
          <w:color w:val="0D0D0D" w:themeColor="text1" w:themeTint="F2"/>
          <w:sz w:val="24"/>
          <w:szCs w:val="24"/>
        </w:rPr>
        <w:t xml:space="preserve"> contribute</w:t>
      </w:r>
      <w:r w:rsidRPr="00241F15">
        <w:rPr>
          <w:rFonts w:ascii="Times New Roman" w:hAnsi="Times New Roman" w:cs="Times New Roman"/>
          <w:color w:val="0D0D0D" w:themeColor="text1" w:themeTint="F2"/>
          <w:sz w:val="24"/>
          <w:szCs w:val="24"/>
        </w:rPr>
        <w:t xml:space="preserve"> to improved physical well-being, including lower body fat, reduced </w:t>
      </w:r>
      <w:proofErr w:type="gramStart"/>
      <w:r w:rsidRPr="00241F15">
        <w:rPr>
          <w:rFonts w:ascii="Times New Roman" w:hAnsi="Times New Roman" w:cs="Times New Roman"/>
          <w:color w:val="0D0D0D" w:themeColor="text1" w:themeTint="F2"/>
          <w:sz w:val="24"/>
          <w:szCs w:val="24"/>
        </w:rPr>
        <w:t>blood</w:t>
      </w:r>
      <w:proofErr w:type="gramEnd"/>
      <w:r w:rsidRPr="00241F15">
        <w:rPr>
          <w:rFonts w:ascii="Times New Roman" w:hAnsi="Times New Roman" w:cs="Times New Roman"/>
          <w:color w:val="0D0D0D" w:themeColor="text1" w:themeTint="F2"/>
          <w:sz w:val="24"/>
          <w:szCs w:val="24"/>
        </w:rPr>
        <w:t xml:space="preserve"> and cholesterol levels, enhanced muscular strength, flexibility, endurance, and cardiovascular health, thereby boosting stamina and concentration for academic pursuits</w:t>
      </w:r>
      <w:r w:rsidR="007B7ABD" w:rsidRPr="007B7ABD">
        <w:t xml:space="preserve"> </w:t>
      </w:r>
      <w:r w:rsidR="007B7ABD" w:rsidRPr="007B7ABD">
        <w:rPr>
          <w:rFonts w:ascii="Times New Roman" w:hAnsi="Times New Roman" w:cs="Times New Roman"/>
          <w:color w:val="0D0D0D" w:themeColor="text1" w:themeTint="F2"/>
          <w:sz w:val="24"/>
          <w:szCs w:val="24"/>
        </w:rPr>
        <w:t>(Pressman et al., 2009)</w:t>
      </w:r>
      <w:r w:rsidRPr="00241F15">
        <w:rPr>
          <w:rFonts w:ascii="Times New Roman" w:hAnsi="Times New Roman" w:cs="Times New Roman"/>
          <w:color w:val="0D0D0D" w:themeColor="text1" w:themeTint="F2"/>
          <w:sz w:val="24"/>
          <w:szCs w:val="24"/>
        </w:rPr>
        <w:t>. This, in turn, positively affects class attendance, attention, and learning, embodying the adage "health is wealth."</w:t>
      </w:r>
    </w:p>
    <w:p w14:paraId="521A90C7" w14:textId="0595124B" w:rsidR="00314942" w:rsidRPr="00241F15" w:rsidRDefault="00B46DBA" w:rsidP="00B46DBA">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Mental well-being, intrinsically linked to physical health, is </w:t>
      </w:r>
      <w:r w:rsidR="007B7ABD" w:rsidRPr="00241F15">
        <w:rPr>
          <w:rFonts w:ascii="Times New Roman" w:hAnsi="Times New Roman" w:cs="Times New Roman"/>
          <w:color w:val="0D0D0D" w:themeColor="text1" w:themeTint="F2"/>
          <w:sz w:val="24"/>
          <w:szCs w:val="24"/>
        </w:rPr>
        <w:t>boosted</w:t>
      </w:r>
      <w:r w:rsidRPr="00241F15">
        <w:rPr>
          <w:rFonts w:ascii="Times New Roman" w:hAnsi="Times New Roman" w:cs="Times New Roman"/>
          <w:color w:val="0D0D0D" w:themeColor="text1" w:themeTint="F2"/>
          <w:sz w:val="24"/>
          <w:szCs w:val="24"/>
        </w:rPr>
        <w:t xml:space="preserve"> by recreational activities that manage stress, foster self-care, and enhance self-esteem, thus diminishing anxiety and depression</w:t>
      </w:r>
      <w:r w:rsidR="007B7ABD" w:rsidRPr="007B7ABD">
        <w:t xml:space="preserve"> </w:t>
      </w:r>
      <w:r w:rsidR="007B7ABD">
        <w:t>(Tahmasian et al., 2020)</w:t>
      </w:r>
      <w:r w:rsidRPr="00241F15">
        <w:rPr>
          <w:rFonts w:ascii="Times New Roman" w:hAnsi="Times New Roman" w:cs="Times New Roman"/>
          <w:color w:val="0D0D0D" w:themeColor="text1" w:themeTint="F2"/>
          <w:sz w:val="24"/>
          <w:szCs w:val="24"/>
        </w:rPr>
        <w:t xml:space="preserve">. Recreation can also invigorate learning by applying classroom knowledge in practical contexts, easing emotional tension, and building resilience. It supports </w:t>
      </w:r>
      <w:r w:rsidRPr="007B7ABD">
        <w:rPr>
          <w:rFonts w:ascii="Times New Roman" w:hAnsi="Times New Roman" w:cs="Times New Roman"/>
          <w:color w:val="0D0D0D" w:themeColor="text1" w:themeTint="F2"/>
          <w:sz w:val="24"/>
          <w:szCs w:val="24"/>
        </w:rPr>
        <w:t>the development of self-reliance, empathy, and discipline among students</w:t>
      </w:r>
      <w:r w:rsidR="007B7ABD" w:rsidRPr="007B7ABD">
        <w:rPr>
          <w:rFonts w:ascii="Times New Roman" w:hAnsi="Times New Roman" w:cs="Times New Roman"/>
          <w:sz w:val="24"/>
          <w:szCs w:val="24"/>
        </w:rPr>
        <w:t xml:space="preserve"> (Lange and Kayser, 2022)</w:t>
      </w:r>
      <w:r w:rsidRPr="007B7ABD">
        <w:rPr>
          <w:rFonts w:ascii="Times New Roman" w:hAnsi="Times New Roman" w:cs="Times New Roman"/>
          <w:color w:val="0D0D0D" w:themeColor="text1" w:themeTint="F2"/>
          <w:sz w:val="24"/>
          <w:szCs w:val="24"/>
        </w:rPr>
        <w:t>. In the professional realm, coping with extended work hours has heightened stress levels. Employers are increasingly recognizing the importance of preventing burnout and maintaining high productivity through wellness initiatives, including sports and</w:t>
      </w:r>
      <w:r w:rsidRPr="00241F15">
        <w:rPr>
          <w:rFonts w:ascii="Times New Roman" w:hAnsi="Times New Roman" w:cs="Times New Roman"/>
          <w:color w:val="0D0D0D" w:themeColor="text1" w:themeTint="F2"/>
          <w:sz w:val="24"/>
          <w:szCs w:val="24"/>
        </w:rPr>
        <w:t xml:space="preserve"> wellness programs. The ideal workplace is one that supports a healthy work-life balance and integrates sports into its organizational structure, enhancing employee well-</w:t>
      </w:r>
      <w:r w:rsidR="00FC444B" w:rsidRPr="00241F15">
        <w:rPr>
          <w:rFonts w:ascii="Times New Roman" w:hAnsi="Times New Roman" w:cs="Times New Roman"/>
          <w:color w:val="0D0D0D" w:themeColor="text1" w:themeTint="F2"/>
          <w:sz w:val="24"/>
          <w:szCs w:val="24"/>
        </w:rPr>
        <w:t>being</w:t>
      </w:r>
      <w:r w:rsidR="00FC444B" w:rsidRPr="007B7ABD">
        <w:rPr>
          <w:rFonts w:ascii="Times New Roman" w:hAnsi="Times New Roman" w:cs="Times New Roman"/>
          <w:sz w:val="24"/>
          <w:szCs w:val="24"/>
        </w:rPr>
        <w:t xml:space="preserve"> (</w:t>
      </w:r>
      <w:r w:rsidR="007B7ABD" w:rsidRPr="007B7ABD">
        <w:rPr>
          <w:rFonts w:ascii="Times New Roman" w:hAnsi="Times New Roman" w:cs="Times New Roman"/>
          <w:sz w:val="24"/>
          <w:szCs w:val="24"/>
        </w:rPr>
        <w:t>Belcher et al., 2020)</w:t>
      </w:r>
      <w:r w:rsidRPr="00241F15">
        <w:rPr>
          <w:rFonts w:ascii="Times New Roman" w:hAnsi="Times New Roman" w:cs="Times New Roman"/>
          <w:color w:val="0D0D0D" w:themeColor="text1" w:themeTint="F2"/>
          <w:sz w:val="24"/>
          <w:szCs w:val="24"/>
        </w:rPr>
        <w:t xml:space="preserve">. Companies must view their employees as valuable assets; the organization's health is integrally linked to that of its staff. Providing a conducive environment that encourages top performance, with clean facilities, wellness benefits, and equitable growth opportunities, is part of an </w:t>
      </w:r>
      <w:r w:rsidRPr="00241F15">
        <w:rPr>
          <w:rFonts w:ascii="Times New Roman" w:hAnsi="Times New Roman" w:cs="Times New Roman"/>
          <w:color w:val="0D0D0D" w:themeColor="text1" w:themeTint="F2"/>
          <w:sz w:val="24"/>
          <w:szCs w:val="24"/>
        </w:rPr>
        <w:lastRenderedPageBreak/>
        <w:t>employer's duty. To realize an optimal balance between work and personal life, fostering a culture of fitness and encouraging participation in sports activities is essential.</w:t>
      </w:r>
    </w:p>
    <w:p w14:paraId="67060BE2" w14:textId="3232F1DB"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Financial Factors</w:t>
      </w:r>
    </w:p>
    <w:p w14:paraId="796A8AA2" w14:textId="77777777"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Our funding strategy includes sponsorships, ticket sales, workshop fees, and merchandise sales, projecting a total revenue of $40,000 and an estimated profit of $14,000. This surplus will be reinvested into future wellness events or initiatives.</w:t>
      </w:r>
    </w:p>
    <w:p w14:paraId="71C61A2D" w14:textId="17718DB0" w:rsidR="00314942"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SWOT Analysis</w:t>
      </w:r>
    </w:p>
    <w:p w14:paraId="120C31D4" w14:textId="201A8DCC" w:rsidR="006D01C3" w:rsidRPr="00241F15" w:rsidRDefault="006D01C3" w:rsidP="009B3F6B">
      <w:pPr>
        <w:spacing w:line="360" w:lineRule="auto"/>
        <w:jc w:val="both"/>
        <w:rPr>
          <w:rFonts w:ascii="Times New Roman" w:hAnsi="Times New Roman" w:cs="Times New Roman"/>
          <w:color w:val="0D0D0D" w:themeColor="text1" w:themeTint="F2"/>
          <w:sz w:val="24"/>
          <w:szCs w:val="24"/>
        </w:rPr>
      </w:pPr>
      <w:r>
        <w:rPr>
          <w:noProof/>
        </w:rPr>
        <w:drawing>
          <wp:inline distT="0" distB="0" distL="0" distR="0" wp14:anchorId="35BE8E9F" wp14:editId="618DE5F2">
            <wp:extent cx="5731510" cy="3223895"/>
            <wp:effectExtent l="0" t="0" r="2540" b="0"/>
            <wp:docPr id="1304359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5997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9E292B1" w14:textId="47861A1F"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Strengths</w:t>
      </w:r>
    </w:p>
    <w:p w14:paraId="1951419A" w14:textId="5DCD2884"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Unique theme</w:t>
      </w:r>
      <w:r w:rsidR="00F97D36" w:rsidRPr="00241F15">
        <w:rPr>
          <w:rFonts w:ascii="Times New Roman" w:hAnsi="Times New Roman" w:cs="Times New Roman"/>
          <w:color w:val="0D0D0D" w:themeColor="text1" w:themeTint="F2"/>
          <w:sz w:val="24"/>
          <w:szCs w:val="24"/>
        </w:rPr>
        <w:t xml:space="preserve"> </w:t>
      </w:r>
      <w:r w:rsidR="00FC444B" w:rsidRPr="00241F15">
        <w:rPr>
          <w:rFonts w:ascii="Times New Roman" w:hAnsi="Times New Roman" w:cs="Times New Roman"/>
          <w:color w:val="0D0D0D" w:themeColor="text1" w:themeTint="F2"/>
          <w:sz w:val="24"/>
          <w:szCs w:val="24"/>
        </w:rPr>
        <w:t>“Health</w:t>
      </w:r>
      <w:r w:rsidR="00F97D36" w:rsidRPr="00241F15">
        <w:rPr>
          <w:rFonts w:ascii="Times New Roman" w:hAnsi="Times New Roman" w:cs="Times New Roman"/>
          <w:color w:val="0D0D0D" w:themeColor="text1" w:themeTint="F2"/>
          <w:sz w:val="24"/>
          <w:szCs w:val="24"/>
        </w:rPr>
        <w:t xml:space="preserve"> and Wellbeing”</w:t>
      </w:r>
    </w:p>
    <w:p w14:paraId="4827EEEF" w14:textId="144BD61E" w:rsidR="00B46DBA" w:rsidRPr="00241F15" w:rsidRDefault="00B46DBA" w:rsidP="00B46DBA">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Health and well-being encompass an individual's physical condition, psychological and emotional balance, and social connectivity</w:t>
      </w:r>
      <w:r w:rsidR="00241F15" w:rsidRPr="00241F15">
        <w:rPr>
          <w:rFonts w:ascii="Times New Roman" w:hAnsi="Times New Roman" w:cs="Times New Roman"/>
          <w:color w:val="0D0D0D" w:themeColor="text1" w:themeTint="F2"/>
          <w:sz w:val="24"/>
          <w:szCs w:val="24"/>
        </w:rPr>
        <w:t xml:space="preserve">. </w:t>
      </w:r>
      <w:r w:rsidRPr="00241F15">
        <w:rPr>
          <w:rFonts w:ascii="Times New Roman" w:hAnsi="Times New Roman" w:cs="Times New Roman"/>
          <w:color w:val="0D0D0D" w:themeColor="text1" w:themeTint="F2"/>
          <w:sz w:val="24"/>
          <w:szCs w:val="24"/>
        </w:rPr>
        <w:t xml:space="preserve">Maintaining a stable emotional state and equilibrium is crucial in mitigating negative feelings and preventing burnout in medical professionals. Social engagement pertains to the quality of an individual's interpersonal relationships and social interactions. For medical professionals, engagement is reflected in their dedication to </w:t>
      </w:r>
      <w:r w:rsidRPr="007B7ABD">
        <w:rPr>
          <w:rFonts w:ascii="Times New Roman" w:hAnsi="Times New Roman" w:cs="Times New Roman"/>
          <w:color w:val="0D0D0D" w:themeColor="text1" w:themeTint="F2"/>
          <w:sz w:val="24"/>
          <w:szCs w:val="24"/>
        </w:rPr>
        <w:t>continuous learning, skill enhancement, and commitment to delivering safe and high-quality care to patients</w:t>
      </w:r>
      <w:r w:rsidR="007B7ABD" w:rsidRPr="007B7ABD">
        <w:rPr>
          <w:rFonts w:ascii="Times New Roman" w:hAnsi="Times New Roman" w:cs="Times New Roman"/>
          <w:sz w:val="24"/>
          <w:szCs w:val="24"/>
        </w:rPr>
        <w:t xml:space="preserve"> (King et al., 2020)</w:t>
      </w:r>
      <w:r w:rsidRPr="007B7ABD">
        <w:rPr>
          <w:rFonts w:ascii="Times New Roman" w:hAnsi="Times New Roman" w:cs="Times New Roman"/>
          <w:color w:val="0D0D0D" w:themeColor="text1" w:themeTint="F2"/>
          <w:sz w:val="24"/>
          <w:szCs w:val="24"/>
        </w:rPr>
        <w:t>. Mindfulness</w:t>
      </w:r>
      <w:r w:rsidRPr="00241F15">
        <w:rPr>
          <w:rFonts w:ascii="Times New Roman" w:hAnsi="Times New Roman" w:cs="Times New Roman"/>
          <w:color w:val="0D0D0D" w:themeColor="text1" w:themeTint="F2"/>
          <w:sz w:val="24"/>
          <w:szCs w:val="24"/>
        </w:rPr>
        <w:t xml:space="preserve">, characterized by deliberate and attentive awareness, plays a critical role in stress management and maintaining a balanced mental state. Strategies </w:t>
      </w:r>
      <w:r w:rsidRPr="00BA17FA">
        <w:rPr>
          <w:rFonts w:ascii="Times New Roman" w:hAnsi="Times New Roman" w:cs="Times New Roman"/>
          <w:color w:val="0D0D0D" w:themeColor="text1" w:themeTint="F2"/>
          <w:sz w:val="24"/>
          <w:szCs w:val="24"/>
        </w:rPr>
        <w:t xml:space="preserve">to foster engagement aim to build solid and enduring connections </w:t>
      </w:r>
      <w:r w:rsidRPr="00BA17FA">
        <w:rPr>
          <w:rFonts w:ascii="Times New Roman" w:hAnsi="Times New Roman" w:cs="Times New Roman"/>
          <w:color w:val="0D0D0D" w:themeColor="text1" w:themeTint="F2"/>
          <w:sz w:val="24"/>
          <w:szCs w:val="24"/>
        </w:rPr>
        <w:lastRenderedPageBreak/>
        <w:t>between medical professionals, healthcare facilities, and broader health systems. When a healthcare organization's operations are designed to support the professional aspirations of its clinicians, alignment occurs</w:t>
      </w:r>
      <w:r w:rsidR="00BA17FA" w:rsidRPr="00BA17FA">
        <w:rPr>
          <w:rFonts w:ascii="Times New Roman" w:hAnsi="Times New Roman" w:cs="Times New Roman"/>
          <w:sz w:val="24"/>
          <w:szCs w:val="24"/>
        </w:rPr>
        <w:t xml:space="preserve"> (Sinsky et al., 2020)</w:t>
      </w:r>
      <w:r w:rsidRPr="00BA17FA">
        <w:rPr>
          <w:rFonts w:ascii="Times New Roman" w:hAnsi="Times New Roman" w:cs="Times New Roman"/>
          <w:color w:val="0D0D0D" w:themeColor="text1" w:themeTint="F2"/>
          <w:sz w:val="24"/>
          <w:szCs w:val="24"/>
        </w:rPr>
        <w:t>. This alignment is characterized by refining priorities, alleviating the challenges faced by frontline staff, and encouraging the judicious standardization of resources. An organization's alignment with the values of enhancing worth, demonstrating genuine integrity, and empathetic cooperation</w:t>
      </w:r>
      <w:r w:rsidRPr="00241F15">
        <w:rPr>
          <w:rFonts w:ascii="Times New Roman" w:hAnsi="Times New Roman" w:cs="Times New Roman"/>
          <w:color w:val="0D0D0D" w:themeColor="text1" w:themeTint="F2"/>
          <w:sz w:val="24"/>
          <w:szCs w:val="24"/>
        </w:rPr>
        <w:t xml:space="preserve"> with medical staff underpins positive emotional experiences, serenity, and mental balance. Such mindfulness engagement is instrumental in improving the well-being of medical professionals, ensuring patient safety, and enhancing the efficacy of healthcare organizations. It also plays a pivotal role in reducing the likelihood of professional burnout.</w:t>
      </w:r>
    </w:p>
    <w:p w14:paraId="5D4E8191" w14:textId="2190B978" w:rsidR="00314942" w:rsidRPr="00241F15" w:rsidRDefault="00314942" w:rsidP="00B46DBA">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Experienced team</w:t>
      </w:r>
    </w:p>
    <w:p w14:paraId="0E0A0596" w14:textId="3CFE3D82" w:rsidR="00F97D36" w:rsidRPr="00241F15" w:rsidRDefault="00B46DBA"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In the provision of healthcare, efficient teamwork has an immediate and </w:t>
      </w:r>
      <w:r w:rsidR="0043144A" w:rsidRPr="00241F15">
        <w:rPr>
          <w:rFonts w:ascii="Times New Roman" w:hAnsi="Times New Roman" w:cs="Times New Roman"/>
          <w:color w:val="0D0D0D" w:themeColor="text1" w:themeTint="F2"/>
          <w:sz w:val="24"/>
          <w:szCs w:val="24"/>
        </w:rPr>
        <w:t>favourable</w:t>
      </w:r>
      <w:r w:rsidRPr="00241F15">
        <w:rPr>
          <w:rFonts w:ascii="Times New Roman" w:hAnsi="Times New Roman" w:cs="Times New Roman"/>
          <w:color w:val="0D0D0D" w:themeColor="text1" w:themeTint="F2"/>
          <w:sz w:val="24"/>
          <w:szCs w:val="24"/>
        </w:rPr>
        <w:t xml:space="preserve"> impact on patient safety and outcomes. The necessity for such collaboration is escalating due to the increasing number of </w:t>
      </w:r>
      <w:r w:rsidRPr="00BA17FA">
        <w:rPr>
          <w:rFonts w:ascii="Times New Roman" w:hAnsi="Times New Roman" w:cs="Times New Roman"/>
          <w:color w:val="0D0D0D" w:themeColor="text1" w:themeTint="F2"/>
          <w:sz w:val="24"/>
          <w:szCs w:val="24"/>
        </w:rPr>
        <w:t>patients with multiple chronic conditions and the growing intricacies within specialized care domains</w:t>
      </w:r>
      <w:r w:rsidR="00BA17FA" w:rsidRPr="00BA17FA">
        <w:rPr>
          <w:rFonts w:ascii="Times New Roman" w:hAnsi="Times New Roman" w:cs="Times New Roman"/>
          <w:sz w:val="24"/>
          <w:szCs w:val="24"/>
        </w:rPr>
        <w:t xml:space="preserve"> (Han and </w:t>
      </w:r>
      <w:proofErr w:type="spellStart"/>
      <w:r w:rsidR="00BA17FA" w:rsidRPr="00BA17FA">
        <w:rPr>
          <w:rFonts w:ascii="Times New Roman" w:hAnsi="Times New Roman" w:cs="Times New Roman"/>
          <w:sz w:val="24"/>
          <w:szCs w:val="24"/>
        </w:rPr>
        <w:t>Roh</w:t>
      </w:r>
      <w:proofErr w:type="spellEnd"/>
      <w:r w:rsidR="00BA17FA" w:rsidRPr="00BA17FA">
        <w:rPr>
          <w:rFonts w:ascii="Times New Roman" w:hAnsi="Times New Roman" w:cs="Times New Roman"/>
          <w:sz w:val="24"/>
          <w:szCs w:val="24"/>
        </w:rPr>
        <w:t>, 2020)</w:t>
      </w:r>
      <w:r w:rsidRPr="00BA17FA">
        <w:rPr>
          <w:rFonts w:ascii="Times New Roman" w:hAnsi="Times New Roman" w:cs="Times New Roman"/>
          <w:color w:val="0D0D0D" w:themeColor="text1" w:themeTint="F2"/>
          <w:sz w:val="24"/>
          <w:szCs w:val="24"/>
        </w:rPr>
        <w:t>. The</w:t>
      </w:r>
      <w:r w:rsidRPr="00241F15">
        <w:rPr>
          <w:rFonts w:ascii="Times New Roman" w:hAnsi="Times New Roman" w:cs="Times New Roman"/>
          <w:color w:val="0D0D0D" w:themeColor="text1" w:themeTint="F2"/>
          <w:sz w:val="24"/>
          <w:szCs w:val="24"/>
        </w:rPr>
        <w:t xml:space="preserve"> days when a single doctor, dentist, or healthcare practitioner could independently provide quality care that meets all patient needs are over. The shift in healthcare dynamics and a worldwide push for quality in patient care require concurrent advancement in healthcare professional development with a significant emphasis on a team-based approach </w:t>
      </w:r>
      <w:r w:rsidR="0043144A" w:rsidRPr="00241F15">
        <w:rPr>
          <w:rFonts w:ascii="Times New Roman" w:hAnsi="Times New Roman" w:cs="Times New Roman"/>
          <w:color w:val="0D0D0D" w:themeColor="text1" w:themeTint="F2"/>
          <w:sz w:val="24"/>
          <w:szCs w:val="24"/>
        </w:rPr>
        <w:t>centred</w:t>
      </w:r>
      <w:r w:rsidRPr="00241F15">
        <w:rPr>
          <w:rFonts w:ascii="Times New Roman" w:hAnsi="Times New Roman" w:cs="Times New Roman"/>
          <w:color w:val="0D0D0D" w:themeColor="text1" w:themeTint="F2"/>
          <w:sz w:val="24"/>
          <w:szCs w:val="24"/>
        </w:rPr>
        <w:t xml:space="preserve"> on the patient. Attaining this objective is contingent upon placing patients at the heart of the care process and fostering a shared culture imbued with common values and principles. This cultural foundation is crucial in forming and nurturing effective teams capable of delivering superior patient care. To reach this end, team member motivation must be supported by targeted strategies and practical skills that enable the achievement of objectives and surmounting of obstacles.</w:t>
      </w:r>
    </w:p>
    <w:p w14:paraId="1EBD59FC" w14:textId="77777777" w:rsidR="00B46DBA" w:rsidRPr="00241F15" w:rsidRDefault="00B46DBA" w:rsidP="009B3F6B">
      <w:pPr>
        <w:spacing w:line="360" w:lineRule="auto"/>
        <w:jc w:val="both"/>
        <w:rPr>
          <w:rFonts w:ascii="Times New Roman" w:hAnsi="Times New Roman" w:cs="Times New Roman"/>
          <w:color w:val="0D0D0D" w:themeColor="text1" w:themeTint="F2"/>
          <w:sz w:val="24"/>
          <w:szCs w:val="24"/>
        </w:rPr>
      </w:pPr>
    </w:p>
    <w:p w14:paraId="12180924" w14:textId="5077779A"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Weaknesses</w:t>
      </w:r>
    </w:p>
    <w:p w14:paraId="4DA30169" w14:textId="12343467"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High competition</w:t>
      </w:r>
    </w:p>
    <w:p w14:paraId="427E14BE" w14:textId="2BADDDBD" w:rsidR="00F97D36" w:rsidRDefault="00B46DBA"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 xml:space="preserve">In every sector, competition between companies has traditionally been promoted </w:t>
      </w:r>
      <w:proofErr w:type="gramStart"/>
      <w:r w:rsidRPr="00241F15">
        <w:rPr>
          <w:rFonts w:ascii="Times New Roman" w:hAnsi="Times New Roman" w:cs="Times New Roman"/>
          <w:color w:val="0D0D0D" w:themeColor="text1" w:themeTint="F2"/>
          <w:sz w:val="24"/>
          <w:szCs w:val="24"/>
        </w:rPr>
        <w:t>as a means to</w:t>
      </w:r>
      <w:proofErr w:type="gramEnd"/>
      <w:r w:rsidRPr="00241F15">
        <w:rPr>
          <w:rFonts w:ascii="Times New Roman" w:hAnsi="Times New Roman" w:cs="Times New Roman"/>
          <w:color w:val="0D0D0D" w:themeColor="text1" w:themeTint="F2"/>
          <w:sz w:val="24"/>
          <w:szCs w:val="24"/>
        </w:rPr>
        <w:t xml:space="preserve"> enhance value for </w:t>
      </w:r>
      <w:r w:rsidR="006A0077" w:rsidRPr="00241F15">
        <w:rPr>
          <w:rFonts w:ascii="Times New Roman" w:hAnsi="Times New Roman" w:cs="Times New Roman"/>
          <w:color w:val="0D0D0D" w:themeColor="text1" w:themeTint="F2"/>
          <w:sz w:val="24"/>
          <w:szCs w:val="24"/>
        </w:rPr>
        <w:t>consumers (</w:t>
      </w:r>
      <w:r w:rsidR="00222EED" w:rsidRPr="00241F15">
        <w:rPr>
          <w:rFonts w:ascii="Times New Roman" w:hAnsi="Times New Roman" w:cs="Times New Roman"/>
          <w:color w:val="0D0D0D" w:themeColor="text1" w:themeTint="F2"/>
          <w:sz w:val="24"/>
          <w:szCs w:val="24"/>
        </w:rPr>
        <w:t>Dwyer, 2022)</w:t>
      </w:r>
      <w:r w:rsidRPr="00241F15">
        <w:rPr>
          <w:rFonts w:ascii="Times New Roman" w:hAnsi="Times New Roman" w:cs="Times New Roman"/>
          <w:color w:val="0D0D0D" w:themeColor="text1" w:themeTint="F2"/>
          <w:sz w:val="24"/>
          <w:szCs w:val="24"/>
        </w:rPr>
        <w:t>. Put simply, competition guarantees that improved products and services are offered to meet customer demands.</w:t>
      </w:r>
    </w:p>
    <w:p w14:paraId="5D8BB2E8" w14:textId="77777777" w:rsidR="0043144A" w:rsidRPr="00241F15" w:rsidRDefault="0043144A" w:rsidP="009B3F6B">
      <w:pPr>
        <w:spacing w:line="360" w:lineRule="auto"/>
        <w:jc w:val="both"/>
        <w:rPr>
          <w:rFonts w:ascii="Times New Roman" w:hAnsi="Times New Roman" w:cs="Times New Roman"/>
          <w:color w:val="0D0D0D" w:themeColor="text1" w:themeTint="F2"/>
          <w:sz w:val="24"/>
          <w:szCs w:val="24"/>
        </w:rPr>
      </w:pPr>
    </w:p>
    <w:p w14:paraId="0179E799" w14:textId="5F918FE3" w:rsidR="0031494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lastRenderedPageBreak/>
        <w:t>Budget constraints</w:t>
      </w:r>
    </w:p>
    <w:p w14:paraId="214E4ABE" w14:textId="4F314303" w:rsidR="00F97D36" w:rsidRPr="00241F15" w:rsidRDefault="00F97D36"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The budge</w:t>
      </w:r>
      <w:r w:rsidR="002C146D" w:rsidRPr="00241F15">
        <w:rPr>
          <w:rFonts w:ascii="Times New Roman" w:hAnsi="Times New Roman" w:cs="Times New Roman"/>
          <w:color w:val="0D0D0D" w:themeColor="text1" w:themeTint="F2"/>
          <w:sz w:val="24"/>
          <w:szCs w:val="24"/>
        </w:rPr>
        <w:t xml:space="preserve">t constraint could result into lack of resources in the process of event management plan. </w:t>
      </w:r>
    </w:p>
    <w:p w14:paraId="46EEABB7" w14:textId="77777777" w:rsidR="00DD6D72" w:rsidRPr="00241F15"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Opportunities</w:t>
      </w:r>
    </w:p>
    <w:p w14:paraId="28C38A41" w14:textId="6228F6D7" w:rsidR="00C85428" w:rsidRPr="00241F15" w:rsidRDefault="00DD6D7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T</w:t>
      </w:r>
      <w:r w:rsidR="00C85428" w:rsidRPr="00241F15">
        <w:rPr>
          <w:rFonts w:ascii="Times New Roman" w:hAnsi="Times New Roman" w:cs="Times New Roman"/>
          <w:color w:val="0D0D0D" w:themeColor="text1" w:themeTint="F2"/>
          <w:sz w:val="24"/>
          <w:szCs w:val="24"/>
        </w:rPr>
        <w:t xml:space="preserve">he rising societal emphasis on health and well-being presents a fertile ground for initiatives that promote holistic health practices. This cultural shift is not just a transient trend; rather, it reflects a deep-seated </w:t>
      </w:r>
      <w:r w:rsidR="0043144A" w:rsidRPr="00241F15">
        <w:rPr>
          <w:rFonts w:ascii="Times New Roman" w:hAnsi="Times New Roman" w:cs="Times New Roman"/>
          <w:color w:val="0D0D0D" w:themeColor="text1" w:themeTint="F2"/>
          <w:sz w:val="24"/>
          <w:szCs w:val="24"/>
        </w:rPr>
        <w:t>re-evaluation</w:t>
      </w:r>
      <w:r w:rsidR="00C85428" w:rsidRPr="00241F15">
        <w:rPr>
          <w:rFonts w:ascii="Times New Roman" w:hAnsi="Times New Roman" w:cs="Times New Roman"/>
          <w:color w:val="0D0D0D" w:themeColor="text1" w:themeTint="F2"/>
          <w:sz w:val="24"/>
          <w:szCs w:val="24"/>
        </w:rPr>
        <w:t xml:space="preserve"> of lifestyle choices among a wide swath of the </w:t>
      </w:r>
      <w:r w:rsidR="006A0077" w:rsidRPr="00241F15">
        <w:rPr>
          <w:rFonts w:ascii="Times New Roman" w:hAnsi="Times New Roman" w:cs="Times New Roman"/>
          <w:color w:val="0D0D0D" w:themeColor="text1" w:themeTint="F2"/>
          <w:sz w:val="24"/>
          <w:szCs w:val="24"/>
        </w:rPr>
        <w:t>population</w:t>
      </w:r>
      <w:r w:rsidR="006A0077" w:rsidRPr="00241F15">
        <w:rPr>
          <w:rFonts w:ascii="Times New Roman" w:hAnsi="Times New Roman" w:cs="Times New Roman"/>
          <w:sz w:val="24"/>
          <w:szCs w:val="24"/>
        </w:rPr>
        <w:t xml:space="preserve"> (</w:t>
      </w:r>
      <w:r w:rsidR="00222EED" w:rsidRPr="00241F15">
        <w:rPr>
          <w:rFonts w:ascii="Times New Roman" w:hAnsi="Times New Roman" w:cs="Times New Roman"/>
          <w:sz w:val="24"/>
          <w:szCs w:val="24"/>
        </w:rPr>
        <w:t>Sufi and Taylor, 2022)</w:t>
      </w:r>
      <w:r w:rsidR="00C85428" w:rsidRPr="00241F15">
        <w:rPr>
          <w:rFonts w:ascii="Times New Roman" w:hAnsi="Times New Roman" w:cs="Times New Roman"/>
          <w:color w:val="0D0D0D" w:themeColor="text1" w:themeTint="F2"/>
          <w:sz w:val="24"/>
          <w:szCs w:val="24"/>
        </w:rPr>
        <w:t xml:space="preserve">. </w:t>
      </w:r>
      <w:r w:rsidR="005B36D6" w:rsidRPr="005B36D6">
        <w:rPr>
          <w:rFonts w:ascii="Times New Roman" w:hAnsi="Times New Roman" w:cs="Times New Roman"/>
          <w:color w:val="0D0D0D" w:themeColor="text1" w:themeTint="F2"/>
          <w:sz w:val="24"/>
          <w:szCs w:val="24"/>
        </w:rPr>
        <w:t>As mindfulness, mental health, and physical wellness grow increasingly popular, events on these themes can attract health-conscious people (Harb et al., 2019). Corporations have noticed this health awareness trend. Companies, especially in health, fitness, and wellness, are increasingly supporting events that match their values and target consumers. Strategic sponsorship may increase the event's reputation and reach.</w:t>
      </w:r>
    </w:p>
    <w:p w14:paraId="585887CB" w14:textId="1A30E84E" w:rsidR="00314942" w:rsidRPr="00241F15" w:rsidRDefault="00C85428"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Threats</w:t>
      </w:r>
    </w:p>
    <w:p w14:paraId="7A992A36" w14:textId="07A088C7" w:rsidR="00314942" w:rsidRPr="00241F15"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 xml:space="preserve">Market fluctuations, consumer spending, and recession risk are economic concerns. Economic factors like firms cutting back and being </w:t>
      </w:r>
      <w:r w:rsidR="006A0077" w:rsidRPr="005B36D6">
        <w:rPr>
          <w:rFonts w:ascii="Times New Roman" w:hAnsi="Times New Roman" w:cs="Times New Roman"/>
          <w:color w:val="0D0D0D" w:themeColor="text1" w:themeTint="F2"/>
          <w:sz w:val="24"/>
          <w:szCs w:val="24"/>
        </w:rPr>
        <w:t>choosier</w:t>
      </w:r>
      <w:r w:rsidRPr="005B36D6">
        <w:rPr>
          <w:rFonts w:ascii="Times New Roman" w:hAnsi="Times New Roman" w:cs="Times New Roman"/>
          <w:color w:val="0D0D0D" w:themeColor="text1" w:themeTint="F2"/>
          <w:sz w:val="24"/>
          <w:szCs w:val="24"/>
        </w:rPr>
        <w:t xml:space="preserve"> about investments may impact sponsorship deals. Event attendance is also impacted by disposable income.</w:t>
      </w:r>
      <w:r>
        <w:rPr>
          <w:rFonts w:ascii="Times New Roman" w:hAnsi="Times New Roman" w:cs="Times New Roman"/>
          <w:color w:val="0D0D0D" w:themeColor="text1" w:themeTint="F2"/>
          <w:sz w:val="24"/>
          <w:szCs w:val="24"/>
        </w:rPr>
        <w:t xml:space="preserve"> </w:t>
      </w:r>
      <w:r w:rsidRPr="005B36D6">
        <w:rPr>
          <w:rFonts w:ascii="Times New Roman" w:hAnsi="Times New Roman" w:cs="Times New Roman"/>
          <w:color w:val="0D0D0D" w:themeColor="text1" w:themeTint="F2"/>
          <w:sz w:val="24"/>
          <w:szCs w:val="24"/>
        </w:rPr>
        <w:t>Logistics concerns event success. Supply chain delays effect venue preparations, material availability, and service provider reliability. Even local disruptions might cause delays or cancellations in today's linked world. Complex digital event coordination increases the danger of technological failures that harm participants and reputation.</w:t>
      </w:r>
      <w:r w:rsidR="00C85428" w:rsidRPr="00241F15">
        <w:rPr>
          <w:rFonts w:ascii="Times New Roman" w:hAnsi="Times New Roman" w:cs="Times New Roman"/>
          <w:color w:val="0D0D0D" w:themeColor="text1" w:themeTint="F2"/>
          <w:sz w:val="24"/>
          <w:szCs w:val="24"/>
        </w:rPr>
        <w:t xml:space="preserve"> </w:t>
      </w:r>
    </w:p>
    <w:p w14:paraId="7FA5A316"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77A6A9C5"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5E6768F6"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705A56FA"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0C6FD93E"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758D841B"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3A102AD7"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3FC3EE55" w14:textId="77777777" w:rsidR="006A0077" w:rsidRDefault="006A0077" w:rsidP="009B3F6B">
      <w:pPr>
        <w:spacing w:line="360" w:lineRule="auto"/>
        <w:jc w:val="both"/>
        <w:rPr>
          <w:rFonts w:ascii="Times New Roman" w:hAnsi="Times New Roman" w:cs="Times New Roman"/>
          <w:color w:val="0D0D0D" w:themeColor="text1" w:themeTint="F2"/>
          <w:sz w:val="24"/>
          <w:szCs w:val="24"/>
        </w:rPr>
      </w:pPr>
    </w:p>
    <w:p w14:paraId="60F5594B" w14:textId="680916FE" w:rsidR="00314942" w:rsidRDefault="00314942"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lastRenderedPageBreak/>
        <w:t>PESTLE Analysis</w:t>
      </w:r>
    </w:p>
    <w:p w14:paraId="4EF62367" w14:textId="67E1A44E" w:rsidR="0043144A" w:rsidRPr="00241F15" w:rsidRDefault="0043144A" w:rsidP="009B3F6B">
      <w:pPr>
        <w:spacing w:line="360" w:lineRule="auto"/>
        <w:jc w:val="both"/>
        <w:rPr>
          <w:rFonts w:ascii="Times New Roman" w:hAnsi="Times New Roman" w:cs="Times New Roman"/>
          <w:color w:val="0D0D0D" w:themeColor="text1" w:themeTint="F2"/>
          <w:sz w:val="24"/>
          <w:szCs w:val="24"/>
        </w:rPr>
      </w:pPr>
      <w:r>
        <w:rPr>
          <w:noProof/>
        </w:rPr>
        <w:drawing>
          <wp:anchor distT="0" distB="0" distL="114300" distR="114300" simplePos="0" relativeHeight="251661824" behindDoc="1" locked="0" layoutInCell="1" allowOverlap="1" wp14:anchorId="566931BB" wp14:editId="2A8F3558">
            <wp:simplePos x="0" y="0"/>
            <wp:positionH relativeFrom="column">
              <wp:posOffset>0</wp:posOffset>
            </wp:positionH>
            <wp:positionV relativeFrom="paragraph">
              <wp:posOffset>0</wp:posOffset>
            </wp:positionV>
            <wp:extent cx="5731510" cy="3223895"/>
            <wp:effectExtent l="0" t="0" r="2540" b="0"/>
            <wp:wrapTight wrapText="bothSides">
              <wp:wrapPolygon edited="0">
                <wp:start x="0" y="0"/>
                <wp:lineTo x="0" y="21443"/>
                <wp:lineTo x="21538" y="21443"/>
                <wp:lineTo x="21538" y="0"/>
                <wp:lineTo x="0" y="0"/>
              </wp:wrapPolygon>
            </wp:wrapTight>
            <wp:docPr id="35169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9655" name=""/>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anchor>
        </w:drawing>
      </w:r>
    </w:p>
    <w:p w14:paraId="1600901E" w14:textId="77777777" w:rsidR="005B36D6" w:rsidRPr="005B36D6"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The study stresses the political importance of negotiating local and national limits for event licences. It promotes compliance to avert legal difficulties, showing event management's legality focus.</w:t>
      </w:r>
    </w:p>
    <w:p w14:paraId="1FB98570" w14:textId="22C03DEC" w:rsidR="00C85428" w:rsidRPr="00241F15" w:rsidRDefault="005B36D6" w:rsidP="005B36D6">
      <w:pPr>
        <w:spacing w:line="360" w:lineRule="auto"/>
        <w:jc w:val="both"/>
        <w:rPr>
          <w:rFonts w:ascii="Times New Roman" w:hAnsi="Times New Roman" w:cs="Times New Roman"/>
          <w:color w:val="0D0D0D" w:themeColor="text1" w:themeTint="F2"/>
          <w:sz w:val="24"/>
          <w:szCs w:val="24"/>
        </w:rPr>
      </w:pPr>
      <w:r w:rsidRPr="005B36D6">
        <w:rPr>
          <w:rFonts w:ascii="Times New Roman" w:hAnsi="Times New Roman" w:cs="Times New Roman"/>
          <w:color w:val="0D0D0D" w:themeColor="text1" w:themeTint="F2"/>
          <w:sz w:val="24"/>
          <w:szCs w:val="24"/>
        </w:rPr>
        <w:t>Inflation and economic downturns may impair the event's financial viability, says the report. Sufi and Taylor (2022) say it reveals a flexible financial strategy that reacts to economic fluctuations, demonstrating a knowledge that budgeting and pricing may need to be altered.</w:t>
      </w:r>
    </w:p>
    <w:p w14:paraId="6C67B798" w14:textId="77777777" w:rsidR="002A2066" w:rsidRPr="002A2066" w:rsidRDefault="002A2066" w:rsidP="002A2066">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The method emphasises social factors since they promote health and well-being. Prioritising health may make the event more relevant and appealing, connecting it with public interest and increasing participant participation.</w:t>
      </w:r>
    </w:p>
    <w:p w14:paraId="72B6463B" w14:textId="6BF5BC59" w:rsidR="00C85428" w:rsidRPr="00241F15" w:rsidRDefault="002A2066" w:rsidP="009B3F6B">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The paper highlights technology in event promotion and administration</w:t>
      </w:r>
      <w:r>
        <w:rPr>
          <w:rFonts w:ascii="Times New Roman" w:hAnsi="Times New Roman" w:cs="Times New Roman"/>
          <w:color w:val="0D0D0D" w:themeColor="text1" w:themeTint="F2"/>
          <w:sz w:val="24"/>
          <w:szCs w:val="24"/>
        </w:rPr>
        <w:t xml:space="preserve"> as indicated by </w:t>
      </w:r>
      <w:r w:rsidRPr="002A2066">
        <w:rPr>
          <w:rFonts w:ascii="Times New Roman" w:hAnsi="Times New Roman" w:cs="Times New Roman"/>
          <w:color w:val="0D0D0D" w:themeColor="text1" w:themeTint="F2"/>
          <w:sz w:val="24"/>
          <w:szCs w:val="24"/>
        </w:rPr>
        <w:t>Harb et al. (2019). It suggests using digital marketing, social media, and event management software to increase reach and engagement, a smart technology usage strategy.</w:t>
      </w:r>
    </w:p>
    <w:p w14:paraId="207F2813" w14:textId="77777777" w:rsidR="002A2066" w:rsidRPr="002A2066" w:rsidRDefault="002A2066" w:rsidP="002A2066">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 xml:space="preserve">According to the survey, guests must obey health and safety requirements to be legally protected. To guarantee event safety and compliance, </w:t>
      </w:r>
      <w:proofErr w:type="spellStart"/>
      <w:r w:rsidRPr="002A2066">
        <w:rPr>
          <w:rFonts w:ascii="Times New Roman" w:hAnsi="Times New Roman" w:cs="Times New Roman"/>
          <w:color w:val="0D0D0D" w:themeColor="text1" w:themeTint="F2"/>
          <w:sz w:val="24"/>
          <w:szCs w:val="24"/>
        </w:rPr>
        <w:t>Ralille</w:t>
      </w:r>
      <w:proofErr w:type="spellEnd"/>
      <w:r w:rsidRPr="002A2066">
        <w:rPr>
          <w:rFonts w:ascii="Times New Roman" w:hAnsi="Times New Roman" w:cs="Times New Roman"/>
          <w:color w:val="0D0D0D" w:themeColor="text1" w:themeTint="F2"/>
          <w:sz w:val="24"/>
          <w:szCs w:val="24"/>
        </w:rPr>
        <w:t xml:space="preserve"> (2019) recommends emergency preparedness and first-aid readiness.</w:t>
      </w:r>
    </w:p>
    <w:p w14:paraId="4931307A" w14:textId="77777777" w:rsidR="002A2066" w:rsidRPr="002A2066" w:rsidRDefault="002A2066" w:rsidP="002A2066">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lastRenderedPageBreak/>
        <w:t>The analysis highlights waste reduction and eco-friendly actions for sustainability. Modern, ethical event design prioritises environmental sustainability.</w:t>
      </w:r>
    </w:p>
    <w:p w14:paraId="3223DB49" w14:textId="2BED4709" w:rsidR="00314942" w:rsidRPr="00241F15" w:rsidRDefault="002A2066" w:rsidP="002A2066">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Realistic and responsible event planning combines ambition with sensitivity to external factors that may hinder achievement, according to studies. Event management's potential and restrictions must be considered strategically.</w:t>
      </w:r>
    </w:p>
    <w:p w14:paraId="3540A0FE" w14:textId="77777777" w:rsidR="009B3F6B" w:rsidRPr="00241F15" w:rsidRDefault="009B3F6B"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Marketing Strategy</w:t>
      </w:r>
    </w:p>
    <w:p w14:paraId="65F6B5BE" w14:textId="30D6C9F9" w:rsidR="009B3F6B" w:rsidRPr="00241F15" w:rsidRDefault="002A2066" w:rsidP="009B3F6B">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Event marketing raises awareness and participation offline and online. Reaching health-conscious people requires social media (Quesenberry, 2016). Content marketing will tell the event's story and highlight its unique experiences through blogs, podcasts, and videos. Visitors will receive updates, early bird discounts, and unique information via email marketing. Local wellness relationships are essential offline. These agreements will use these businesses' customers and foot traffic to boost cross-promotion. To reach non-online folks, employ radio and local media. The event will be promoted as a holistic health must-attend and embrace current well-being trends. The two-pronged strategy attempts to build buzz across the digital divide and attract a large audience.</w:t>
      </w:r>
    </w:p>
    <w:p w14:paraId="5916726E" w14:textId="77777777" w:rsidR="009B3F6B" w:rsidRPr="00241F15" w:rsidRDefault="009B3F6B"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Risk Assessment</w:t>
      </w:r>
    </w:p>
    <w:p w14:paraId="21D0CA54" w14:textId="5A8055D4" w:rsidR="009B3F6B" w:rsidRPr="00241F15" w:rsidRDefault="002A2066" w:rsidP="009B3F6B">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 xml:space="preserve">Event success threats are identified using risk assessment. Poor advertising, scheduling, or competing events lower attendance. Unexpected expenditures or </w:t>
      </w:r>
      <w:r w:rsidR="001A548F" w:rsidRPr="002A2066">
        <w:rPr>
          <w:rFonts w:ascii="Times New Roman" w:hAnsi="Times New Roman" w:cs="Times New Roman"/>
          <w:color w:val="0D0D0D" w:themeColor="text1" w:themeTint="F2"/>
          <w:sz w:val="24"/>
          <w:szCs w:val="24"/>
        </w:rPr>
        <w:t>under allocation</w:t>
      </w:r>
      <w:r w:rsidRPr="002A2066">
        <w:rPr>
          <w:rFonts w:ascii="Times New Roman" w:hAnsi="Times New Roman" w:cs="Times New Roman"/>
          <w:color w:val="0D0D0D" w:themeColor="text1" w:themeTint="F2"/>
          <w:sz w:val="24"/>
          <w:szCs w:val="24"/>
        </w:rPr>
        <w:t xml:space="preserve"> can cause budget overruns. Tech or supply chain concerns might disrupt the event. Several marketing platforms will enhance awareness to reduce risks and increase participation. Regular budget reviews adjust financial management allocations and expenditures. The comprehensive emergency response strategy covers logistics and backups. Continuous monitoring and fast barrier reaction improve event durability and flexibility with proactive risk management.</w:t>
      </w:r>
    </w:p>
    <w:p w14:paraId="562C1A42" w14:textId="77777777" w:rsidR="001A548F" w:rsidRDefault="001A548F" w:rsidP="009B3F6B">
      <w:pPr>
        <w:spacing w:line="360" w:lineRule="auto"/>
        <w:jc w:val="both"/>
        <w:rPr>
          <w:rFonts w:ascii="Times New Roman" w:hAnsi="Times New Roman" w:cs="Times New Roman"/>
          <w:color w:val="0D0D0D" w:themeColor="text1" w:themeTint="F2"/>
          <w:sz w:val="24"/>
          <w:szCs w:val="24"/>
        </w:rPr>
      </w:pPr>
    </w:p>
    <w:p w14:paraId="216D85B7" w14:textId="08699955" w:rsidR="009B3F6B" w:rsidRPr="00241F15" w:rsidRDefault="009B3F6B" w:rsidP="009B3F6B">
      <w:pPr>
        <w:spacing w:line="360" w:lineRule="auto"/>
        <w:jc w:val="both"/>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t>Stakeholder Engagement</w:t>
      </w:r>
    </w:p>
    <w:p w14:paraId="03A8AB5E" w14:textId="6F4A4D32" w:rsidR="00222EED" w:rsidRPr="00241F15" w:rsidRDefault="002A2066" w:rsidP="009B3F6B">
      <w:pPr>
        <w:spacing w:line="360" w:lineRule="auto"/>
        <w:jc w:val="both"/>
        <w:rPr>
          <w:rFonts w:ascii="Times New Roman" w:hAnsi="Times New Roman" w:cs="Times New Roman"/>
          <w:color w:val="0D0D0D" w:themeColor="text1" w:themeTint="F2"/>
          <w:sz w:val="24"/>
          <w:szCs w:val="24"/>
        </w:rPr>
      </w:pPr>
      <w:r w:rsidRPr="002A2066">
        <w:rPr>
          <w:rFonts w:ascii="Times New Roman" w:hAnsi="Times New Roman" w:cs="Times New Roman"/>
          <w:color w:val="0D0D0D" w:themeColor="text1" w:themeTint="F2"/>
          <w:sz w:val="24"/>
          <w:szCs w:val="24"/>
        </w:rPr>
        <w:t xml:space="preserve">Event success requires stakeholder participation and communication. Sponsors, suppliers, and local businesses will be contacted early in the planning process to ensure their goals suit the event. These stakeholders will feel valued and involved in event progress with frequent meetings and updates. Outreach and open forums will ensure event planning meets local needs (Richmond, </w:t>
      </w:r>
      <w:proofErr w:type="spellStart"/>
      <w:r w:rsidRPr="002A2066">
        <w:rPr>
          <w:rFonts w:ascii="Times New Roman" w:hAnsi="Times New Roman" w:cs="Times New Roman"/>
          <w:color w:val="0D0D0D" w:themeColor="text1" w:themeTint="F2"/>
          <w:sz w:val="24"/>
          <w:szCs w:val="24"/>
        </w:rPr>
        <w:t>Tochkin</w:t>
      </w:r>
      <w:proofErr w:type="spellEnd"/>
      <w:r w:rsidRPr="002A2066">
        <w:rPr>
          <w:rFonts w:ascii="Times New Roman" w:hAnsi="Times New Roman" w:cs="Times New Roman"/>
          <w:color w:val="0D0D0D" w:themeColor="text1" w:themeTint="F2"/>
          <w:sz w:val="24"/>
          <w:szCs w:val="24"/>
        </w:rPr>
        <w:t xml:space="preserve"> and Hertelendy, 2021). Health specialists and well-being influencers may </w:t>
      </w:r>
      <w:r w:rsidRPr="002A2066">
        <w:rPr>
          <w:rFonts w:ascii="Times New Roman" w:hAnsi="Times New Roman" w:cs="Times New Roman"/>
          <w:color w:val="0D0D0D" w:themeColor="text1" w:themeTint="F2"/>
          <w:sz w:val="24"/>
          <w:szCs w:val="24"/>
        </w:rPr>
        <w:lastRenderedPageBreak/>
        <w:t>promote the event through their networks; stakeholders must contact them. Honest and inclusive event planners can build strong stakeholder relationships and ensure everyone is dedicated to event success. We want to build a strong event and project support network together.</w:t>
      </w:r>
    </w:p>
    <w:p w14:paraId="71C46024" w14:textId="77777777" w:rsidR="00222EED" w:rsidRPr="00241F15" w:rsidRDefault="00222EED">
      <w:pPr>
        <w:rPr>
          <w:rFonts w:ascii="Times New Roman" w:hAnsi="Times New Roman" w:cs="Times New Roman"/>
          <w:color w:val="0D0D0D" w:themeColor="text1" w:themeTint="F2"/>
          <w:sz w:val="24"/>
          <w:szCs w:val="24"/>
        </w:rPr>
      </w:pPr>
      <w:r w:rsidRPr="00241F15">
        <w:rPr>
          <w:rFonts w:ascii="Times New Roman" w:hAnsi="Times New Roman" w:cs="Times New Roman"/>
          <w:color w:val="0D0D0D" w:themeColor="text1" w:themeTint="F2"/>
          <w:sz w:val="24"/>
          <w:szCs w:val="24"/>
        </w:rPr>
        <w:br w:type="page"/>
      </w:r>
    </w:p>
    <w:p w14:paraId="5E2AB514" w14:textId="20A8F294" w:rsidR="00222EED" w:rsidRPr="00222EED" w:rsidRDefault="00222EED" w:rsidP="00222EED">
      <w:pPr>
        <w:spacing w:after="240" w:line="360" w:lineRule="auto"/>
        <w:outlineLvl w:val="0"/>
        <w:rPr>
          <w:rFonts w:ascii="Times New Roman" w:eastAsia="Times New Roman" w:hAnsi="Times New Roman" w:cs="Times New Roman"/>
          <w:b/>
          <w:bCs/>
          <w:kern w:val="36"/>
          <w:sz w:val="24"/>
          <w:szCs w:val="24"/>
          <w:lang w:eastAsia="en-IN"/>
          <w14:ligatures w14:val="none"/>
        </w:rPr>
      </w:pPr>
      <w:r w:rsidRPr="00222EED">
        <w:rPr>
          <w:rFonts w:ascii="Times New Roman" w:eastAsia="Times New Roman" w:hAnsi="Times New Roman" w:cs="Times New Roman"/>
          <w:b/>
          <w:bCs/>
          <w:kern w:val="36"/>
          <w:sz w:val="24"/>
          <w:szCs w:val="24"/>
          <w:lang w:eastAsia="en-IN"/>
          <w14:ligatures w14:val="none"/>
        </w:rPr>
        <w:lastRenderedPageBreak/>
        <w:t>Reference</w:t>
      </w:r>
      <w:r w:rsidRPr="00241F15">
        <w:rPr>
          <w:rFonts w:ascii="Times New Roman" w:eastAsia="Times New Roman" w:hAnsi="Times New Roman" w:cs="Times New Roman"/>
          <w:b/>
          <w:bCs/>
          <w:kern w:val="36"/>
          <w:sz w:val="24"/>
          <w:szCs w:val="24"/>
          <w:lang w:eastAsia="en-IN"/>
          <w14:ligatures w14:val="none"/>
        </w:rPr>
        <w:t>s</w:t>
      </w:r>
    </w:p>
    <w:p w14:paraId="1A558758"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10times (2023). </w:t>
      </w:r>
      <w:r w:rsidRPr="00BA17FA">
        <w:rPr>
          <w:rFonts w:ascii="Times New Roman" w:eastAsia="Times New Roman" w:hAnsi="Times New Roman" w:cs="Times New Roman"/>
          <w:i/>
          <w:iCs/>
          <w:kern w:val="0"/>
          <w:sz w:val="24"/>
          <w:szCs w:val="24"/>
          <w:lang w:eastAsia="en-IN"/>
          <w14:ligatures w14:val="none"/>
        </w:rPr>
        <w:t>Wellness, Health, &amp; Fitness Industry Event Report 2023 - Pre Vs Post Covid Period Trends</w:t>
      </w:r>
      <w:r w:rsidRPr="00BA17FA">
        <w:rPr>
          <w:rFonts w:ascii="Times New Roman" w:eastAsia="Times New Roman" w:hAnsi="Times New Roman" w:cs="Times New Roman"/>
          <w:kern w:val="0"/>
          <w:sz w:val="24"/>
          <w:szCs w:val="24"/>
          <w:lang w:eastAsia="en-IN"/>
          <w14:ligatures w14:val="none"/>
        </w:rPr>
        <w:t>. [online] Accelerate the Growth of virtual &amp; hybrid events. Available at: https://blog.10times.com/wellness-health-fitness-industry-event-report-2023-pre-vs-post-covid-period-trends/ [Accessed 15 Nov. 2023].</w:t>
      </w:r>
    </w:p>
    <w:p w14:paraId="5E360C0A"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Belcher, B.R., Zink, J., Azad, A., Campbell, C.E., </w:t>
      </w:r>
      <w:proofErr w:type="spellStart"/>
      <w:r w:rsidRPr="00BA17FA">
        <w:rPr>
          <w:rFonts w:ascii="Times New Roman" w:eastAsia="Times New Roman" w:hAnsi="Times New Roman" w:cs="Times New Roman"/>
          <w:kern w:val="0"/>
          <w:sz w:val="24"/>
          <w:szCs w:val="24"/>
          <w:lang w:eastAsia="en-IN"/>
          <w14:ligatures w14:val="none"/>
        </w:rPr>
        <w:t>Chakravartti</w:t>
      </w:r>
      <w:proofErr w:type="spellEnd"/>
      <w:r w:rsidRPr="00BA17FA">
        <w:rPr>
          <w:rFonts w:ascii="Times New Roman" w:eastAsia="Times New Roman" w:hAnsi="Times New Roman" w:cs="Times New Roman"/>
          <w:kern w:val="0"/>
          <w:sz w:val="24"/>
          <w:szCs w:val="24"/>
          <w:lang w:eastAsia="en-IN"/>
          <w14:ligatures w14:val="none"/>
        </w:rPr>
        <w:t xml:space="preserve">, S.P. and Herting, M.M. (2020). The Roles of Physical Activity, Exercise, and Fitness in Promoting Resilience During Adolescence: Effects on Mental Well-Being and Brain Development. </w:t>
      </w:r>
      <w:r w:rsidRPr="00BA17FA">
        <w:rPr>
          <w:rFonts w:ascii="Times New Roman" w:eastAsia="Times New Roman" w:hAnsi="Times New Roman" w:cs="Times New Roman"/>
          <w:i/>
          <w:iCs/>
          <w:kern w:val="0"/>
          <w:sz w:val="24"/>
          <w:szCs w:val="24"/>
          <w:lang w:eastAsia="en-IN"/>
          <w14:ligatures w14:val="none"/>
        </w:rPr>
        <w:t>Biological Psychiatry: Cognitive Neuroscience and Neuroimaging</w:t>
      </w:r>
      <w:r w:rsidRPr="00BA17FA">
        <w:rPr>
          <w:rFonts w:ascii="Times New Roman" w:eastAsia="Times New Roman" w:hAnsi="Times New Roman" w:cs="Times New Roman"/>
          <w:kern w:val="0"/>
          <w:sz w:val="24"/>
          <w:szCs w:val="24"/>
          <w:lang w:eastAsia="en-IN"/>
          <w14:ligatures w14:val="none"/>
        </w:rPr>
        <w:t xml:space="preserve">, 6(2), pp.225–237.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://doi.org/10.1016/j.bpsc.2020.08.005</w:t>
      </w:r>
      <w:proofErr w:type="gramEnd"/>
      <w:r w:rsidRPr="00BA17FA">
        <w:rPr>
          <w:rFonts w:ascii="Times New Roman" w:eastAsia="Times New Roman" w:hAnsi="Times New Roman" w:cs="Times New Roman"/>
          <w:kern w:val="0"/>
          <w:sz w:val="24"/>
          <w:szCs w:val="24"/>
          <w:lang w:eastAsia="en-IN"/>
          <w14:ligatures w14:val="none"/>
        </w:rPr>
        <w:t>.</w:t>
      </w:r>
    </w:p>
    <w:p w14:paraId="5A78CA00"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Brian Luke Seaward (2020). </w:t>
      </w:r>
      <w:r w:rsidRPr="00BA17FA">
        <w:rPr>
          <w:rFonts w:ascii="Times New Roman" w:eastAsia="Times New Roman" w:hAnsi="Times New Roman" w:cs="Times New Roman"/>
          <w:i/>
          <w:iCs/>
          <w:kern w:val="0"/>
          <w:sz w:val="24"/>
          <w:szCs w:val="24"/>
          <w:lang w:eastAsia="en-IN"/>
          <w14:ligatures w14:val="none"/>
        </w:rPr>
        <w:t>Managing Stress: Skills for Self-Care, Personal Resiliency and Work-Life Balance in a Rapidly Changing World</w:t>
      </w:r>
      <w:r w:rsidRPr="00BA17FA">
        <w:rPr>
          <w:rFonts w:ascii="Times New Roman" w:eastAsia="Times New Roman" w:hAnsi="Times New Roman" w:cs="Times New Roman"/>
          <w:kern w:val="0"/>
          <w:sz w:val="24"/>
          <w:szCs w:val="24"/>
          <w:lang w:eastAsia="en-IN"/>
          <w14:ligatures w14:val="none"/>
        </w:rPr>
        <w:t>. Jones &amp; Bartlett Learning.</w:t>
      </w:r>
    </w:p>
    <w:p w14:paraId="66EA5131"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proofErr w:type="spellStart"/>
      <w:r w:rsidRPr="00BA17FA">
        <w:rPr>
          <w:rFonts w:ascii="Times New Roman" w:eastAsia="Times New Roman" w:hAnsi="Times New Roman" w:cs="Times New Roman"/>
          <w:kern w:val="0"/>
          <w:sz w:val="24"/>
          <w:szCs w:val="24"/>
          <w:lang w:eastAsia="en-IN"/>
          <w14:ligatures w14:val="none"/>
        </w:rPr>
        <w:t>Dall’Alba</w:t>
      </w:r>
      <w:proofErr w:type="spellEnd"/>
      <w:r w:rsidRPr="00BA17FA">
        <w:rPr>
          <w:rFonts w:ascii="Times New Roman" w:eastAsia="Times New Roman" w:hAnsi="Times New Roman" w:cs="Times New Roman"/>
          <w:kern w:val="0"/>
          <w:sz w:val="24"/>
          <w:szCs w:val="24"/>
          <w:lang w:eastAsia="en-IN"/>
          <w14:ligatures w14:val="none"/>
        </w:rPr>
        <w:t xml:space="preserve">, G. and Bengtsen, S. (2019). Re-imagining active learning: Delving into darkness. </w:t>
      </w:r>
      <w:r w:rsidRPr="00BA17FA">
        <w:rPr>
          <w:rFonts w:ascii="Times New Roman" w:eastAsia="Times New Roman" w:hAnsi="Times New Roman" w:cs="Times New Roman"/>
          <w:i/>
          <w:iCs/>
          <w:kern w:val="0"/>
          <w:sz w:val="24"/>
          <w:szCs w:val="24"/>
          <w:lang w:eastAsia="en-IN"/>
          <w14:ligatures w14:val="none"/>
        </w:rPr>
        <w:t>Educational Philosophy and Theory</w:t>
      </w:r>
      <w:r w:rsidRPr="00BA17FA">
        <w:rPr>
          <w:rFonts w:ascii="Times New Roman" w:eastAsia="Times New Roman" w:hAnsi="Times New Roman" w:cs="Times New Roman"/>
          <w:kern w:val="0"/>
          <w:sz w:val="24"/>
          <w:szCs w:val="24"/>
          <w:lang w:eastAsia="en-IN"/>
          <w14:ligatures w14:val="none"/>
        </w:rPr>
        <w:t xml:space="preserve">, 51(14), pp.1477–1489.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://doi.org/10.1080/00131857.2018.1561367</w:t>
      </w:r>
      <w:proofErr w:type="gramEnd"/>
      <w:r w:rsidRPr="00BA17FA">
        <w:rPr>
          <w:rFonts w:ascii="Times New Roman" w:eastAsia="Times New Roman" w:hAnsi="Times New Roman" w:cs="Times New Roman"/>
          <w:kern w:val="0"/>
          <w:sz w:val="24"/>
          <w:szCs w:val="24"/>
          <w:lang w:eastAsia="en-IN"/>
          <w14:ligatures w14:val="none"/>
        </w:rPr>
        <w:t>.</w:t>
      </w:r>
    </w:p>
    <w:p w14:paraId="4639B3EB"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Dwyer, L. (2022). Destination competitiveness and resident well-being. </w:t>
      </w:r>
      <w:r w:rsidRPr="00BA17FA">
        <w:rPr>
          <w:rFonts w:ascii="Times New Roman" w:eastAsia="Times New Roman" w:hAnsi="Times New Roman" w:cs="Times New Roman"/>
          <w:i/>
          <w:iCs/>
          <w:kern w:val="0"/>
          <w:sz w:val="24"/>
          <w:szCs w:val="24"/>
          <w:lang w:eastAsia="en-IN"/>
          <w14:ligatures w14:val="none"/>
        </w:rPr>
        <w:t>Tourism Management Perspectives</w:t>
      </w:r>
      <w:r w:rsidRPr="00BA17FA">
        <w:rPr>
          <w:rFonts w:ascii="Times New Roman" w:eastAsia="Times New Roman" w:hAnsi="Times New Roman" w:cs="Times New Roman"/>
          <w:kern w:val="0"/>
          <w:sz w:val="24"/>
          <w:szCs w:val="24"/>
          <w:lang w:eastAsia="en-IN"/>
          <w14:ligatures w14:val="none"/>
        </w:rPr>
        <w:t xml:space="preserve">, 43, p.100996.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://doi.org/10.1016/j.tmp.2022.100996</w:t>
      </w:r>
      <w:proofErr w:type="gramEnd"/>
      <w:r w:rsidRPr="00BA17FA">
        <w:rPr>
          <w:rFonts w:ascii="Times New Roman" w:eastAsia="Times New Roman" w:hAnsi="Times New Roman" w:cs="Times New Roman"/>
          <w:kern w:val="0"/>
          <w:sz w:val="24"/>
          <w:szCs w:val="24"/>
          <w:lang w:eastAsia="en-IN"/>
          <w14:ligatures w14:val="none"/>
        </w:rPr>
        <w:t>.</w:t>
      </w:r>
    </w:p>
    <w:p w14:paraId="2EB82686"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Fancourt, D. and Finn, S. (2019). </w:t>
      </w:r>
      <w:r w:rsidRPr="00BA17FA">
        <w:rPr>
          <w:rFonts w:ascii="Times New Roman" w:eastAsia="Times New Roman" w:hAnsi="Times New Roman" w:cs="Times New Roman"/>
          <w:i/>
          <w:iCs/>
          <w:kern w:val="0"/>
          <w:sz w:val="24"/>
          <w:szCs w:val="24"/>
          <w:lang w:eastAsia="en-IN"/>
          <w14:ligatures w14:val="none"/>
        </w:rPr>
        <w:t xml:space="preserve">What is the evidence on the role of the arts in improving health and well-being? A scoping </w:t>
      </w:r>
      <w:proofErr w:type="gramStart"/>
      <w:r w:rsidRPr="00BA17FA">
        <w:rPr>
          <w:rFonts w:ascii="Times New Roman" w:eastAsia="Times New Roman" w:hAnsi="Times New Roman" w:cs="Times New Roman"/>
          <w:i/>
          <w:iCs/>
          <w:kern w:val="0"/>
          <w:sz w:val="24"/>
          <w:szCs w:val="24"/>
          <w:lang w:eastAsia="en-IN"/>
          <w14:ligatures w14:val="none"/>
        </w:rPr>
        <w:t>review</w:t>
      </w:r>
      <w:proofErr w:type="gramEnd"/>
      <w:r w:rsidRPr="00BA17FA">
        <w:rPr>
          <w:rFonts w:ascii="Times New Roman" w:eastAsia="Times New Roman" w:hAnsi="Times New Roman" w:cs="Times New Roman"/>
          <w:kern w:val="0"/>
          <w:sz w:val="24"/>
          <w:szCs w:val="24"/>
          <w:lang w:eastAsia="en-IN"/>
          <w14:ligatures w14:val="none"/>
        </w:rPr>
        <w:t xml:space="preserve">. [online] </w:t>
      </w:r>
      <w:r w:rsidRPr="00BA17FA">
        <w:rPr>
          <w:rFonts w:ascii="Times New Roman" w:eastAsia="Times New Roman" w:hAnsi="Times New Roman" w:cs="Times New Roman"/>
          <w:i/>
          <w:iCs/>
          <w:kern w:val="0"/>
          <w:sz w:val="24"/>
          <w:szCs w:val="24"/>
          <w:lang w:eastAsia="en-IN"/>
          <w14:ligatures w14:val="none"/>
        </w:rPr>
        <w:t>iris.who.int</w:t>
      </w:r>
      <w:r w:rsidRPr="00BA17FA">
        <w:rPr>
          <w:rFonts w:ascii="Times New Roman" w:eastAsia="Times New Roman" w:hAnsi="Times New Roman" w:cs="Times New Roman"/>
          <w:kern w:val="0"/>
          <w:sz w:val="24"/>
          <w:szCs w:val="24"/>
          <w:lang w:eastAsia="en-IN"/>
          <w14:ligatures w14:val="none"/>
        </w:rPr>
        <w:t>. World Health Organization. Regional Office for Europe. Available at: https://iris.who.int/handle/10665/329834.</w:t>
      </w:r>
    </w:p>
    <w:p w14:paraId="69AAA896"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Han, J.H. and </w:t>
      </w:r>
      <w:proofErr w:type="spellStart"/>
      <w:r w:rsidRPr="00BA17FA">
        <w:rPr>
          <w:rFonts w:ascii="Times New Roman" w:eastAsia="Times New Roman" w:hAnsi="Times New Roman" w:cs="Times New Roman"/>
          <w:kern w:val="0"/>
          <w:sz w:val="24"/>
          <w:szCs w:val="24"/>
          <w:lang w:eastAsia="en-IN"/>
          <w14:ligatures w14:val="none"/>
        </w:rPr>
        <w:t>Roh</w:t>
      </w:r>
      <w:proofErr w:type="spellEnd"/>
      <w:r w:rsidRPr="00BA17FA">
        <w:rPr>
          <w:rFonts w:ascii="Times New Roman" w:eastAsia="Times New Roman" w:hAnsi="Times New Roman" w:cs="Times New Roman"/>
          <w:kern w:val="0"/>
          <w:sz w:val="24"/>
          <w:szCs w:val="24"/>
          <w:lang w:eastAsia="en-IN"/>
          <w14:ligatures w14:val="none"/>
        </w:rPr>
        <w:t xml:space="preserve">, Y.S. (2020). Teamwork, psychological safety, and patient safety competency among emergency nurses. </w:t>
      </w:r>
      <w:r w:rsidRPr="00BA17FA">
        <w:rPr>
          <w:rFonts w:ascii="Times New Roman" w:eastAsia="Times New Roman" w:hAnsi="Times New Roman" w:cs="Times New Roman"/>
          <w:i/>
          <w:iCs/>
          <w:kern w:val="0"/>
          <w:sz w:val="24"/>
          <w:szCs w:val="24"/>
          <w:lang w:eastAsia="en-IN"/>
          <w14:ligatures w14:val="none"/>
        </w:rPr>
        <w:t>International Emergency Nursing</w:t>
      </w:r>
      <w:r w:rsidRPr="00BA17FA">
        <w:rPr>
          <w:rFonts w:ascii="Times New Roman" w:eastAsia="Times New Roman" w:hAnsi="Times New Roman" w:cs="Times New Roman"/>
          <w:kern w:val="0"/>
          <w:sz w:val="24"/>
          <w:szCs w:val="24"/>
          <w:lang w:eastAsia="en-IN"/>
          <w14:ligatures w14:val="none"/>
        </w:rPr>
        <w:t xml:space="preserve">, 51, p.100892.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://doi.org/10.1016/j.ienj.2020.100892</w:t>
      </w:r>
      <w:proofErr w:type="gramEnd"/>
      <w:r w:rsidRPr="00BA17FA">
        <w:rPr>
          <w:rFonts w:ascii="Times New Roman" w:eastAsia="Times New Roman" w:hAnsi="Times New Roman" w:cs="Times New Roman"/>
          <w:kern w:val="0"/>
          <w:sz w:val="24"/>
          <w:szCs w:val="24"/>
          <w:lang w:eastAsia="en-IN"/>
          <w14:ligatures w14:val="none"/>
        </w:rPr>
        <w:t>.</w:t>
      </w:r>
    </w:p>
    <w:p w14:paraId="53126E63"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Harb, A.A., Fowler, D., Chang, H.J. (Julie), Blum, S.C. and </w:t>
      </w:r>
      <w:proofErr w:type="spellStart"/>
      <w:r w:rsidRPr="00BA17FA">
        <w:rPr>
          <w:rFonts w:ascii="Times New Roman" w:eastAsia="Times New Roman" w:hAnsi="Times New Roman" w:cs="Times New Roman"/>
          <w:kern w:val="0"/>
          <w:sz w:val="24"/>
          <w:szCs w:val="24"/>
          <w:lang w:eastAsia="en-IN"/>
          <w14:ligatures w14:val="none"/>
        </w:rPr>
        <w:t>Alakaleek</w:t>
      </w:r>
      <w:proofErr w:type="spellEnd"/>
      <w:r w:rsidRPr="00BA17FA">
        <w:rPr>
          <w:rFonts w:ascii="Times New Roman" w:eastAsia="Times New Roman" w:hAnsi="Times New Roman" w:cs="Times New Roman"/>
          <w:kern w:val="0"/>
          <w:sz w:val="24"/>
          <w:szCs w:val="24"/>
          <w:lang w:eastAsia="en-IN"/>
          <w14:ligatures w14:val="none"/>
        </w:rPr>
        <w:t xml:space="preserve">, W. (2019). Social media as a marketing tool for events. </w:t>
      </w:r>
      <w:r w:rsidRPr="00BA17FA">
        <w:rPr>
          <w:rFonts w:ascii="Times New Roman" w:eastAsia="Times New Roman" w:hAnsi="Times New Roman" w:cs="Times New Roman"/>
          <w:i/>
          <w:iCs/>
          <w:kern w:val="0"/>
          <w:sz w:val="24"/>
          <w:szCs w:val="24"/>
          <w:lang w:eastAsia="en-IN"/>
          <w14:ligatures w14:val="none"/>
        </w:rPr>
        <w:t>Journal of Hospitality and Tourism Technology</w:t>
      </w:r>
      <w:r w:rsidRPr="00BA17FA">
        <w:rPr>
          <w:rFonts w:ascii="Times New Roman" w:eastAsia="Times New Roman" w:hAnsi="Times New Roman" w:cs="Times New Roman"/>
          <w:kern w:val="0"/>
          <w:sz w:val="24"/>
          <w:szCs w:val="24"/>
          <w:lang w:eastAsia="en-IN"/>
          <w14:ligatures w14:val="none"/>
        </w:rPr>
        <w:t xml:space="preserve">, 10(1), pp.28–44.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://doi.org/10.1108/jhtt-03-2017-0027</w:t>
      </w:r>
      <w:proofErr w:type="gramEnd"/>
      <w:r w:rsidRPr="00BA17FA">
        <w:rPr>
          <w:rFonts w:ascii="Times New Roman" w:eastAsia="Times New Roman" w:hAnsi="Times New Roman" w:cs="Times New Roman"/>
          <w:kern w:val="0"/>
          <w:sz w:val="24"/>
          <w:szCs w:val="24"/>
          <w:lang w:eastAsia="en-IN"/>
          <w14:ligatures w14:val="none"/>
        </w:rPr>
        <w:t>.</w:t>
      </w:r>
    </w:p>
    <w:p w14:paraId="0521BB63"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lastRenderedPageBreak/>
        <w:t xml:space="preserve">Herje, M.V.A. and Fuglestad, S. (2023). </w:t>
      </w:r>
      <w:r w:rsidRPr="00BA17FA">
        <w:rPr>
          <w:rFonts w:ascii="Times New Roman" w:eastAsia="Times New Roman" w:hAnsi="Times New Roman" w:cs="Times New Roman"/>
          <w:i/>
          <w:iCs/>
          <w:kern w:val="0"/>
          <w:sz w:val="24"/>
          <w:szCs w:val="24"/>
          <w:lang w:eastAsia="en-IN"/>
          <w14:ligatures w14:val="none"/>
        </w:rPr>
        <w:t>The influence of work life balance on employee well-being: The mediating roles of job satisfaction and burnout/stress</w:t>
      </w:r>
      <w:r w:rsidRPr="00BA17FA">
        <w:rPr>
          <w:rFonts w:ascii="Times New Roman" w:eastAsia="Times New Roman" w:hAnsi="Times New Roman" w:cs="Times New Roman"/>
          <w:kern w:val="0"/>
          <w:sz w:val="24"/>
          <w:szCs w:val="24"/>
          <w:lang w:eastAsia="en-IN"/>
          <w14:ligatures w14:val="none"/>
        </w:rPr>
        <w:t>. [online] uis.brage.unit.no. Available at: https://uis.brage.unit.no/uis-xmlui/handle/11250/3086442.</w:t>
      </w:r>
    </w:p>
    <w:p w14:paraId="7A1E7C42"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Jiang, L., Wider, W., </w:t>
      </w:r>
      <w:proofErr w:type="spellStart"/>
      <w:r w:rsidRPr="00BA17FA">
        <w:rPr>
          <w:rFonts w:ascii="Times New Roman" w:eastAsia="Times New Roman" w:hAnsi="Times New Roman" w:cs="Times New Roman"/>
          <w:kern w:val="0"/>
          <w:sz w:val="24"/>
          <w:szCs w:val="24"/>
          <w:lang w:eastAsia="en-IN"/>
          <w14:ligatures w14:val="none"/>
        </w:rPr>
        <w:t>Tanucan</w:t>
      </w:r>
      <w:proofErr w:type="spellEnd"/>
      <w:r w:rsidRPr="00BA17FA">
        <w:rPr>
          <w:rFonts w:ascii="Times New Roman" w:eastAsia="Times New Roman" w:hAnsi="Times New Roman" w:cs="Times New Roman"/>
          <w:kern w:val="0"/>
          <w:sz w:val="24"/>
          <w:szCs w:val="24"/>
          <w:lang w:eastAsia="en-IN"/>
          <w14:ligatures w14:val="none"/>
        </w:rPr>
        <w:t xml:space="preserve">, J.C.M. and Bien, J.K.C. (2023). Reforming China’s healthcare management in the wake of COVID-19: A psychological well-being perspective. </w:t>
      </w:r>
      <w:r w:rsidRPr="00BA17FA">
        <w:rPr>
          <w:rFonts w:ascii="Times New Roman" w:eastAsia="Times New Roman" w:hAnsi="Times New Roman" w:cs="Times New Roman"/>
          <w:i/>
          <w:iCs/>
          <w:kern w:val="0"/>
          <w:sz w:val="24"/>
          <w:szCs w:val="24"/>
          <w:lang w:eastAsia="en-IN"/>
          <w14:ligatures w14:val="none"/>
        </w:rPr>
        <w:t xml:space="preserve">Journal of Infrastructure, </w:t>
      </w:r>
      <w:proofErr w:type="gramStart"/>
      <w:r w:rsidRPr="00BA17FA">
        <w:rPr>
          <w:rFonts w:ascii="Times New Roman" w:eastAsia="Times New Roman" w:hAnsi="Times New Roman" w:cs="Times New Roman"/>
          <w:i/>
          <w:iCs/>
          <w:kern w:val="0"/>
          <w:sz w:val="24"/>
          <w:szCs w:val="24"/>
          <w:lang w:eastAsia="en-IN"/>
          <w14:ligatures w14:val="none"/>
        </w:rPr>
        <w:t>Policy</w:t>
      </w:r>
      <w:proofErr w:type="gramEnd"/>
      <w:r w:rsidRPr="00BA17FA">
        <w:rPr>
          <w:rFonts w:ascii="Times New Roman" w:eastAsia="Times New Roman" w:hAnsi="Times New Roman" w:cs="Times New Roman"/>
          <w:i/>
          <w:iCs/>
          <w:kern w:val="0"/>
          <w:sz w:val="24"/>
          <w:szCs w:val="24"/>
          <w:lang w:eastAsia="en-IN"/>
          <w14:ligatures w14:val="none"/>
        </w:rPr>
        <w:t xml:space="preserve"> and Development</w:t>
      </w:r>
      <w:r w:rsidRPr="00BA17FA">
        <w:rPr>
          <w:rFonts w:ascii="Times New Roman" w:eastAsia="Times New Roman" w:hAnsi="Times New Roman" w:cs="Times New Roman"/>
          <w:kern w:val="0"/>
          <w:sz w:val="24"/>
          <w:szCs w:val="24"/>
          <w:lang w:eastAsia="en-IN"/>
          <w14:ligatures w14:val="none"/>
        </w:rPr>
        <w:t xml:space="preserve">, [online] 7(3).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://doi.org/10.24294/jipd.v7i3.2680</w:t>
      </w:r>
      <w:proofErr w:type="gramEnd"/>
      <w:r w:rsidRPr="00BA17FA">
        <w:rPr>
          <w:rFonts w:ascii="Times New Roman" w:eastAsia="Times New Roman" w:hAnsi="Times New Roman" w:cs="Times New Roman"/>
          <w:kern w:val="0"/>
          <w:sz w:val="24"/>
          <w:szCs w:val="24"/>
          <w:lang w:eastAsia="en-IN"/>
          <w14:ligatures w14:val="none"/>
        </w:rPr>
        <w:t>.</w:t>
      </w:r>
    </w:p>
    <w:p w14:paraId="7E91F220"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King, R., Taylor, B., Talpur, A., Jackson, C., Manley, K., Ashby, N., Tod, A., Ryan, T., Wood, E., Senek, M. and Robertson, S. (2020). Factors that optimise the impact of continuing professional development in nursing: A rapid evidence review. </w:t>
      </w:r>
      <w:r w:rsidRPr="00BA17FA">
        <w:rPr>
          <w:rFonts w:ascii="Times New Roman" w:eastAsia="Times New Roman" w:hAnsi="Times New Roman" w:cs="Times New Roman"/>
          <w:i/>
          <w:iCs/>
          <w:kern w:val="0"/>
          <w:sz w:val="24"/>
          <w:szCs w:val="24"/>
          <w:lang w:eastAsia="en-IN"/>
          <w14:ligatures w14:val="none"/>
        </w:rPr>
        <w:t>Nurse Education Today</w:t>
      </w:r>
      <w:r w:rsidRPr="00BA17FA">
        <w:rPr>
          <w:rFonts w:ascii="Times New Roman" w:eastAsia="Times New Roman" w:hAnsi="Times New Roman" w:cs="Times New Roman"/>
          <w:kern w:val="0"/>
          <w:sz w:val="24"/>
          <w:szCs w:val="24"/>
          <w:lang w:eastAsia="en-IN"/>
          <w14:ligatures w14:val="none"/>
        </w:rPr>
        <w:t xml:space="preserve">, [online] 98(2), p.104652.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://doi.org/10.1016/j.nedt.2020.104652</w:t>
      </w:r>
      <w:proofErr w:type="gramEnd"/>
      <w:r w:rsidRPr="00BA17FA">
        <w:rPr>
          <w:rFonts w:ascii="Times New Roman" w:eastAsia="Times New Roman" w:hAnsi="Times New Roman" w:cs="Times New Roman"/>
          <w:kern w:val="0"/>
          <w:sz w:val="24"/>
          <w:szCs w:val="24"/>
          <w:lang w:eastAsia="en-IN"/>
          <w14:ligatures w14:val="none"/>
        </w:rPr>
        <w:t>.</w:t>
      </w:r>
    </w:p>
    <w:p w14:paraId="4002A318"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Lange, M. and Kayser, I. (2022). The Role of Self-Efficacy, Work-Related Autonomy and Work-Family Conflict on Employee’s Stress Level during Home-Based Remote Work in Germany. </w:t>
      </w:r>
      <w:r w:rsidRPr="00BA17FA">
        <w:rPr>
          <w:rFonts w:ascii="Times New Roman" w:eastAsia="Times New Roman" w:hAnsi="Times New Roman" w:cs="Times New Roman"/>
          <w:i/>
          <w:iCs/>
          <w:kern w:val="0"/>
          <w:sz w:val="24"/>
          <w:szCs w:val="24"/>
          <w:lang w:eastAsia="en-IN"/>
          <w14:ligatures w14:val="none"/>
        </w:rPr>
        <w:t>International Journal of Environmental Research and Public Health</w:t>
      </w:r>
      <w:r w:rsidRPr="00BA17FA">
        <w:rPr>
          <w:rFonts w:ascii="Times New Roman" w:eastAsia="Times New Roman" w:hAnsi="Times New Roman" w:cs="Times New Roman"/>
          <w:kern w:val="0"/>
          <w:sz w:val="24"/>
          <w:szCs w:val="24"/>
          <w:lang w:eastAsia="en-IN"/>
          <w14:ligatures w14:val="none"/>
        </w:rPr>
        <w:t xml:space="preserve">, 19(9), p.4955.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://doi.org/10.3390/ijerph19094955</w:t>
      </w:r>
      <w:proofErr w:type="gramEnd"/>
      <w:r w:rsidRPr="00BA17FA">
        <w:rPr>
          <w:rFonts w:ascii="Times New Roman" w:eastAsia="Times New Roman" w:hAnsi="Times New Roman" w:cs="Times New Roman"/>
          <w:kern w:val="0"/>
          <w:sz w:val="24"/>
          <w:szCs w:val="24"/>
          <w:lang w:eastAsia="en-IN"/>
          <w14:ligatures w14:val="none"/>
        </w:rPr>
        <w:t>.</w:t>
      </w:r>
    </w:p>
    <w:p w14:paraId="4037B818"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Mishra, N.P., Das, S.S., Yadav, S., Khan, W., Afzal, M., </w:t>
      </w:r>
      <w:proofErr w:type="spellStart"/>
      <w:r w:rsidRPr="00BA17FA">
        <w:rPr>
          <w:rFonts w:ascii="Times New Roman" w:eastAsia="Times New Roman" w:hAnsi="Times New Roman" w:cs="Times New Roman"/>
          <w:kern w:val="0"/>
          <w:sz w:val="24"/>
          <w:szCs w:val="24"/>
          <w:lang w:eastAsia="en-IN"/>
          <w14:ligatures w14:val="none"/>
        </w:rPr>
        <w:t>Alarifi</w:t>
      </w:r>
      <w:proofErr w:type="spellEnd"/>
      <w:r w:rsidRPr="00BA17FA">
        <w:rPr>
          <w:rFonts w:ascii="Times New Roman" w:eastAsia="Times New Roman" w:hAnsi="Times New Roman" w:cs="Times New Roman"/>
          <w:kern w:val="0"/>
          <w:sz w:val="24"/>
          <w:szCs w:val="24"/>
          <w:lang w:eastAsia="en-IN"/>
          <w14:ligatures w14:val="none"/>
        </w:rPr>
        <w:t xml:space="preserve">, A., </w:t>
      </w:r>
      <w:proofErr w:type="spellStart"/>
      <w:r w:rsidRPr="00BA17FA">
        <w:rPr>
          <w:rFonts w:ascii="Times New Roman" w:eastAsia="Times New Roman" w:hAnsi="Times New Roman" w:cs="Times New Roman"/>
          <w:kern w:val="0"/>
          <w:sz w:val="24"/>
          <w:szCs w:val="24"/>
          <w:lang w:eastAsia="en-IN"/>
          <w14:ligatures w14:val="none"/>
        </w:rPr>
        <w:t>kenawy</w:t>
      </w:r>
      <w:proofErr w:type="spellEnd"/>
      <w:r w:rsidRPr="00BA17FA">
        <w:rPr>
          <w:rFonts w:ascii="Times New Roman" w:eastAsia="Times New Roman" w:hAnsi="Times New Roman" w:cs="Times New Roman"/>
          <w:kern w:val="0"/>
          <w:sz w:val="24"/>
          <w:szCs w:val="24"/>
          <w:lang w:eastAsia="en-IN"/>
          <w14:ligatures w14:val="none"/>
        </w:rPr>
        <w:t xml:space="preserve">, E.-R., Ansari, M.T., Hasnain, M.S. and Nayak, A.K. (2020). Global impacts of pre- and post-COVID-19 pandemic: Focus on socio-economic consequences. </w:t>
      </w:r>
      <w:r w:rsidRPr="00BA17FA">
        <w:rPr>
          <w:rFonts w:ascii="Times New Roman" w:eastAsia="Times New Roman" w:hAnsi="Times New Roman" w:cs="Times New Roman"/>
          <w:i/>
          <w:iCs/>
          <w:kern w:val="0"/>
          <w:sz w:val="24"/>
          <w:szCs w:val="24"/>
          <w:lang w:eastAsia="en-IN"/>
          <w14:ligatures w14:val="none"/>
        </w:rPr>
        <w:t>Sensors International</w:t>
      </w:r>
      <w:r w:rsidRPr="00BA17FA">
        <w:rPr>
          <w:rFonts w:ascii="Times New Roman" w:eastAsia="Times New Roman" w:hAnsi="Times New Roman" w:cs="Times New Roman"/>
          <w:kern w:val="0"/>
          <w:sz w:val="24"/>
          <w:szCs w:val="24"/>
          <w:lang w:eastAsia="en-IN"/>
          <w14:ligatures w14:val="none"/>
        </w:rPr>
        <w:t xml:space="preserve">, 1(100042), p.100042.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://doi.org/10.1016/j.sintl.2020.100042</w:t>
      </w:r>
      <w:proofErr w:type="gramEnd"/>
      <w:r w:rsidRPr="00BA17FA">
        <w:rPr>
          <w:rFonts w:ascii="Times New Roman" w:eastAsia="Times New Roman" w:hAnsi="Times New Roman" w:cs="Times New Roman"/>
          <w:kern w:val="0"/>
          <w:sz w:val="24"/>
          <w:szCs w:val="24"/>
          <w:lang w:eastAsia="en-IN"/>
          <w14:ligatures w14:val="none"/>
        </w:rPr>
        <w:t>.</w:t>
      </w:r>
    </w:p>
    <w:p w14:paraId="349E4B88"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Pressman, S.D., Matthews, K.A., Cohen, S., Martire, L.M., Scheier, M., Baum, A. and Schulz, R. (2009). Association of Enjoyable Leisure Activities </w:t>
      </w:r>
      <w:proofErr w:type="gramStart"/>
      <w:r w:rsidRPr="00BA17FA">
        <w:rPr>
          <w:rFonts w:ascii="Times New Roman" w:eastAsia="Times New Roman" w:hAnsi="Times New Roman" w:cs="Times New Roman"/>
          <w:kern w:val="0"/>
          <w:sz w:val="24"/>
          <w:szCs w:val="24"/>
          <w:lang w:eastAsia="en-IN"/>
          <w14:ligatures w14:val="none"/>
        </w:rPr>
        <w:t>With</w:t>
      </w:r>
      <w:proofErr w:type="gramEnd"/>
      <w:r w:rsidRPr="00BA17FA">
        <w:rPr>
          <w:rFonts w:ascii="Times New Roman" w:eastAsia="Times New Roman" w:hAnsi="Times New Roman" w:cs="Times New Roman"/>
          <w:kern w:val="0"/>
          <w:sz w:val="24"/>
          <w:szCs w:val="24"/>
          <w:lang w:eastAsia="en-IN"/>
          <w14:ligatures w14:val="none"/>
        </w:rPr>
        <w:t xml:space="preserve"> Psychological and Physical Well-Being. </w:t>
      </w:r>
      <w:r w:rsidRPr="00BA17FA">
        <w:rPr>
          <w:rFonts w:ascii="Times New Roman" w:eastAsia="Times New Roman" w:hAnsi="Times New Roman" w:cs="Times New Roman"/>
          <w:i/>
          <w:iCs/>
          <w:kern w:val="0"/>
          <w:sz w:val="24"/>
          <w:szCs w:val="24"/>
          <w:lang w:eastAsia="en-IN"/>
          <w14:ligatures w14:val="none"/>
        </w:rPr>
        <w:t>Psychosomatic Medicine</w:t>
      </w:r>
      <w:r w:rsidRPr="00BA17FA">
        <w:rPr>
          <w:rFonts w:ascii="Times New Roman" w:eastAsia="Times New Roman" w:hAnsi="Times New Roman" w:cs="Times New Roman"/>
          <w:kern w:val="0"/>
          <w:sz w:val="24"/>
          <w:szCs w:val="24"/>
          <w:lang w:eastAsia="en-IN"/>
          <w14:ligatures w14:val="none"/>
        </w:rPr>
        <w:t xml:space="preserve">, [online] 71(7), pp.725–732.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://doi.org/10.1097/psy.0b013e3181ad7978</w:t>
      </w:r>
      <w:proofErr w:type="gramEnd"/>
      <w:r w:rsidRPr="00BA17FA">
        <w:rPr>
          <w:rFonts w:ascii="Times New Roman" w:eastAsia="Times New Roman" w:hAnsi="Times New Roman" w:cs="Times New Roman"/>
          <w:kern w:val="0"/>
          <w:sz w:val="24"/>
          <w:szCs w:val="24"/>
          <w:lang w:eastAsia="en-IN"/>
          <w14:ligatures w14:val="none"/>
        </w:rPr>
        <w:t>.</w:t>
      </w:r>
    </w:p>
    <w:p w14:paraId="37C47FF1"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Quesenberry, K.A. (2016). </w:t>
      </w:r>
      <w:r w:rsidRPr="00BA17FA">
        <w:rPr>
          <w:rFonts w:ascii="Times New Roman" w:eastAsia="Times New Roman" w:hAnsi="Times New Roman" w:cs="Times New Roman"/>
          <w:i/>
          <w:iCs/>
          <w:kern w:val="0"/>
          <w:sz w:val="24"/>
          <w:szCs w:val="24"/>
          <w:lang w:eastAsia="en-IN"/>
          <w14:ligatures w14:val="none"/>
        </w:rPr>
        <w:t xml:space="preserve">Social media </w:t>
      </w:r>
      <w:proofErr w:type="gramStart"/>
      <w:r w:rsidRPr="00BA17FA">
        <w:rPr>
          <w:rFonts w:ascii="Times New Roman" w:eastAsia="Times New Roman" w:hAnsi="Times New Roman" w:cs="Times New Roman"/>
          <w:i/>
          <w:iCs/>
          <w:kern w:val="0"/>
          <w:sz w:val="24"/>
          <w:szCs w:val="24"/>
          <w:lang w:eastAsia="en-IN"/>
          <w14:ligatures w14:val="none"/>
        </w:rPr>
        <w:t>strategy :</w:t>
      </w:r>
      <w:proofErr w:type="gramEnd"/>
      <w:r w:rsidRPr="00BA17FA">
        <w:rPr>
          <w:rFonts w:ascii="Times New Roman" w:eastAsia="Times New Roman" w:hAnsi="Times New Roman" w:cs="Times New Roman"/>
          <w:i/>
          <w:iCs/>
          <w:kern w:val="0"/>
          <w:sz w:val="24"/>
          <w:szCs w:val="24"/>
          <w:lang w:eastAsia="en-IN"/>
          <w14:ligatures w14:val="none"/>
        </w:rPr>
        <w:t xml:space="preserve"> marketing and advertising in the consumer revolution</w:t>
      </w:r>
      <w:r w:rsidRPr="00BA17FA">
        <w:rPr>
          <w:rFonts w:ascii="Times New Roman" w:eastAsia="Times New Roman" w:hAnsi="Times New Roman" w:cs="Times New Roman"/>
          <w:kern w:val="0"/>
          <w:sz w:val="24"/>
          <w:szCs w:val="24"/>
          <w:lang w:eastAsia="en-IN"/>
          <w14:ligatures w14:val="none"/>
        </w:rPr>
        <w:t>. Lanham: Rowman &amp; Littlefield.</w:t>
      </w:r>
    </w:p>
    <w:p w14:paraId="086D0ABC"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proofErr w:type="spellStart"/>
      <w:r w:rsidRPr="00BA17FA">
        <w:rPr>
          <w:rFonts w:ascii="Times New Roman" w:eastAsia="Times New Roman" w:hAnsi="Times New Roman" w:cs="Times New Roman"/>
          <w:kern w:val="0"/>
          <w:sz w:val="24"/>
          <w:szCs w:val="24"/>
          <w:lang w:eastAsia="en-IN"/>
          <w14:ligatures w14:val="none"/>
        </w:rPr>
        <w:t>Raliile</w:t>
      </w:r>
      <w:proofErr w:type="spellEnd"/>
      <w:r w:rsidRPr="00BA17FA">
        <w:rPr>
          <w:rFonts w:ascii="Times New Roman" w:eastAsia="Times New Roman" w:hAnsi="Times New Roman" w:cs="Times New Roman"/>
          <w:kern w:val="0"/>
          <w:sz w:val="24"/>
          <w:szCs w:val="24"/>
          <w:lang w:eastAsia="en-IN"/>
          <w14:ligatures w14:val="none"/>
        </w:rPr>
        <w:t xml:space="preserve">, M.T. (2019). </w:t>
      </w:r>
      <w:r w:rsidRPr="00BA17FA">
        <w:rPr>
          <w:rFonts w:ascii="Times New Roman" w:eastAsia="Times New Roman" w:hAnsi="Times New Roman" w:cs="Times New Roman"/>
          <w:i/>
          <w:iCs/>
          <w:kern w:val="0"/>
          <w:sz w:val="24"/>
          <w:szCs w:val="24"/>
          <w:lang w:eastAsia="en-IN"/>
          <w14:ligatures w14:val="none"/>
        </w:rPr>
        <w:t>The construction health and safety regulation 2014 impact on construction workers well-being.</w:t>
      </w:r>
      <w:r w:rsidRPr="00BA17FA">
        <w:rPr>
          <w:rFonts w:ascii="Times New Roman" w:eastAsia="Times New Roman" w:hAnsi="Times New Roman" w:cs="Times New Roman"/>
          <w:kern w:val="0"/>
          <w:sz w:val="24"/>
          <w:szCs w:val="24"/>
          <w:lang w:eastAsia="en-IN"/>
          <w14:ligatures w14:val="none"/>
        </w:rPr>
        <w:t xml:space="preserve"> [online] ukzn-dspace.ukzn.ac.za. Available at: https://ukzn-dspace.ukzn.ac.za/handle/10413/18740 [Accessed 1 May 2021].</w:t>
      </w:r>
    </w:p>
    <w:p w14:paraId="5A417B07"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lastRenderedPageBreak/>
        <w:t xml:space="preserve">Richmond, J.G., </w:t>
      </w:r>
      <w:proofErr w:type="spellStart"/>
      <w:r w:rsidRPr="00BA17FA">
        <w:rPr>
          <w:rFonts w:ascii="Times New Roman" w:eastAsia="Times New Roman" w:hAnsi="Times New Roman" w:cs="Times New Roman"/>
          <w:kern w:val="0"/>
          <w:sz w:val="24"/>
          <w:szCs w:val="24"/>
          <w:lang w:eastAsia="en-IN"/>
          <w14:ligatures w14:val="none"/>
        </w:rPr>
        <w:t>Tochkin</w:t>
      </w:r>
      <w:proofErr w:type="spellEnd"/>
      <w:r w:rsidRPr="00BA17FA">
        <w:rPr>
          <w:rFonts w:ascii="Times New Roman" w:eastAsia="Times New Roman" w:hAnsi="Times New Roman" w:cs="Times New Roman"/>
          <w:kern w:val="0"/>
          <w:sz w:val="24"/>
          <w:szCs w:val="24"/>
          <w:lang w:eastAsia="en-IN"/>
          <w14:ligatures w14:val="none"/>
        </w:rPr>
        <w:t xml:space="preserve">, J. and Hertelendy, A.J. (2021). Canadian health emergency management professionals’ perspectives on the prevalence and effectiveness of disaster preparedness activities in response to COVID-19. </w:t>
      </w:r>
      <w:r w:rsidRPr="00BA17FA">
        <w:rPr>
          <w:rFonts w:ascii="Times New Roman" w:eastAsia="Times New Roman" w:hAnsi="Times New Roman" w:cs="Times New Roman"/>
          <w:i/>
          <w:iCs/>
          <w:kern w:val="0"/>
          <w:sz w:val="24"/>
          <w:szCs w:val="24"/>
          <w:lang w:eastAsia="en-IN"/>
          <w14:ligatures w14:val="none"/>
        </w:rPr>
        <w:t>International Journal of Disaster Risk Reduction</w:t>
      </w:r>
      <w:r w:rsidRPr="00BA17FA">
        <w:rPr>
          <w:rFonts w:ascii="Times New Roman" w:eastAsia="Times New Roman" w:hAnsi="Times New Roman" w:cs="Times New Roman"/>
          <w:kern w:val="0"/>
          <w:sz w:val="24"/>
          <w:szCs w:val="24"/>
          <w:lang w:eastAsia="en-IN"/>
          <w14:ligatures w14:val="none"/>
        </w:rPr>
        <w:t xml:space="preserve">, 60, p.102325.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://doi.org/10.1016/j.ijdrr.2021.102325</w:t>
      </w:r>
      <w:proofErr w:type="gramEnd"/>
      <w:r w:rsidRPr="00BA17FA">
        <w:rPr>
          <w:rFonts w:ascii="Times New Roman" w:eastAsia="Times New Roman" w:hAnsi="Times New Roman" w:cs="Times New Roman"/>
          <w:kern w:val="0"/>
          <w:sz w:val="24"/>
          <w:szCs w:val="24"/>
          <w:lang w:eastAsia="en-IN"/>
          <w14:ligatures w14:val="none"/>
        </w:rPr>
        <w:t>.</w:t>
      </w:r>
    </w:p>
    <w:p w14:paraId="1D19A63E"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Sinsky, C.A., Biddison, L.D., Mallick, A., Dopp, A.L., </w:t>
      </w:r>
      <w:proofErr w:type="spellStart"/>
      <w:r w:rsidRPr="00BA17FA">
        <w:rPr>
          <w:rFonts w:ascii="Times New Roman" w:eastAsia="Times New Roman" w:hAnsi="Times New Roman" w:cs="Times New Roman"/>
          <w:kern w:val="0"/>
          <w:sz w:val="24"/>
          <w:szCs w:val="24"/>
          <w:lang w:eastAsia="en-IN"/>
          <w14:ligatures w14:val="none"/>
        </w:rPr>
        <w:t>Perlo</w:t>
      </w:r>
      <w:proofErr w:type="spellEnd"/>
      <w:r w:rsidRPr="00BA17FA">
        <w:rPr>
          <w:rFonts w:ascii="Times New Roman" w:eastAsia="Times New Roman" w:hAnsi="Times New Roman" w:cs="Times New Roman"/>
          <w:kern w:val="0"/>
          <w:sz w:val="24"/>
          <w:szCs w:val="24"/>
          <w:lang w:eastAsia="en-IN"/>
          <w14:ligatures w14:val="none"/>
        </w:rPr>
        <w:t xml:space="preserve">, J., Lynn, L. and Smith, and C.D. (2020). Organizational Evidence-Based and Promising Practices for Improving Clinician Well-Being. </w:t>
      </w:r>
      <w:r w:rsidRPr="00BA17FA">
        <w:rPr>
          <w:rFonts w:ascii="Times New Roman" w:eastAsia="Times New Roman" w:hAnsi="Times New Roman" w:cs="Times New Roman"/>
          <w:i/>
          <w:iCs/>
          <w:kern w:val="0"/>
          <w:sz w:val="24"/>
          <w:szCs w:val="24"/>
          <w:lang w:eastAsia="en-IN"/>
          <w14:ligatures w14:val="none"/>
        </w:rPr>
        <w:t>NAM Perspectives</w:t>
      </w:r>
      <w:r w:rsidRPr="00BA17FA">
        <w:rPr>
          <w:rFonts w:ascii="Times New Roman" w:eastAsia="Times New Roman" w:hAnsi="Times New Roman" w:cs="Times New Roman"/>
          <w:kern w:val="0"/>
          <w:sz w:val="24"/>
          <w:szCs w:val="24"/>
          <w:lang w:eastAsia="en-IN"/>
          <w14:ligatures w14:val="none"/>
        </w:rPr>
        <w:t xml:space="preserve">. [online]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://doi.org/10.31478/202011a</w:t>
      </w:r>
      <w:proofErr w:type="gramEnd"/>
      <w:r w:rsidRPr="00BA17FA">
        <w:rPr>
          <w:rFonts w:ascii="Times New Roman" w:eastAsia="Times New Roman" w:hAnsi="Times New Roman" w:cs="Times New Roman"/>
          <w:kern w:val="0"/>
          <w:sz w:val="24"/>
          <w:szCs w:val="24"/>
          <w:lang w:eastAsia="en-IN"/>
          <w14:ligatures w14:val="none"/>
        </w:rPr>
        <w:t>.</w:t>
      </w:r>
    </w:p>
    <w:p w14:paraId="7C0B652C"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Sufi, A. and Taylor, A.M. (2022). </w:t>
      </w:r>
      <w:r w:rsidRPr="00BA17FA">
        <w:rPr>
          <w:rFonts w:ascii="Times New Roman" w:eastAsia="Times New Roman" w:hAnsi="Times New Roman" w:cs="Times New Roman"/>
          <w:i/>
          <w:iCs/>
          <w:kern w:val="0"/>
          <w:sz w:val="24"/>
          <w:szCs w:val="24"/>
          <w:lang w:eastAsia="en-IN"/>
          <w14:ligatures w14:val="none"/>
        </w:rPr>
        <w:t>Chapter 7 - Financial crises: a survey</w:t>
      </w:r>
      <w:r w:rsidRPr="00BA17FA">
        <w:rPr>
          <w:rFonts w:ascii="Segoe UI Symbol" w:eastAsia="Times New Roman" w:hAnsi="Segoe UI Symbol" w:cs="Segoe UI Symbol"/>
          <w:i/>
          <w:iCs/>
          <w:kern w:val="0"/>
          <w:sz w:val="24"/>
          <w:szCs w:val="24"/>
          <w:lang w:eastAsia="en-IN"/>
          <w14:ligatures w14:val="none"/>
        </w:rPr>
        <w:t>☆☆</w:t>
      </w:r>
      <w:r w:rsidRPr="00BA17FA">
        <w:rPr>
          <w:rFonts w:ascii="Times New Roman" w:eastAsia="Times New Roman" w:hAnsi="Times New Roman" w:cs="Times New Roman"/>
          <w:i/>
          <w:iCs/>
          <w:kern w:val="0"/>
          <w:sz w:val="24"/>
          <w:szCs w:val="24"/>
          <w:lang w:eastAsia="en-IN"/>
          <w14:ligatures w14:val="none"/>
        </w:rPr>
        <w:t xml:space="preserve">The authors thank Tobias Adrian, Matthew Baron, Ben Bernanke, Barry </w:t>
      </w:r>
      <w:proofErr w:type="spellStart"/>
      <w:r w:rsidRPr="00BA17FA">
        <w:rPr>
          <w:rFonts w:ascii="Times New Roman" w:eastAsia="Times New Roman" w:hAnsi="Times New Roman" w:cs="Times New Roman"/>
          <w:i/>
          <w:iCs/>
          <w:kern w:val="0"/>
          <w:sz w:val="24"/>
          <w:szCs w:val="24"/>
          <w:lang w:eastAsia="en-IN"/>
          <w14:ligatures w14:val="none"/>
        </w:rPr>
        <w:t>Eichengreen</w:t>
      </w:r>
      <w:proofErr w:type="spellEnd"/>
      <w:r w:rsidRPr="00BA17FA">
        <w:rPr>
          <w:rFonts w:ascii="Times New Roman" w:eastAsia="Times New Roman" w:hAnsi="Times New Roman" w:cs="Times New Roman"/>
          <w:i/>
          <w:iCs/>
          <w:kern w:val="0"/>
          <w:sz w:val="24"/>
          <w:szCs w:val="24"/>
          <w:lang w:eastAsia="en-IN"/>
          <w14:ligatures w14:val="none"/>
        </w:rPr>
        <w:t xml:space="preserve">, Nicola </w:t>
      </w:r>
      <w:proofErr w:type="spellStart"/>
      <w:r w:rsidRPr="00BA17FA">
        <w:rPr>
          <w:rFonts w:ascii="Times New Roman" w:eastAsia="Times New Roman" w:hAnsi="Times New Roman" w:cs="Times New Roman"/>
          <w:i/>
          <w:iCs/>
          <w:kern w:val="0"/>
          <w:sz w:val="24"/>
          <w:szCs w:val="24"/>
          <w:lang w:eastAsia="en-IN"/>
          <w14:ligatures w14:val="none"/>
        </w:rPr>
        <w:t>Gennaioli</w:t>
      </w:r>
      <w:proofErr w:type="spellEnd"/>
      <w:r w:rsidRPr="00BA17FA">
        <w:rPr>
          <w:rFonts w:ascii="Times New Roman" w:eastAsia="Times New Roman" w:hAnsi="Times New Roman" w:cs="Times New Roman"/>
          <w:i/>
          <w:iCs/>
          <w:kern w:val="0"/>
          <w:sz w:val="24"/>
          <w:szCs w:val="24"/>
          <w:lang w:eastAsia="en-IN"/>
          <w14:ligatures w14:val="none"/>
        </w:rPr>
        <w:t xml:space="preserve">, Robin Greenwood, Sam Hanson, </w:t>
      </w:r>
      <w:proofErr w:type="spellStart"/>
      <w:r w:rsidRPr="00BA17FA">
        <w:rPr>
          <w:rFonts w:ascii="Times New Roman" w:eastAsia="Times New Roman" w:hAnsi="Times New Roman" w:cs="Times New Roman"/>
          <w:i/>
          <w:iCs/>
          <w:kern w:val="0"/>
          <w:sz w:val="24"/>
          <w:szCs w:val="24"/>
          <w:lang w:eastAsia="en-IN"/>
          <w14:ligatures w14:val="none"/>
        </w:rPr>
        <w:t>Òscar</w:t>
      </w:r>
      <w:proofErr w:type="spellEnd"/>
      <w:r w:rsidRPr="00BA17FA">
        <w:rPr>
          <w:rFonts w:ascii="Times New Roman" w:eastAsia="Times New Roman" w:hAnsi="Times New Roman" w:cs="Times New Roman"/>
          <w:i/>
          <w:iCs/>
          <w:kern w:val="0"/>
          <w:sz w:val="24"/>
          <w:szCs w:val="24"/>
          <w:lang w:eastAsia="en-IN"/>
          <w14:ligatures w14:val="none"/>
        </w:rPr>
        <w:t xml:space="preserve"> Jordà, Hélène Rey, David Romer, Moritz </w:t>
      </w:r>
      <w:proofErr w:type="spellStart"/>
      <w:r w:rsidRPr="00BA17FA">
        <w:rPr>
          <w:rFonts w:ascii="Times New Roman" w:eastAsia="Times New Roman" w:hAnsi="Times New Roman" w:cs="Times New Roman"/>
          <w:i/>
          <w:iCs/>
          <w:kern w:val="0"/>
          <w:sz w:val="24"/>
          <w:szCs w:val="24"/>
          <w:lang w:eastAsia="en-IN"/>
          <w14:ligatures w14:val="none"/>
        </w:rPr>
        <w:t>Schularick</w:t>
      </w:r>
      <w:proofErr w:type="spellEnd"/>
      <w:r w:rsidRPr="00BA17FA">
        <w:rPr>
          <w:rFonts w:ascii="Times New Roman" w:eastAsia="Times New Roman" w:hAnsi="Times New Roman" w:cs="Times New Roman"/>
          <w:i/>
          <w:iCs/>
          <w:kern w:val="0"/>
          <w:sz w:val="24"/>
          <w:szCs w:val="24"/>
          <w:lang w:eastAsia="en-IN"/>
          <w14:ligatures w14:val="none"/>
        </w:rPr>
        <w:t xml:space="preserve">, Andrei Shleifer, Emil Verner, and Wei Xiong, and especially our discussants, Maurice Obstfeld and </w:t>
      </w:r>
      <w:proofErr w:type="spellStart"/>
      <w:r w:rsidRPr="00BA17FA">
        <w:rPr>
          <w:rFonts w:ascii="Times New Roman" w:eastAsia="Times New Roman" w:hAnsi="Times New Roman" w:cs="Times New Roman"/>
          <w:i/>
          <w:iCs/>
          <w:kern w:val="0"/>
          <w:sz w:val="24"/>
          <w:szCs w:val="24"/>
          <w:lang w:eastAsia="en-IN"/>
          <w14:ligatures w14:val="none"/>
        </w:rPr>
        <w:t>Chenzi</w:t>
      </w:r>
      <w:proofErr w:type="spellEnd"/>
      <w:r w:rsidRPr="00BA17FA">
        <w:rPr>
          <w:rFonts w:ascii="Times New Roman" w:eastAsia="Times New Roman" w:hAnsi="Times New Roman" w:cs="Times New Roman"/>
          <w:i/>
          <w:iCs/>
          <w:kern w:val="0"/>
          <w:sz w:val="24"/>
          <w:szCs w:val="24"/>
          <w:lang w:eastAsia="en-IN"/>
          <w14:ligatures w14:val="none"/>
        </w:rPr>
        <w:t xml:space="preserve"> Xu, and editors, Gita </w:t>
      </w:r>
      <w:proofErr w:type="gramStart"/>
      <w:r w:rsidRPr="00BA17FA">
        <w:rPr>
          <w:rFonts w:ascii="Times New Roman" w:eastAsia="Times New Roman" w:hAnsi="Times New Roman" w:cs="Times New Roman"/>
          <w:i/>
          <w:iCs/>
          <w:kern w:val="0"/>
          <w:sz w:val="24"/>
          <w:szCs w:val="24"/>
          <w:lang w:eastAsia="en-IN"/>
          <w14:ligatures w14:val="none"/>
        </w:rPr>
        <w:t>Gopinath</w:t>
      </w:r>
      <w:proofErr w:type="gramEnd"/>
      <w:r w:rsidRPr="00BA17FA">
        <w:rPr>
          <w:rFonts w:ascii="Times New Roman" w:eastAsia="Times New Roman" w:hAnsi="Times New Roman" w:cs="Times New Roman"/>
          <w:i/>
          <w:iCs/>
          <w:kern w:val="0"/>
          <w:sz w:val="24"/>
          <w:szCs w:val="24"/>
          <w:lang w:eastAsia="en-IN"/>
          <w14:ligatures w14:val="none"/>
        </w:rPr>
        <w:t xml:space="preserve"> and Kenneth Rogoff, for feedback and suggestions. We thank Tyler Muir for kindly sharing data. Pranav Garg provided excellent research assistance. All errors are ours.</w:t>
      </w:r>
      <w:r w:rsidRPr="00BA17FA">
        <w:rPr>
          <w:rFonts w:ascii="Times New Roman" w:eastAsia="Times New Roman" w:hAnsi="Times New Roman" w:cs="Times New Roman"/>
          <w:kern w:val="0"/>
          <w:sz w:val="24"/>
          <w:szCs w:val="24"/>
          <w:lang w:eastAsia="en-IN"/>
          <w14:ligatures w14:val="none"/>
        </w:rPr>
        <w:t xml:space="preserve"> [online] ScienceDirect. Available at: https://www.sciencedirect.com/science/article/abs/pii/S1573440422000120.</w:t>
      </w:r>
    </w:p>
    <w:p w14:paraId="5C354238" w14:textId="77777777" w:rsidR="00BA17FA" w:rsidRPr="00BA17FA" w:rsidRDefault="00BA17FA" w:rsidP="00BA17FA">
      <w:pPr>
        <w:spacing w:after="240" w:line="360" w:lineRule="auto"/>
        <w:rPr>
          <w:rFonts w:ascii="Times New Roman" w:eastAsia="Times New Roman" w:hAnsi="Times New Roman" w:cs="Times New Roman"/>
          <w:kern w:val="0"/>
          <w:sz w:val="24"/>
          <w:szCs w:val="24"/>
          <w:lang w:eastAsia="en-IN"/>
          <w14:ligatures w14:val="none"/>
        </w:rPr>
      </w:pPr>
      <w:r w:rsidRPr="00BA17FA">
        <w:rPr>
          <w:rFonts w:ascii="Times New Roman" w:eastAsia="Times New Roman" w:hAnsi="Times New Roman" w:cs="Times New Roman"/>
          <w:kern w:val="0"/>
          <w:sz w:val="24"/>
          <w:szCs w:val="24"/>
          <w:lang w:eastAsia="en-IN"/>
          <w14:ligatures w14:val="none"/>
        </w:rPr>
        <w:t xml:space="preserve">Tahmasian, M., Samea, F., </w:t>
      </w:r>
      <w:proofErr w:type="spellStart"/>
      <w:r w:rsidRPr="00BA17FA">
        <w:rPr>
          <w:rFonts w:ascii="Times New Roman" w:eastAsia="Times New Roman" w:hAnsi="Times New Roman" w:cs="Times New Roman"/>
          <w:kern w:val="0"/>
          <w:sz w:val="24"/>
          <w:szCs w:val="24"/>
          <w:lang w:eastAsia="en-IN"/>
          <w14:ligatures w14:val="none"/>
        </w:rPr>
        <w:t>Khazaie</w:t>
      </w:r>
      <w:proofErr w:type="spellEnd"/>
      <w:r w:rsidRPr="00BA17FA">
        <w:rPr>
          <w:rFonts w:ascii="Times New Roman" w:eastAsia="Times New Roman" w:hAnsi="Times New Roman" w:cs="Times New Roman"/>
          <w:kern w:val="0"/>
          <w:sz w:val="24"/>
          <w:szCs w:val="24"/>
          <w:lang w:eastAsia="en-IN"/>
          <w14:ligatures w14:val="none"/>
        </w:rPr>
        <w:t xml:space="preserve">, H., Zarei, M., </w:t>
      </w:r>
      <w:proofErr w:type="spellStart"/>
      <w:r w:rsidRPr="00BA17FA">
        <w:rPr>
          <w:rFonts w:ascii="Times New Roman" w:eastAsia="Times New Roman" w:hAnsi="Times New Roman" w:cs="Times New Roman"/>
          <w:kern w:val="0"/>
          <w:sz w:val="24"/>
          <w:szCs w:val="24"/>
          <w:lang w:eastAsia="en-IN"/>
          <w14:ligatures w14:val="none"/>
        </w:rPr>
        <w:t>Kharabian</w:t>
      </w:r>
      <w:proofErr w:type="spellEnd"/>
      <w:r w:rsidRPr="00BA17FA">
        <w:rPr>
          <w:rFonts w:ascii="Times New Roman" w:eastAsia="Times New Roman" w:hAnsi="Times New Roman" w:cs="Times New Roman"/>
          <w:kern w:val="0"/>
          <w:sz w:val="24"/>
          <w:szCs w:val="24"/>
          <w:lang w:eastAsia="en-IN"/>
          <w14:ligatures w14:val="none"/>
        </w:rPr>
        <w:t xml:space="preserve"> </w:t>
      </w:r>
      <w:proofErr w:type="spellStart"/>
      <w:r w:rsidRPr="00BA17FA">
        <w:rPr>
          <w:rFonts w:ascii="Times New Roman" w:eastAsia="Times New Roman" w:hAnsi="Times New Roman" w:cs="Times New Roman"/>
          <w:kern w:val="0"/>
          <w:sz w:val="24"/>
          <w:szCs w:val="24"/>
          <w:lang w:eastAsia="en-IN"/>
          <w14:ligatures w14:val="none"/>
        </w:rPr>
        <w:t>Masouleh</w:t>
      </w:r>
      <w:proofErr w:type="spellEnd"/>
      <w:r w:rsidRPr="00BA17FA">
        <w:rPr>
          <w:rFonts w:ascii="Times New Roman" w:eastAsia="Times New Roman" w:hAnsi="Times New Roman" w:cs="Times New Roman"/>
          <w:kern w:val="0"/>
          <w:sz w:val="24"/>
          <w:szCs w:val="24"/>
          <w:lang w:eastAsia="en-IN"/>
          <w14:ligatures w14:val="none"/>
        </w:rPr>
        <w:t xml:space="preserve">, S., </w:t>
      </w:r>
      <w:proofErr w:type="spellStart"/>
      <w:r w:rsidRPr="00BA17FA">
        <w:rPr>
          <w:rFonts w:ascii="Times New Roman" w:eastAsia="Times New Roman" w:hAnsi="Times New Roman" w:cs="Times New Roman"/>
          <w:kern w:val="0"/>
          <w:sz w:val="24"/>
          <w:szCs w:val="24"/>
          <w:lang w:eastAsia="en-IN"/>
          <w14:ligatures w14:val="none"/>
        </w:rPr>
        <w:t>Hoffstaedter</w:t>
      </w:r>
      <w:proofErr w:type="spellEnd"/>
      <w:r w:rsidRPr="00BA17FA">
        <w:rPr>
          <w:rFonts w:ascii="Times New Roman" w:eastAsia="Times New Roman" w:hAnsi="Times New Roman" w:cs="Times New Roman"/>
          <w:kern w:val="0"/>
          <w:sz w:val="24"/>
          <w:szCs w:val="24"/>
          <w:lang w:eastAsia="en-IN"/>
          <w14:ligatures w14:val="none"/>
        </w:rPr>
        <w:t xml:space="preserve">, F., Camilleri, J., </w:t>
      </w:r>
      <w:proofErr w:type="spellStart"/>
      <w:r w:rsidRPr="00BA17FA">
        <w:rPr>
          <w:rFonts w:ascii="Times New Roman" w:eastAsia="Times New Roman" w:hAnsi="Times New Roman" w:cs="Times New Roman"/>
          <w:kern w:val="0"/>
          <w:sz w:val="24"/>
          <w:szCs w:val="24"/>
          <w:lang w:eastAsia="en-IN"/>
          <w14:ligatures w14:val="none"/>
        </w:rPr>
        <w:t>Kochunov</w:t>
      </w:r>
      <w:proofErr w:type="spellEnd"/>
      <w:r w:rsidRPr="00BA17FA">
        <w:rPr>
          <w:rFonts w:ascii="Times New Roman" w:eastAsia="Times New Roman" w:hAnsi="Times New Roman" w:cs="Times New Roman"/>
          <w:kern w:val="0"/>
          <w:sz w:val="24"/>
          <w:szCs w:val="24"/>
          <w:lang w:eastAsia="en-IN"/>
          <w14:ligatures w14:val="none"/>
        </w:rPr>
        <w:t xml:space="preserve">, P., Yeo, B.T.T., Eickhoff, S.B. and Valk, S.L. (2020). The interrelation of sleep and mental and physical health is anchored in grey-matter neuroanatomy and under genetic control. </w:t>
      </w:r>
      <w:r w:rsidRPr="00BA17FA">
        <w:rPr>
          <w:rFonts w:ascii="Times New Roman" w:eastAsia="Times New Roman" w:hAnsi="Times New Roman" w:cs="Times New Roman"/>
          <w:i/>
          <w:iCs/>
          <w:kern w:val="0"/>
          <w:sz w:val="24"/>
          <w:szCs w:val="24"/>
          <w:lang w:eastAsia="en-IN"/>
          <w14:ligatures w14:val="none"/>
        </w:rPr>
        <w:t>Communications Biology</w:t>
      </w:r>
      <w:r w:rsidRPr="00BA17FA">
        <w:rPr>
          <w:rFonts w:ascii="Times New Roman" w:eastAsia="Times New Roman" w:hAnsi="Times New Roman" w:cs="Times New Roman"/>
          <w:kern w:val="0"/>
          <w:sz w:val="24"/>
          <w:szCs w:val="24"/>
          <w:lang w:eastAsia="en-IN"/>
          <w14:ligatures w14:val="none"/>
        </w:rPr>
        <w:t xml:space="preserve">, 3(1). </w:t>
      </w:r>
      <w:proofErr w:type="spellStart"/>
      <w:proofErr w:type="gramStart"/>
      <w:r w:rsidRPr="00BA17FA">
        <w:rPr>
          <w:rFonts w:ascii="Times New Roman" w:eastAsia="Times New Roman" w:hAnsi="Times New Roman" w:cs="Times New Roman"/>
          <w:kern w:val="0"/>
          <w:sz w:val="24"/>
          <w:szCs w:val="24"/>
          <w:lang w:eastAsia="en-IN"/>
          <w14:ligatures w14:val="none"/>
        </w:rPr>
        <w:t>doi:https</w:t>
      </w:r>
      <w:proofErr w:type="spellEnd"/>
      <w:r w:rsidRPr="00BA17FA">
        <w:rPr>
          <w:rFonts w:ascii="Times New Roman" w:eastAsia="Times New Roman" w:hAnsi="Times New Roman" w:cs="Times New Roman"/>
          <w:kern w:val="0"/>
          <w:sz w:val="24"/>
          <w:szCs w:val="24"/>
          <w:lang w:eastAsia="en-IN"/>
          <w14:ligatures w14:val="none"/>
        </w:rPr>
        <w:t>://doi.org/10.1038/s42003-020-0892-6</w:t>
      </w:r>
      <w:proofErr w:type="gramEnd"/>
      <w:r w:rsidRPr="00BA17FA">
        <w:rPr>
          <w:rFonts w:ascii="Times New Roman" w:eastAsia="Times New Roman" w:hAnsi="Times New Roman" w:cs="Times New Roman"/>
          <w:kern w:val="0"/>
          <w:sz w:val="24"/>
          <w:szCs w:val="24"/>
          <w:lang w:eastAsia="en-IN"/>
          <w14:ligatures w14:val="none"/>
        </w:rPr>
        <w:t>.</w:t>
      </w:r>
    </w:p>
    <w:p w14:paraId="24683D9F" w14:textId="77777777" w:rsidR="00314942" w:rsidRPr="00241F15" w:rsidRDefault="00314942" w:rsidP="009B3F6B">
      <w:pPr>
        <w:spacing w:line="360" w:lineRule="auto"/>
        <w:jc w:val="both"/>
        <w:rPr>
          <w:rFonts w:ascii="Times New Roman" w:hAnsi="Times New Roman" w:cs="Times New Roman"/>
          <w:color w:val="0D0D0D" w:themeColor="text1" w:themeTint="F2"/>
          <w:sz w:val="24"/>
          <w:szCs w:val="24"/>
        </w:rPr>
      </w:pPr>
    </w:p>
    <w:p w14:paraId="6F233700" w14:textId="77777777" w:rsidR="009B3F6B" w:rsidRPr="00241F15" w:rsidRDefault="009B3F6B" w:rsidP="009B3F6B">
      <w:pPr>
        <w:spacing w:line="360" w:lineRule="auto"/>
        <w:jc w:val="both"/>
        <w:rPr>
          <w:rFonts w:ascii="Times New Roman" w:hAnsi="Times New Roman" w:cs="Times New Roman"/>
          <w:color w:val="0D0D0D" w:themeColor="text1" w:themeTint="F2"/>
          <w:sz w:val="24"/>
          <w:szCs w:val="24"/>
        </w:rPr>
      </w:pPr>
    </w:p>
    <w:sectPr w:rsidR="009B3F6B" w:rsidRPr="00241F15" w:rsidSect="00222EED">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52A46B" w14:textId="77777777" w:rsidR="00885B1F" w:rsidRDefault="00885B1F" w:rsidP="00222EED">
      <w:pPr>
        <w:spacing w:after="0" w:line="240" w:lineRule="auto"/>
      </w:pPr>
      <w:r>
        <w:separator/>
      </w:r>
    </w:p>
  </w:endnote>
  <w:endnote w:type="continuationSeparator" w:id="0">
    <w:p w14:paraId="65BEC615" w14:textId="77777777" w:rsidR="00885B1F" w:rsidRDefault="00885B1F" w:rsidP="0022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38214" w14:textId="77777777" w:rsidR="00885B1F" w:rsidRDefault="00885B1F" w:rsidP="00222EED">
      <w:pPr>
        <w:spacing w:after="0" w:line="240" w:lineRule="auto"/>
      </w:pPr>
      <w:r>
        <w:separator/>
      </w:r>
    </w:p>
  </w:footnote>
  <w:footnote w:type="continuationSeparator" w:id="0">
    <w:p w14:paraId="40B24B18" w14:textId="77777777" w:rsidR="00885B1F" w:rsidRDefault="00885B1F" w:rsidP="00222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1514139"/>
      <w:docPartObj>
        <w:docPartGallery w:val="Page Numbers (Top of Page)"/>
        <w:docPartUnique/>
      </w:docPartObj>
    </w:sdtPr>
    <w:sdtEndPr>
      <w:rPr>
        <w:noProof/>
      </w:rPr>
    </w:sdtEndPr>
    <w:sdtContent>
      <w:p w14:paraId="639EF317" w14:textId="3D4D0ADE" w:rsidR="00222EED" w:rsidRDefault="00222EE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92178E" w14:textId="77777777" w:rsidR="00222EED" w:rsidRDefault="00222E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507"/>
    <w:rsid w:val="0012669C"/>
    <w:rsid w:val="001A548F"/>
    <w:rsid w:val="001F4803"/>
    <w:rsid w:val="00222EED"/>
    <w:rsid w:val="00241F15"/>
    <w:rsid w:val="002A2066"/>
    <w:rsid w:val="002C146D"/>
    <w:rsid w:val="00314942"/>
    <w:rsid w:val="003646BF"/>
    <w:rsid w:val="003F2C1E"/>
    <w:rsid w:val="0043144A"/>
    <w:rsid w:val="00464F52"/>
    <w:rsid w:val="005B36D6"/>
    <w:rsid w:val="00610206"/>
    <w:rsid w:val="006A0077"/>
    <w:rsid w:val="006B64E5"/>
    <w:rsid w:val="006C7D2A"/>
    <w:rsid w:val="006D01C3"/>
    <w:rsid w:val="007B7010"/>
    <w:rsid w:val="007B7ABD"/>
    <w:rsid w:val="0085328D"/>
    <w:rsid w:val="00885B1F"/>
    <w:rsid w:val="009A3684"/>
    <w:rsid w:val="009B3F6B"/>
    <w:rsid w:val="009D30A7"/>
    <w:rsid w:val="00A13CDB"/>
    <w:rsid w:val="00A415EE"/>
    <w:rsid w:val="00A44551"/>
    <w:rsid w:val="00B46DBA"/>
    <w:rsid w:val="00BA17FA"/>
    <w:rsid w:val="00BF1965"/>
    <w:rsid w:val="00C85428"/>
    <w:rsid w:val="00D51507"/>
    <w:rsid w:val="00DD6D72"/>
    <w:rsid w:val="00F31A07"/>
    <w:rsid w:val="00F5545D"/>
    <w:rsid w:val="00F97D36"/>
    <w:rsid w:val="00FC44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0890"/>
  <w15:chartTrackingRefBased/>
  <w15:docId w15:val="{DC87351D-C107-496E-B0CB-51BF66B68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B64E5"/>
    <w:pPr>
      <w:keepNext/>
      <w:keepLines/>
      <w:spacing w:before="240" w:after="0"/>
      <w:outlineLvl w:val="0"/>
    </w:pPr>
    <w:rPr>
      <w:rFonts w:ascii="Times New Roman" w:eastAsiaTheme="majorEastAsia" w:hAnsi="Times New Roman" w:cstheme="majorBidi"/>
      <w:b/>
      <w:color w:val="0D0D0D" w:themeColor="text1" w:themeTint="F2"/>
      <w:sz w:val="24"/>
      <w:szCs w:val="32"/>
    </w:rPr>
  </w:style>
  <w:style w:type="paragraph" w:styleId="Heading2">
    <w:name w:val="heading 2"/>
    <w:basedOn w:val="Normal"/>
    <w:link w:val="Heading2Char"/>
    <w:uiPriority w:val="9"/>
    <w:qFormat/>
    <w:rsid w:val="00F31A07"/>
    <w:pPr>
      <w:spacing w:before="100" w:beforeAutospacing="1" w:after="100" w:afterAutospacing="1" w:line="360" w:lineRule="auto"/>
      <w:outlineLvl w:val="1"/>
    </w:pPr>
    <w:rPr>
      <w:rFonts w:ascii="Times New Roman" w:eastAsia="Times New Roman" w:hAnsi="Times New Roman" w:cs="Times New Roman"/>
      <w:b/>
      <w:bCs/>
      <w:color w:val="000000" w:themeColor="text1"/>
      <w:sz w:val="32"/>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1A07"/>
    <w:rPr>
      <w:rFonts w:ascii="Times New Roman" w:eastAsia="Times New Roman" w:hAnsi="Times New Roman" w:cs="Times New Roman"/>
      <w:b/>
      <w:bCs/>
      <w:color w:val="000000" w:themeColor="text1"/>
      <w:sz w:val="32"/>
      <w:szCs w:val="36"/>
      <w:lang w:eastAsia="en-IN"/>
    </w:rPr>
  </w:style>
  <w:style w:type="character" w:customStyle="1" w:styleId="Heading1Char">
    <w:name w:val="Heading 1 Char"/>
    <w:basedOn w:val="DefaultParagraphFont"/>
    <w:link w:val="Heading1"/>
    <w:uiPriority w:val="9"/>
    <w:rsid w:val="006B64E5"/>
    <w:rPr>
      <w:rFonts w:ascii="Times New Roman" w:eastAsiaTheme="majorEastAsia" w:hAnsi="Times New Roman" w:cstheme="majorBidi"/>
      <w:b/>
      <w:color w:val="0D0D0D" w:themeColor="text1" w:themeTint="F2"/>
      <w:sz w:val="24"/>
      <w:szCs w:val="32"/>
    </w:rPr>
  </w:style>
  <w:style w:type="paragraph" w:styleId="NormalWeb">
    <w:name w:val="Normal (Web)"/>
    <w:basedOn w:val="Normal"/>
    <w:uiPriority w:val="99"/>
    <w:semiHidden/>
    <w:unhideWhenUsed/>
    <w:rsid w:val="00222EE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222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EED"/>
  </w:style>
  <w:style w:type="paragraph" w:styleId="Footer">
    <w:name w:val="footer"/>
    <w:basedOn w:val="Normal"/>
    <w:link w:val="FooterChar"/>
    <w:uiPriority w:val="99"/>
    <w:unhideWhenUsed/>
    <w:rsid w:val="00222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EED"/>
  </w:style>
  <w:style w:type="paragraph" w:styleId="NoSpacing">
    <w:name w:val="No Spacing"/>
    <w:link w:val="NoSpacingChar"/>
    <w:uiPriority w:val="1"/>
    <w:qFormat/>
    <w:rsid w:val="00222E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2EE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5440388">
      <w:bodyDiv w:val="1"/>
      <w:marLeft w:val="0"/>
      <w:marRight w:val="0"/>
      <w:marTop w:val="0"/>
      <w:marBottom w:val="0"/>
      <w:divBdr>
        <w:top w:val="none" w:sz="0" w:space="0" w:color="auto"/>
        <w:left w:val="none" w:sz="0" w:space="0" w:color="auto"/>
        <w:bottom w:val="none" w:sz="0" w:space="0" w:color="auto"/>
        <w:right w:val="none" w:sz="0" w:space="0" w:color="auto"/>
      </w:divBdr>
      <w:divsChild>
        <w:div w:id="346294924">
          <w:marLeft w:val="0"/>
          <w:marRight w:val="0"/>
          <w:marTop w:val="0"/>
          <w:marBottom w:val="0"/>
          <w:divBdr>
            <w:top w:val="none" w:sz="0" w:space="0" w:color="auto"/>
            <w:left w:val="none" w:sz="0" w:space="0" w:color="auto"/>
            <w:bottom w:val="none" w:sz="0" w:space="0" w:color="auto"/>
            <w:right w:val="none" w:sz="0" w:space="0" w:color="auto"/>
          </w:divBdr>
        </w:div>
      </w:divsChild>
    </w:div>
    <w:div w:id="1414084790">
      <w:bodyDiv w:val="1"/>
      <w:marLeft w:val="0"/>
      <w:marRight w:val="0"/>
      <w:marTop w:val="0"/>
      <w:marBottom w:val="0"/>
      <w:divBdr>
        <w:top w:val="none" w:sz="0" w:space="0" w:color="auto"/>
        <w:left w:val="none" w:sz="0" w:space="0" w:color="auto"/>
        <w:bottom w:val="none" w:sz="0" w:space="0" w:color="auto"/>
        <w:right w:val="none" w:sz="0" w:space="0" w:color="auto"/>
      </w:divBdr>
    </w:div>
    <w:div w:id="2046521360">
      <w:bodyDiv w:val="1"/>
      <w:marLeft w:val="0"/>
      <w:marRight w:val="0"/>
      <w:marTop w:val="0"/>
      <w:marBottom w:val="0"/>
      <w:divBdr>
        <w:top w:val="none" w:sz="0" w:space="0" w:color="auto"/>
        <w:left w:val="none" w:sz="0" w:space="0" w:color="auto"/>
        <w:bottom w:val="none" w:sz="0" w:space="0" w:color="auto"/>
        <w:right w:val="none" w:sz="0" w:space="0" w:color="auto"/>
      </w:divBdr>
      <w:divsChild>
        <w:div w:id="352001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4057</Words>
  <Characters>23129</Characters>
  <Application>Microsoft Office Word</Application>
  <DocSecurity>0</DocSecurity>
  <Lines>192</Lines>
  <Paragraphs>54</Paragraphs>
  <ScaleCrop>false</ScaleCrop>
  <Company/>
  <LinksUpToDate>false</LinksUpToDate>
  <CharactersWithSpaces>27132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Remus S</dc:creator>
  <cp:lastModifiedBy>Remus Stachie (2026367)</cp:lastModifiedBy>
  <cp:revision>4</cp:revision>
  <dcterms:created xsi:type="dcterms:W3CDTF">2024-02-29T16:25:00Z</dcterms:created>
  <dcterms:modified xsi:type="dcterms:W3CDTF">2024-02-29T16:31:00Z</dcterms:modified>
</cp:coreProperties>
</file>