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708C3" w14:textId="00B396CB" w:rsidR="009B7DDC" w:rsidRPr="009B7DDC" w:rsidRDefault="00C53503" w:rsidP="00C53503">
      <w:pPr>
        <w:spacing w:after="200" w:line="360" w:lineRule="auto"/>
        <w:rPr>
          <w:rFonts w:ascii="Times New Roman" w:eastAsia="Times New Roman" w:hAnsi="Times New Roman" w:cs="Times New Roman"/>
          <w:b/>
          <w:bCs/>
          <w:color w:val="000000"/>
          <w:kern w:val="0"/>
          <w:sz w:val="40"/>
          <w:szCs w:val="24"/>
          <w:lang w:val="en-GB"/>
          <w14:ligatures w14:val="none"/>
        </w:rPr>
      </w:pPr>
      <w:r>
        <w:rPr>
          <w:b/>
          <w:noProof/>
          <w:sz w:val="28"/>
          <w:szCs w:val="28"/>
        </w:rPr>
        <w:drawing>
          <wp:inline distT="114300" distB="114300" distL="114300" distR="114300" wp14:anchorId="04AC9FD9" wp14:editId="6D7D00DA">
            <wp:extent cx="2486025" cy="1323975"/>
            <wp:effectExtent l="0" t="0" r="0" b="0"/>
            <wp:docPr id="1" name="image1.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Text, letter&#10;&#10;Description automatically generated"/>
                    <pic:cNvPicPr preferRelativeResize="0"/>
                  </pic:nvPicPr>
                  <pic:blipFill>
                    <a:blip r:embed="rId6"/>
                    <a:srcRect/>
                    <a:stretch>
                      <a:fillRect/>
                    </a:stretch>
                  </pic:blipFill>
                  <pic:spPr>
                    <a:xfrm>
                      <a:off x="0" y="0"/>
                      <a:ext cx="2486025" cy="1323975"/>
                    </a:xfrm>
                    <a:prstGeom prst="rect">
                      <a:avLst/>
                    </a:prstGeom>
                    <a:ln/>
                  </pic:spPr>
                </pic:pic>
              </a:graphicData>
            </a:graphic>
          </wp:inline>
        </w:drawing>
      </w:r>
    </w:p>
    <w:p w14:paraId="0C081C67" w14:textId="77777777" w:rsidR="009B7DDC" w:rsidRPr="009B7DDC" w:rsidRDefault="009B7DDC" w:rsidP="009B7DDC">
      <w:pPr>
        <w:spacing w:after="200" w:line="360" w:lineRule="auto"/>
        <w:jc w:val="center"/>
        <w:rPr>
          <w:rFonts w:ascii="Times New Roman" w:eastAsia="Times New Roman" w:hAnsi="Times New Roman" w:cs="Times New Roman"/>
          <w:b/>
          <w:bCs/>
          <w:color w:val="000000"/>
          <w:kern w:val="0"/>
          <w:sz w:val="40"/>
          <w:szCs w:val="24"/>
          <w:lang w:val="en-GB"/>
          <w14:ligatures w14:val="none"/>
        </w:rPr>
      </w:pPr>
    </w:p>
    <w:p w14:paraId="2E3653B1" w14:textId="77777777" w:rsidR="009B7DDC" w:rsidRPr="009B7DDC" w:rsidRDefault="009B7DDC" w:rsidP="009B7DDC">
      <w:pPr>
        <w:spacing w:after="200" w:line="360" w:lineRule="auto"/>
        <w:jc w:val="center"/>
        <w:rPr>
          <w:rFonts w:ascii="Times New Roman" w:eastAsia="Times New Roman" w:hAnsi="Times New Roman" w:cs="Times New Roman"/>
          <w:b/>
          <w:bCs/>
          <w:color w:val="000000"/>
          <w:kern w:val="0"/>
          <w:sz w:val="40"/>
          <w:szCs w:val="24"/>
          <w:lang w:val="en-GB"/>
          <w14:ligatures w14:val="none"/>
        </w:rPr>
      </w:pPr>
    </w:p>
    <w:p w14:paraId="7AB73910" w14:textId="77777777" w:rsidR="008478A5" w:rsidRPr="00416BF9" w:rsidRDefault="008478A5" w:rsidP="008478A5">
      <w:pPr>
        <w:jc w:val="center"/>
        <w:rPr>
          <w:b/>
          <w:sz w:val="28"/>
          <w:szCs w:val="28"/>
          <w:lang w:val="en-GB" w:eastAsia="en-GB"/>
        </w:rPr>
      </w:pPr>
      <w:r w:rsidRPr="00416BF9">
        <w:rPr>
          <w:b/>
          <w:sz w:val="28"/>
          <w:szCs w:val="28"/>
          <w:lang w:val="en-GB"/>
        </w:rPr>
        <w:t>Programme: BA in Business Management</w:t>
      </w:r>
    </w:p>
    <w:p w14:paraId="1D22AC0A" w14:textId="134B6488" w:rsidR="00416BF9" w:rsidRPr="00416BF9" w:rsidRDefault="00416BF9" w:rsidP="00416BF9">
      <w:pPr>
        <w:jc w:val="center"/>
        <w:rPr>
          <w:b/>
          <w:sz w:val="28"/>
          <w:szCs w:val="28"/>
          <w:lang w:val="en-GB"/>
        </w:rPr>
      </w:pPr>
      <w:r w:rsidRPr="00416BF9">
        <w:rPr>
          <w:b/>
          <w:sz w:val="28"/>
          <w:szCs w:val="28"/>
          <w:lang w:val="en-GB"/>
        </w:rPr>
        <w:t>Module Code and Name: LCBB</w:t>
      </w:r>
      <w:r w:rsidR="00DC42D3">
        <w:rPr>
          <w:b/>
          <w:sz w:val="28"/>
          <w:szCs w:val="28"/>
          <w:lang w:val="en-GB"/>
        </w:rPr>
        <w:t>6</w:t>
      </w:r>
      <w:r w:rsidR="006B1489">
        <w:rPr>
          <w:b/>
          <w:sz w:val="28"/>
          <w:szCs w:val="28"/>
          <w:lang w:val="en-GB"/>
        </w:rPr>
        <w:t>0</w:t>
      </w:r>
      <w:r w:rsidR="00433AE9">
        <w:rPr>
          <w:b/>
          <w:sz w:val="28"/>
          <w:szCs w:val="28"/>
          <w:lang w:val="en-GB"/>
        </w:rPr>
        <w:t>0</w:t>
      </w:r>
      <w:r w:rsidR="00A823D3">
        <w:rPr>
          <w:b/>
          <w:sz w:val="28"/>
          <w:szCs w:val="28"/>
          <w:lang w:val="en-GB"/>
        </w:rPr>
        <w:t>2</w:t>
      </w:r>
      <w:r w:rsidRPr="00416BF9">
        <w:rPr>
          <w:b/>
          <w:sz w:val="28"/>
          <w:szCs w:val="28"/>
          <w:lang w:val="en-GB"/>
        </w:rPr>
        <w:t xml:space="preserve"> – </w:t>
      </w:r>
      <w:r w:rsidR="00716F66">
        <w:rPr>
          <w:b/>
          <w:sz w:val="28"/>
          <w:szCs w:val="28"/>
          <w:lang w:val="en-GB"/>
        </w:rPr>
        <w:t>International</w:t>
      </w:r>
      <w:r w:rsidR="00357B34">
        <w:rPr>
          <w:b/>
          <w:sz w:val="28"/>
          <w:szCs w:val="28"/>
          <w:lang w:val="en-GB"/>
        </w:rPr>
        <w:t xml:space="preserve"> </w:t>
      </w:r>
      <w:r w:rsidR="00D14D25">
        <w:rPr>
          <w:b/>
          <w:sz w:val="28"/>
          <w:szCs w:val="28"/>
          <w:lang w:val="en-GB"/>
        </w:rPr>
        <w:t xml:space="preserve">Financial </w:t>
      </w:r>
      <w:r w:rsidR="00743D20">
        <w:rPr>
          <w:b/>
          <w:sz w:val="28"/>
          <w:szCs w:val="28"/>
          <w:lang w:val="en-GB"/>
        </w:rPr>
        <w:t>Management</w:t>
      </w:r>
    </w:p>
    <w:p w14:paraId="3C9DB97D" w14:textId="77777777" w:rsidR="0063731A" w:rsidRPr="00843C36" w:rsidRDefault="0063731A" w:rsidP="0063731A">
      <w:pPr>
        <w:jc w:val="center"/>
        <w:rPr>
          <w:i/>
          <w:u w:val="single"/>
          <w:lang w:val="en-GB"/>
        </w:rPr>
      </w:pPr>
      <w:r w:rsidRPr="00843C36">
        <w:rPr>
          <w:i/>
          <w:u w:val="single"/>
          <w:lang w:val="en-GB"/>
        </w:rPr>
        <w:t>Assignment Title: Assessment 1</w:t>
      </w:r>
    </w:p>
    <w:p w14:paraId="39D5F982" w14:textId="77777777" w:rsidR="00843C36" w:rsidRPr="00843C36" w:rsidRDefault="00843C36" w:rsidP="00843C36">
      <w:pPr>
        <w:jc w:val="center"/>
        <w:rPr>
          <w:lang w:val="en-GB"/>
        </w:rPr>
      </w:pPr>
      <w:r w:rsidRPr="00843C36">
        <w:rPr>
          <w:lang w:val="en-GB"/>
        </w:rPr>
        <w:t>Student Name: Peter Gottschling</w:t>
      </w:r>
    </w:p>
    <w:p w14:paraId="1E2D08AE" w14:textId="27DE5846" w:rsidR="009B7DDC" w:rsidRPr="000832AF" w:rsidRDefault="000832AF" w:rsidP="000832AF">
      <w:pPr>
        <w:jc w:val="center"/>
      </w:pPr>
      <w:r>
        <w:t>Student ID: 2030897</w:t>
      </w:r>
      <w:r w:rsidR="009B7DDC" w:rsidRPr="009B7DDC">
        <w:rPr>
          <w:rFonts w:ascii="Times New Roman" w:eastAsia="Times New Roman" w:hAnsi="Times New Roman" w:cs="Times New Roman"/>
          <w:b/>
          <w:bCs/>
          <w:color w:val="000000"/>
          <w:kern w:val="0"/>
          <w:sz w:val="24"/>
          <w:szCs w:val="24"/>
          <w:lang w:val="en-GB"/>
          <w14:ligatures w14:val="none"/>
        </w:rPr>
        <w:br w:type="page"/>
      </w:r>
    </w:p>
    <w:sdt>
      <w:sdtPr>
        <w:rPr>
          <w:rFonts w:ascii="Calibri" w:eastAsia="Calibri" w:hAnsi="Calibri" w:cs="Times New Roman"/>
          <w:kern w:val="0"/>
          <w:lang w:val="en-US"/>
          <w14:ligatures w14:val="none"/>
        </w:rPr>
        <w:id w:val="865710907"/>
        <w:docPartObj>
          <w:docPartGallery w:val="Table of Contents"/>
          <w:docPartUnique/>
        </w:docPartObj>
      </w:sdtPr>
      <w:sdtContent>
        <w:p w14:paraId="40B2BB20" w14:textId="77777777" w:rsidR="009B7DDC" w:rsidRPr="009B7DDC" w:rsidRDefault="009B7DDC" w:rsidP="009B7DDC">
          <w:pPr>
            <w:keepNext/>
            <w:keepLines/>
            <w:spacing w:before="480" w:after="0" w:line="360" w:lineRule="auto"/>
            <w:jc w:val="center"/>
            <w:rPr>
              <w:rFonts w:ascii="Times New Roman" w:eastAsia="Times New Roman" w:hAnsi="Times New Roman" w:cs="Times New Roman"/>
              <w:b/>
              <w:bCs/>
              <w:color w:val="365F91"/>
              <w:kern w:val="0"/>
              <w:sz w:val="24"/>
              <w:szCs w:val="24"/>
              <w:lang w:val="en-US"/>
              <w14:ligatures w14:val="none"/>
            </w:rPr>
          </w:pPr>
          <w:r w:rsidRPr="009B7DDC">
            <w:rPr>
              <w:rFonts w:ascii="Times New Roman" w:eastAsia="Times New Roman" w:hAnsi="Times New Roman" w:cs="Times New Roman"/>
              <w:b/>
              <w:bCs/>
              <w:kern w:val="0"/>
              <w:sz w:val="28"/>
              <w:szCs w:val="24"/>
              <w:lang w:val="en-US"/>
              <w14:ligatures w14:val="none"/>
            </w:rPr>
            <w:t>Table of Contents</w:t>
          </w:r>
        </w:p>
        <w:p w14:paraId="23C19225" w14:textId="77777777" w:rsidR="009B7DDC" w:rsidRPr="009B7DDC" w:rsidRDefault="009B7DDC"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r w:rsidRPr="009B7DDC">
            <w:rPr>
              <w:rFonts w:ascii="Times New Roman" w:eastAsia="Calibri" w:hAnsi="Times New Roman" w:cs="Times New Roman"/>
              <w:kern w:val="0"/>
              <w:sz w:val="24"/>
              <w:szCs w:val="24"/>
              <w:lang w:val="en-US"/>
              <w14:ligatures w14:val="none"/>
            </w:rPr>
            <w:fldChar w:fldCharType="begin"/>
          </w:r>
          <w:r w:rsidRPr="009B7DDC">
            <w:rPr>
              <w:rFonts w:ascii="Times New Roman" w:eastAsia="Calibri" w:hAnsi="Times New Roman" w:cs="Times New Roman"/>
              <w:kern w:val="0"/>
              <w:sz w:val="24"/>
              <w:szCs w:val="24"/>
              <w:lang w:val="en-US"/>
              <w14:ligatures w14:val="none"/>
            </w:rPr>
            <w:instrText xml:space="preserve"> TOC \o "1-3" \h \z \u </w:instrText>
          </w:r>
          <w:r w:rsidRPr="009B7DDC">
            <w:rPr>
              <w:rFonts w:ascii="Times New Roman" w:eastAsia="Calibri" w:hAnsi="Times New Roman" w:cs="Times New Roman"/>
              <w:kern w:val="0"/>
              <w:sz w:val="24"/>
              <w:szCs w:val="24"/>
              <w:lang w:val="en-US"/>
              <w14:ligatures w14:val="none"/>
            </w:rPr>
            <w:fldChar w:fldCharType="separate"/>
          </w:r>
          <w:hyperlink w:anchor="_Toc143787410" w:history="1">
            <w:r w:rsidRPr="009B7DDC">
              <w:rPr>
                <w:rFonts w:ascii="Times New Roman" w:eastAsia="Times New Roman" w:hAnsi="Times New Roman" w:cs="Times New Roman"/>
                <w:noProof/>
                <w:color w:val="0000FF"/>
                <w:kern w:val="0"/>
                <w:sz w:val="24"/>
                <w:szCs w:val="24"/>
                <w:u w:val="single"/>
                <w:lang w:val="en-GB"/>
                <w14:ligatures w14:val="none"/>
              </w:rPr>
              <w:t>Introduction</w:t>
            </w:r>
            <w:r w:rsidRPr="009B7DDC">
              <w:rPr>
                <w:rFonts w:ascii="Times New Roman" w:eastAsia="Calibri" w:hAnsi="Times New Roman" w:cs="Times New Roman"/>
                <w:noProof/>
                <w:webHidden/>
                <w:kern w:val="0"/>
                <w:sz w:val="24"/>
                <w:szCs w:val="24"/>
                <w:lang w:val="en-US"/>
                <w14:ligatures w14:val="none"/>
              </w:rPr>
              <w:tab/>
            </w:r>
            <w:r w:rsidRPr="009B7DDC">
              <w:rPr>
                <w:rFonts w:ascii="Times New Roman" w:eastAsia="Calibri" w:hAnsi="Times New Roman" w:cs="Times New Roman"/>
                <w:noProof/>
                <w:webHidden/>
                <w:kern w:val="0"/>
                <w:sz w:val="24"/>
                <w:szCs w:val="24"/>
                <w:lang w:val="en-US"/>
                <w14:ligatures w14:val="none"/>
              </w:rPr>
              <w:fldChar w:fldCharType="begin"/>
            </w:r>
            <w:r w:rsidRPr="009B7DDC">
              <w:rPr>
                <w:rFonts w:ascii="Times New Roman" w:eastAsia="Calibri" w:hAnsi="Times New Roman" w:cs="Times New Roman"/>
                <w:noProof/>
                <w:webHidden/>
                <w:kern w:val="0"/>
                <w:sz w:val="24"/>
                <w:szCs w:val="24"/>
                <w:lang w:val="en-US"/>
                <w14:ligatures w14:val="none"/>
              </w:rPr>
              <w:instrText xml:space="preserve"> PAGEREF _Toc143787410 \h </w:instrText>
            </w:r>
            <w:r w:rsidRPr="009B7DDC">
              <w:rPr>
                <w:rFonts w:ascii="Times New Roman" w:eastAsia="Calibri" w:hAnsi="Times New Roman" w:cs="Times New Roman"/>
                <w:noProof/>
                <w:webHidden/>
                <w:kern w:val="0"/>
                <w:sz w:val="24"/>
                <w:szCs w:val="24"/>
                <w:lang w:val="en-US"/>
                <w14:ligatures w14:val="none"/>
              </w:rPr>
            </w:r>
            <w:r w:rsidRPr="009B7DDC">
              <w:rPr>
                <w:rFonts w:ascii="Times New Roman" w:eastAsia="Calibri" w:hAnsi="Times New Roman" w:cs="Times New Roman"/>
                <w:noProof/>
                <w:webHidden/>
                <w:kern w:val="0"/>
                <w:sz w:val="24"/>
                <w:szCs w:val="24"/>
                <w:lang w:val="en-US"/>
                <w14:ligatures w14:val="none"/>
              </w:rPr>
              <w:fldChar w:fldCharType="separate"/>
            </w:r>
            <w:r w:rsidRPr="009B7DDC">
              <w:rPr>
                <w:rFonts w:ascii="Times New Roman" w:eastAsia="Calibri" w:hAnsi="Times New Roman" w:cs="Times New Roman"/>
                <w:noProof/>
                <w:webHidden/>
                <w:kern w:val="0"/>
                <w:sz w:val="24"/>
                <w:szCs w:val="24"/>
                <w:lang w:val="en-US"/>
                <w14:ligatures w14:val="none"/>
              </w:rPr>
              <w:t>3</w:t>
            </w:r>
            <w:r w:rsidRPr="009B7DDC">
              <w:rPr>
                <w:rFonts w:ascii="Times New Roman" w:eastAsia="Calibri" w:hAnsi="Times New Roman" w:cs="Times New Roman"/>
                <w:noProof/>
                <w:webHidden/>
                <w:kern w:val="0"/>
                <w:sz w:val="24"/>
                <w:szCs w:val="24"/>
                <w:lang w:val="en-US"/>
                <w14:ligatures w14:val="none"/>
              </w:rPr>
              <w:fldChar w:fldCharType="end"/>
            </w:r>
          </w:hyperlink>
        </w:p>
        <w:p w14:paraId="54104EE9"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1" w:history="1">
            <w:r w:rsidR="009B7DDC" w:rsidRPr="009B7DDC">
              <w:rPr>
                <w:rFonts w:ascii="Times New Roman" w:eastAsia="Times New Roman" w:hAnsi="Times New Roman" w:cs="Times New Roman"/>
                <w:noProof/>
                <w:color w:val="0000FF"/>
                <w:kern w:val="0"/>
                <w:sz w:val="24"/>
                <w:szCs w:val="24"/>
                <w:u w:val="single"/>
                <w:lang w:val="en-GB"/>
                <w14:ligatures w14:val="none"/>
              </w:rPr>
              <w:t>Importance of International Financial Management</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_Toc143787411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3</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10B026B3"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2" w:history="1">
            <w:r w:rsidR="009B7DDC" w:rsidRPr="009B7DDC">
              <w:rPr>
                <w:rFonts w:ascii="Times New Roman" w:eastAsia="Times New Roman" w:hAnsi="Times New Roman" w:cs="Times New Roman"/>
                <w:noProof/>
                <w:color w:val="0000FF"/>
                <w:kern w:val="0"/>
                <w:sz w:val="24"/>
                <w:szCs w:val="24"/>
                <w:u w:val="single"/>
                <w:lang w:val="en-GB"/>
                <w14:ligatures w14:val="none"/>
              </w:rPr>
              <w:t>Challenges in International Financial Markets</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_Toc143787412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4</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50C963A3"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3" w:history="1">
            <w:r w:rsidR="009B7DDC" w:rsidRPr="009B7DDC">
              <w:rPr>
                <w:rFonts w:ascii="Times New Roman" w:eastAsia="Times New Roman" w:hAnsi="Times New Roman" w:cs="Times New Roman"/>
                <w:noProof/>
                <w:color w:val="0000FF"/>
                <w:kern w:val="0"/>
                <w:sz w:val="24"/>
                <w:szCs w:val="24"/>
                <w:u w:val="single"/>
                <w:lang w:val="en-GB"/>
                <w14:ligatures w14:val="none"/>
              </w:rPr>
              <w:t>Dividend Distribution Policy</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_Toc143787413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5</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59005069"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4" w:history="1">
            <w:r w:rsidR="009B7DDC" w:rsidRPr="009B7DDC">
              <w:rPr>
                <w:rFonts w:ascii="Times New Roman" w:eastAsia="Times New Roman" w:hAnsi="Times New Roman" w:cs="Times New Roman"/>
                <w:noProof/>
                <w:color w:val="0000FF"/>
                <w:kern w:val="0"/>
                <w:sz w:val="24"/>
                <w:szCs w:val="24"/>
                <w:u w:val="single"/>
                <w:lang w:val="en-GB"/>
                <w14:ligatures w14:val="none"/>
              </w:rPr>
              <w:t>Efficient Market Hypothesis and Tesco</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_Toc143787414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5</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7C19B112"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5" w:history="1">
            <w:r w:rsidR="009B7DDC" w:rsidRPr="009B7DDC">
              <w:rPr>
                <w:rFonts w:ascii="Times New Roman" w:eastAsia="Times New Roman" w:hAnsi="Times New Roman" w:cs="Times New Roman"/>
                <w:noProof/>
                <w:color w:val="0000FF"/>
                <w:kern w:val="0"/>
                <w:sz w:val="24"/>
                <w:szCs w:val="24"/>
                <w:u w:val="single"/>
                <w:lang w:val="en-GB"/>
                <w14:ligatures w14:val="none"/>
              </w:rPr>
              <w:t>Project Appraisal Methods</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_Toc143787415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6</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00AAF315"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6" w:history="1">
            <w:r w:rsidR="009B7DDC" w:rsidRPr="009B7DDC">
              <w:rPr>
                <w:rFonts w:ascii="Times New Roman" w:eastAsia="Times New Roman" w:hAnsi="Times New Roman" w:cs="Times New Roman"/>
                <w:noProof/>
                <w:color w:val="0000FF"/>
                <w:kern w:val="0"/>
                <w:sz w:val="24"/>
                <w:szCs w:val="24"/>
                <w:u w:val="single"/>
                <w:lang w:val="en-GB"/>
                <w14:ligatures w14:val="none"/>
              </w:rPr>
              <w:t>Conclusion</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_Toc143787416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7</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393C23B4" w14:textId="77777777" w:rsidR="009B7DDC" w:rsidRPr="009B7DDC" w:rsidRDefault="00000000" w:rsidP="009B7DDC">
          <w:pPr>
            <w:tabs>
              <w:tab w:val="right" w:leader="dot" w:pos="9350"/>
            </w:tabs>
            <w:spacing w:after="100" w:line="360" w:lineRule="auto"/>
            <w:jc w:val="both"/>
            <w:rPr>
              <w:rFonts w:ascii="Times New Roman" w:eastAsia="Calibri" w:hAnsi="Times New Roman" w:cs="Times New Roman"/>
              <w:noProof/>
              <w:kern w:val="0"/>
              <w:sz w:val="24"/>
              <w:szCs w:val="24"/>
              <w:lang w:val="en-US"/>
              <w14:ligatures w14:val="none"/>
            </w:rPr>
          </w:pPr>
          <w:hyperlink w:anchor="_Toc143787417" w:history="1">
            <w:r w:rsidR="009B7DDC" w:rsidRPr="009B7DDC">
              <w:rPr>
                <w:rFonts w:ascii="Times New Roman" w:eastAsia="Times New Roman" w:hAnsi="Times New Roman" w:cs="Times New Roman"/>
                <w:noProof/>
                <w:color w:val="0000FF"/>
                <w:kern w:val="0"/>
                <w:sz w:val="24"/>
                <w:szCs w:val="24"/>
                <w:u w:val="single"/>
                <w:lang w:val="en-GB"/>
                <w14:ligatures w14:val="none"/>
              </w:rPr>
              <w:t>References</w:t>
            </w:r>
            <w:r w:rsidR="009B7DDC" w:rsidRPr="009B7DDC">
              <w:rPr>
                <w:rFonts w:ascii="Times New Roman" w:eastAsia="Calibri" w:hAnsi="Times New Roman" w:cs="Times New Roman"/>
                <w:noProof/>
                <w:webHidden/>
                <w:kern w:val="0"/>
                <w:sz w:val="24"/>
                <w:szCs w:val="24"/>
                <w:lang w:val="en-US"/>
                <w14:ligatures w14:val="none"/>
              </w:rPr>
              <w:tab/>
            </w:r>
            <w:r w:rsidR="009B7DDC" w:rsidRPr="009B7DDC">
              <w:rPr>
                <w:rFonts w:ascii="Times New Roman" w:eastAsia="Calibri" w:hAnsi="Times New Roman" w:cs="Times New Roman"/>
                <w:noProof/>
                <w:webHidden/>
                <w:kern w:val="0"/>
                <w:sz w:val="24"/>
                <w:szCs w:val="24"/>
                <w:lang w:val="en-US"/>
                <w14:ligatures w14:val="none"/>
              </w:rPr>
              <w:fldChar w:fldCharType="begin"/>
            </w:r>
            <w:r w:rsidR="009B7DDC" w:rsidRPr="009B7DDC">
              <w:rPr>
                <w:rFonts w:ascii="Times New Roman" w:eastAsia="Calibri" w:hAnsi="Times New Roman" w:cs="Times New Roman"/>
                <w:noProof/>
                <w:webHidden/>
                <w:kern w:val="0"/>
                <w:sz w:val="24"/>
                <w:szCs w:val="24"/>
                <w:lang w:val="en-US"/>
                <w14:ligatures w14:val="none"/>
              </w:rPr>
              <w:instrText xml:space="preserve"> PAGEREF _Toc143787417 \h </w:instrText>
            </w:r>
            <w:r w:rsidR="009B7DDC" w:rsidRPr="009B7DDC">
              <w:rPr>
                <w:rFonts w:ascii="Times New Roman" w:eastAsia="Calibri" w:hAnsi="Times New Roman" w:cs="Times New Roman"/>
                <w:noProof/>
                <w:webHidden/>
                <w:kern w:val="0"/>
                <w:sz w:val="24"/>
                <w:szCs w:val="24"/>
                <w:lang w:val="en-US"/>
                <w14:ligatures w14:val="none"/>
              </w:rPr>
            </w:r>
            <w:r w:rsidR="009B7DDC" w:rsidRPr="009B7DDC">
              <w:rPr>
                <w:rFonts w:ascii="Times New Roman" w:eastAsia="Calibri" w:hAnsi="Times New Roman" w:cs="Times New Roman"/>
                <w:noProof/>
                <w:webHidden/>
                <w:kern w:val="0"/>
                <w:sz w:val="24"/>
                <w:szCs w:val="24"/>
                <w:lang w:val="en-US"/>
                <w14:ligatures w14:val="none"/>
              </w:rPr>
              <w:fldChar w:fldCharType="separate"/>
            </w:r>
            <w:r w:rsidR="009B7DDC" w:rsidRPr="009B7DDC">
              <w:rPr>
                <w:rFonts w:ascii="Times New Roman" w:eastAsia="Calibri" w:hAnsi="Times New Roman" w:cs="Times New Roman"/>
                <w:noProof/>
                <w:webHidden/>
                <w:kern w:val="0"/>
                <w:sz w:val="24"/>
                <w:szCs w:val="24"/>
                <w:lang w:val="en-US"/>
                <w14:ligatures w14:val="none"/>
              </w:rPr>
              <w:t>8</w:t>
            </w:r>
            <w:r w:rsidR="009B7DDC" w:rsidRPr="009B7DDC">
              <w:rPr>
                <w:rFonts w:ascii="Times New Roman" w:eastAsia="Calibri" w:hAnsi="Times New Roman" w:cs="Times New Roman"/>
                <w:noProof/>
                <w:webHidden/>
                <w:kern w:val="0"/>
                <w:sz w:val="24"/>
                <w:szCs w:val="24"/>
                <w:lang w:val="en-US"/>
                <w14:ligatures w14:val="none"/>
              </w:rPr>
              <w:fldChar w:fldCharType="end"/>
            </w:r>
          </w:hyperlink>
        </w:p>
        <w:p w14:paraId="53327746" w14:textId="77777777" w:rsidR="009B7DDC" w:rsidRPr="009B7DDC" w:rsidRDefault="009B7DDC" w:rsidP="009B7DDC">
          <w:pPr>
            <w:spacing w:after="200" w:line="360" w:lineRule="auto"/>
            <w:jc w:val="both"/>
            <w:rPr>
              <w:rFonts w:ascii="Calibri" w:eastAsia="Calibri" w:hAnsi="Calibri" w:cs="Times New Roman"/>
              <w:kern w:val="0"/>
              <w:lang w:val="en-US"/>
              <w14:ligatures w14:val="none"/>
            </w:rPr>
          </w:pPr>
          <w:r w:rsidRPr="009B7DDC">
            <w:rPr>
              <w:rFonts w:ascii="Times New Roman" w:eastAsia="Calibri" w:hAnsi="Times New Roman" w:cs="Times New Roman"/>
              <w:kern w:val="0"/>
              <w:sz w:val="24"/>
              <w:szCs w:val="24"/>
              <w:lang w:val="en-US"/>
              <w14:ligatures w14:val="none"/>
            </w:rPr>
            <w:fldChar w:fldCharType="end"/>
          </w:r>
        </w:p>
      </w:sdtContent>
    </w:sdt>
    <w:p w14:paraId="5216974A" w14:textId="77777777" w:rsidR="009B7DDC" w:rsidRPr="009B7DDC" w:rsidRDefault="009B7DDC" w:rsidP="009B7DDC">
      <w:pPr>
        <w:spacing w:after="200" w:line="360" w:lineRule="auto"/>
        <w:rPr>
          <w:rFonts w:ascii="Times New Roman" w:eastAsia="Times New Roman" w:hAnsi="Times New Roman" w:cs="Times New Roman"/>
          <w:b/>
          <w:bCs/>
          <w:color w:val="000000"/>
          <w:kern w:val="0"/>
          <w:sz w:val="24"/>
          <w:szCs w:val="24"/>
          <w:lang w:val="en-GB"/>
          <w14:ligatures w14:val="none"/>
        </w:rPr>
      </w:pPr>
      <w:r w:rsidRPr="009B7DDC">
        <w:rPr>
          <w:rFonts w:ascii="Times New Roman" w:eastAsia="Times New Roman" w:hAnsi="Times New Roman" w:cs="Times New Roman"/>
          <w:b/>
          <w:bCs/>
          <w:color w:val="000000"/>
          <w:kern w:val="0"/>
          <w:sz w:val="24"/>
          <w:szCs w:val="24"/>
          <w:lang w:val="en-GB"/>
          <w14:ligatures w14:val="none"/>
        </w:rPr>
        <w:br w:type="page"/>
      </w:r>
    </w:p>
    <w:p w14:paraId="47B6CA13"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0" w:name="_Toc143787410"/>
      <w:r w:rsidRPr="009B7DDC">
        <w:rPr>
          <w:rFonts w:ascii="Times New Roman" w:eastAsia="Times New Roman" w:hAnsi="Times New Roman" w:cs="Times New Roman"/>
          <w:b/>
          <w:bCs/>
          <w:kern w:val="0"/>
          <w:sz w:val="28"/>
          <w:szCs w:val="28"/>
          <w:lang w:val="en-GB"/>
          <w14:ligatures w14:val="none"/>
        </w:rPr>
        <w:lastRenderedPageBreak/>
        <w:t>Introduction</w:t>
      </w:r>
      <w:bookmarkEnd w:id="0"/>
    </w:p>
    <w:p w14:paraId="4A730CB9"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The report's focus on Tesco as a global organisation and the importance of international financial management (IFM) for its operations are summarised in the introduction. The significance of successful IFM is highlighted by Tesco's position as a worldwide leader in retail and its intricate financial dealings across several foreign marketplaces. In-depth analyses of Tesco's dividend policy, the corporation's use of the Efficient Market Hypothesis theory in its operations, and its project assessment procedures are covered in this paper. The research attempts to shed light on the crucial part IFM plays in Tesco's performance within the changing global business landscape through these assessments.</w:t>
      </w:r>
    </w:p>
    <w:p w14:paraId="3ABBFC89"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1" w:name="_Toc143787411"/>
      <w:r w:rsidRPr="009B7DDC">
        <w:rPr>
          <w:rFonts w:ascii="Times New Roman" w:eastAsia="Times New Roman" w:hAnsi="Times New Roman" w:cs="Times New Roman"/>
          <w:b/>
          <w:bCs/>
          <w:kern w:val="0"/>
          <w:sz w:val="28"/>
          <w:szCs w:val="28"/>
          <w:lang w:val="en-GB"/>
          <w14:ligatures w14:val="none"/>
        </w:rPr>
        <w:t>Importance of International Financial Management</w:t>
      </w:r>
      <w:bookmarkEnd w:id="1"/>
    </w:p>
    <w:p w14:paraId="58D3D9C0"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In the operations of multinational firms like Tesco, international financial management (IFM) is essential. Tesco's significant worldwide footprint presents a variety of financial possibilities and problems that necessitate cross-border strategic financial management.</w:t>
      </w:r>
    </w:p>
    <w:p w14:paraId="52558D9D"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The importance of IFM for Tesco is mostly due to its role in risk management. Tesco's global operations subject company to a range of financial risks, such as exchange rate fluctuations, interest rate changes, and political ambiguity. Tesco's ability to efficiently deploy hedging techniques is made possible by IFM. By doing this, the business may maintain its financial stability and steady profitability in spite of erratic market conditions (Brealey, Myers, and Marcus, 2019). Another key area where IFM demonstrates its value for Tesco is in capital allocation. Tesco must decide where to put its resources wisely given the wide range of investment possibilities that exist across several nations. IFM supports Tesco in the evaluation of prospective initiatives, taking into account elements like estimated returns, related risks, and market circumstances. By doing this, the business makes sure that its resource allocation maximises shareholder value.</w:t>
      </w:r>
    </w:p>
    <w:p w14:paraId="3726AB55"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 xml:space="preserve">Tesco's extensive global activities need a variety of financial sources. IFM assists Tesco in selecting the best financing choices, such as joint ventures, share sales, or debt issues, while taking market circumstances and regulatory requirements into consideration. Tesco will be able to swiftly and effectively raise the necessary funds thanks to its strategic approach to finance. Tesco's profitability may be considerably impacted by international tax legislation. IFM enters the picture by enabling Tesco to organise its activities and transactions in a tax-effective way (Damodaran, 2019). In addition to reducing the tax burden, this also assures adherence to regional tax regulations </w:t>
      </w:r>
      <w:r w:rsidRPr="009B7DDC">
        <w:rPr>
          <w:rFonts w:ascii="Times New Roman" w:eastAsia="Times New Roman" w:hAnsi="Times New Roman" w:cs="Times New Roman"/>
          <w:color w:val="000000"/>
          <w:kern w:val="0"/>
          <w:sz w:val="24"/>
          <w:szCs w:val="24"/>
          <w:lang w:val="en-GB"/>
          <w14:ligatures w14:val="none"/>
        </w:rPr>
        <w:lastRenderedPageBreak/>
        <w:t>and international treaties. Additionally, IFM helps Tesco create consolidated financial statements that follow a number of different foreign accounting standards. This improves comparability and openness for stakeholders, allowing them to judge Tesco's financial performance across other markets.</w:t>
      </w:r>
    </w:p>
    <w:p w14:paraId="6187B9EA"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2" w:name="_Toc143787412"/>
      <w:r w:rsidRPr="009B7DDC">
        <w:rPr>
          <w:rFonts w:ascii="Times New Roman" w:eastAsia="Times New Roman" w:hAnsi="Times New Roman" w:cs="Times New Roman"/>
          <w:b/>
          <w:bCs/>
          <w:kern w:val="0"/>
          <w:sz w:val="28"/>
          <w:szCs w:val="28"/>
          <w:lang w:val="en-GB"/>
          <w14:ligatures w14:val="none"/>
        </w:rPr>
        <w:t>Challenges in International Financial Markets</w:t>
      </w:r>
      <w:bookmarkEnd w:id="2"/>
    </w:p>
    <w:p w14:paraId="2EF41E46"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Tesco, a worldwide firm, has a variety of difficulties while trading on multiple global financial markets. These difficulties result from the complex interactions of various political, legal, and economic aspects across the nations where the organisation conducts business. Foreign exchange risk, which results from exposure to changing currency exchange rates, is a major issue. Tesco's financial performance can be strongly impacted by the fluctuating value of currencies, which can have an effect on earnings, cash flows, and the valuation of assets and liabilities (Eun, and Resnick, 2018). Tesco uses hedging techniques to protect against this risk and guarantee stable financial results.</w:t>
      </w:r>
    </w:p>
    <w:p w14:paraId="663A3C38"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Political and regulatory risk, which results from the various governmental and regulatory contexts throughout the world, is another significant problem. Regulation changes, changes in tax laws, and changes in political power can all affect how Tesco operates. Election-related or geopolitical tension-related uncertainty might have an impact on market conditions and consumer behaviour. Tesco must successfully navigate these dangers by keeping a close eye on the political situation throughout the world and modifying its tactics as necessary. Another challenge is posed by market risk (Bodie, Kane, and Marcus, 2018). Tesco is exposed to hazards particular to the markets it participates in. These include adjustments in market dynamics, changes in customer tastes, and economic downturns. For instance, the effects of economic downturns or changes in consumer purchasing patterns may have a direct influence on Tesco's sales and profitability. The organisation must continuously monitor and analyse market circumstances in order to quickly modify its tactics in reaction to changing trends.</w:t>
      </w:r>
    </w:p>
    <w:p w14:paraId="6325138C"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3" w:name="_Toc143787413"/>
      <w:r w:rsidRPr="009B7DDC">
        <w:rPr>
          <w:rFonts w:ascii="Times New Roman" w:eastAsia="Times New Roman" w:hAnsi="Times New Roman" w:cs="Times New Roman"/>
          <w:b/>
          <w:bCs/>
          <w:kern w:val="0"/>
          <w:sz w:val="28"/>
          <w:szCs w:val="28"/>
          <w:lang w:val="en-GB"/>
          <w14:ligatures w14:val="none"/>
        </w:rPr>
        <w:t>Dividend Distribution Policy</w:t>
      </w:r>
      <w:bookmarkEnd w:id="3"/>
    </w:p>
    <w:p w14:paraId="206BCE95"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 xml:space="preserve">Tesco's dividend distribution policy is a key component of its financial management strategy since it has a significant impact on shareholder value and sends important messages about the health of </w:t>
      </w:r>
      <w:r w:rsidRPr="009B7DDC">
        <w:rPr>
          <w:rFonts w:ascii="Times New Roman" w:eastAsia="Times New Roman" w:hAnsi="Times New Roman" w:cs="Times New Roman"/>
          <w:color w:val="000000"/>
          <w:kern w:val="0"/>
          <w:sz w:val="24"/>
          <w:szCs w:val="24"/>
          <w:lang w:val="en-GB"/>
          <w14:ligatures w14:val="none"/>
        </w:rPr>
        <w:lastRenderedPageBreak/>
        <w:t>the company's finances. A synthesis of elements and theories central to the field of international financial management shapes this policy. The Dividend Relevance Model, a notion that dividends have a real effect on shareholder wealth and influence investment decisions, is at the heart of Tesco's dividend policy (Saunders, and Cornett, 2018). When it comes to Tesco, the choice of how to divide resources between paying out dividends and keeping revenues for future investment is the result of a detailed analysis of shareholder preferences that takes into account the appeal of current income vs. the possibility of capital appreciation. A well adjusted dividend policy can draw in investors looking for steady income and even raise the stock price of Tesco.</w:t>
      </w:r>
    </w:p>
    <w:p w14:paraId="62E0F31B"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Furthermore, Tesco's dividend decisions are greatly influenced by the Signalling Hypothesis. According to this theory, a firm may convey its financial stability and development potential to investors and the larger stakeholder community by adjusting its dividend. A steady or growing dividend stream sends a good message and expresses Tesco's confidence in future earnings stability (Graham, Smart, and Megginson, 2019). On the other hand, a rapid drop in dividends can be seen as an indication of trouble or uncertainty with money. The decisions Tesco made in establishing its dividend policy successfully communicate critical information to the market.</w:t>
      </w:r>
    </w:p>
    <w:p w14:paraId="6ADB4FDD"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4" w:name="_Toc143787414"/>
      <w:r w:rsidRPr="009B7DDC">
        <w:rPr>
          <w:rFonts w:ascii="Times New Roman" w:eastAsia="Times New Roman" w:hAnsi="Times New Roman" w:cs="Times New Roman"/>
          <w:b/>
          <w:bCs/>
          <w:kern w:val="0"/>
          <w:sz w:val="28"/>
          <w:szCs w:val="28"/>
          <w:lang w:val="en-GB"/>
          <w14:ligatures w14:val="none"/>
        </w:rPr>
        <w:t>Efficient Market Hypothesis and Tesco</w:t>
      </w:r>
      <w:bookmarkEnd w:id="4"/>
    </w:p>
    <w:p w14:paraId="7A93B131"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According to the Efficient Market Hypothesis (EMH), all available information is quickly assimilated into asset values by financial markets, making it difficult for investors to continuously beat the market through superior research or timing. Tesco's stock prices appear to represent all relevant public information when viewed in the context of the EMH, indicating that the market price is an accurate reflection of Tesco's intrinsic worth. The semi-strong variant of the EMH is particularly pertinent to Tesco's activities (Brigham, and Ehrhardt, 2020). This model assumes that stock prices react quickly to information that is made publicly accessible, such as financial reports, press releases, and other pertinent information. Tesco's stock prices are influenced by the firm's financial performance, strategic pronouncements, and market sentiment, and its stock valuation is updated as soon as these developments are known.</w:t>
      </w:r>
    </w:p>
    <w:p w14:paraId="0F0191D3"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 xml:space="preserve">The relationship between Tesco's stock prices and information distribution is demonstrated by empirical research (Ross </w:t>
      </w:r>
      <w:r w:rsidRPr="009B7DDC">
        <w:rPr>
          <w:rFonts w:ascii="Times New Roman" w:eastAsia="Times New Roman" w:hAnsi="Times New Roman" w:cs="Times New Roman"/>
          <w:i/>
          <w:iCs/>
          <w:color w:val="000000"/>
          <w:kern w:val="0"/>
          <w:sz w:val="24"/>
          <w:szCs w:val="24"/>
          <w:lang w:val="en-GB"/>
          <w14:ligatures w14:val="none"/>
        </w:rPr>
        <w:t xml:space="preserve">et al. </w:t>
      </w:r>
      <w:r w:rsidRPr="009B7DDC">
        <w:rPr>
          <w:rFonts w:ascii="Times New Roman" w:eastAsia="Times New Roman" w:hAnsi="Times New Roman" w:cs="Times New Roman"/>
          <w:color w:val="000000"/>
          <w:kern w:val="0"/>
          <w:sz w:val="24"/>
          <w:szCs w:val="24"/>
          <w:lang w:val="en-GB"/>
          <w14:ligatures w14:val="none"/>
        </w:rPr>
        <w:t xml:space="preserve">2019). For instance, the market responds quickly when Tesco announces its quarterly financial data, producing changes in stock prices that reflect the disclosed financial performance. Similar to how substantial news about Tesco's strategic choices or market </w:t>
      </w:r>
      <w:r w:rsidRPr="009B7DDC">
        <w:rPr>
          <w:rFonts w:ascii="Times New Roman" w:eastAsia="Times New Roman" w:hAnsi="Times New Roman" w:cs="Times New Roman"/>
          <w:color w:val="000000"/>
          <w:kern w:val="0"/>
          <w:sz w:val="24"/>
          <w:szCs w:val="24"/>
          <w:lang w:val="en-GB"/>
          <w14:ligatures w14:val="none"/>
        </w:rPr>
        <w:lastRenderedPageBreak/>
        <w:t>dynamics typically causes quick changes in stock prices, underlining the market's somewhat good efficiency. </w:t>
      </w:r>
    </w:p>
    <w:p w14:paraId="4A440A38"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5" w:name="_Toc143787415"/>
      <w:r w:rsidRPr="009B7DDC">
        <w:rPr>
          <w:rFonts w:ascii="Times New Roman" w:eastAsia="Times New Roman" w:hAnsi="Times New Roman" w:cs="Times New Roman"/>
          <w:b/>
          <w:bCs/>
          <w:kern w:val="0"/>
          <w:sz w:val="28"/>
          <w:szCs w:val="28"/>
          <w:lang w:val="en-GB"/>
          <w14:ligatures w14:val="none"/>
        </w:rPr>
        <w:t>Project Appraisal Methods</w:t>
      </w:r>
      <w:bookmarkEnd w:id="5"/>
    </w:p>
    <w:p w14:paraId="2F48D385"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Tesco uses a variety of project assessment techniques to assess the profitability of its overseas business endeavours. These techniques are crucial to Tesco's decision-making process since they enable effective resource allocation and guarantee capital utilisation. The Net Present Value (NPV) approach stands out among the others. By estimating the present value of anticipated cash flows and discounting them at a set rate, NPV evaluates an investment's viability (Moyer, McGuigan, and Rao, 2018). Tesco assesses possible projects using NPV and gives priority to those that have positive NPV, which shows that the project's predicted profits outweigh its expenses. Another essential tactic employed by Tesco is internal rate of return (IRR). The discount rate at which the project's net present value drops to zero is determined by IRR. Projects are considered favourable when their IRR is higher than their cost of capital, indicating a possibility for value generation.</w:t>
      </w:r>
    </w:p>
    <w:p w14:paraId="17E7729B"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Tesco also uses the Capital Asset Pricing Model (CAPM) to determine the needed rates of return for projects. By taking into account the project's beta, the current risk-free rate, and the market risk premium, CAPM evaluates risk (Moyer, McGuigan, and Rao, 2018). Tesco may match project profits with related risks using this technique, resulting in wise investment choices. Empirical data demonstrate Tesco's skillful application of these techniques in its project review. For instance, the business's development into a variety of markets demonstrates its ability to find projects with a favourable NPV and appropriate IRRs. The success of these endeavours demonstrates Tesco's skill in capital allocation efficiency and in maximising shareholder value via careful project evaluation.</w:t>
      </w:r>
    </w:p>
    <w:p w14:paraId="25245D42"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6" w:name="_Toc143787416"/>
      <w:r w:rsidRPr="009B7DDC">
        <w:rPr>
          <w:rFonts w:ascii="Times New Roman" w:eastAsia="Times New Roman" w:hAnsi="Times New Roman" w:cs="Times New Roman"/>
          <w:b/>
          <w:bCs/>
          <w:kern w:val="0"/>
          <w:sz w:val="28"/>
          <w:szCs w:val="28"/>
          <w:lang w:val="en-GB"/>
          <w14:ligatures w14:val="none"/>
        </w:rPr>
        <w:t>Conclusion</w:t>
      </w:r>
      <w:bookmarkEnd w:id="6"/>
    </w:p>
    <w:p w14:paraId="7F1A623F"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 xml:space="preserve">Tesco's involvement in global financial management is essential to its success in the world of retail. The company's skilful handling of difficulties in various financial markets, together with its knowledgeable dividend distribution strategy that is in line with shareholder wishes, underlines its dedication to wealth development. The Efficient Market Hypothesis' application also emphasises how quickly information enters stock prices. Tesco's exacting project evaluation procedures are another example of how it takes a strategic approach to resource allocation. Tesco is a prime </w:t>
      </w:r>
      <w:r w:rsidRPr="009B7DDC">
        <w:rPr>
          <w:rFonts w:ascii="Times New Roman" w:eastAsia="Times New Roman" w:hAnsi="Times New Roman" w:cs="Times New Roman"/>
          <w:color w:val="000000"/>
          <w:kern w:val="0"/>
          <w:sz w:val="24"/>
          <w:szCs w:val="24"/>
          <w:lang w:val="en-GB"/>
          <w14:ligatures w14:val="none"/>
        </w:rPr>
        <w:lastRenderedPageBreak/>
        <w:t>example of how theory and practise in international financial management interact intricately, guaranteeing its resilience and profitability on a worldwide scale.</w:t>
      </w:r>
    </w:p>
    <w:p w14:paraId="323810B6" w14:textId="77777777" w:rsidR="009B7DDC" w:rsidRPr="009B7DDC" w:rsidRDefault="009B7DDC" w:rsidP="009B7DDC">
      <w:pPr>
        <w:spacing w:after="200" w:line="360" w:lineRule="auto"/>
        <w:rPr>
          <w:rFonts w:ascii="Times New Roman" w:eastAsia="Times New Roman" w:hAnsi="Times New Roman" w:cs="Times New Roman"/>
          <w:b/>
          <w:bCs/>
          <w:color w:val="000000"/>
          <w:kern w:val="0"/>
          <w:sz w:val="24"/>
          <w:szCs w:val="24"/>
          <w:lang w:val="en-GB"/>
          <w14:ligatures w14:val="none"/>
        </w:rPr>
      </w:pPr>
      <w:r w:rsidRPr="009B7DDC">
        <w:rPr>
          <w:rFonts w:ascii="Times New Roman" w:eastAsia="Times New Roman" w:hAnsi="Times New Roman" w:cs="Times New Roman"/>
          <w:b/>
          <w:bCs/>
          <w:color w:val="000000"/>
          <w:kern w:val="0"/>
          <w:sz w:val="24"/>
          <w:szCs w:val="24"/>
          <w:lang w:val="en-GB"/>
          <w14:ligatures w14:val="none"/>
        </w:rPr>
        <w:br w:type="page"/>
      </w:r>
    </w:p>
    <w:p w14:paraId="2BE5D97B" w14:textId="77777777" w:rsidR="009B7DDC" w:rsidRPr="009B7DDC" w:rsidRDefault="009B7DDC" w:rsidP="009B7DDC">
      <w:pPr>
        <w:keepNext/>
        <w:keepLines/>
        <w:spacing w:before="480" w:after="0" w:line="360" w:lineRule="auto"/>
        <w:outlineLvl w:val="0"/>
        <w:rPr>
          <w:rFonts w:ascii="Times New Roman" w:eastAsia="Times New Roman" w:hAnsi="Times New Roman" w:cs="Times New Roman"/>
          <w:b/>
          <w:bCs/>
          <w:kern w:val="0"/>
          <w:sz w:val="28"/>
          <w:szCs w:val="28"/>
          <w:lang w:val="en-GB"/>
          <w14:ligatures w14:val="none"/>
        </w:rPr>
      </w:pPr>
      <w:bookmarkStart w:id="7" w:name="_Toc143787417"/>
      <w:r w:rsidRPr="009B7DDC">
        <w:rPr>
          <w:rFonts w:ascii="Times New Roman" w:eastAsia="Times New Roman" w:hAnsi="Times New Roman" w:cs="Times New Roman"/>
          <w:b/>
          <w:bCs/>
          <w:kern w:val="0"/>
          <w:sz w:val="28"/>
          <w:szCs w:val="28"/>
          <w:lang w:val="en-GB"/>
          <w14:ligatures w14:val="none"/>
        </w:rPr>
        <w:lastRenderedPageBreak/>
        <w:t>References</w:t>
      </w:r>
      <w:bookmarkEnd w:id="7"/>
    </w:p>
    <w:p w14:paraId="2BD5027A"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Bodie, Z., Kane, A., and Marcus, A. (2018). Investments. McGraw-Hill Education.</w:t>
      </w:r>
    </w:p>
    <w:p w14:paraId="25CCBE0A"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Brealey, R. A., Myers, S. C., and Marcus, A. J. (2019). Fundamentals of corporate finance. McGraw-Hill Education.</w:t>
      </w:r>
    </w:p>
    <w:p w14:paraId="3AA3568E"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Brigham, E. F., and Ehrhardt, M. C. (2020). Financial management: Theory and practice. Cengage Learning.</w:t>
      </w:r>
    </w:p>
    <w:p w14:paraId="273C6605"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Damodaran, A. (2019). The dark side of valuation: Valuing young, distressed, and complex businesses. Pearson.</w:t>
      </w:r>
    </w:p>
    <w:p w14:paraId="53229EE3"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Eun, C., and Resnick, B. (2018). International financial management. McGraw-Hill Education.</w:t>
      </w:r>
    </w:p>
    <w:p w14:paraId="723658D5"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Graham, J. R., Smart, S. B., and Megginson, W. L. (2019). Corporate finance: Linking theory to what companies do. Cengage Learning.</w:t>
      </w:r>
    </w:p>
    <w:p w14:paraId="29FAD293"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Madura, J. (2018). International financial management. Cengage Learning.</w:t>
      </w:r>
    </w:p>
    <w:p w14:paraId="166D1A29"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Moyer, R. C., McGuigan, J. R., and Rao, R. P. (2018). Contemporary financial management. Cengage Learning.</w:t>
      </w:r>
    </w:p>
    <w:p w14:paraId="729158AE"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Ross, S. A., Westerfield, R. W., Jaffe, J. F., and Jordan, B. D. (2019). Corporate finance. McGraw-Hill Education.</w:t>
      </w:r>
    </w:p>
    <w:p w14:paraId="4D03F77B" w14:textId="77777777" w:rsidR="009B7DDC" w:rsidRPr="009B7DDC" w:rsidRDefault="009B7DDC" w:rsidP="009B7DDC">
      <w:pPr>
        <w:spacing w:after="0" w:line="360" w:lineRule="auto"/>
        <w:jc w:val="both"/>
        <w:rPr>
          <w:rFonts w:ascii="Times New Roman" w:eastAsia="Times New Roman" w:hAnsi="Times New Roman" w:cs="Times New Roman"/>
          <w:kern w:val="0"/>
          <w:sz w:val="24"/>
          <w:szCs w:val="24"/>
          <w:lang w:val="en-GB"/>
          <w14:ligatures w14:val="none"/>
        </w:rPr>
      </w:pPr>
      <w:r w:rsidRPr="009B7DDC">
        <w:rPr>
          <w:rFonts w:ascii="Times New Roman" w:eastAsia="Times New Roman" w:hAnsi="Times New Roman" w:cs="Times New Roman"/>
          <w:color w:val="000000"/>
          <w:kern w:val="0"/>
          <w:sz w:val="24"/>
          <w:szCs w:val="24"/>
          <w:lang w:val="en-GB"/>
          <w14:ligatures w14:val="none"/>
        </w:rPr>
        <w:t>Saunders, A., and Cornett, M. M. (2018). Financial institutions management. McGraw-Hill Education.</w:t>
      </w:r>
    </w:p>
    <w:p w14:paraId="2C3A15A8" w14:textId="77777777" w:rsidR="009B7DDC" w:rsidRPr="009B7DDC" w:rsidRDefault="009B7DDC" w:rsidP="009B7DDC">
      <w:pPr>
        <w:spacing w:after="200" w:line="360" w:lineRule="auto"/>
        <w:rPr>
          <w:rFonts w:ascii="Calibri" w:eastAsia="Calibri" w:hAnsi="Calibri" w:cs="Times New Roman"/>
          <w:kern w:val="0"/>
          <w:lang w:val="en-GB"/>
          <w14:ligatures w14:val="none"/>
        </w:rPr>
      </w:pPr>
    </w:p>
    <w:p w14:paraId="3B7956BA" w14:textId="77777777" w:rsidR="00F40CF1" w:rsidRPr="009B7DDC" w:rsidRDefault="00F40CF1">
      <w:pPr>
        <w:rPr>
          <w:lang w:val="en-GB"/>
        </w:rPr>
      </w:pPr>
    </w:p>
    <w:sectPr w:rsidR="00F40CF1" w:rsidRPr="009B7DDC" w:rsidSect="00893AA9">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24F87" w14:textId="77777777" w:rsidR="008B2D9C" w:rsidRDefault="008B2D9C">
      <w:pPr>
        <w:spacing w:after="0" w:line="240" w:lineRule="auto"/>
      </w:pPr>
      <w:r>
        <w:separator/>
      </w:r>
    </w:p>
  </w:endnote>
  <w:endnote w:type="continuationSeparator" w:id="0">
    <w:p w14:paraId="44DCA4D8" w14:textId="77777777" w:rsidR="008B2D9C" w:rsidRDefault="008B2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710915"/>
      <w:docPartObj>
        <w:docPartGallery w:val="Page Numbers (Bottom of Page)"/>
        <w:docPartUnique/>
      </w:docPartObj>
    </w:sdtPr>
    <w:sdtContent>
      <w:sdt>
        <w:sdtPr>
          <w:id w:val="565050523"/>
          <w:docPartObj>
            <w:docPartGallery w:val="Page Numbers (Top of Page)"/>
            <w:docPartUnique/>
          </w:docPartObj>
        </w:sdtPr>
        <w:sdtContent>
          <w:p w14:paraId="4B5D9E0E" w14:textId="77777777" w:rsidR="00EC5CC9" w:rsidRDefault="00000000">
            <w:pPr>
              <w:pStyle w:val="Fuzeile"/>
              <w:jc w:val="right"/>
            </w:pPr>
            <w:r w:rsidRPr="007244F7">
              <w:rPr>
                <w:rFonts w:ascii="Times New Roman" w:hAnsi="Times New Roman" w:cs="Times New Roman"/>
                <w:sz w:val="24"/>
                <w:szCs w:val="24"/>
              </w:rPr>
              <w:t xml:space="preserve">Page </w:t>
            </w:r>
            <w:r w:rsidRPr="007244F7">
              <w:rPr>
                <w:rFonts w:ascii="Times New Roman" w:hAnsi="Times New Roman" w:cs="Times New Roman"/>
                <w:b/>
                <w:sz w:val="24"/>
                <w:szCs w:val="24"/>
              </w:rPr>
              <w:fldChar w:fldCharType="begin"/>
            </w:r>
            <w:r w:rsidRPr="007244F7">
              <w:rPr>
                <w:rFonts w:ascii="Times New Roman" w:hAnsi="Times New Roman" w:cs="Times New Roman"/>
                <w:b/>
                <w:sz w:val="24"/>
                <w:szCs w:val="24"/>
              </w:rPr>
              <w:instrText xml:space="preserve"> PAGE </w:instrText>
            </w:r>
            <w:r w:rsidRPr="007244F7">
              <w:rPr>
                <w:rFonts w:ascii="Times New Roman" w:hAnsi="Times New Roman" w:cs="Times New Roman"/>
                <w:b/>
                <w:sz w:val="24"/>
                <w:szCs w:val="24"/>
              </w:rPr>
              <w:fldChar w:fldCharType="separate"/>
            </w:r>
            <w:r>
              <w:rPr>
                <w:rFonts w:ascii="Times New Roman" w:hAnsi="Times New Roman" w:cs="Times New Roman"/>
                <w:b/>
                <w:noProof/>
                <w:sz w:val="24"/>
                <w:szCs w:val="24"/>
              </w:rPr>
              <w:t>4</w:t>
            </w:r>
            <w:r w:rsidRPr="007244F7">
              <w:rPr>
                <w:rFonts w:ascii="Times New Roman" w:hAnsi="Times New Roman" w:cs="Times New Roman"/>
                <w:b/>
                <w:sz w:val="24"/>
                <w:szCs w:val="24"/>
              </w:rPr>
              <w:fldChar w:fldCharType="end"/>
            </w:r>
            <w:r w:rsidRPr="007244F7">
              <w:rPr>
                <w:rFonts w:ascii="Times New Roman" w:hAnsi="Times New Roman" w:cs="Times New Roman"/>
                <w:sz w:val="24"/>
                <w:szCs w:val="24"/>
              </w:rPr>
              <w:t xml:space="preserve"> of </w:t>
            </w:r>
            <w:r w:rsidRPr="007244F7">
              <w:rPr>
                <w:rFonts w:ascii="Times New Roman" w:hAnsi="Times New Roman" w:cs="Times New Roman"/>
                <w:b/>
                <w:sz w:val="24"/>
                <w:szCs w:val="24"/>
              </w:rPr>
              <w:fldChar w:fldCharType="begin"/>
            </w:r>
            <w:r w:rsidRPr="007244F7">
              <w:rPr>
                <w:rFonts w:ascii="Times New Roman" w:hAnsi="Times New Roman" w:cs="Times New Roman"/>
                <w:b/>
                <w:sz w:val="24"/>
                <w:szCs w:val="24"/>
              </w:rPr>
              <w:instrText xml:space="preserve"> NUMPAGES  </w:instrText>
            </w:r>
            <w:r w:rsidRPr="007244F7">
              <w:rPr>
                <w:rFonts w:ascii="Times New Roman" w:hAnsi="Times New Roman" w:cs="Times New Roman"/>
                <w:b/>
                <w:sz w:val="24"/>
                <w:szCs w:val="24"/>
              </w:rPr>
              <w:fldChar w:fldCharType="separate"/>
            </w:r>
            <w:r>
              <w:rPr>
                <w:rFonts w:ascii="Times New Roman" w:hAnsi="Times New Roman" w:cs="Times New Roman"/>
                <w:b/>
                <w:noProof/>
                <w:sz w:val="24"/>
                <w:szCs w:val="24"/>
              </w:rPr>
              <w:t>8</w:t>
            </w:r>
            <w:r w:rsidRPr="007244F7">
              <w:rPr>
                <w:rFonts w:ascii="Times New Roman" w:hAnsi="Times New Roman" w:cs="Times New Roman"/>
                <w:b/>
                <w:sz w:val="24"/>
                <w:szCs w:val="24"/>
              </w:rPr>
              <w:fldChar w:fldCharType="end"/>
            </w:r>
          </w:p>
        </w:sdtContent>
      </w:sdt>
    </w:sdtContent>
  </w:sdt>
  <w:p w14:paraId="618558A0" w14:textId="77777777" w:rsidR="00EC5CC9" w:rsidRDefault="00EC5CC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4321B" w14:textId="77777777" w:rsidR="008B2D9C" w:rsidRDefault="008B2D9C">
      <w:pPr>
        <w:spacing w:after="0" w:line="240" w:lineRule="auto"/>
      </w:pPr>
      <w:r>
        <w:separator/>
      </w:r>
    </w:p>
  </w:footnote>
  <w:footnote w:type="continuationSeparator" w:id="0">
    <w:p w14:paraId="2759091E" w14:textId="77777777" w:rsidR="008B2D9C" w:rsidRDefault="008B2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DDC"/>
    <w:rsid w:val="000832AF"/>
    <w:rsid w:val="00357B34"/>
    <w:rsid w:val="00416BF9"/>
    <w:rsid w:val="00433AE9"/>
    <w:rsid w:val="00581727"/>
    <w:rsid w:val="0063731A"/>
    <w:rsid w:val="006B1489"/>
    <w:rsid w:val="00716F66"/>
    <w:rsid w:val="00743D20"/>
    <w:rsid w:val="00843C36"/>
    <w:rsid w:val="008478A5"/>
    <w:rsid w:val="008B2D9C"/>
    <w:rsid w:val="009B7DDC"/>
    <w:rsid w:val="00A823D3"/>
    <w:rsid w:val="00C517F2"/>
    <w:rsid w:val="00C53503"/>
    <w:rsid w:val="00D14D25"/>
    <w:rsid w:val="00DC42D3"/>
    <w:rsid w:val="00EC5CC9"/>
    <w:rsid w:val="00F40C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7A96"/>
  <w15:chartTrackingRefBased/>
  <w15:docId w15:val="{3EF44352-E9E4-4AC3-B18D-AB85B8193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semiHidden/>
    <w:unhideWhenUsed/>
    <w:rsid w:val="009B7DDC"/>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9B7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1710</Words>
  <Characters>10773</Characters>
  <Application>Microsoft Office Word</Application>
  <DocSecurity>0</DocSecurity>
  <Lines>89</Lines>
  <Paragraphs>24</Paragraphs>
  <ScaleCrop>false</ScaleCrop>
  <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cp:lastModifiedBy>
  <cp:revision>15</cp:revision>
  <dcterms:created xsi:type="dcterms:W3CDTF">2023-08-25T07:03:00Z</dcterms:created>
  <dcterms:modified xsi:type="dcterms:W3CDTF">2023-08-25T07:29:00Z</dcterms:modified>
</cp:coreProperties>
</file>