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Override ContentType="application/vnd.openxmlformats-officedocument.wordprocessingml.footer+xml" PartName="/word/footer1.xml"/>
  <Override ContentType="application/vnd.openxmlformats-officedocument.wordprocessingml.footer+xml" PartName="/word/footer2.xml"/>
  <Override ContentType="application/vnd.openxmlformats-officedocument.wordprocessingml.footer+xml" PartName="/word/footer3.xml"/>
  <Override ContentType="application/vnd.openxmlformats-officedocument.wordprocessingml.footer+xml" PartName="/word/footer4.xml"/>
  <Override ContentType="application/vnd.openxmlformats-officedocument.wordprocessingml.footer+xml" PartName="/word/footer5.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0" w:before="400"/>
      </w:pPr>
    </w:p>
    <w:p>
      <w:pPr>
        <w:spacing w:after="0" w:before="0" w:line="240" w:lineRule="auto"/>
        <w:jc w:val="center"/>
      </w:pPr>
      <w:r>
        <w:drawing>
          <wp:inline distT="0" distB="0" distL="0" distR="0">
            <wp:extent cx="2857500" cy="1000125"/>
            <wp:effectExtent t="0" r="0" b="0" l="0"/>
            <wp:docPr id="1" name="logo" descr="University of Wales Trinity Saint David logo" title="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 cstate="none"/>
                    <a:srcRect/>
                    <a:stretch>
                      <a:fillRect/>
                    </a:stretch>
                  </pic:blipFill>
                  <pic:spPr bwMode="auto">
                    <a:xfrm>
                      <a:off x="0" y="0"/>
                      <a:ext cx="2857500" cy="1000125"/>
                    </a:xfrm>
                    <a:prstGeom prst="rect">
                      <a:avLst/>
                    </a:prstGeom>
                  </pic:spPr>
                </pic:pic>
              </a:graphicData>
            </a:graphic>
          </wp:inline>
        </w:drawing>
      </w:r>
    </w:p>
    <w:p>
      <w:pPr>
        <w:spacing w:after="0" w:before="700"/>
        <w:jc w:val="center"/>
      </w:pPr>
      <w:r>
        <w:rPr>
          <w:rFonts w:ascii="Times New Roman" w:cs="Times New Roman" w:eastAsia="Times New Roman" w:hAnsi="Times New Roman"/>
          <w:sz w:val="28"/>
          <w:szCs w:val="28"/>
        </w:rPr>
        <w:t xml:space="preserve">School of Applied Computing</w:t>
      </w:r>
    </w:p>
    <w:p>
      <w:pPr>
        <w:spacing w:after="0" w:before="60"/>
        <w:jc w:val="center"/>
      </w:pPr>
      <w:r>
        <w:rPr>
          <w:rFonts w:ascii="Times New Roman" w:cs="Times New Roman" w:eastAsia="Times New Roman" w:hAnsi="Times New Roman"/>
          <w:sz w:val="28"/>
          <w:szCs w:val="28"/>
        </w:rPr>
        <w:t xml:space="preserve">University of Wales Trinity Saint David</w:t>
      </w:r>
    </w:p>
    <w:p>
      <w:pPr>
        <w:spacing w:after="0" w:before="900"/>
        <w:jc w:val="center"/>
      </w:pPr>
      <w:r>
        <w:rPr>
          <w:rFonts w:ascii="Times New Roman" w:cs="Times New Roman" w:eastAsia="Times New Roman" w:hAnsi="Times New Roman"/>
          <w:b/>
          <w:bCs/>
          <w:sz w:val="32"/>
          <w:szCs w:val="32"/>
        </w:rPr>
        <w:t xml:space="preserve">Project Proposal</w:t>
      </w:r>
    </w:p>
    <w:p>
      <w:pPr>
        <w:spacing w:after="0" w:before="360" w:line="340"/>
        <w:jc w:val="center"/>
      </w:pPr>
      <w:r>
        <w:rPr>
          <w:rFonts w:ascii="Times New Roman" w:cs="Times New Roman" w:eastAsia="Times New Roman" w:hAnsi="Times New Roman"/>
          <w:b/>
          <w:bCs/>
          <w:sz w:val="40"/>
          <w:szCs w:val="40"/>
        </w:rPr>
        <w:t xml:space="preserve">Simulating the Physics of a Schwarzschild Black Hole in C++: A Two-Dimensional Simulator with a Measured Numerical Study</w:t>
      </w:r>
    </w:p>
    <w:p>
      <w:pPr>
        <w:spacing w:after="0" w:before="900"/>
      </w:pPr>
    </w:p>
    <w:tbl>
      <w:tblPr>
        <w:tblW w:type="dxa" w:w="8000"/>
        <w:jc w:val="center"/>
        <w:tblBorders>
          <w:top w:val="single" w:color="auto" w:sz="4"/>
          <w:left w:val="single" w:color="auto" w:sz="4"/>
          <w:bottom w:val="single" w:color="auto" w:sz="4"/>
          <w:right w:val="single" w:color="auto" w:sz="4"/>
          <w:insideH w:val="single" w:color="auto" w:sz="4"/>
          <w:insideV w:val="single" w:color="auto" w:sz="4"/>
        </w:tblBorders>
      </w:tblPr>
      <w:tblGrid>
        <w:gridCol w:w="2600"/>
        <w:gridCol w:w="5400"/>
      </w:tblGrid>
      <w:tr>
        <w:tc>
          <w:tcPr>
            <w:tcW w:type="dxa" w:w="2600"/>
            <w:tcBorders>
              <w:top w:val="none" w:color="FFFFFF" w:sz="0"/>
              <w:left w:val="none" w:color="FFFFFF" w:sz="0"/>
              <w:bottom w:val="single" w:color="000000" w:sz="4"/>
              <w:right w:val="none" w:color="FFFFFF" w:sz="0"/>
            </w:tcBorders>
            <w:tcMar>
              <w:top w:type="dxa" w:w="120"/>
              <w:left w:type="dxa" w:w="100"/>
              <w:bottom w:type="dxa" w:w="120"/>
              <w:right w:type="dxa" w:w="100"/>
            </w:tcMar>
            <w:vAlign w:val="center"/>
          </w:tcPr>
          <w:p>
            <w:pPr>
              <w:spacing w:after="0" w:before="0" w:line="252"/>
              <w:jc w:val="left"/>
            </w:pPr>
            <w:r>
              <w:rPr>
                <w:rFonts w:ascii="Times New Roman" w:cs="Times New Roman" w:eastAsia="Times New Roman" w:hAnsi="Times New Roman"/>
                <w:b/>
                <w:bCs/>
                <w:sz w:val="24"/>
                <w:szCs w:val="24"/>
              </w:rPr>
              <w:t xml:space="preserve">Student name</w:t>
            </w:r>
          </w:p>
        </w:tc>
        <w:tc>
          <w:tcPr>
            <w:tcW w:type="dxa" w:w="5400"/>
            <w:tcBorders>
              <w:top w:val="none" w:color="FFFFFF" w:sz="0"/>
              <w:left w:val="none" w:color="FFFFFF" w:sz="0"/>
              <w:bottom w:val="single" w:color="000000" w:sz="4"/>
              <w:right w:val="none" w:color="FFFFFF" w:sz="0"/>
            </w:tcBorders>
            <w:tcMar>
              <w:top w:type="dxa" w:w="120"/>
              <w:left w:type="dxa" w:w="100"/>
              <w:bottom w:type="dxa" w:w="120"/>
              <w:right w:type="dxa" w:w="100"/>
            </w:tcMar>
            <w:vAlign w:val="center"/>
          </w:tcPr>
          <w:p>
            <w:pPr>
              <w:spacing w:after="0" w:before="0" w:line="252"/>
              <w:jc w:val="left"/>
            </w:pPr>
            <w:r>
              <w:rPr>
                <w:rFonts w:ascii="Times New Roman" w:cs="Times New Roman" w:eastAsia="Times New Roman" w:hAnsi="Times New Roman"/>
                <w:sz w:val="24"/>
                <w:szCs w:val="24"/>
              </w:rPr>
              <w:t xml:space="preserve">Zandr Badger</w:t>
            </w:r>
          </w:p>
        </w:tc>
      </w:tr>
      <w:tr>
        <w:tc>
          <w:tcPr>
            <w:tcW w:type="dxa" w:w="2600"/>
            <w:tcBorders>
              <w:top w:val="none" w:color="FFFFFF" w:sz="0"/>
              <w:left w:val="none" w:color="FFFFFF" w:sz="0"/>
              <w:bottom w:val="single" w:color="000000" w:sz="4"/>
              <w:right w:val="none" w:color="FFFFFF" w:sz="0"/>
            </w:tcBorders>
            <w:tcMar>
              <w:top w:type="dxa" w:w="120"/>
              <w:left w:type="dxa" w:w="100"/>
              <w:bottom w:type="dxa" w:w="120"/>
              <w:right w:type="dxa" w:w="100"/>
            </w:tcMar>
            <w:vAlign w:val="center"/>
          </w:tcPr>
          <w:p>
            <w:pPr>
              <w:spacing w:after="0" w:before="0" w:line="252"/>
              <w:jc w:val="left"/>
            </w:pPr>
            <w:r>
              <w:rPr>
                <w:rFonts w:ascii="Times New Roman" w:cs="Times New Roman" w:eastAsia="Times New Roman" w:hAnsi="Times New Roman"/>
                <w:b/>
                <w:bCs/>
                <w:sz w:val="24"/>
                <w:szCs w:val="24"/>
              </w:rPr>
              <w:t xml:space="preserve">Student ID</w:t>
            </w:r>
          </w:p>
        </w:tc>
        <w:tc>
          <w:tcPr>
            <w:tcW w:type="dxa" w:w="5400"/>
            <w:tcBorders>
              <w:top w:val="none" w:color="FFFFFF" w:sz="0"/>
              <w:left w:val="none" w:color="FFFFFF" w:sz="0"/>
              <w:bottom w:val="single" w:color="000000" w:sz="4"/>
              <w:right w:val="none" w:color="FFFFFF" w:sz="0"/>
            </w:tcBorders>
            <w:tcMar>
              <w:top w:type="dxa" w:w="120"/>
              <w:left w:type="dxa" w:w="100"/>
              <w:bottom w:type="dxa" w:w="120"/>
              <w:right w:type="dxa" w:w="100"/>
            </w:tcMar>
            <w:vAlign w:val="center"/>
          </w:tcPr>
          <w:p>
            <w:pPr>
              <w:spacing w:after="0" w:before="0" w:line="252"/>
              <w:jc w:val="left"/>
            </w:pPr>
            <w:r>
              <w:rPr>
                <w:rFonts w:ascii="Times New Roman" w:cs="Times New Roman" w:eastAsia="Times New Roman" w:hAnsi="Times New Roman"/>
                <w:sz w:val="24"/>
                <w:szCs w:val="24"/>
              </w:rPr>
              <w:t xml:space="preserve">2308404</w:t>
            </w:r>
          </w:p>
        </w:tc>
      </w:tr>
      <w:tr>
        <w:tc>
          <w:tcPr>
            <w:tcW w:type="dxa" w:w="2600"/>
            <w:tcBorders>
              <w:top w:val="none" w:color="FFFFFF" w:sz="0"/>
              <w:left w:val="none" w:color="FFFFFF" w:sz="0"/>
              <w:bottom w:val="single" w:color="000000" w:sz="4"/>
              <w:right w:val="none" w:color="FFFFFF" w:sz="0"/>
            </w:tcBorders>
            <w:tcMar>
              <w:top w:type="dxa" w:w="120"/>
              <w:left w:type="dxa" w:w="100"/>
              <w:bottom w:type="dxa" w:w="120"/>
              <w:right w:type="dxa" w:w="100"/>
            </w:tcMar>
            <w:vAlign w:val="center"/>
          </w:tcPr>
          <w:p>
            <w:pPr>
              <w:spacing w:after="0" w:before="0" w:line="252"/>
              <w:jc w:val="left"/>
            </w:pPr>
            <w:r>
              <w:rPr>
                <w:rFonts w:ascii="Times New Roman" w:cs="Times New Roman" w:eastAsia="Times New Roman" w:hAnsi="Times New Roman"/>
                <w:b/>
                <w:bCs/>
                <w:sz w:val="24"/>
                <w:szCs w:val="24"/>
              </w:rPr>
              <w:t xml:space="preserve">Programme</w:t>
            </w:r>
          </w:p>
        </w:tc>
        <w:tc>
          <w:tcPr>
            <w:tcW w:type="dxa" w:w="5400"/>
            <w:tcBorders>
              <w:top w:val="none" w:color="FFFFFF" w:sz="0"/>
              <w:left w:val="none" w:color="FFFFFF" w:sz="0"/>
              <w:bottom w:val="single" w:color="000000" w:sz="4"/>
              <w:right w:val="none" w:color="FFFFFF" w:sz="0"/>
            </w:tcBorders>
            <w:tcMar>
              <w:top w:type="dxa" w:w="120"/>
              <w:left w:type="dxa" w:w="100"/>
              <w:bottom w:type="dxa" w:w="120"/>
              <w:right w:type="dxa" w:w="100"/>
            </w:tcMar>
            <w:vAlign w:val="center"/>
          </w:tcPr>
          <w:p>
            <w:pPr>
              <w:spacing w:after="0" w:before="0" w:line="252"/>
              <w:jc w:val="left"/>
            </w:pPr>
            <w:r>
              <w:rPr>
                <w:rFonts w:ascii="Times New Roman" w:cs="Times New Roman" w:eastAsia="Times New Roman" w:hAnsi="Times New Roman"/>
                <w:sz w:val="24"/>
                <w:szCs w:val="24"/>
              </w:rPr>
              <w:t xml:space="preserve">Applied Computing</w:t>
            </w:r>
          </w:p>
        </w:tc>
      </w:tr>
      <w:tr>
        <w:tc>
          <w:tcPr>
            <w:tcW w:type="dxa" w:w="2600"/>
            <w:tcBorders>
              <w:top w:val="none" w:color="FFFFFF" w:sz="0"/>
              <w:left w:val="none" w:color="FFFFFF" w:sz="0"/>
              <w:bottom w:val="single" w:color="000000" w:sz="4"/>
              <w:right w:val="none" w:color="FFFFFF" w:sz="0"/>
            </w:tcBorders>
            <w:tcMar>
              <w:top w:type="dxa" w:w="120"/>
              <w:left w:type="dxa" w:w="100"/>
              <w:bottom w:type="dxa" w:w="120"/>
              <w:right w:type="dxa" w:w="100"/>
            </w:tcMar>
            <w:vAlign w:val="center"/>
          </w:tcPr>
          <w:p>
            <w:pPr>
              <w:spacing w:after="0" w:before="0" w:line="252"/>
              <w:jc w:val="left"/>
            </w:pPr>
            <w:r>
              <w:rPr>
                <w:rFonts w:ascii="Times New Roman" w:cs="Times New Roman" w:eastAsia="Times New Roman" w:hAnsi="Times New Roman"/>
                <w:b/>
                <w:bCs/>
                <w:sz w:val="24"/>
                <w:szCs w:val="24"/>
              </w:rPr>
              <w:t xml:space="preserve">Module</w:t>
            </w:r>
          </w:p>
        </w:tc>
        <w:tc>
          <w:tcPr>
            <w:tcW w:type="dxa" w:w="5400"/>
            <w:tcBorders>
              <w:top w:val="none" w:color="FFFFFF" w:sz="0"/>
              <w:left w:val="none" w:color="FFFFFF" w:sz="0"/>
              <w:bottom w:val="single" w:color="000000" w:sz="4"/>
              <w:right w:val="none" w:color="FFFFFF" w:sz="0"/>
            </w:tcBorders>
            <w:tcMar>
              <w:top w:type="dxa" w:w="120"/>
              <w:left w:type="dxa" w:w="100"/>
              <w:bottom w:type="dxa" w:w="120"/>
              <w:right w:type="dxa" w:w="100"/>
            </w:tcMar>
            <w:vAlign w:val="center"/>
          </w:tcPr>
          <w:p>
            <w:pPr>
              <w:spacing w:after="0" w:before="0" w:line="252"/>
              <w:jc w:val="left"/>
            </w:pPr>
            <w:r>
              <w:rPr>
                <w:rFonts w:ascii="Times New Roman" w:cs="Times New Roman" w:eastAsia="Times New Roman" w:hAnsi="Times New Roman"/>
                <w:sz w:val="24"/>
                <w:szCs w:val="24"/>
              </w:rPr>
              <w:t xml:space="preserve">Independent Project (ACCA6020)</w:t>
            </w:r>
          </w:p>
        </w:tc>
      </w:tr>
    </w:tbl>
    <w:p>
      <w:pPr>
        <w:sectPr>
          <w:footerReference w:type="default" r:id="rId7"/>
          <w:pgSz w:w="11906" w:h="16838" w:orient="portrait"/>
          <w:pgMar w:top="1440" w:right="1440" w:bottom="1440" w:left="1440" w:header="708" w:footer="708" w:gutter="0"/>
          <w:pgNumType/>
          <w:docGrid w:linePitch="360"/>
        </w:sectPr>
      </w:pPr>
    </w:p>
    <w:p>
      <w:pPr>
        <w:spacing w:after="240" w:before="0"/>
        <w:jc w:val="left"/>
      </w:pPr>
      <w:r>
        <w:rPr>
          <w:rFonts w:ascii="Times New Roman" w:cs="Times New Roman" w:eastAsia="Times New Roman" w:hAnsi="Times New Roman"/>
          <w:b/>
          <w:bCs/>
          <w:sz w:val="32"/>
          <w:szCs w:val="32"/>
        </w:rPr>
        <w:t xml:space="preserve">Contents</w:t>
      </w:r>
    </w:p>
    <w:p>
      <w:pPr>
        <w:tabs>
          <w:tab w:val="right" w:pos="9026" w:leader="dot"/>
        </w:tabs>
        <w:spacing w:after="90"/>
        <w:ind w:left="0"/>
      </w:pPr>
      <w:hyperlink w:history="1" w:anchor="s1">
        <w:r>
          <w:rPr>
            <w:rFonts w:ascii="Times New Roman" w:cs="Times New Roman" w:eastAsia="Times New Roman" w:hAnsi="Times New Roman"/>
          </w:rPr>
          <w:t xml:space="preserve">1.  Introduction / Background to the Proposed Research</w:t>
        </w:r>
        <w:r>
          <w:rPr>
            <w:rFonts w:ascii="Times New Roman" w:cs="Times New Roman" w:eastAsia="Times New Roman" w:hAnsi="Times New Roman"/>
          </w:rPr>
          <w:tab/>
          <w:t xml:space="preserve">1</w:t>
        </w:r>
      </w:hyperlink>
    </w:p>
    <w:p>
      <w:pPr>
        <w:tabs>
          <w:tab w:val="right" w:pos="9026" w:leader="dot"/>
        </w:tabs>
        <w:spacing w:after="90"/>
        <w:ind w:left="0"/>
      </w:pPr>
      <w:hyperlink w:history="1" w:anchor="s2">
        <w:r>
          <w:rPr>
            <w:rFonts w:ascii="Times New Roman" w:cs="Times New Roman" w:eastAsia="Times New Roman" w:hAnsi="Times New Roman"/>
          </w:rPr>
          <w:t xml:space="preserve">2.  Background to the Research</w:t>
        </w:r>
        <w:r>
          <w:rPr>
            <w:rFonts w:ascii="Times New Roman" w:cs="Times New Roman" w:eastAsia="Times New Roman" w:hAnsi="Times New Roman"/>
          </w:rPr>
          <w:tab/>
          <w:t xml:space="preserve">1</w:t>
        </w:r>
      </w:hyperlink>
    </w:p>
    <w:p>
      <w:pPr>
        <w:tabs>
          <w:tab w:val="right" w:pos="9026" w:leader="dot"/>
        </w:tabs>
        <w:spacing w:after="90"/>
        <w:ind w:left="0"/>
      </w:pPr>
      <w:hyperlink w:history="1" w:anchor="s3">
        <w:r>
          <w:rPr>
            <w:rFonts w:ascii="Times New Roman" w:cs="Times New Roman" w:eastAsia="Times New Roman" w:hAnsi="Times New Roman"/>
          </w:rPr>
          <w:t xml:space="preserve">3.  Research Problem Statement</w:t>
        </w:r>
        <w:r>
          <w:rPr>
            <w:rFonts w:ascii="Times New Roman" w:cs="Times New Roman" w:eastAsia="Times New Roman" w:hAnsi="Times New Roman"/>
          </w:rPr>
          <w:tab/>
          <w:t xml:space="preserve">2</w:t>
        </w:r>
      </w:hyperlink>
    </w:p>
    <w:p>
      <w:pPr>
        <w:tabs>
          <w:tab w:val="right" w:pos="9026" w:leader="dot"/>
        </w:tabs>
        <w:spacing w:after="90"/>
        <w:ind w:left="0"/>
      </w:pPr>
      <w:hyperlink w:history="1" w:anchor="s4">
        <w:r>
          <w:rPr>
            <w:rFonts w:ascii="Times New Roman" w:cs="Times New Roman" w:eastAsia="Times New Roman" w:hAnsi="Times New Roman"/>
          </w:rPr>
          <w:t xml:space="preserve">4.  Aim and Objectives</w:t>
        </w:r>
        <w:r>
          <w:rPr>
            <w:rFonts w:ascii="Times New Roman" w:cs="Times New Roman" w:eastAsia="Times New Roman" w:hAnsi="Times New Roman"/>
          </w:rPr>
          <w:tab/>
          <w:t xml:space="preserve">2</w:t>
        </w:r>
      </w:hyperlink>
    </w:p>
    <w:p>
      <w:pPr>
        <w:tabs>
          <w:tab w:val="right" w:pos="9026" w:leader="dot"/>
        </w:tabs>
        <w:spacing w:after="90"/>
        <w:ind w:left="0"/>
      </w:pPr>
      <w:hyperlink w:history="1" w:anchor="s5">
        <w:r>
          <w:rPr>
            <w:rFonts w:ascii="Times New Roman" w:cs="Times New Roman" w:eastAsia="Times New Roman" w:hAnsi="Times New Roman"/>
          </w:rPr>
          <w:t xml:space="preserve">5.  Research Methodology</w:t>
        </w:r>
        <w:r>
          <w:rPr>
            <w:rFonts w:ascii="Times New Roman" w:cs="Times New Roman" w:eastAsia="Times New Roman" w:hAnsi="Times New Roman"/>
          </w:rPr>
          <w:tab/>
          <w:t xml:space="preserve">2</w:t>
        </w:r>
      </w:hyperlink>
    </w:p>
    <w:p>
      <w:pPr>
        <w:tabs>
          <w:tab w:val="right" w:pos="9026" w:leader="dot"/>
        </w:tabs>
        <w:spacing w:after="90"/>
        <w:ind w:left="400"/>
      </w:pPr>
      <w:hyperlink w:history="1" w:anchor="s51">
        <w:r>
          <w:rPr>
            <w:rFonts w:ascii="Times New Roman" w:cs="Times New Roman" w:eastAsia="Times New Roman" w:hAnsi="Times New Roman"/>
          </w:rPr>
          <w:t xml:space="preserve">5.1  Research Design</w:t>
        </w:r>
        <w:r>
          <w:rPr>
            <w:rFonts w:ascii="Times New Roman" w:cs="Times New Roman" w:eastAsia="Times New Roman" w:hAnsi="Times New Roman"/>
          </w:rPr>
          <w:tab/>
          <w:t xml:space="preserve">2</w:t>
        </w:r>
      </w:hyperlink>
    </w:p>
    <w:p>
      <w:pPr>
        <w:tabs>
          <w:tab w:val="right" w:pos="9026" w:leader="dot"/>
        </w:tabs>
        <w:spacing w:after="90"/>
        <w:ind w:left="400"/>
      </w:pPr>
      <w:hyperlink w:history="1" w:anchor="s52">
        <w:r>
          <w:rPr>
            <w:rFonts w:ascii="Times New Roman" w:cs="Times New Roman" w:eastAsia="Times New Roman" w:hAnsi="Times New Roman"/>
          </w:rPr>
          <w:t xml:space="preserve">5.2  Resources / Materials</w:t>
        </w:r>
        <w:r>
          <w:rPr>
            <w:rFonts w:ascii="Times New Roman" w:cs="Times New Roman" w:eastAsia="Times New Roman" w:hAnsi="Times New Roman"/>
          </w:rPr>
          <w:tab/>
          <w:t xml:space="preserve">4</w:t>
        </w:r>
      </w:hyperlink>
    </w:p>
    <w:p>
      <w:pPr>
        <w:tabs>
          <w:tab w:val="right" w:pos="9026" w:leader="dot"/>
        </w:tabs>
        <w:spacing w:after="90"/>
        <w:ind w:left="0"/>
      </w:pPr>
      <w:hyperlink w:history="1" w:anchor="s6">
        <w:r>
          <w:rPr>
            <w:rFonts w:ascii="Times New Roman" w:cs="Times New Roman" w:eastAsia="Times New Roman" w:hAnsi="Times New Roman"/>
          </w:rPr>
          <w:t xml:space="preserve">6.  Project Planning</w:t>
        </w:r>
        <w:r>
          <w:rPr>
            <w:rFonts w:ascii="Times New Roman" w:cs="Times New Roman" w:eastAsia="Times New Roman" w:hAnsi="Times New Roman"/>
          </w:rPr>
          <w:tab/>
          <w:t xml:space="preserve">5</w:t>
        </w:r>
      </w:hyperlink>
    </w:p>
    <w:p>
      <w:pPr>
        <w:tabs>
          <w:tab w:val="right" w:pos="9026" w:leader="dot"/>
        </w:tabs>
        <w:spacing w:after="90"/>
        <w:ind w:left="0"/>
      </w:pPr>
      <w:hyperlink w:history="1" w:anchor="s7">
        <w:r>
          <w:rPr>
            <w:rFonts w:ascii="Times New Roman" w:cs="Times New Roman" w:eastAsia="Times New Roman" w:hAnsi="Times New Roman"/>
          </w:rPr>
          <w:t xml:space="preserve">7.  Reference List</w:t>
        </w:r>
        <w:r>
          <w:rPr>
            <w:rFonts w:ascii="Times New Roman" w:cs="Times New Roman" w:eastAsia="Times New Roman" w:hAnsi="Times New Roman"/>
          </w:rPr>
          <w:tab/>
          <w:t xml:space="preserve">6</w:t>
        </w:r>
      </w:hyperlink>
    </w:p>
    <w:p>
      <w:r>
        <w:br w:type="page"/>
      </w:r>
    </w:p>
    <w:p>
      <w:pPr>
        <w:spacing w:after="240" w:before="0"/>
        <w:jc w:val="left"/>
      </w:pPr>
      <w:r>
        <w:rPr>
          <w:rFonts w:ascii="Times New Roman" w:cs="Times New Roman" w:eastAsia="Times New Roman" w:hAnsi="Times New Roman"/>
          <w:b/>
          <w:bCs/>
          <w:sz w:val="32"/>
          <w:szCs w:val="32"/>
        </w:rPr>
        <w:t xml:space="preserve">List of Figures</w:t>
      </w:r>
    </w:p>
    <w:p>
      <w:pPr>
        <w:tabs>
          <w:tab w:val="right" w:pos="9026" w:leader="dot"/>
        </w:tabs>
        <w:spacing w:after="90"/>
        <w:ind w:left="0"/>
      </w:pPr>
      <w:hyperlink w:history="1" w:anchor="f1">
        <w:r>
          <w:rPr>
            <w:rFonts w:ascii="Times New Roman" w:cs="Times New Roman" w:eastAsia="Times New Roman" w:hAnsi="Times New Roman"/>
          </w:rPr>
          <w:t xml:space="preserve">Figure 1: Planned flow of the 2D simulator</w:t>
        </w:r>
        <w:r>
          <w:rPr>
            <w:rFonts w:ascii="Times New Roman" w:cs="Times New Roman" w:eastAsia="Times New Roman" w:hAnsi="Times New Roman"/>
          </w:rPr>
          <w:tab/>
          <w:t xml:space="preserve">3</w:t>
        </w:r>
      </w:hyperlink>
    </w:p>
    <w:p>
      <w:pPr>
        <w:tabs>
          <w:tab w:val="right" w:pos="9026" w:leader="dot"/>
        </w:tabs>
        <w:spacing w:after="90"/>
        <w:ind w:left="0"/>
      </w:pPr>
      <w:hyperlink w:history="1" w:anchor="f2">
        <w:r>
          <w:rPr>
            <w:rFonts w:ascii="Times New Roman" w:cs="Times New Roman" w:eastAsia="Times New Roman" w:hAnsi="Times New Roman"/>
          </w:rPr>
          <w:t xml:space="preserve">Figure 2: Project timeline</w:t>
        </w:r>
        <w:r>
          <w:rPr>
            <w:rFonts w:ascii="Times New Roman" w:cs="Times New Roman" w:eastAsia="Times New Roman" w:hAnsi="Times New Roman"/>
          </w:rPr>
          <w:tab/>
          <w:t xml:space="preserve">5</w:t>
        </w:r>
      </w:hyperlink>
    </w:p>
    <w:p>
      <w:pPr>
        <w:spacing w:before="360"/>
      </w:pPr>
    </w:p>
    <w:p>
      <w:pPr>
        <w:spacing w:after="240" w:before="0"/>
        <w:jc w:val="left"/>
      </w:pPr>
      <w:r>
        <w:rPr>
          <w:rFonts w:ascii="Times New Roman" w:cs="Times New Roman" w:eastAsia="Times New Roman" w:hAnsi="Times New Roman"/>
          <w:b/>
          <w:bCs/>
          <w:sz w:val="32"/>
          <w:szCs w:val="32"/>
        </w:rPr>
        <w:t xml:space="preserve">List of Tables</w:t>
      </w:r>
    </w:p>
    <w:p>
      <w:pPr>
        <w:tabs>
          <w:tab w:val="right" w:pos="9026" w:leader="dot"/>
        </w:tabs>
        <w:spacing w:after="90"/>
        <w:ind w:left="0"/>
      </w:pPr>
      <w:hyperlink w:history="1" w:anchor="t1">
        <w:r>
          <w:rPr>
            <w:rFonts w:ascii="Times New Roman" w:cs="Times New Roman" w:eastAsia="Times New Roman" w:hAnsi="Times New Roman"/>
          </w:rPr>
          <w:t xml:space="preserve">Table 1: Data collection and analysis by objective</w:t>
        </w:r>
        <w:r>
          <w:rPr>
            <w:rFonts w:ascii="Times New Roman" w:cs="Times New Roman" w:eastAsia="Times New Roman" w:hAnsi="Times New Roman"/>
          </w:rPr>
          <w:tab/>
          <w:t xml:space="preserve">3</w:t>
        </w:r>
      </w:hyperlink>
    </w:p>
    <w:p>
      <w:pPr>
        <w:tabs>
          <w:tab w:val="right" w:pos="9026" w:leader="dot"/>
        </w:tabs>
        <w:spacing w:after="90"/>
        <w:ind w:left="0"/>
      </w:pPr>
      <w:hyperlink w:history="1" w:anchor="t2">
        <w:r>
          <w:rPr>
            <w:rFonts w:ascii="Times New Roman" w:cs="Times New Roman" w:eastAsia="Times New Roman" w:hAnsi="Times New Roman"/>
          </w:rPr>
          <w:t xml:space="preserve">Table 2: Main risks and mitigation</w:t>
        </w:r>
        <w:r>
          <w:rPr>
            <w:rFonts w:ascii="Times New Roman" w:cs="Times New Roman" w:eastAsia="Times New Roman" w:hAnsi="Times New Roman"/>
          </w:rPr>
          <w:tab/>
          <w:t xml:space="preserve">4</w:t>
        </w:r>
      </w:hyperlink>
    </w:p>
    <w:p>
      <w:pPr>
        <w:spacing w:before="360"/>
      </w:pPr>
    </w:p>
    <w:p>
      <w:pPr>
        <w:spacing w:after="240" w:before="0"/>
        <w:jc w:val="left"/>
      </w:pPr>
      <w:r>
        <w:rPr>
          <w:rFonts w:ascii="Times New Roman" w:cs="Times New Roman" w:eastAsia="Times New Roman" w:hAnsi="Times New Roman"/>
          <w:b/>
          <w:bCs/>
          <w:sz w:val="32"/>
          <w:szCs w:val="32"/>
        </w:rPr>
        <w:t xml:space="preserve">List of Equations</w:t>
      </w:r>
    </w:p>
    <w:p>
      <w:pPr>
        <w:tabs>
          <w:tab w:val="right" w:pos="9026" w:leader="dot"/>
        </w:tabs>
        <w:spacing w:after="90"/>
        <w:ind w:left="0"/>
      </w:pPr>
      <w:hyperlink w:history="1" w:anchor="e1">
        <w:r>
          <w:rPr>
            <w:rFonts w:ascii="Times New Roman" w:cs="Times New Roman" w:eastAsia="Times New Roman" w:hAnsi="Times New Roman"/>
          </w:rPr>
          <w:t xml:space="preserve">(1)  Path of light</w:t>
        </w:r>
        <w:r>
          <w:rPr>
            <w:rFonts w:ascii="Times New Roman" w:cs="Times New Roman" w:eastAsia="Times New Roman" w:hAnsi="Times New Roman"/>
          </w:rPr>
          <w:tab/>
          <w:t xml:space="preserve">3</w:t>
        </w:r>
      </w:hyperlink>
    </w:p>
    <w:p>
      <w:pPr>
        <w:tabs>
          <w:tab w:val="right" w:pos="9026" w:leader="dot"/>
        </w:tabs>
        <w:spacing w:after="90"/>
        <w:ind w:left="0"/>
      </w:pPr>
      <w:hyperlink w:history="1" w:anchor="e2">
        <w:r>
          <w:rPr>
            <w:rFonts w:ascii="Times New Roman" w:cs="Times New Roman" w:eastAsia="Times New Roman" w:hAnsi="Times New Roman"/>
          </w:rPr>
          <w:t xml:space="preserve">(2)  Critical aiming offset (shadow size)</w:t>
        </w:r>
        <w:r>
          <w:rPr>
            <w:rFonts w:ascii="Times New Roman" w:cs="Times New Roman" w:eastAsia="Times New Roman" w:hAnsi="Times New Roman"/>
          </w:rPr>
          <w:tab/>
          <w:t xml:space="preserve">3</w:t>
        </w:r>
      </w:hyperlink>
    </w:p>
    <w:p>
      <w:pPr>
        <w:tabs>
          <w:tab w:val="right" w:pos="9026" w:leader="dot"/>
        </w:tabs>
        <w:spacing w:after="90"/>
        <w:ind w:left="0"/>
      </w:pPr>
      <w:hyperlink w:history="1" w:anchor="e3">
        <w:r>
          <w:rPr>
            <w:rFonts w:ascii="Times New Roman" w:cs="Times New Roman" w:eastAsia="Times New Roman" w:hAnsi="Times New Roman"/>
          </w:rPr>
          <w:t xml:space="preserve">(3)  Path of an orbiting object</w:t>
        </w:r>
        <w:r>
          <w:rPr>
            <w:rFonts w:ascii="Times New Roman" w:cs="Times New Roman" w:eastAsia="Times New Roman" w:hAnsi="Times New Roman"/>
          </w:rPr>
          <w:tab/>
          <w:t xml:space="preserve">3</w:t>
        </w:r>
      </w:hyperlink>
    </w:p>
    <w:p>
      <w:pPr>
        <w:sectPr>
          <w:footerReference w:type="default" r:id="rId8"/>
          <w:type w:val="nextPage"/>
          <w:pgSz w:w="11906" w:h="16838" w:orient="portrait"/>
          <w:pgMar w:top="1440" w:right="1440" w:bottom="1440" w:left="1440" w:header="708" w:footer="708" w:gutter="0"/>
          <w:pgNumType w:start="1" w:fmt="lowerRoman"/>
          <w:docGrid w:linePitch="360"/>
        </w:sectPr>
      </w:pPr>
    </w:p>
    <w:p>
      <w:pPr>
        <w:pStyle w:val="Heading1"/>
        <w:keepNext/>
      </w:pPr>
      <w:bookmarkStart w:name="s1" w:id="1"/>
      <w:r>
        <w:rPr>
          <w:rFonts w:ascii="Times New Roman" w:cs="Times New Roman" w:eastAsia="Times New Roman" w:hAnsi="Times New Roman"/>
        </w:rPr>
        <w:t xml:space="preserve">1.  INTRODUCTION / BACKGROUND TO THE PROPOSED RESEARCH</w:t>
      </w:r>
      <w:bookmarkEnd w:id="1"/>
    </w:p>
    <w:p>
      <w:pPr>
        <w:spacing w:after="120" w:before="0" w:line="264"/>
        <w:jc w:val="both"/>
      </w:pPr>
      <w:r>
        <w:rPr>
          <w:rFonts w:ascii="Times New Roman" w:cs="Times New Roman" w:eastAsia="Times New Roman" w:hAnsi="Times New Roman"/>
        </w:rPr>
        <w:t xml:space="preserve">The working title of the project is </w:t>
      </w:r>
      <w:r>
        <w:rPr>
          <w:rFonts w:ascii="Times New Roman" w:cs="Times New Roman" w:eastAsia="Times New Roman" w:hAnsi="Times New Roman"/>
          <w:i/>
          <w:iCs/>
        </w:rPr>
        <w:t xml:space="preserve">Simulating the Physics of a Schwarzschild Black Hole in C++: A Two-Dimensional Simulator with a Measured Numerical Study</w:t>
      </w:r>
      <w:r>
        <w:rPr>
          <w:rFonts w:ascii="Times New Roman" w:cs="Times New Roman" w:eastAsia="Times New Roman" w:hAnsi="Times New Roman"/>
        </w:rPr>
        <w:t xml:space="preserve">.</w:t>
      </w:r>
    </w:p>
    <w:p>
      <w:pPr>
        <w:spacing w:after="120" w:before="0" w:line="264"/>
        <w:jc w:val="both"/>
      </w:pPr>
      <w:r>
        <w:rPr>
          <w:rFonts w:ascii="Times New Roman" w:cs="Times New Roman" w:eastAsia="Times New Roman" w:hAnsi="Times New Roman"/>
        </w:rPr>
        <w:t xml:space="preserve">A black hole is a region of space where gravity is so strong that nothing, including light, can escape, which means it cannot be seen directly and scientists instead simulate how light and matter behave near it. Simulations like these helped interpret the first Event Horizon Telescope images [1], [2] and were used to create the black hole in the film </w:t>
      </w:r>
      <w:r>
        <w:rPr>
          <w:rFonts w:ascii="Times New Roman" w:cs="Times New Roman" w:eastAsia="Times New Roman" w:hAnsi="Times New Roman"/>
          <w:i/>
          <w:iCs/>
        </w:rPr>
        <w:t xml:space="preserve">Interstellar</w:t>
      </w:r>
      <w:r>
        <w:rPr>
          <w:rFonts w:ascii="Times New Roman" w:cs="Times New Roman" w:eastAsia="Times New Roman" w:hAnsi="Times New Roman"/>
        </w:rPr>
        <w:t xml:space="preserve"> [3].</w:t>
      </w:r>
    </w:p>
    <w:p>
      <w:pPr>
        <w:spacing w:after="120" w:before="0" w:line="264"/>
        <w:jc w:val="both"/>
      </w:pPr>
      <w:r>
        <w:rPr>
          <w:rFonts w:ascii="Times New Roman" w:cs="Times New Roman" w:eastAsia="Times New Roman" w:hAnsi="Times New Roman"/>
        </w:rPr>
        <w:t xml:space="preserve">This project is based in computational physics and scientific visualisation and is inspired by a public C++ black hole simulation [4] whose stated stages are ray-traced light bending, an accretion disk, a curved space grid and a real-time version [5]. Its documentation does not describe the physics or numerical methods in detail [5], so where this project differs is that it recreates the first stages as a tested study. The core is a two-dimensional C++ simulator of how a Schwarzschild black hole (one that does not spin and has no electric charge) bends light and pulls on orbiting objects, with a 3D version left as a stretch goal.</w:t>
      </w:r>
    </w:p>
    <w:p>
      <w:pPr>
        <w:spacing w:after="120" w:before="0" w:line="264"/>
        <w:jc w:val="both"/>
      </w:pPr>
      <w:r>
        <w:rPr>
          <w:rFonts w:ascii="Times New Roman" w:cs="Times New Roman" w:eastAsia="Times New Roman" w:hAnsi="Times New Roman"/>
        </w:rPr>
        <w:t xml:space="preserve">The project applies numerical methods, testing and performance engineering to a real scientific problem, and it gives a live demonstration for the exhibition. The personal motivation is that at my girlfriend’s graduation, a childhood friend I had not seen for years believed a black hole simulation was possible for me to recreate in my final year, and this project aims to prove him right.</w:t>
      </w:r>
    </w:p>
    <w:p>
      <w:pPr>
        <w:pStyle w:val="Heading1"/>
        <w:keepNext/>
      </w:pPr>
      <w:bookmarkStart w:name="s2" w:id="1"/>
      <w:r>
        <w:rPr>
          <w:rFonts w:ascii="Times New Roman" w:cs="Times New Roman" w:eastAsia="Times New Roman" w:hAnsi="Times New Roman"/>
        </w:rPr>
        <w:t xml:space="preserve">2.  BACKGROUND TO THE RESEARCH</w:t>
      </w:r>
      <w:bookmarkEnd w:id="1"/>
    </w:p>
    <w:p>
      <w:pPr>
        <w:spacing w:after="120" w:before="0" w:line="264"/>
        <w:jc w:val="both"/>
      </w:pPr>
      <w:r>
        <w:rPr>
          <w:rFonts w:ascii="Times New Roman" w:cs="Times New Roman" w:eastAsia="Times New Roman" w:hAnsi="Times New Roman"/>
        </w:rPr>
        <w:t xml:space="preserve">Einstein’s general theory of relativity describes gravity as the bending of space and time, so a black hole acts like a lens for light. Luminet computed the first image of a non-spinning (Schwarzschild) black hole with a glowing disk in 1979 [6], Virbhadra and Ellis showed that light can circle such a hole and form a series of ever fainter images [7], while Gralla et al. separated the shadow (the dark central area), the photon ring (light that circles the hole before escaping) and the lensing ring [8]. These papers give exact answers, such as a shadow radius of about 5.2</w:t>
      </w:r>
      <w:r>
        <w:rPr>
          <w:rFonts w:ascii="Times New Roman" w:cs="Times New Roman" w:eastAsia="Times New Roman" w:hAnsi="Times New Roman"/>
          <w:i/>
          <w:iCs/>
        </w:rPr>
        <w:t xml:space="preserve">M</w:t>
      </w:r>
      <w:r>
        <w:rPr>
          <w:rFonts w:ascii="Times New Roman" w:cs="Times New Roman" w:eastAsia="Times New Roman" w:hAnsi="Times New Roman"/>
        </w:rPr>
        <w:t xml:space="preserve">, where </w:t>
      </w:r>
      <w:r>
        <w:rPr>
          <w:rFonts w:ascii="Times New Roman" w:cs="Times New Roman" w:eastAsia="Times New Roman" w:hAnsi="Times New Roman"/>
          <w:i/>
          <w:iCs/>
        </w:rPr>
        <w:t xml:space="preserve">M</w:t>
      </w:r>
      <w:r>
        <w:rPr>
          <w:rFonts w:ascii="Times New Roman" w:cs="Times New Roman" w:eastAsia="Times New Roman" w:hAnsi="Times New Roman"/>
        </w:rPr>
        <w:t xml:space="preserve"> is the black hole mass in length units [8], which a simulation can be tested against.</w:t>
      </w:r>
    </w:p>
    <w:p>
      <w:pPr>
        <w:spacing w:after="120" w:before="0" w:line="264"/>
        <w:jc w:val="both"/>
      </w:pPr>
      <w:r>
        <w:rPr>
          <w:rFonts w:ascii="Times New Roman" w:cs="Times New Roman" w:eastAsia="Times New Roman" w:hAnsi="Times New Roman"/>
        </w:rPr>
        <w:t xml:space="preserve">Many programs trace light through curved space, such as Geokerr, which uses exact mathematical functions for spinning black holes [9], and GYOTO, an open-source C++ framework that solves the equations step by step [10], while GeoViS is aimed at both education and scientific modelling [11]. GRay and the ray tracer of Kuchelmeister et al. run on graphics cards, with GRay using single precision numbers and being reported as two orders of magnitude faster than processor codes [12], [13]. Exact methods are fast but limited to one black hole type [9], whereas graphics card code adds complexity [12], [13].</w:t>
      </w:r>
    </w:p>
    <w:p>
      <w:pPr>
        <w:spacing w:after="120" w:before="0" w:line="264"/>
        <w:jc w:val="both"/>
      </w:pPr>
      <w:r>
        <w:rPr>
          <w:rFonts w:ascii="Times New Roman" w:cs="Times New Roman" w:eastAsia="Times New Roman" w:hAnsi="Times New Roman"/>
        </w:rPr>
        <w:t xml:space="preserve">The Euler method is simple but loses accuracy quickly, whereas the fourth-order Runge-Kutta (RK4) method is more accurate at the cost of complexity, but it can still lose accuracy at important points, such as near the orbit where light circles the hole [14]. Adaptive methods such as Dormand-Prince change the step size automatically [15], however their effect on a finished image is less well documented.</w:t>
      </w:r>
    </w:p>
    <w:p>
      <w:pPr>
        <w:spacing w:after="120" w:before="0" w:line="264"/>
        <w:jc w:val="both"/>
      </w:pPr>
      <w:r>
        <w:rPr>
          <w:rFonts w:ascii="Times New Roman" w:cs="Times New Roman" w:eastAsia="Times New Roman" w:hAnsi="Times New Roman"/>
        </w:rPr>
        <w:t xml:space="preserve">Furthermore, Gold et al. found that Event Horizon Telescope codes agreed only when numerical settings and camera distance were chosen carefully [16].</w:t>
      </w:r>
    </w:p>
    <w:p>
      <w:pPr>
        <w:spacing w:after="120" w:before="0" w:line="264"/>
        <w:jc w:val="both"/>
      </w:pPr>
      <w:r>
        <w:rPr>
          <w:rFonts w:ascii="Times New Roman" w:cs="Times New Roman" w:eastAsia="Times New Roman" w:hAnsi="Times New Roman"/>
        </w:rPr>
        <w:t xml:space="preserve">There are two gaps that existing programmes and code fail to address. Older codes focus on spinning black holes, which makes them hard for newcomers to follow, while simple demonstrations lack checks against exact results [5]. Published comparisons test orbits [14] or whole codes [16], and appear to say little about how the solver and number precision change results such as shadow size, so this project addresses both gaps for the Schwarzschild case, where exact answers exist.</w:t>
      </w:r>
    </w:p>
    <w:p>
      <w:pPr>
        <w:pStyle w:val="Heading1"/>
        <w:keepNext/>
      </w:pPr>
      <w:bookmarkStart w:name="s3" w:id="1"/>
      <w:r>
        <w:rPr>
          <w:rFonts w:ascii="Times New Roman" w:cs="Times New Roman" w:eastAsia="Times New Roman" w:hAnsi="Times New Roman"/>
        </w:rPr>
        <w:t xml:space="preserve">3.  RESEARCH PROBLEM STATEMENT</w:t>
      </w:r>
      <w:bookmarkEnd w:id="1"/>
    </w:p>
    <w:p>
      <w:pPr>
        <w:spacing w:after="120" w:before="0" w:line="264"/>
        <w:jc w:val="both"/>
      </w:pPr>
      <w:r>
        <w:rPr>
          <w:rFonts w:ascii="Times New Roman" w:cs="Times New Roman" w:eastAsia="Times New Roman" w:hAnsi="Times New Roman"/>
        </w:rPr>
        <w:t xml:space="preserve">Black hole simulations depend on numerical choices, including the solver, step size and number precision, and their effect on the accuracy of the final result is not commonly measured in a simple, repeatable way, however exact results for Schwarzschild black holes [7], [8] make such a test possible.</w:t>
      </w:r>
    </w:p>
    <w:p>
      <w:pPr>
        <w:spacing w:after="120" w:before="0" w:line="264"/>
        <w:jc w:val="both"/>
      </w:pPr>
      <w:r>
        <w:rPr>
          <w:rFonts w:ascii="Times New Roman" w:cs="Times New Roman" w:eastAsia="Times New Roman" w:hAnsi="Times New Roman"/>
        </w:rPr>
        <w:t xml:space="preserve">The problem faced is how the choice of solver, step size and number precision affect the accuracy and speed of a two-dimensional C++ simulation of light and orbits around a Schwarzschild black hole, and whether it can reproduce known exact and published results.</w:t>
      </w:r>
    </w:p>
    <w:p>
      <w:pPr>
        <w:spacing w:after="120" w:before="0" w:line="264"/>
        <w:jc w:val="both"/>
      </w:pPr>
      <w:r>
        <w:rPr>
          <w:rFonts w:ascii="Times New Roman" w:cs="Times New Roman" w:eastAsia="Times New Roman" w:hAnsi="Times New Roman"/>
        </w:rPr>
        <w:t xml:space="preserve">The study is timely after recent Event Horizon Telescope results [1], [2], and as exact answers exist for this type of black hole, the simulation can be tested directly against them.</w:t>
      </w:r>
    </w:p>
    <w:p>
      <w:pPr>
        <w:pStyle w:val="Heading1"/>
        <w:keepNext/>
      </w:pPr>
      <w:bookmarkStart w:name="s4" w:id="1"/>
      <w:r>
        <w:rPr>
          <w:rFonts w:ascii="Times New Roman" w:cs="Times New Roman" w:eastAsia="Times New Roman" w:hAnsi="Times New Roman"/>
        </w:rPr>
        <w:t xml:space="preserve">4.  AIM AND OBJECTIVES</w:t>
      </w:r>
      <w:bookmarkEnd w:id="1"/>
    </w:p>
    <w:p>
      <w:pPr>
        <w:spacing w:after="120" w:before="0" w:line="264"/>
        <w:jc w:val="both"/>
      </w:pPr>
      <w:r>
        <w:rPr>
          <w:rFonts w:ascii="Times New Roman" w:cs="Times New Roman" w:eastAsia="Times New Roman" w:hAnsi="Times New Roman"/>
        </w:rPr>
        <w:t xml:space="preserve">The aim of this project is to design, implement and evaluate a two-dimensional C++ simulation of light and orbits around a non-spinning Schwarzschild black hole, and to measure how numerical choices affect its accuracy and speed. A stretch goal, outside the objectives, extends this to a 3D model that utilises the GPU.</w:t>
      </w:r>
    </w:p>
    <w:p>
      <w:pPr>
        <w:keepNext/>
        <w:spacing w:after="60" w:before="0" w:line="264"/>
        <w:jc w:val="both"/>
      </w:pPr>
      <w:r>
        <w:rPr>
          <w:rFonts w:ascii="Times New Roman" w:cs="Times New Roman" w:eastAsia="Times New Roman" w:hAnsi="Times New Roman"/>
        </w:rPr>
        <w:t xml:space="preserve">The objectives of the project are listed below.</w:t>
      </w:r>
    </w:p>
    <w:p>
      <w:pPr>
        <w:pStyle w:val="ListParagraph"/>
        <w:numPr>
          <w:ilvl w:val="0"/>
          <w:numId w:val="2"/>
        </w:numPr>
        <w:spacing w:after="60" w:line="264"/>
        <w:jc w:val="both"/>
      </w:pPr>
      <w:r>
        <w:rPr>
          <w:rFonts w:ascii="Times New Roman" w:cs="Times New Roman" w:eastAsia="Times New Roman" w:hAnsi="Times New Roman"/>
        </w:rPr>
        <w:t xml:space="preserve">To implement and compare Euler and RK4 solvers for light and orbit paths on a processor, measuring their errors against exact results, by the third week of December.</w:t>
      </w:r>
    </w:p>
    <w:p>
      <w:pPr>
        <w:pStyle w:val="ListParagraph"/>
        <w:numPr>
          <w:ilvl w:val="0"/>
          <w:numId w:val="2"/>
        </w:numPr>
        <w:spacing w:after="60" w:line="264"/>
        <w:jc w:val="both"/>
      </w:pPr>
      <w:r>
        <w:rPr>
          <w:rFonts w:ascii="Times New Roman" w:cs="Times New Roman" w:eastAsia="Times New Roman" w:hAnsi="Times New Roman"/>
        </w:rPr>
        <w:t xml:space="preserve">To develop a modular, interactive 2D side-view simulator in C++ showing light rays, the shadow, orbiting objects, a curved space grid and a ground surface that the light lands on, by the second week of February.</w:t>
      </w:r>
    </w:p>
    <w:p>
      <w:pPr>
        <w:pStyle w:val="ListParagraph"/>
        <w:numPr>
          <w:ilvl w:val="0"/>
          <w:numId w:val="2"/>
        </w:numPr>
        <w:spacing w:after="60" w:line="264"/>
        <w:jc w:val="both"/>
      </w:pPr>
      <w:r>
        <w:rPr>
          <w:rFonts w:ascii="Times New Roman" w:cs="Times New Roman" w:eastAsia="Times New Roman" w:hAnsi="Times New Roman"/>
        </w:rPr>
        <w:t xml:space="preserve">To evaluate accuracy against exact values [7], [8], and analyse speed, number precision and energy use, by the third week of March.</w:t>
      </w:r>
    </w:p>
    <w:p>
      <w:pPr>
        <w:spacing w:after="120" w:before="0" w:line="264"/>
        <w:jc w:val="both"/>
      </w:pPr>
      <w:r>
        <w:rPr>
          <w:rFonts w:ascii="Times New Roman" w:cs="Times New Roman" w:eastAsia="Times New Roman" w:hAnsi="Times New Roman"/>
        </w:rPr>
        <w:t xml:space="preserve">The deliverables are a documented C++ code base with unit tests, a live 2D simulation and validation and performance reports.</w:t>
      </w:r>
    </w:p>
    <w:p>
      <w:pPr>
        <w:spacing w:after="120" w:before="0" w:line="264"/>
        <w:jc w:val="both"/>
      </w:pPr>
      <w:r>
        <w:rPr>
          <w:rFonts w:ascii="Times New Roman" w:cs="Times New Roman" w:eastAsia="Times New Roman" w:hAnsi="Times New Roman"/>
        </w:rPr>
        <w:t xml:space="preserve">Success will be judged by the critical offset (shadow size) being within 0.1% of the exact value, RK4 error falling about sixteen-fold when the step is halved, a minimum of 15 frames per second with 10,000 rays and all unit tests passing.</w:t>
      </w:r>
    </w:p>
    <w:p>
      <w:pPr>
        <w:pStyle w:val="Heading1"/>
        <w:keepNext/>
      </w:pPr>
      <w:bookmarkStart w:name="s5" w:id="1"/>
      <w:r>
        <w:rPr>
          <w:rFonts w:ascii="Times New Roman" w:cs="Times New Roman" w:eastAsia="Times New Roman" w:hAnsi="Times New Roman"/>
        </w:rPr>
        <w:t xml:space="preserve">5.  RESEARCH METHODOLOGY</w:t>
      </w:r>
      <w:bookmarkEnd w:id="1"/>
    </w:p>
    <w:p>
      <w:pPr>
        <w:pStyle w:val="Heading2"/>
        <w:keepNext/>
      </w:pPr>
      <w:bookmarkStart w:name="s51" w:id="1"/>
      <w:r>
        <w:rPr>
          <w:rFonts w:ascii="Times New Roman" w:cs="Times New Roman" w:eastAsia="Times New Roman" w:hAnsi="Times New Roman"/>
        </w:rPr>
        <w:t xml:space="preserve">5.1  Research Design</w:t>
      </w:r>
      <w:bookmarkEnd w:id="1"/>
    </w:p>
    <w:p>
      <w:pPr>
        <w:spacing w:after="120" w:before="0" w:line="264"/>
        <w:jc w:val="both"/>
      </w:pPr>
      <w:r>
        <w:rPr>
          <w:rFonts w:ascii="Times New Roman" w:cs="Times New Roman" w:eastAsia="Times New Roman" w:hAnsi="Times New Roman"/>
        </w:rPr>
        <w:t xml:space="preserve">The project is a quantitative, experimental computing study using iterative development, with lengths measured in units of the black hole mass </w:t>
      </w:r>
      <w:r>
        <w:rPr>
          <w:rFonts w:ascii="Times New Roman" w:cs="Times New Roman" w:eastAsia="Times New Roman" w:hAnsi="Times New Roman"/>
          <w:i/>
          <w:iCs/>
        </w:rPr>
        <w:t xml:space="preserve">M</w:t>
      </w:r>
      <w:r>
        <w:rPr>
          <w:rFonts w:ascii="Times New Roman" w:cs="Times New Roman" w:eastAsia="Times New Roman" w:hAnsi="Times New Roman"/>
        </w:rPr>
        <w:t xml:space="preserve">, which removes physical constants from the code. The simulator works in two dimensions, using a side view of a vertical slice through the black hole so that its effect on any mass below it can be shown, and as a black hole looks the same from every direction this slice loses nothing.</w:t>
      </w:r>
    </w:p>
    <w:p>
      <w:pPr>
        <w:keepNext/>
        <w:spacing w:after="120" w:before="0" w:line="264"/>
        <w:jc w:val="both"/>
      </w:pPr>
      <w:r>
        <w:rPr>
          <w:rFonts w:ascii="Times New Roman" w:cs="Times New Roman" w:eastAsia="Times New Roman" w:hAnsi="Times New Roman"/>
        </w:rPr>
        <w:t xml:space="preserve">A Schwarzschild black hole looks the same from every direction, so each light ray stays in one flat plane, which means a 2D simulation shows true paths and one equation traces them (Equation 1), where </w:t>
      </w:r>
      <w:r>
        <w:rPr>
          <w:rFonts w:ascii="Times New Roman" w:cs="Times New Roman" w:eastAsia="Times New Roman" w:hAnsi="Times New Roman"/>
          <w:i/>
          <w:iCs/>
        </w:rPr>
        <w:t xml:space="preserve">u</w:t>
      </w:r>
      <w:r>
        <w:rPr>
          <w:rFonts w:ascii="Times New Roman" w:cs="Times New Roman" w:eastAsia="Times New Roman" w:hAnsi="Times New Roman"/>
        </w:rPr>
        <w:t xml:space="preserve"> = 1/</w:t>
      </w:r>
      <w:r>
        <w:rPr>
          <w:rFonts w:ascii="Times New Roman" w:cs="Times New Roman" w:eastAsia="Times New Roman" w:hAnsi="Times New Roman"/>
          <w:i/>
          <w:iCs/>
        </w:rPr>
        <w:t xml:space="preserve">r</w:t>
      </w:r>
      <w:r>
        <w:rPr>
          <w:rFonts w:ascii="Times New Roman" w:cs="Times New Roman" w:eastAsia="Times New Roman" w:hAnsi="Times New Roman"/>
        </w:rPr>
        <w:t xml:space="preserve"> is the inverse of the distance from the hole and </w:t>
      </w:r>
      <w:r>
        <w:rPr>
          <w:rFonts w:ascii="Times New Roman" w:cs="Times New Roman" w:eastAsia="Times New Roman" w:hAnsi="Times New Roman"/>
          <w:i/>
          <w:iCs/>
        </w:rPr>
        <w:t xml:space="preserve">φ</w:t>
      </w:r>
      <w:r>
        <w:rPr>
          <w:rFonts w:ascii="Times New Roman" w:cs="Times New Roman" w:eastAsia="Times New Roman" w:hAnsi="Times New Roman"/>
        </w:rPr>
        <w:t xml:space="preserve"> is the angle around it. Rays aimed within the critical offset </w:t>
      </w:r>
      <w:r>
        <w:rPr>
          <w:rFonts w:ascii="Times New Roman" w:cs="Times New Roman" w:eastAsia="Times New Roman" w:hAnsi="Times New Roman"/>
          <w:i/>
          <w:iCs/>
        </w:rPr>
        <w:t xml:space="preserve">b</w:t>
      </w:r>
      <w:r>
        <w:rPr>
          <w:rFonts w:ascii="Times New Roman" w:cs="Times New Roman" w:eastAsia="Times New Roman" w:hAnsi="Times New Roman"/>
          <w:vertAlign w:val="subscript"/>
        </w:rPr>
        <w:t xml:space="preserve">c</w:t>
      </w:r>
      <w:r>
        <w:rPr>
          <w:rFonts w:ascii="Times New Roman" w:cs="Times New Roman" w:eastAsia="Times New Roman" w:hAnsi="Times New Roman"/>
        </w:rPr>
        <w:t xml:space="preserve"> of Equation 2 fall in and all others escape, while objects with mass follow Equation 3, where </w:t>
      </w:r>
      <w:r>
        <w:rPr>
          <w:rFonts w:ascii="Times New Roman" w:cs="Times New Roman" w:eastAsia="Times New Roman" w:hAnsi="Times New Roman"/>
          <w:i/>
          <w:iCs/>
        </w:rPr>
        <w:t xml:space="preserve">L</w:t>
      </w:r>
      <w:r>
        <w:rPr>
          <w:rFonts w:ascii="Times New Roman" w:cs="Times New Roman" w:eastAsia="Times New Roman" w:hAnsi="Times New Roman"/>
        </w:rPr>
        <w:t xml:space="preserve"> describes their sideways motion. Stable circular orbits exist only beyond 6</w:t>
      </w:r>
      <w:r>
        <w:rPr>
          <w:rFonts w:ascii="Times New Roman" w:cs="Times New Roman" w:eastAsia="Times New Roman" w:hAnsi="Times New Roman"/>
          <w:i/>
          <w:iCs/>
        </w:rPr>
        <w:t xml:space="preserve">M</w:t>
      </w:r>
      <w:r>
        <w:rPr>
          <w:rFonts w:ascii="Times New Roman" w:cs="Times New Roman" w:eastAsia="Times New Roman" w:hAnsi="Times New Roman"/>
        </w:rPr>
        <w:t xml:space="preserve">.</w:t>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0"/>
        <w:gridCol w:w="7226"/>
        <w:gridCol w:w="900"/>
      </w:tblGrid>
      <w:tr>
        <w:trPr>
          <w:cantSplit/>
        </w:trPr>
        <w:tc>
          <w:tcPr>
            <w:tcW w:type="dxa" w:w="900"/>
            <w:tcBorders>
              <w:top w:val="none" w:color="FFFFFF" w:sz="0"/>
              <w:left w:val="none" w:color="FFFFFF" w:sz="0"/>
              <w:bottom w:val="none" w:color="FFFFFF" w:sz="0"/>
              <w:right w:val="none" w:color="FFFFFF" w:sz="0"/>
            </w:tcBorders>
            <w:tcMar>
              <w:top w:type="dxa" w:w="70"/>
              <w:left w:type="dxa" w:w="100"/>
              <w:bottom w:type="dxa" w:w="70"/>
              <w:right w:type="dxa" w:w="100"/>
            </w:tcMar>
            <w:vAlign w:val="center"/>
          </w:tcPr>
          <w:p>
            <w:pPr>
              <w:spacing w:after="0" w:before="0" w:line="252"/>
              <w:jc w:val="left"/>
            </w:pPr>
          </w:p>
        </w:tc>
        <w:tc>
          <w:tcPr>
            <w:tcW w:type="dxa" w:w="7226"/>
            <w:tcBorders>
              <w:top w:val="none" w:color="FFFFFF" w:sz="0"/>
              <w:left w:val="none" w:color="FFFFFF" w:sz="0"/>
              <w:bottom w:val="none" w:color="FFFFFF" w:sz="0"/>
              <w:right w:val="none" w:color="FFFFFF" w:sz="0"/>
            </w:tcBorders>
            <w:vAlign w:val="center"/>
          </w:tcPr>
          <w:p>
            <w:pPr>
              <w:keepNext/>
              <w:spacing w:after="60" w:before="60"/>
              <w:jc w:val="center"/>
            </w:pPr>
            <m:oMath>
              <m:f>
                <m:num>
                  <m:sSup>
                    <m:sSupPr/>
                    <m:e>
                      <m:r>
                        <m:t>d</m:t>
                      </m:r>
                    </m:e>
                    <m:sup>
                      <m:r>
                        <m:t>2</m:t>
                      </m:r>
                    </m:sup>
                  </m:sSup>
                  <m:r>
                    <m:t>u</m:t>
                  </m:r>
                </m:num>
                <m:den>
                  <m:r>
                    <m:t>d</m:t>
                  </m:r>
                  <m:sSup>
                    <m:sSupPr/>
                    <m:e>
                      <m:r>
                        <m:t>φ</m:t>
                      </m:r>
                    </m:e>
                    <m:sup>
                      <m:r>
                        <m:t>2</m:t>
                      </m:r>
                    </m:sup>
                  </m:sSup>
                </m:den>
              </m:f>
              <m:r>
                <m:t>+u=3M</m:t>
              </m:r>
              <m:sSup>
                <m:sSupPr/>
                <m:e>
                  <m:r>
                    <m:t>u</m:t>
                  </m:r>
                </m:e>
                <m:sup>
                  <m:r>
                    <m:t>2</m:t>
                  </m:r>
                </m:sup>
              </m:sSup>
            </m:oMath>
          </w:p>
        </w:tc>
        <w:tc>
          <w:tcPr>
            <w:tcW w:type="dxa" w:w="900"/>
            <w:tcBorders>
              <w:top w:val="none" w:color="FFFFFF" w:sz="0"/>
              <w:left w:val="none" w:color="FFFFFF" w:sz="0"/>
              <w:bottom w:val="none" w:color="FFFFFF" w:sz="0"/>
              <w:right w:val="none" w:color="FFFFFF" w:sz="0"/>
            </w:tcBorders>
            <w:tcMar>
              <w:top w:type="dxa" w:w="70"/>
              <w:left w:type="dxa" w:w="100"/>
              <w:bottom w:type="dxa" w:w="70"/>
              <w:right w:type="dxa" w:w="100"/>
            </w:tcMar>
            <w:vAlign w:val="center"/>
          </w:tcPr>
          <w:p>
            <w:pPr>
              <w:keepNext/>
              <w:spacing w:after="0" w:before="0" w:line="252"/>
              <w:jc w:val="right"/>
            </w:pPr>
            <w:bookmarkStart w:name="e1" w:id="1"/>
            <w:r>
              <w:rPr>
                <w:rFonts w:ascii="Times New Roman" w:cs="Times New Roman" w:eastAsia="Times New Roman" w:hAnsi="Times New Roman"/>
                <w:sz w:val="24"/>
                <w:szCs w:val="24"/>
              </w:rPr>
              <w:t xml:space="preserve">(1)</w:t>
            </w:r>
            <w:bookmarkEnd w:id="1"/>
          </w:p>
        </w:tc>
      </w:tr>
    </w:tbl>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0"/>
        <w:gridCol w:w="7226"/>
        <w:gridCol w:w="900"/>
      </w:tblGrid>
      <w:tr>
        <w:trPr>
          <w:cantSplit/>
        </w:trPr>
        <w:tc>
          <w:tcPr>
            <w:tcW w:type="dxa" w:w="900"/>
            <w:tcBorders>
              <w:top w:val="none" w:color="FFFFFF" w:sz="0"/>
              <w:left w:val="none" w:color="FFFFFF" w:sz="0"/>
              <w:bottom w:val="none" w:color="FFFFFF" w:sz="0"/>
              <w:right w:val="none" w:color="FFFFFF" w:sz="0"/>
            </w:tcBorders>
            <w:tcMar>
              <w:top w:type="dxa" w:w="70"/>
              <w:left w:type="dxa" w:w="100"/>
              <w:bottom w:type="dxa" w:w="70"/>
              <w:right w:type="dxa" w:w="100"/>
            </w:tcMar>
            <w:vAlign w:val="center"/>
          </w:tcPr>
          <w:p>
            <w:pPr>
              <w:spacing w:after="0" w:before="0" w:line="252"/>
              <w:jc w:val="left"/>
            </w:pPr>
          </w:p>
        </w:tc>
        <w:tc>
          <w:tcPr>
            <w:tcW w:type="dxa" w:w="7226"/>
            <w:tcBorders>
              <w:top w:val="none" w:color="FFFFFF" w:sz="0"/>
              <w:left w:val="none" w:color="FFFFFF" w:sz="0"/>
              <w:bottom w:val="none" w:color="FFFFFF" w:sz="0"/>
              <w:right w:val="none" w:color="FFFFFF" w:sz="0"/>
            </w:tcBorders>
            <w:vAlign w:val="center"/>
          </w:tcPr>
          <w:p>
            <w:pPr>
              <w:keepNext/>
              <w:spacing w:after="60" w:before="60"/>
              <w:jc w:val="center"/>
            </w:pPr>
            <m:oMath>
              <m:sSub>
                <m:sSubPr/>
                <m:e>
                  <m:r>
                    <m:t>b</m:t>
                  </m:r>
                </m:e>
                <m:sub>
                  <m:r>
                    <m:t>c</m:t>
                  </m:r>
                </m:sub>
              </m:sSub>
              <m:r>
                <m:t>=3</m:t>
              </m:r>
              <m:rad>
                <m:radPr>
                  <m:degHide m:val="1"/>
                </m:radPr>
                <m:deg/>
                <m:e>
                  <m:r>
                    <m:t>3</m:t>
                  </m:r>
                </m:e>
              </m:rad>
              <m:r>
                <m:t>M</m:t>
              </m:r>
            </m:oMath>
          </w:p>
        </w:tc>
        <w:tc>
          <w:tcPr>
            <w:tcW w:type="dxa" w:w="900"/>
            <w:tcBorders>
              <w:top w:val="none" w:color="FFFFFF" w:sz="0"/>
              <w:left w:val="none" w:color="FFFFFF" w:sz="0"/>
              <w:bottom w:val="none" w:color="FFFFFF" w:sz="0"/>
              <w:right w:val="none" w:color="FFFFFF" w:sz="0"/>
            </w:tcBorders>
            <w:tcMar>
              <w:top w:type="dxa" w:w="70"/>
              <w:left w:type="dxa" w:w="100"/>
              <w:bottom w:type="dxa" w:w="70"/>
              <w:right w:type="dxa" w:w="100"/>
            </w:tcMar>
            <w:vAlign w:val="center"/>
          </w:tcPr>
          <w:p>
            <w:pPr>
              <w:keepNext/>
              <w:spacing w:after="0" w:before="0" w:line="252"/>
              <w:jc w:val="right"/>
            </w:pPr>
            <w:bookmarkStart w:name="e2" w:id="1"/>
            <w:r>
              <w:rPr>
                <w:rFonts w:ascii="Times New Roman" w:cs="Times New Roman" w:eastAsia="Times New Roman" w:hAnsi="Times New Roman"/>
                <w:sz w:val="24"/>
                <w:szCs w:val="24"/>
              </w:rPr>
              <w:t xml:space="preserve">(2)</w:t>
            </w:r>
            <w:bookmarkEnd w:id="1"/>
          </w:p>
        </w:tc>
      </w:tr>
    </w:tbl>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0"/>
        <w:gridCol w:w="7226"/>
        <w:gridCol w:w="900"/>
      </w:tblGrid>
      <w:tr>
        <w:trPr>
          <w:cantSplit/>
        </w:trPr>
        <w:tc>
          <w:tcPr>
            <w:tcW w:type="dxa" w:w="900"/>
            <w:tcBorders>
              <w:top w:val="none" w:color="FFFFFF" w:sz="0"/>
              <w:left w:val="none" w:color="FFFFFF" w:sz="0"/>
              <w:bottom w:val="none" w:color="FFFFFF" w:sz="0"/>
              <w:right w:val="none" w:color="FFFFFF" w:sz="0"/>
            </w:tcBorders>
            <w:tcMar>
              <w:top w:type="dxa" w:w="70"/>
              <w:left w:type="dxa" w:w="100"/>
              <w:bottom w:type="dxa" w:w="70"/>
              <w:right w:type="dxa" w:w="100"/>
            </w:tcMar>
            <w:vAlign w:val="center"/>
          </w:tcPr>
          <w:p>
            <w:pPr>
              <w:spacing w:after="0" w:before="0" w:line="252"/>
              <w:jc w:val="left"/>
            </w:pPr>
          </w:p>
        </w:tc>
        <w:tc>
          <w:tcPr>
            <w:tcW w:type="dxa" w:w="7226"/>
            <w:tcBorders>
              <w:top w:val="none" w:color="FFFFFF" w:sz="0"/>
              <w:left w:val="none" w:color="FFFFFF" w:sz="0"/>
              <w:bottom w:val="none" w:color="FFFFFF" w:sz="0"/>
              <w:right w:val="none" w:color="FFFFFF" w:sz="0"/>
            </w:tcBorders>
            <w:vAlign w:val="center"/>
          </w:tcPr>
          <w:p>
            <w:pPr>
              <w:keepNext w:val="false"/>
              <w:spacing w:after="60" w:before="60"/>
              <w:jc w:val="center"/>
            </w:pPr>
            <m:oMath>
              <m:f>
                <m:num>
                  <m:sSup>
                    <m:sSupPr/>
                    <m:e>
                      <m:r>
                        <m:t>d</m:t>
                      </m:r>
                    </m:e>
                    <m:sup>
                      <m:r>
                        <m:t>2</m:t>
                      </m:r>
                    </m:sup>
                  </m:sSup>
                  <m:r>
                    <m:t>u</m:t>
                  </m:r>
                </m:num>
                <m:den>
                  <m:r>
                    <m:t>d</m:t>
                  </m:r>
                  <m:sSup>
                    <m:sSupPr/>
                    <m:e>
                      <m:r>
                        <m:t>φ</m:t>
                      </m:r>
                    </m:e>
                    <m:sup>
                      <m:r>
                        <m:t>2</m:t>
                      </m:r>
                    </m:sup>
                  </m:sSup>
                </m:den>
              </m:f>
              <m:r>
                <m:t>+u=</m:t>
              </m:r>
              <m:f>
                <m:num>
                  <m:r>
                    <m:t>M</m:t>
                  </m:r>
                </m:num>
                <m:den>
                  <m:sSup>
                    <m:sSupPr/>
                    <m:e>
                      <m:r>
                        <m:t>L</m:t>
                      </m:r>
                    </m:e>
                    <m:sup>
                      <m:r>
                        <m:t>2</m:t>
                      </m:r>
                    </m:sup>
                  </m:sSup>
                </m:den>
              </m:f>
              <m:r>
                <m:t>+3M</m:t>
              </m:r>
              <m:sSup>
                <m:sSupPr/>
                <m:e>
                  <m:r>
                    <m:t>u</m:t>
                  </m:r>
                </m:e>
                <m:sup>
                  <m:r>
                    <m:t>2</m:t>
                  </m:r>
                </m:sup>
              </m:sSup>
            </m:oMath>
          </w:p>
        </w:tc>
        <w:tc>
          <w:tcPr>
            <w:tcW w:type="dxa" w:w="900"/>
            <w:tcBorders>
              <w:top w:val="none" w:color="FFFFFF" w:sz="0"/>
              <w:left w:val="none" w:color="FFFFFF" w:sz="0"/>
              <w:bottom w:val="none" w:color="FFFFFF" w:sz="0"/>
              <w:right w:val="none" w:color="FFFFFF" w:sz="0"/>
            </w:tcBorders>
            <w:tcMar>
              <w:top w:type="dxa" w:w="70"/>
              <w:left w:type="dxa" w:w="100"/>
              <w:bottom w:type="dxa" w:w="70"/>
              <w:right w:type="dxa" w:w="100"/>
            </w:tcMar>
            <w:vAlign w:val="center"/>
          </w:tcPr>
          <w:p>
            <w:pPr>
              <w:keepNext w:val="false"/>
              <w:spacing w:after="0" w:before="0" w:line="252"/>
              <w:jc w:val="right"/>
            </w:pPr>
            <w:bookmarkStart w:name="e3" w:id="1"/>
            <w:r>
              <w:rPr>
                <w:rFonts w:ascii="Times New Roman" w:cs="Times New Roman" w:eastAsia="Times New Roman" w:hAnsi="Times New Roman"/>
                <w:sz w:val="24"/>
                <w:szCs w:val="24"/>
              </w:rPr>
              <w:t xml:space="preserve">(3)</w:t>
            </w:r>
            <w:bookmarkEnd w:id="1"/>
          </w:p>
        </w:tc>
      </w:tr>
    </w:tbl>
    <w:p>
      <w:pPr>
        <w:spacing w:after="120" w:before="120" w:line="264"/>
        <w:jc w:val="both"/>
      </w:pPr>
      <w:r>
        <w:rPr>
          <w:rFonts w:ascii="Times New Roman" w:cs="Times New Roman" w:eastAsia="Times New Roman" w:hAnsi="Times New Roman"/>
        </w:rPr>
        <w:t xml:space="preserve">The build follows the stages of the inspiring project [5] with testing added, which are (1) 2D light bending, (2) a 3D ray tracer with a glowing disk, (3) a curved space grid and (4) a real-time version, of which Figure 1 shows the 2D simulator. A fan of rays with chosen offsets is traced until each falls in, escapes or reaches a step limit, and the deflection angle of each escaping ray is recorded, with orbiting objects using the same solver. A flat ground below the hole stops any ray that reaches it, so the light landing there shows how the hole warps the space around it. As the rays are independent, the work is shared across processor cores with OpenMP and the results are drawn live with OpenGL.</w:t>
      </w:r>
    </w:p>
    <w:p>
      <w:pPr>
        <w:keepNext/>
        <w:spacing w:after="60" w:before="120" w:line="240" w:lineRule="auto"/>
        <w:jc w:val="center"/>
      </w:pPr>
      <w:r>
        <w:drawing>
          <wp:inline distT="0" distB="0" distL="0" distR="0">
            <wp:extent cx="4191000" cy="2095500"/>
            <wp:effectExtent t="0" r="0" b="0" l="0"/>
            <wp:docPr id="1" name="fig1" descr="Flow chart of the 2D simulator" title="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 cstate="none"/>
                    <a:srcRect/>
                    <a:stretch>
                      <a:fillRect/>
                    </a:stretch>
                  </pic:blipFill>
                  <pic:spPr bwMode="auto">
                    <a:xfrm>
                      <a:off x="0" y="0"/>
                      <a:ext cx="4191000" cy="2095500"/>
                    </a:xfrm>
                    <a:prstGeom prst="rect">
                      <a:avLst/>
                    </a:prstGeom>
                  </pic:spPr>
                </pic:pic>
              </a:graphicData>
            </a:graphic>
          </wp:inline>
        </w:drawing>
      </w:r>
    </w:p>
    <w:p>
      <w:pPr>
        <w:spacing w:after="160" w:before="60"/>
        <w:jc w:val="center"/>
      </w:pPr>
      <w:bookmarkStart w:name="f1" w:id="1"/>
      <w:r>
        <w:rPr>
          <w:rFonts w:ascii="Times New Roman" w:cs="Times New Roman" w:eastAsia="Times New Roman" w:hAnsi="Times New Roman"/>
          <w:sz w:val="20"/>
          <w:szCs w:val="20"/>
        </w:rPr>
        <w:t xml:space="preserve">Figure 1: Planned flow of the 2D simulator.</w:t>
      </w:r>
      <w:bookmarkEnd w:id="1"/>
    </w:p>
    <w:p>
      <w:pPr>
        <w:spacing w:after="120" w:before="0" w:line="264"/>
        <w:jc w:val="both"/>
      </w:pPr>
      <w:r>
        <w:rPr>
          <w:rFonts w:ascii="Times New Roman" w:cs="Times New Roman" w:eastAsia="Times New Roman" w:hAnsi="Times New Roman"/>
        </w:rPr>
        <w:t xml:space="preserve">Development uses two-week sprints, Git and automated unit tests (Catch2), following scientific software guidance [17].</w:t>
      </w:r>
    </w:p>
    <w:p>
      <w:pPr>
        <w:keepNext/>
        <w:spacing w:after="80" w:before="120"/>
        <w:jc w:val="center"/>
      </w:pPr>
      <w:bookmarkStart w:name="t1" w:id="1"/>
      <w:r>
        <w:rPr>
          <w:rFonts w:ascii="Times New Roman" w:cs="Times New Roman" w:eastAsia="Times New Roman" w:hAnsi="Times New Roman"/>
          <w:sz w:val="20"/>
          <w:szCs w:val="20"/>
        </w:rPr>
        <w:t xml:space="preserve">Table 1: Data collection and analysis by objective.</w:t>
      </w:r>
      <w:bookmarkEnd w:id="1"/>
    </w:p>
    <w:tbl>
      <w:tblPr>
        <w:tblW w:type="dxa" w:w="9026"/>
        <w:jc w:val="center"/>
        <w:tblBorders>
          <w:top w:val="single" w:color="auto" w:sz="4"/>
          <w:left w:val="single" w:color="auto" w:sz="4"/>
          <w:bottom w:val="single" w:color="auto" w:sz="4"/>
          <w:right w:val="single" w:color="auto" w:sz="4"/>
          <w:insideH w:val="single" w:color="auto" w:sz="4"/>
          <w:insideV w:val="single" w:color="auto" w:sz="4"/>
        </w:tblBorders>
      </w:tblPr>
      <w:tblGrid>
        <w:gridCol w:w="1100"/>
        <w:gridCol w:w="3300"/>
        <w:gridCol w:w="4626"/>
      </w:tblGrid>
      <w:tr>
        <w:trPr>
          <w:tblHeader/>
        </w:trPr>
        <w:tc>
          <w:tcPr>
            <w:tcW w:type="dxa" w:w="1100"/>
            <w:tcBorders>
              <w:top w:val="single" w:color="000000" w:sz="12"/>
              <w:left w:val="none" w:color="FFFFFF" w:sz="0"/>
              <w:bottom w:val="single" w:color="000000" w:sz="6"/>
              <w:right w:val="none" w:color="FFFFFF" w:sz="0"/>
            </w:tcBorders>
            <w:shd w:fill="E8EDF5" w:color="auto" w:val="clear"/>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b/>
                <w:bCs/>
                <w:sz w:val="20"/>
                <w:szCs w:val="20"/>
              </w:rPr>
              <w:t xml:space="preserve">Objective</w:t>
            </w:r>
          </w:p>
        </w:tc>
        <w:tc>
          <w:tcPr>
            <w:tcW w:type="dxa" w:w="3300"/>
            <w:tcBorders>
              <w:top w:val="single" w:color="000000" w:sz="12"/>
              <w:left w:val="none" w:color="FFFFFF" w:sz="0"/>
              <w:bottom w:val="single" w:color="000000" w:sz="6"/>
              <w:right w:val="none" w:color="FFFFFF" w:sz="0"/>
            </w:tcBorders>
            <w:shd w:fill="E8EDF5" w:color="auto" w:val="clear"/>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b/>
                <w:bCs/>
                <w:sz w:val="20"/>
                <w:szCs w:val="20"/>
              </w:rPr>
              <w:t xml:space="preserve">Data collected</w:t>
            </w:r>
          </w:p>
        </w:tc>
        <w:tc>
          <w:tcPr>
            <w:tcW w:type="dxa" w:w="4626"/>
            <w:tcBorders>
              <w:top w:val="single" w:color="000000" w:sz="12"/>
              <w:left w:val="none" w:color="FFFFFF" w:sz="0"/>
              <w:bottom w:val="single" w:color="000000" w:sz="6"/>
              <w:right w:val="none" w:color="FFFFFF" w:sz="0"/>
            </w:tcBorders>
            <w:shd w:fill="E8EDF5" w:color="auto" w:val="clear"/>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b/>
                <w:bCs/>
                <w:sz w:val="20"/>
                <w:szCs w:val="20"/>
              </w:rPr>
              <w:t xml:space="preserve">Analysis and purpose</w:t>
            </w:r>
          </w:p>
        </w:tc>
      </w:tr>
      <w:tr>
        <w:trPr>
          <w:cantSplit/>
        </w:trPr>
        <w:tc>
          <w:tcPr>
            <w:tcW w:type="dxa" w:w="1100"/>
            <w:tcBorders>
              <w:top w:val="none" w:color="FFFFFF" w:sz="0"/>
              <w:left w:val="none" w:color="FFFFFF" w:sz="0"/>
              <w:bottom w:val="none" w:color="FFFFFF" w:sz="0"/>
              <w:right w:val="none" w:color="FFFFFF" w:sz="0"/>
            </w:tcBorders>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sz w:val="20"/>
                <w:szCs w:val="20"/>
              </w:rPr>
              <w:t xml:space="preserve">O1</w:t>
            </w:r>
          </w:p>
        </w:tc>
        <w:tc>
          <w:tcPr>
            <w:tcW w:type="dxa" w:w="3300"/>
            <w:tcBorders>
              <w:top w:val="none" w:color="FFFFFF" w:sz="0"/>
              <w:left w:val="none" w:color="FFFFFF" w:sz="0"/>
              <w:bottom w:val="none" w:color="FFFFFF" w:sz="0"/>
              <w:right w:val="none" w:color="FFFFFF" w:sz="0"/>
            </w:tcBorders>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sz w:val="20"/>
                <w:szCs w:val="20"/>
              </w:rPr>
              <w:t xml:space="preserve">Errors against step size for each solver</w:t>
            </w:r>
          </w:p>
        </w:tc>
        <w:tc>
          <w:tcPr>
            <w:tcW w:type="dxa" w:w="4626"/>
            <w:tcBorders>
              <w:top w:val="none" w:color="FFFFFF" w:sz="0"/>
              <w:left w:val="none" w:color="FFFFFF" w:sz="0"/>
              <w:bottom w:val="none" w:color="FFFFFF" w:sz="0"/>
              <w:right w:val="none" w:color="FFFFFF" w:sz="0"/>
            </w:tcBorders>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sz w:val="20"/>
                <w:szCs w:val="20"/>
              </w:rPr>
              <w:t xml:space="preserve">Straight-line fit on log-log axes gives the error reduction rate and the accuracy gained per unit of cost</w:t>
            </w:r>
          </w:p>
        </w:tc>
      </w:tr>
      <w:tr>
        <w:trPr>
          <w:cantSplit/>
        </w:trPr>
        <w:tc>
          <w:tcPr>
            <w:tcW w:type="dxa" w:w="1100"/>
            <w:tcBorders>
              <w:top w:val="none" w:color="FFFFFF" w:sz="0"/>
              <w:left w:val="none" w:color="FFFFFF" w:sz="0"/>
              <w:bottom w:val="none" w:color="FFFFFF" w:sz="0"/>
              <w:right w:val="none" w:color="FFFFFF" w:sz="0"/>
            </w:tcBorders>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sz w:val="20"/>
                <w:szCs w:val="20"/>
              </w:rPr>
              <w:t xml:space="preserve">O2</w:t>
            </w:r>
          </w:p>
        </w:tc>
        <w:tc>
          <w:tcPr>
            <w:tcW w:type="dxa" w:w="3300"/>
            <w:tcBorders>
              <w:top w:val="none" w:color="FFFFFF" w:sz="0"/>
              <w:left w:val="none" w:color="FFFFFF" w:sz="0"/>
              <w:bottom w:val="none" w:color="FFFFFF" w:sz="0"/>
              <w:right w:val="none" w:color="FFFFFF" w:sz="0"/>
            </w:tcBorders>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sz w:val="20"/>
                <w:szCs w:val="20"/>
              </w:rPr>
              <w:t xml:space="preserve">Ray outcomes (fell in, escaped, flagged), deflection angles and orbit paths</w:t>
            </w:r>
          </w:p>
        </w:tc>
        <w:tc>
          <w:tcPr>
            <w:tcW w:type="dxa" w:w="4626"/>
            <w:tcBorders>
              <w:top w:val="none" w:color="FFFFFF" w:sz="0"/>
              <w:left w:val="none" w:color="FFFFFF" w:sz="0"/>
              <w:bottom w:val="none" w:color="FFFFFF" w:sz="0"/>
              <w:right w:val="none" w:color="FFFFFF" w:sz="0"/>
            </w:tcBorders>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sz w:val="20"/>
                <w:szCs w:val="20"/>
              </w:rPr>
              <w:t xml:space="preserve">Unit tests of ray set-up and orbit behaviour, with a visual check of the shadow edge against the exact value</w:t>
            </w:r>
          </w:p>
        </w:tc>
      </w:tr>
      <w:tr>
        <w:trPr>
          <w:cantSplit/>
        </w:trPr>
        <w:tc>
          <w:tcPr>
            <w:tcW w:type="dxa" w:w="1100"/>
            <w:tcBorders>
              <w:top w:val="none" w:color="FFFFFF" w:sz="0"/>
              <w:left w:val="none" w:color="FFFFFF" w:sz="0"/>
              <w:bottom w:val="single" w:color="000000" w:sz="12"/>
              <w:right w:val="none" w:color="FFFFFF" w:sz="0"/>
            </w:tcBorders>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sz w:val="20"/>
                <w:szCs w:val="20"/>
              </w:rPr>
              <w:t xml:space="preserve">O3</w:t>
            </w:r>
          </w:p>
        </w:tc>
        <w:tc>
          <w:tcPr>
            <w:tcW w:type="dxa" w:w="3300"/>
            <w:tcBorders>
              <w:top w:val="none" w:color="FFFFFF" w:sz="0"/>
              <w:left w:val="none" w:color="FFFFFF" w:sz="0"/>
              <w:bottom w:val="single" w:color="000000" w:sz="12"/>
              <w:right w:val="none" w:color="FFFFFF" w:sz="0"/>
            </w:tcBorders>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sz w:val="20"/>
                <w:szCs w:val="20"/>
              </w:rPr>
              <w:t xml:space="preserve">Critical offset, deflection angles, orbit turning rate, run time, core count, frame rate and estimated energy</w:t>
            </w:r>
          </w:p>
        </w:tc>
        <w:tc>
          <w:tcPr>
            <w:tcW w:type="dxa" w:w="4626"/>
            <w:tcBorders>
              <w:top w:val="none" w:color="FFFFFF" w:sz="0"/>
              <w:left w:val="none" w:color="FFFFFF" w:sz="0"/>
              <w:bottom w:val="single" w:color="000000" w:sz="12"/>
              <w:right w:val="none" w:color="FFFFFF" w:sz="0"/>
            </w:tcBorders>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sz w:val="20"/>
                <w:szCs w:val="20"/>
              </w:rPr>
              <w:t xml:space="preserve">Relative and root-mean-square error against exact values, mean and standard deviation of 10 runs, speed-up and efficiency, and an energy estimate using [18]</w:t>
            </w:r>
          </w:p>
        </w:tc>
      </w:tr>
    </w:tbl>
    <w:p>
      <w:pPr>
        <w:spacing w:after="120" w:before="160" w:line="264"/>
        <w:jc w:val="both"/>
      </w:pPr>
      <w:r>
        <w:rPr>
          <w:rFonts w:ascii="Times New Roman" w:cs="Times New Roman" w:eastAsia="Times New Roman" w:hAnsi="Times New Roman"/>
        </w:rPr>
        <w:t xml:space="preserve">A step-by-step solver was chosen over exact-function methods [9] and existing frameworks [10] because it is easier to inspect and extend. Graphics cards run fastest with single precision [12], so the accuracy lost by using it will be measured on the processor, by comparing single and double precision runs.</w:t>
      </w:r>
    </w:p>
    <w:p>
      <w:pPr>
        <w:spacing w:after="120" w:before="0" w:line="264"/>
        <w:jc w:val="both"/>
      </w:pPr>
      <w:r>
        <w:rPr>
          <w:rFonts w:ascii="Times New Roman" w:cs="Times New Roman" w:eastAsia="Times New Roman" w:hAnsi="Times New Roman"/>
        </w:rPr>
        <w:t xml:space="preserve">Validity rests on comparison with exact and published values, while reliability rests on repeatable code, fixed random seeds, recorded compiler versions and tests on every commit. Generalisability is limited to Schwarzschild black holes and one computer, and as results depend on the distance at which deflection is measured, this will be varied and reported [16].</w:t>
      </w:r>
    </w:p>
    <w:p>
      <w:pPr>
        <w:spacing w:after="120" w:before="0" w:line="264"/>
        <w:jc w:val="both"/>
      </w:pPr>
      <w:r>
        <w:rPr>
          <w:rFonts w:ascii="Times New Roman" w:cs="Times New Roman" w:eastAsia="Times New Roman" w:hAnsi="Times New Roman"/>
        </w:rPr>
        <w:t xml:space="preserve">No human participants or personal data are involved, and an ethics form is submitted separately. The inspiring repository [5] is studied for ideas only, code is written independently, and any reused material is cited and used within its licence. Tests use few rays, and energy use is estimated with the Green Algorithms method [18].</w:t>
      </w:r>
    </w:p>
    <w:p>
      <w:pPr>
        <w:keepNext/>
        <w:spacing w:after="80" w:before="120"/>
        <w:jc w:val="center"/>
      </w:pPr>
      <w:bookmarkStart w:name="t2" w:id="1"/>
      <w:r>
        <w:rPr>
          <w:rFonts w:ascii="Times New Roman" w:cs="Times New Roman" w:eastAsia="Times New Roman" w:hAnsi="Times New Roman"/>
          <w:sz w:val="20"/>
          <w:szCs w:val="20"/>
        </w:rPr>
        <w:t xml:space="preserve">Table 2: Main risks and mitigation.</w:t>
      </w:r>
      <w:bookmarkEnd w:id="1"/>
    </w:p>
    <w:tbl>
      <w:tblPr>
        <w:tblW w:type="dxa" w:w="9026"/>
        <w:jc w:val="center"/>
        <w:tblBorders>
          <w:top w:val="single" w:color="auto" w:sz="4"/>
          <w:left w:val="single" w:color="auto" w:sz="4"/>
          <w:bottom w:val="single" w:color="auto" w:sz="4"/>
          <w:right w:val="single" w:color="auto" w:sz="4"/>
          <w:insideH w:val="single" w:color="auto" w:sz="4"/>
          <w:insideV w:val="single" w:color="auto" w:sz="4"/>
        </w:tblBorders>
      </w:tblPr>
      <w:tblGrid>
        <w:gridCol w:w="3600"/>
        <w:gridCol w:w="5426"/>
      </w:tblGrid>
      <w:tr>
        <w:trPr>
          <w:tblHeader/>
        </w:trPr>
        <w:tc>
          <w:tcPr>
            <w:tcW w:type="dxa" w:w="3600"/>
            <w:tcBorders>
              <w:top w:val="single" w:color="000000" w:sz="12"/>
              <w:left w:val="none" w:color="FFFFFF" w:sz="0"/>
              <w:bottom w:val="single" w:color="000000" w:sz="6"/>
              <w:right w:val="none" w:color="FFFFFF" w:sz="0"/>
            </w:tcBorders>
            <w:shd w:fill="E8EDF5" w:color="auto" w:val="clear"/>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b/>
                <w:bCs/>
                <w:sz w:val="20"/>
                <w:szCs w:val="20"/>
              </w:rPr>
              <w:t xml:space="preserve">Risk</w:t>
            </w:r>
          </w:p>
        </w:tc>
        <w:tc>
          <w:tcPr>
            <w:tcW w:type="dxa" w:w="5426"/>
            <w:tcBorders>
              <w:top w:val="single" w:color="000000" w:sz="12"/>
              <w:left w:val="none" w:color="FFFFFF" w:sz="0"/>
              <w:bottom w:val="single" w:color="000000" w:sz="6"/>
              <w:right w:val="none" w:color="FFFFFF" w:sz="0"/>
            </w:tcBorders>
            <w:shd w:fill="E8EDF5" w:color="auto" w:val="clear"/>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b/>
                <w:bCs/>
                <w:sz w:val="20"/>
                <w:szCs w:val="20"/>
              </w:rPr>
              <w:t xml:space="preserve">Mitigation</w:t>
            </w:r>
          </w:p>
        </w:tc>
      </w:tr>
      <w:tr>
        <w:trPr>
          <w:cantSplit/>
        </w:trPr>
        <w:tc>
          <w:tcPr>
            <w:tcW w:type="dxa" w:w="3600"/>
            <w:tcBorders>
              <w:top w:val="none" w:color="FFFFFF" w:sz="0"/>
              <w:left w:val="none" w:color="FFFFFF" w:sz="0"/>
              <w:bottom w:val="none" w:color="FFFFFF" w:sz="0"/>
              <w:right w:val="none" w:color="FFFFFF" w:sz="0"/>
            </w:tcBorders>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sz w:val="20"/>
                <w:szCs w:val="20"/>
              </w:rPr>
              <w:t xml:space="preserve">Scope growth</w:t>
            </w:r>
          </w:p>
        </w:tc>
        <w:tc>
          <w:tcPr>
            <w:tcW w:type="dxa" w:w="5426"/>
            <w:tcBorders>
              <w:top w:val="none" w:color="FFFFFF" w:sz="0"/>
              <w:left w:val="none" w:color="FFFFFF" w:sz="0"/>
              <w:bottom w:val="none" w:color="FFFFFF" w:sz="0"/>
              <w:right w:val="none" w:color="FFFFFF" w:sz="0"/>
            </w:tcBorders>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sz w:val="20"/>
                <w:szCs w:val="20"/>
              </w:rPr>
              <w:t xml:space="preserve">Fixed 2D core scope, with extras attempted only if ahead of schedule</w:t>
            </w:r>
          </w:p>
        </w:tc>
      </w:tr>
      <w:tr>
        <w:trPr>
          <w:cantSplit/>
        </w:trPr>
        <w:tc>
          <w:tcPr>
            <w:tcW w:type="dxa" w:w="3600"/>
            <w:tcBorders>
              <w:top w:val="none" w:color="FFFFFF" w:sz="0"/>
              <w:left w:val="none" w:color="FFFFFF" w:sz="0"/>
              <w:bottom w:val="none" w:color="FFFFFF" w:sz="0"/>
              <w:right w:val="none" w:color="FFFFFF" w:sz="0"/>
            </w:tcBorders>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sz w:val="20"/>
                <w:szCs w:val="20"/>
              </w:rPr>
              <w:t xml:space="preserve">Limited physics background</w:t>
            </w:r>
          </w:p>
        </w:tc>
        <w:tc>
          <w:tcPr>
            <w:tcW w:type="dxa" w:w="5426"/>
            <w:tcBorders>
              <w:top w:val="none" w:color="FFFFFF" w:sz="0"/>
              <w:left w:val="none" w:color="FFFFFF" w:sz="0"/>
              <w:bottom w:val="none" w:color="FFFFFF" w:sz="0"/>
              <w:right w:val="none" w:color="FFFFFF" w:sz="0"/>
            </w:tcBorders>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sz w:val="20"/>
                <w:szCs w:val="20"/>
              </w:rPr>
              <w:t xml:space="preserve">Weekly supervisor meetings, a staged reading plan and equations taken from cited sources</w:t>
            </w:r>
          </w:p>
        </w:tc>
      </w:tr>
      <w:tr>
        <w:trPr>
          <w:cantSplit/>
        </w:trPr>
        <w:tc>
          <w:tcPr>
            <w:tcW w:type="dxa" w:w="3600"/>
            <w:tcBorders>
              <w:top w:val="none" w:color="FFFFFF" w:sz="0"/>
              <w:left w:val="none" w:color="FFFFFF" w:sz="0"/>
              <w:bottom w:val="none" w:color="FFFFFF" w:sz="0"/>
              <w:right w:val="none" w:color="FFFFFF" w:sz="0"/>
            </w:tcBorders>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sz w:val="20"/>
                <w:szCs w:val="20"/>
              </w:rPr>
              <w:t xml:space="preserve">Unstable results near the photon ring</w:t>
            </w:r>
          </w:p>
        </w:tc>
        <w:tc>
          <w:tcPr>
            <w:tcW w:type="dxa" w:w="5426"/>
            <w:tcBorders>
              <w:top w:val="none" w:color="FFFFFF" w:sz="0"/>
              <w:left w:val="none" w:color="FFFFFF" w:sz="0"/>
              <w:bottom w:val="none" w:color="FFFFFF" w:sz="0"/>
              <w:right w:val="none" w:color="FFFFFF" w:sz="0"/>
            </w:tcBorders>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sz w:val="20"/>
                <w:szCs w:val="20"/>
              </w:rPr>
              <w:t xml:space="preserve">Smaller steps there, with a cross-check against Equation 1</w:t>
            </w:r>
          </w:p>
        </w:tc>
      </w:tr>
      <w:tr>
        <w:trPr>
          <w:cantSplit/>
        </w:trPr>
        <w:tc>
          <w:tcPr>
            <w:tcW w:type="dxa" w:w="3600"/>
            <w:tcBorders>
              <w:top w:val="none" w:color="FFFFFF" w:sz="0"/>
              <w:left w:val="none" w:color="FFFFFF" w:sz="0"/>
              <w:bottom w:val="none" w:color="FFFFFF" w:sz="0"/>
              <w:right w:val="none" w:color="FFFFFF" w:sz="0"/>
            </w:tcBorders>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sz w:val="20"/>
                <w:szCs w:val="20"/>
              </w:rPr>
              <w:t xml:space="preserve">Slow simulation</w:t>
            </w:r>
          </w:p>
        </w:tc>
        <w:tc>
          <w:tcPr>
            <w:tcW w:type="dxa" w:w="5426"/>
            <w:tcBorders>
              <w:top w:val="none" w:color="FFFFFF" w:sz="0"/>
              <w:left w:val="none" w:color="FFFFFF" w:sz="0"/>
              <w:bottom w:val="none" w:color="FFFFFF" w:sz="0"/>
              <w:right w:val="none" w:color="FFFFFF" w:sz="0"/>
            </w:tcBorders>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sz w:val="20"/>
                <w:szCs w:val="20"/>
              </w:rPr>
              <w:t xml:space="preserve">OpenMP, and fewer rays while interacting</w:t>
            </w:r>
          </w:p>
        </w:tc>
      </w:tr>
      <w:tr>
        <w:trPr>
          <w:cantSplit/>
        </w:trPr>
        <w:tc>
          <w:tcPr>
            <w:tcW w:type="dxa" w:w="3600"/>
            <w:tcBorders>
              <w:top w:val="none" w:color="FFFFFF" w:sz="0"/>
              <w:left w:val="none" w:color="FFFFFF" w:sz="0"/>
              <w:bottom w:val="single" w:color="000000" w:sz="12"/>
              <w:right w:val="none" w:color="FFFFFF" w:sz="0"/>
            </w:tcBorders>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sz w:val="20"/>
                <w:szCs w:val="20"/>
              </w:rPr>
              <w:t xml:space="preserve">Data loss</w:t>
            </w:r>
          </w:p>
        </w:tc>
        <w:tc>
          <w:tcPr>
            <w:tcW w:type="dxa" w:w="5426"/>
            <w:tcBorders>
              <w:top w:val="none" w:color="FFFFFF" w:sz="0"/>
              <w:left w:val="none" w:color="FFFFFF" w:sz="0"/>
              <w:bottom w:val="single" w:color="000000" w:sz="12"/>
              <w:right w:val="none" w:color="FFFFFF" w:sz="0"/>
            </w:tcBorders>
            <w:tcMar>
              <w:top w:type="dxa" w:w="70"/>
              <w:left w:type="dxa" w:w="100"/>
              <w:bottom w:type="dxa" w:w="70"/>
              <w:right w:type="dxa" w:w="100"/>
            </w:tcMar>
            <w:vAlign w:val="center"/>
          </w:tcPr>
          <w:p>
            <w:pPr>
              <w:spacing w:after="0" w:before="0" w:line="252"/>
              <w:jc w:val="left"/>
            </w:pPr>
            <w:r>
              <w:rPr>
                <w:rFonts w:ascii="Times New Roman" w:cs="Times New Roman" w:eastAsia="Times New Roman" w:hAnsi="Times New Roman"/>
                <w:sz w:val="20"/>
                <w:szCs w:val="20"/>
              </w:rPr>
              <w:t xml:space="preserve">Remote Git repository and weekly backups</w:t>
            </w:r>
          </w:p>
        </w:tc>
      </w:tr>
    </w:tbl>
    <w:p>
      <w:pPr>
        <w:pStyle w:val="Heading2"/>
        <w:keepNext/>
      </w:pPr>
      <w:bookmarkStart w:name="s52" w:id="1"/>
      <w:r>
        <w:rPr>
          <w:rFonts w:ascii="Times New Roman" w:cs="Times New Roman" w:eastAsia="Times New Roman" w:hAnsi="Times New Roman"/>
        </w:rPr>
        <w:t xml:space="preserve">5.2  Resources / Materials</w:t>
      </w:r>
      <w:bookmarkEnd w:id="1"/>
    </w:p>
    <w:p>
      <w:pPr>
        <w:spacing w:after="120" w:before="0" w:line="264"/>
        <w:jc w:val="both"/>
      </w:pPr>
      <w:r>
        <w:rPr>
          <w:rFonts w:ascii="Times New Roman" w:cs="Times New Roman" w:eastAsia="Times New Roman" w:hAnsi="Times New Roman"/>
        </w:rPr>
        <w:t xml:space="preserve">The hardware used is an Intel Core i5-12600 processor, 32 GB of Corsair DDR5 memory and an NVIDIA RTX 4060 Ti graphics card (16 GB).</w:t>
      </w:r>
    </w:p>
    <w:p>
      <w:pPr>
        <w:spacing w:after="120" w:before="0" w:line="264"/>
        <w:jc w:val="both"/>
      </w:pPr>
      <w:r>
        <w:rPr>
          <w:rFonts w:ascii="Times New Roman" w:cs="Times New Roman" w:eastAsia="Times New Roman" w:hAnsi="Times New Roman"/>
        </w:rPr>
        <w:t xml:space="preserve">The software used is Visual Studio Code, CMake and Git.</w:t>
      </w:r>
    </w:p>
    <w:p>
      <w:pPr>
        <w:sectPr>
          <w:footerReference w:type="default" r:id="rId9"/>
          <w:type w:val="nextPage"/>
          <w:pgSz w:w="11906" w:h="16838" w:orient="portrait"/>
          <w:pgMar w:top="1440" w:right="1440" w:bottom="1440" w:left="1440" w:header="708" w:footer="708" w:gutter="0"/>
          <w:pgNumType w:start="1" w:fmt="decimal"/>
          <w:docGrid w:linePitch="360"/>
        </w:sectPr>
      </w:pPr>
    </w:p>
    <w:p>
      <w:pPr>
        <w:pStyle w:val="Heading1"/>
        <w:keepNext/>
      </w:pPr>
      <w:bookmarkStart w:name="s6" w:id="1"/>
      <w:r>
        <w:rPr>
          <w:rFonts w:ascii="Times New Roman" w:cs="Times New Roman" w:eastAsia="Times New Roman" w:hAnsi="Times New Roman"/>
        </w:rPr>
        <w:t xml:space="preserve">6.  PROJECT PLANNING</w:t>
      </w:r>
      <w:bookmarkEnd w:id="1"/>
    </w:p>
    <w:p>
      <w:pPr>
        <w:spacing w:after="120" w:before="0" w:line="264"/>
        <w:jc w:val="both"/>
      </w:pPr>
      <w:r>
        <w:rPr>
          <w:rFonts w:ascii="Times New Roman" w:cs="Times New Roman" w:eastAsia="Times New Roman" w:hAnsi="Times New Roman"/>
        </w:rPr>
        <w:t xml:space="preserve">Figure 2 shows the plan in weekly steps, starting in the last week of October 2026 (26 October). The viva and exhibition weeks are provisional until confirmed, and progress is reviewed in weekly supervisor meetings.</w:t>
      </w:r>
    </w:p>
    <w:tbl>
      <w:tblPr>
        <w:tblW w:type="dxa" w:w="13900"/>
        <w:jc w:val="center"/>
        <w:tblBorders>
          <w:top w:val="single" w:color="auto" w:sz="4"/>
          <w:left w:val="single" w:color="auto" w:sz="4"/>
          <w:bottom w:val="single" w:color="auto" w:sz="4"/>
          <w:right w:val="single" w:color="auto" w:sz="4"/>
          <w:insideH w:val="single" w:color="auto" w:sz="4"/>
          <w:insideV w:val="single" w:color="auto" w:sz="4"/>
        </w:tblBorders>
      </w:tblPr>
      <w:tblGrid>
        <w:gridCol w:w="6060"/>
        <w:gridCol w:w="280"/>
        <w:gridCol w:w="280"/>
        <w:gridCol w:w="280"/>
        <w:gridCol w:w="280"/>
        <w:gridCol w:w="280"/>
        <w:gridCol w:w="280"/>
        <w:gridCol w:w="280"/>
        <w:gridCol w:w="280"/>
        <w:gridCol w:w="280"/>
        <w:gridCol w:w="280"/>
        <w:gridCol w:w="280"/>
        <w:gridCol w:w="280"/>
        <w:gridCol w:w="280"/>
        <w:gridCol w:w="280"/>
        <w:gridCol w:w="280"/>
        <w:gridCol w:w="280"/>
        <w:gridCol w:w="280"/>
        <w:gridCol w:w="280"/>
        <w:gridCol w:w="280"/>
        <w:gridCol w:w="280"/>
        <w:gridCol w:w="280"/>
        <w:gridCol w:w="280"/>
        <w:gridCol w:w="280"/>
        <w:gridCol w:w="280"/>
        <w:gridCol w:w="280"/>
        <w:gridCol w:w="280"/>
        <w:gridCol w:w="280"/>
        <w:gridCol w:w="280"/>
      </w:tblGrid>
      <w:tr>
        <w:tc>
          <w:tcPr>
            <w:tcW w:type="dxa" w:w="6060"/>
            <w:tcBorders>
              <w:top w:val="single" w:color="BFBFBF" w:sz="2"/>
              <w:left w:val="single" w:color="BFBFBF" w:sz="2"/>
              <w:bottom w:val="single" w:color="BFBFBF" w:sz="2"/>
              <w:right w:val="single" w:color="BFBFBF" w:sz="2"/>
            </w:tcBorders>
            <w:shd w:fill="E8EDF5" w:color="auto" w:val="clear"/>
            <w:tcMar>
              <w:top w:type="dxa" w:w="20"/>
              <w:left w:type="dxa" w:w="70"/>
              <w:bottom w:type="dxa" w:w="20"/>
              <w:right w:type="dxa" w:w="70"/>
            </w:tcMar>
            <w:vAlign w:val="center"/>
          </w:tcPr>
          <w:p>
            <w:pPr>
              <w:spacing w:after="0" w:line="220"/>
              <w:jc w:val="left"/>
            </w:pPr>
            <w:r>
              <w:rPr>
                <w:rFonts w:ascii="Times New Roman" w:cs="Times New Roman" w:eastAsia="Times New Roman" w:hAnsi="Times New Roman"/>
                <w:b/>
                <w:bCs/>
                <w:sz w:val="17"/>
                <w:szCs w:val="17"/>
              </w:rPr>
              <w:t xml:space="preserve">Task</w:t>
            </w:r>
          </w:p>
        </w:tc>
        <w:tc>
          <w:tcPr>
            <w:tcW w:type="dxa" w:w="280"/>
            <w:gridSpan w:val="1"/>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0"/>
                <w:szCs w:val="10"/>
              </w:rPr>
              <w:t xml:space="preserve">Oct</w:t>
            </w:r>
          </w:p>
        </w:tc>
        <w:tc>
          <w:tcPr>
            <w:tcW w:type="dxa" w:w="1120"/>
            <w:gridSpan w:val="4"/>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5"/>
                <w:szCs w:val="15"/>
              </w:rPr>
              <w:t xml:space="preserve">Nov</w:t>
            </w:r>
          </w:p>
        </w:tc>
        <w:tc>
          <w:tcPr>
            <w:tcW w:type="dxa" w:w="1120"/>
            <w:gridSpan w:val="4"/>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5"/>
                <w:szCs w:val="15"/>
              </w:rPr>
              <w:t xml:space="preserve">Dec</w:t>
            </w:r>
          </w:p>
        </w:tc>
        <w:tc>
          <w:tcPr>
            <w:tcW w:type="dxa" w:w="1120"/>
            <w:gridSpan w:val="4"/>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5"/>
                <w:szCs w:val="15"/>
              </w:rPr>
              <w:t xml:space="preserve">Jan</w:t>
            </w:r>
          </w:p>
        </w:tc>
        <w:tc>
          <w:tcPr>
            <w:tcW w:type="dxa" w:w="1120"/>
            <w:gridSpan w:val="4"/>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5"/>
                <w:szCs w:val="15"/>
              </w:rPr>
              <w:t xml:space="preserve">Feb</w:t>
            </w:r>
          </w:p>
        </w:tc>
        <w:tc>
          <w:tcPr>
            <w:tcW w:type="dxa" w:w="1120"/>
            <w:gridSpan w:val="4"/>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5"/>
                <w:szCs w:val="15"/>
              </w:rPr>
              <w:t xml:space="preserve">Mar</w:t>
            </w:r>
          </w:p>
        </w:tc>
        <w:tc>
          <w:tcPr>
            <w:tcW w:type="dxa" w:w="1120"/>
            <w:gridSpan w:val="4"/>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5"/>
                <w:szCs w:val="15"/>
              </w:rPr>
              <w:t xml:space="preserve">Apr</w:t>
            </w:r>
          </w:p>
        </w:tc>
        <w:tc>
          <w:tcPr>
            <w:tcW w:type="dxa" w:w="840"/>
            <w:gridSpan w:val="3"/>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5"/>
                <w:szCs w:val="15"/>
              </w:rPr>
              <w:t xml:space="preserve">May</w:t>
            </w:r>
          </w:p>
        </w:tc>
      </w:tr>
      <w:tr>
        <w:tc>
          <w:tcPr>
            <w:tcW w:type="dxa" w:w="6060"/>
            <w:tcBorders>
              <w:top w:val="single" w:color="BFBFBF" w:sz="2"/>
              <w:left w:val="single" w:color="BFBFBF" w:sz="2"/>
              <w:bottom w:val="single" w:color="BFBFBF" w:sz="2"/>
              <w:right w:val="single" w:color="BFBFBF" w:sz="2"/>
            </w:tcBorders>
            <w:shd w:fill="E8EDF5"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W4</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W1</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W2</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W3</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W4</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W1</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W2</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W3</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W4</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W1</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W2</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W3</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W4</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W1</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W2</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W3</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W4</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W1</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W2</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W3</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W4</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W1</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W2</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W3</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W4</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W1</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W2</w:t>
            </w:r>
          </w:p>
        </w:tc>
        <w:tc>
          <w:tcPr>
            <w:tcW w:type="dxa" w:w="280"/>
            <w:tcBorders>
              <w:top w:val="single" w:color="BFBFBF" w:sz="2"/>
              <w:left w:val="single" w:color="BFBFBF" w:sz="2"/>
              <w:bottom w:val="single" w:color="BFBFBF" w:sz="2"/>
              <w:right w:val="single" w:color="BFBFBF" w:sz="2"/>
            </w:tcBorders>
            <w:shd w:fill="E8EDF5" w:color="auto" w:val="clear"/>
            <w:tcMar>
              <w:top w:type="dxa" w:w="20"/>
              <w:left w:type="dxa" w:w="0"/>
              <w:bottom w:type="dxa" w:w="20"/>
              <w:right w:type="dxa" w:w="0"/>
            </w:tcMar>
            <w:vAlign w:val="center"/>
          </w:tcPr>
          <w:p>
            <w:pPr>
              <w:spacing w:after="0" w:line="220"/>
              <w:jc w:val="center"/>
            </w:pPr>
            <w:r>
              <w:rPr>
                <w:rFonts w:ascii="Times New Roman" w:cs="Times New Roman" w:eastAsia="Times New Roman" w:hAnsi="Times New Roman"/>
                <w:sz w:val="12"/>
                <w:szCs w:val="12"/>
              </w:rPr>
              <w:t xml:space="preserve">W3</w:t>
            </w:r>
          </w:p>
        </w:tc>
      </w:tr>
      <w:tr>
        <w:trPr>
          <w:trHeight w:val="330" w:hRule="atLeast"/>
        </w:trPr>
        <w:tc>
          <w:tcPr>
            <w:tcW w:type="dxa" w:w="6060"/>
            <w:tcBorders>
              <w:top w:val="single" w:color="BFBFBF" w:sz="2"/>
              <w:left w:val="single" w:color="BFBFBF" w:sz="2"/>
              <w:bottom w:val="single" w:color="BFBFBF" w:sz="2"/>
              <w:right w:val="single" w:color="BFBFBF" w:sz="2"/>
            </w:tcBorders>
            <w:tcMar>
              <w:top w:type="dxa" w:w="20"/>
              <w:left w:type="dxa" w:w="70"/>
              <w:bottom w:type="dxa" w:w="20"/>
              <w:right w:type="dxa" w:w="70"/>
            </w:tcMar>
            <w:vAlign w:val="center"/>
          </w:tcPr>
          <w:p>
            <w:pPr>
              <w:spacing w:after="0" w:line="220"/>
              <w:jc w:val="left"/>
            </w:pPr>
            <w:r>
              <w:rPr>
                <w:rFonts w:ascii="Times New Roman" w:cs="Times New Roman" w:eastAsia="Times New Roman" w:hAnsi="Times New Roman"/>
                <w:sz w:val="15"/>
                <w:szCs w:val="15"/>
              </w:rPr>
              <w:t xml:space="preserve">Literature review and background physics</w:t>
            </w: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r>
      <w:tr>
        <w:trPr>
          <w:trHeight w:val="330" w:hRule="atLeast"/>
        </w:trPr>
        <w:tc>
          <w:tcPr>
            <w:tcW w:type="dxa" w:w="6060"/>
            <w:tcBorders>
              <w:top w:val="single" w:color="BFBFBF" w:sz="2"/>
              <w:left w:val="single" w:color="BFBFBF" w:sz="2"/>
              <w:bottom w:val="single" w:color="BFBFBF" w:sz="2"/>
              <w:right w:val="single" w:color="BFBFBF" w:sz="2"/>
            </w:tcBorders>
            <w:tcMar>
              <w:top w:type="dxa" w:w="20"/>
              <w:left w:type="dxa" w:w="70"/>
              <w:bottom w:type="dxa" w:w="20"/>
              <w:right w:type="dxa" w:w="70"/>
            </w:tcMar>
            <w:vAlign w:val="center"/>
          </w:tcPr>
          <w:p>
            <w:pPr>
              <w:spacing w:after="0" w:line="220"/>
              <w:jc w:val="left"/>
            </w:pPr>
            <w:r>
              <w:rPr>
                <w:rFonts w:ascii="Times New Roman" w:cs="Times New Roman" w:eastAsia="Times New Roman" w:hAnsi="Times New Roman"/>
                <w:sz w:val="15"/>
                <w:szCs w:val="15"/>
              </w:rPr>
              <w:t xml:space="preserve">Requirements, design and repository set-up</w:t>
            </w: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r>
      <w:tr>
        <w:trPr>
          <w:trHeight w:val="330" w:hRule="atLeast"/>
        </w:trPr>
        <w:tc>
          <w:tcPr>
            <w:tcW w:type="dxa" w:w="6060"/>
            <w:tcBorders>
              <w:top w:val="single" w:color="BFBFBF" w:sz="2"/>
              <w:left w:val="single" w:color="BFBFBF" w:sz="2"/>
              <w:bottom w:val="single" w:color="BFBFBF" w:sz="2"/>
              <w:right w:val="single" w:color="BFBFBF" w:sz="2"/>
            </w:tcBorders>
            <w:tcMar>
              <w:top w:type="dxa" w:w="20"/>
              <w:left w:type="dxa" w:w="70"/>
              <w:bottom w:type="dxa" w:w="20"/>
              <w:right w:type="dxa" w:w="70"/>
            </w:tcMar>
            <w:vAlign w:val="center"/>
          </w:tcPr>
          <w:p>
            <w:pPr>
              <w:spacing w:after="0" w:line="220"/>
              <w:jc w:val="left"/>
            </w:pPr>
            <w:r>
              <w:rPr>
                <w:rFonts w:ascii="Times New Roman" w:cs="Times New Roman" w:eastAsia="Times New Roman" w:hAnsi="Times New Roman"/>
                <w:sz w:val="15"/>
                <w:szCs w:val="15"/>
              </w:rPr>
              <w:t xml:space="preserve">2D light bending, Euler and RK4 solvers, tests</w:t>
            </w: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r>
      <w:tr>
        <w:trPr>
          <w:trHeight w:val="330" w:hRule="atLeast"/>
        </w:trPr>
        <w:tc>
          <w:tcPr>
            <w:tcW w:type="dxa" w:w="6060"/>
            <w:tcBorders>
              <w:top w:val="single" w:color="BFBFBF" w:sz="2"/>
              <w:left w:val="single" w:color="BFBFBF" w:sz="2"/>
              <w:bottom w:val="single" w:color="BFBFBF" w:sz="2"/>
              <w:right w:val="single" w:color="BFBFBF" w:sz="2"/>
            </w:tcBorders>
            <w:tcMar>
              <w:top w:type="dxa" w:w="20"/>
              <w:left w:type="dxa" w:w="70"/>
              <w:bottom w:type="dxa" w:w="20"/>
              <w:right w:type="dxa" w:w="70"/>
            </w:tcMar>
            <w:vAlign w:val="center"/>
          </w:tcPr>
          <w:p>
            <w:pPr>
              <w:spacing w:after="0" w:line="220"/>
              <w:jc w:val="left"/>
            </w:pPr>
            <w:r>
              <w:rPr>
                <w:rFonts w:ascii="Times New Roman" w:cs="Times New Roman" w:eastAsia="Times New Roman" w:hAnsi="Times New Roman"/>
                <w:sz w:val="15"/>
                <w:szCs w:val="15"/>
              </w:rPr>
              <w:t xml:space="preserve">Validation against exact results</w:t>
            </w: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r>
      <w:tr>
        <w:trPr>
          <w:trHeight w:val="330" w:hRule="atLeast"/>
        </w:trPr>
        <w:tc>
          <w:tcPr>
            <w:tcW w:type="dxa" w:w="6060"/>
            <w:tcBorders>
              <w:top w:val="single" w:color="BFBFBF" w:sz="2"/>
              <w:left w:val="single" w:color="BFBFBF" w:sz="2"/>
              <w:bottom w:val="single" w:color="BFBFBF" w:sz="2"/>
              <w:right w:val="single" w:color="BFBFBF" w:sz="2"/>
            </w:tcBorders>
            <w:tcMar>
              <w:top w:type="dxa" w:w="20"/>
              <w:left w:type="dxa" w:w="70"/>
              <w:bottom w:type="dxa" w:w="20"/>
              <w:right w:type="dxa" w:w="70"/>
            </w:tcMar>
            <w:vAlign w:val="center"/>
          </w:tcPr>
          <w:p>
            <w:pPr>
              <w:spacing w:after="0" w:line="220"/>
              <w:jc w:val="left"/>
            </w:pPr>
            <w:r>
              <w:rPr>
                <w:rFonts w:ascii="Times New Roman" w:cs="Times New Roman" w:eastAsia="Times New Roman" w:hAnsi="Times New Roman"/>
                <w:sz w:val="15"/>
                <w:szCs w:val="15"/>
              </w:rPr>
              <w:t xml:space="preserve">Side-view 2D simulator, orbits, ground and grid</w:t>
            </w: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r>
      <w:tr>
        <w:trPr>
          <w:trHeight w:val="330" w:hRule="atLeast"/>
        </w:trPr>
        <w:tc>
          <w:tcPr>
            <w:tcW w:type="dxa" w:w="6060"/>
            <w:tcBorders>
              <w:top w:val="single" w:color="BFBFBF" w:sz="2"/>
              <w:left w:val="single" w:color="BFBFBF" w:sz="2"/>
              <w:bottom w:val="single" w:color="BFBFBF" w:sz="2"/>
              <w:right w:val="single" w:color="BFBFBF" w:sz="2"/>
            </w:tcBorders>
            <w:tcMar>
              <w:top w:type="dxa" w:w="20"/>
              <w:left w:type="dxa" w:w="70"/>
              <w:bottom w:type="dxa" w:w="20"/>
              <w:right w:type="dxa" w:w="70"/>
            </w:tcMar>
            <w:vAlign w:val="center"/>
          </w:tcPr>
          <w:p>
            <w:pPr>
              <w:spacing w:after="0" w:line="220"/>
              <w:jc w:val="left"/>
            </w:pPr>
            <w:r>
              <w:rPr>
                <w:rFonts w:ascii="Times New Roman" w:cs="Times New Roman" w:eastAsia="Times New Roman" w:hAnsi="Times New Roman"/>
                <w:sz w:val="15"/>
                <w:szCs w:val="15"/>
              </w:rPr>
              <w:t xml:space="preserve">Evaluation of accuracy, speed, precision and energy</w:t>
            </w: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r>
      <w:tr>
        <w:trPr>
          <w:trHeight w:val="330" w:hRule="atLeast"/>
        </w:trPr>
        <w:tc>
          <w:tcPr>
            <w:tcW w:type="dxa" w:w="6060"/>
            <w:tcBorders>
              <w:top w:val="single" w:color="BFBFBF" w:sz="2"/>
              <w:left w:val="single" w:color="BFBFBF" w:sz="2"/>
              <w:bottom w:val="single" w:color="BFBFBF" w:sz="2"/>
              <w:right w:val="single" w:color="BFBFBF" w:sz="2"/>
            </w:tcBorders>
            <w:tcMar>
              <w:top w:type="dxa" w:w="20"/>
              <w:left w:type="dxa" w:w="70"/>
              <w:bottom w:type="dxa" w:w="20"/>
              <w:right w:type="dxa" w:w="70"/>
            </w:tcMar>
            <w:vAlign w:val="center"/>
          </w:tcPr>
          <w:p>
            <w:pPr>
              <w:spacing w:after="0" w:line="220"/>
              <w:jc w:val="left"/>
            </w:pPr>
            <w:r>
              <w:rPr>
                <w:rFonts w:ascii="Times New Roman" w:cs="Times New Roman" w:eastAsia="Times New Roman" w:hAnsi="Times New Roman"/>
                <w:sz w:val="15"/>
                <w:szCs w:val="15"/>
              </w:rPr>
              <w:t xml:space="preserve">Dissertation writing and revision</w:t>
            </w: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r>
      <w:tr>
        <w:trPr>
          <w:trHeight w:val="330" w:hRule="atLeast"/>
        </w:trPr>
        <w:tc>
          <w:tcPr>
            <w:tcW w:type="dxa" w:w="6060"/>
            <w:tcBorders>
              <w:top w:val="single" w:color="BFBFBF" w:sz="2"/>
              <w:left w:val="single" w:color="BFBFBF" w:sz="2"/>
              <w:bottom w:val="single" w:color="BFBFBF" w:sz="2"/>
              <w:right w:val="single" w:color="BFBFBF" w:sz="2"/>
            </w:tcBorders>
            <w:tcMar>
              <w:top w:type="dxa" w:w="20"/>
              <w:left w:type="dxa" w:w="70"/>
              <w:bottom w:type="dxa" w:w="20"/>
              <w:right w:type="dxa" w:w="70"/>
            </w:tcMar>
            <w:vAlign w:val="center"/>
          </w:tcPr>
          <w:p>
            <w:pPr>
              <w:spacing w:after="0" w:line="220"/>
              <w:jc w:val="left"/>
            </w:pPr>
            <w:r>
              <w:rPr>
                <w:rFonts w:ascii="Times New Roman" w:cs="Times New Roman" w:eastAsia="Times New Roman" w:hAnsi="Times New Roman"/>
                <w:sz w:val="15"/>
                <w:szCs w:val="15"/>
              </w:rPr>
              <w:t xml:space="preserve">Poster and exhibition preparation</w:t>
            </w: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shd w:fill="1F3864" w:color="auto" w:val="clear"/>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c>
          <w:tcPr>
            <w:tcW w:type="dxa" w:w="280"/>
            <w:tcBorders>
              <w:top w:val="single" w:color="BFBFBF" w:sz="2"/>
              <w:left w:val="single" w:color="BFBFBF" w:sz="2"/>
              <w:bottom w:val="single" w:color="BFBFBF" w:sz="2"/>
              <w:right w:val="single" w:color="BFBFBF" w:sz="2"/>
            </w:tcBorders>
            <w:tcMar>
              <w:top w:type="dxa" w:w="20"/>
              <w:left w:type="dxa" w:w="30"/>
              <w:bottom w:type="dxa" w:w="20"/>
              <w:right w:type="dxa" w:w="30"/>
            </w:tcMar>
            <w:vAlign w:val="center"/>
          </w:tcPr>
          <w:p>
            <w:pPr>
              <w:spacing w:after="0" w:line="220"/>
              <w:jc w:val="left"/>
            </w:pPr>
          </w:p>
        </w:tc>
      </w:tr>
    </w:tbl>
    <w:p>
      <w:pPr>
        <w:spacing w:after="40" w:before="100" w:line="264"/>
        <w:jc w:val="both"/>
      </w:pPr>
      <w:r>
        <w:rPr>
          <w:rFonts w:ascii="Times New Roman" w:cs="Times New Roman" w:eastAsia="Times New Roman" w:hAnsi="Times New Roman"/>
          <w:sz w:val="18"/>
          <w:szCs w:val="18"/>
        </w:rPr>
        <w:t xml:space="preserve">W1 to W4 are the weeks of each month, counted as four per month, and the shaded bars show when each task is worked on.</w:t>
      </w:r>
    </w:p>
    <w:p>
      <w:pPr>
        <w:spacing w:after="160" w:before="60"/>
        <w:jc w:val="center"/>
      </w:pPr>
      <w:bookmarkStart w:name="f2" w:id="1"/>
      <w:r>
        <w:rPr>
          <w:rFonts w:ascii="Times New Roman" w:cs="Times New Roman" w:eastAsia="Times New Roman" w:hAnsi="Times New Roman"/>
          <w:sz w:val="20"/>
          <w:szCs w:val="20"/>
        </w:rPr>
        <w:t xml:space="preserve">Figure 2: Project timeline.</w:t>
      </w:r>
      <w:bookmarkEnd w:id="1"/>
    </w:p>
    <w:p>
      <w:pPr>
        <w:sectPr>
          <w:footerReference w:type="default" r:id="rId10"/>
          <w:type w:val="nextPage"/>
          <w:pgSz w:w="16838" w:h="11906" w:orient="landscape"/>
          <w:pgMar w:top="1134" w:right="1134" w:bottom="1134" w:left="1134" w:header="708" w:footer="708" w:gutter="0"/>
          <w:pgNumType/>
          <w:docGrid w:linePitch="360"/>
        </w:sectPr>
      </w:pPr>
    </w:p>
    <w:p>
      <w:pPr>
        <w:pStyle w:val="Heading1"/>
        <w:keepNext/>
      </w:pPr>
      <w:bookmarkStart w:name="s7" w:id="1"/>
      <w:r>
        <w:rPr>
          <w:rFonts w:ascii="Times New Roman" w:cs="Times New Roman" w:eastAsia="Times New Roman" w:hAnsi="Times New Roman"/>
        </w:rPr>
        <w:t xml:space="preserve">7.  REFERENCE LIST</w:t>
      </w:r>
      <w:bookmarkEnd w:id="1"/>
    </w:p>
    <w:p>
      <w:pPr>
        <w:tabs>
          <w:tab w:val="left" w:pos="567"/>
        </w:tabs>
        <w:spacing w:after="80" w:line="252"/>
        <w:ind w:left="567" w:hanging="567"/>
        <w:jc w:val="left"/>
      </w:pPr>
      <w:r>
        <w:rPr>
          <w:rFonts w:ascii="Times New Roman" w:cs="Times New Roman" w:eastAsia="Times New Roman" w:hAnsi="Times New Roman"/>
          <w:sz w:val="24"/>
          <w:szCs w:val="24"/>
        </w:rPr>
        <w:t xml:space="preserve">[1]	</w:t>
      </w:r>
      <w:r>
        <w:rPr>
          <w:rFonts w:ascii="Times New Roman" w:cs="Times New Roman" w:eastAsia="Times New Roman" w:hAnsi="Times New Roman"/>
          <w:sz w:val="24"/>
          <w:szCs w:val="24"/>
        </w:rPr>
        <w:t xml:space="preserve">The Event Horizon Telescope Collaboration, “First M87 Event Horizon Telescope results. I. The shadow of the supermassive black hole,” </w:t>
      </w:r>
      <w:r>
        <w:rPr>
          <w:rFonts w:ascii="Times New Roman" w:cs="Times New Roman" w:eastAsia="Times New Roman" w:hAnsi="Times New Roman"/>
          <w:i/>
          <w:iCs/>
          <w:sz w:val="24"/>
          <w:szCs w:val="24"/>
        </w:rPr>
        <w:t xml:space="preserve">Astrophys. J. Lett.</w:t>
      </w:r>
      <w:r>
        <w:rPr>
          <w:rFonts w:ascii="Times New Roman" w:cs="Times New Roman" w:eastAsia="Times New Roman" w:hAnsi="Times New Roman"/>
          <w:sz w:val="24"/>
          <w:szCs w:val="24"/>
        </w:rPr>
        <w:t xml:space="preserve">, vol. 875, no. 1, p. L1, Apr. 2019, doi: 10.3847/2041-8213/ab0ec7. [Online]. Available:  </w:t>
      </w:r>
      <w:hyperlink w:history="1" r:id="rId2inh5ypws8k_en3um35ig">
        <w:r>
          <w:rPr>
            <w:rStyle w:val="Hyperlink"/>
            <w:rFonts w:ascii="Times New Roman" w:cs="Times New Roman" w:eastAsia="Times New Roman" w:hAnsi="Times New Roman"/>
            <w:sz w:val="24"/>
            <w:szCs w:val="24"/>
          </w:rPr>
          <w:t xml:space="preserve">https://doi.org/10.3847/2041-8213/ab0ec7</w:t>
        </w:r>
      </w:hyperlink>
    </w:p>
    <w:p>
      <w:pPr>
        <w:tabs>
          <w:tab w:val="left" w:pos="567"/>
        </w:tabs>
        <w:spacing w:after="80" w:line="252"/>
        <w:ind w:left="567" w:hanging="567"/>
        <w:jc w:val="left"/>
      </w:pPr>
      <w:r>
        <w:rPr>
          <w:rFonts w:ascii="Times New Roman" w:cs="Times New Roman" w:eastAsia="Times New Roman" w:hAnsi="Times New Roman"/>
          <w:sz w:val="24"/>
          <w:szCs w:val="24"/>
        </w:rPr>
        <w:t xml:space="preserve">[2]	</w:t>
      </w:r>
      <w:r>
        <w:rPr>
          <w:rFonts w:ascii="Times New Roman" w:cs="Times New Roman" w:eastAsia="Times New Roman" w:hAnsi="Times New Roman"/>
          <w:sz w:val="24"/>
          <w:szCs w:val="24"/>
        </w:rPr>
        <w:t xml:space="preserve">The Event Horizon Telescope Collaboration, “First Sagittarius A* Event Horizon Telescope results. I. The shadow of the supermassive black hole in the center of the Milky Way,” </w:t>
      </w:r>
      <w:r>
        <w:rPr>
          <w:rFonts w:ascii="Times New Roman" w:cs="Times New Roman" w:eastAsia="Times New Roman" w:hAnsi="Times New Roman"/>
          <w:i/>
          <w:iCs/>
          <w:sz w:val="24"/>
          <w:szCs w:val="24"/>
        </w:rPr>
        <w:t xml:space="preserve">Astrophys. J. Lett.</w:t>
      </w:r>
      <w:r>
        <w:rPr>
          <w:rFonts w:ascii="Times New Roman" w:cs="Times New Roman" w:eastAsia="Times New Roman" w:hAnsi="Times New Roman"/>
          <w:sz w:val="24"/>
          <w:szCs w:val="24"/>
        </w:rPr>
        <w:t xml:space="preserve">, vol. 930, no. 2, p. L12, May 2022, doi: 10.3847/2041-8213/ac6674. [Online]. Available:  </w:t>
      </w:r>
      <w:hyperlink w:history="1" r:id="rIdnx_uvlznnwpkbih_grj2s">
        <w:r>
          <w:rPr>
            <w:rStyle w:val="Hyperlink"/>
            <w:rFonts w:ascii="Times New Roman" w:cs="Times New Roman" w:eastAsia="Times New Roman" w:hAnsi="Times New Roman"/>
            <w:sz w:val="24"/>
            <w:szCs w:val="24"/>
          </w:rPr>
          <w:t xml:space="preserve">https://doi.org/10.3847/2041-8213/ac6674</w:t>
        </w:r>
      </w:hyperlink>
    </w:p>
    <w:p>
      <w:pPr>
        <w:tabs>
          <w:tab w:val="left" w:pos="567"/>
        </w:tabs>
        <w:spacing w:after="80" w:line="252"/>
        <w:ind w:left="567" w:hanging="567"/>
        <w:jc w:val="left"/>
      </w:pPr>
      <w:r>
        <w:rPr>
          <w:rFonts w:ascii="Times New Roman" w:cs="Times New Roman" w:eastAsia="Times New Roman" w:hAnsi="Times New Roman"/>
          <w:sz w:val="24"/>
          <w:szCs w:val="24"/>
        </w:rPr>
        <w:t xml:space="preserve">[3]	</w:t>
      </w:r>
      <w:r>
        <w:rPr>
          <w:rFonts w:ascii="Times New Roman" w:cs="Times New Roman" w:eastAsia="Times New Roman" w:hAnsi="Times New Roman"/>
          <w:sz w:val="24"/>
          <w:szCs w:val="24"/>
        </w:rPr>
        <w:t xml:space="preserve">O. James, E. von Tunzelmann, P. Franklin, and K. S. Thorne, “Gravitational lensing by spinning black holes in astrophysics, and in the movie Interstellar,” </w:t>
      </w:r>
      <w:r>
        <w:rPr>
          <w:rFonts w:ascii="Times New Roman" w:cs="Times New Roman" w:eastAsia="Times New Roman" w:hAnsi="Times New Roman"/>
          <w:i/>
          <w:iCs/>
          <w:sz w:val="24"/>
          <w:szCs w:val="24"/>
        </w:rPr>
        <w:t xml:space="preserve">Class. Quantum Grav.</w:t>
      </w:r>
      <w:r>
        <w:rPr>
          <w:rFonts w:ascii="Times New Roman" w:cs="Times New Roman" w:eastAsia="Times New Roman" w:hAnsi="Times New Roman"/>
          <w:sz w:val="24"/>
          <w:szCs w:val="24"/>
        </w:rPr>
        <w:t xml:space="preserve">, vol. 32, no. 6, p. 065001, Feb. 2015, doi: 10.1088/0264-9381/32/6/065001. [Online]. Available:  </w:t>
      </w:r>
      <w:hyperlink w:history="1" r:id="rId6k_t3wl4xdaitqox3yrvh">
        <w:r>
          <w:rPr>
            <w:rStyle w:val="Hyperlink"/>
            <w:rFonts w:ascii="Times New Roman" w:cs="Times New Roman" w:eastAsia="Times New Roman" w:hAnsi="Times New Roman"/>
            <w:sz w:val="24"/>
            <w:szCs w:val="24"/>
          </w:rPr>
          <w:t xml:space="preserve">https://doi.org/10.1088/0264-9381/32/6/065001</w:t>
        </w:r>
      </w:hyperlink>
    </w:p>
    <w:p>
      <w:pPr>
        <w:tabs>
          <w:tab w:val="left" w:pos="567"/>
        </w:tabs>
        <w:spacing w:after="80" w:line="252"/>
        <w:ind w:left="567" w:hanging="567"/>
        <w:jc w:val="left"/>
      </w:pPr>
      <w:r>
        <w:rPr>
          <w:rFonts w:ascii="Times New Roman" w:cs="Times New Roman" w:eastAsia="Times New Roman" w:hAnsi="Times New Roman"/>
          <w:sz w:val="24"/>
          <w:szCs w:val="24"/>
        </w:rPr>
        <w:t xml:space="preserve">[4]	</w:t>
      </w:r>
      <w:r>
        <w:rPr>
          <w:rFonts w:ascii="Times New Roman" w:cs="Times New Roman" w:eastAsia="Times New Roman" w:hAnsi="Times New Roman"/>
          <w:sz w:val="24"/>
          <w:szCs w:val="24"/>
        </w:rPr>
        <w:t xml:space="preserve">kavan, “Simulating black holes in C++,” YouTube, Aug. 6, 2025. Accessed: Oct. 1, 2026. [Online Video]. Available:  </w:t>
      </w:r>
      <w:hyperlink w:history="1" r:id="rIdd1cyzy0mtc0knyxqg2psq">
        <w:r>
          <w:rPr>
            <w:rStyle w:val="Hyperlink"/>
            <w:rFonts w:ascii="Times New Roman" w:cs="Times New Roman" w:eastAsia="Times New Roman" w:hAnsi="Times New Roman"/>
            <w:sz w:val="24"/>
            <w:szCs w:val="24"/>
          </w:rPr>
          <w:t xml:space="preserve">https://www.youtube.com/watch?v=8-B6ryuBkCM</w:t>
        </w:r>
      </w:hyperlink>
    </w:p>
    <w:p>
      <w:pPr>
        <w:tabs>
          <w:tab w:val="left" w:pos="567"/>
        </w:tabs>
        <w:spacing w:after="80" w:line="252"/>
        <w:ind w:left="567" w:hanging="567"/>
        <w:jc w:val="left"/>
      </w:pPr>
      <w:r>
        <w:rPr>
          <w:rFonts w:ascii="Times New Roman" w:cs="Times New Roman" w:eastAsia="Times New Roman" w:hAnsi="Times New Roman"/>
          <w:sz w:val="24"/>
          <w:szCs w:val="24"/>
        </w:rPr>
        <w:t xml:space="preserve">[5]	</w:t>
      </w:r>
      <w:r>
        <w:rPr>
          <w:rFonts w:ascii="Times New Roman" w:cs="Times New Roman" w:eastAsia="Times New Roman" w:hAnsi="Times New Roman"/>
          <w:sz w:val="24"/>
          <w:szCs w:val="24"/>
        </w:rPr>
        <w:t xml:space="preserve">kavan010, “black_hole: Black hole simulation project,” GitHub, 2025. Accessed: Oct. 6, 2026. [Online]. Available:  </w:t>
      </w:r>
      <w:hyperlink w:history="1" r:id="rIdw90-g5vmxtmtxbgtczolg">
        <w:r>
          <w:rPr>
            <w:rStyle w:val="Hyperlink"/>
            <w:rFonts w:ascii="Times New Roman" w:cs="Times New Roman" w:eastAsia="Times New Roman" w:hAnsi="Times New Roman"/>
            <w:sz w:val="24"/>
            <w:szCs w:val="24"/>
          </w:rPr>
          <w:t xml:space="preserve">https://github.com/kavan010/black_hole</w:t>
        </w:r>
      </w:hyperlink>
    </w:p>
    <w:p>
      <w:pPr>
        <w:tabs>
          <w:tab w:val="left" w:pos="567"/>
        </w:tabs>
        <w:spacing w:after="80" w:line="252"/>
        <w:ind w:left="567" w:hanging="567"/>
        <w:jc w:val="left"/>
      </w:pPr>
      <w:r>
        <w:rPr>
          <w:rFonts w:ascii="Times New Roman" w:cs="Times New Roman" w:eastAsia="Times New Roman" w:hAnsi="Times New Roman"/>
          <w:sz w:val="24"/>
          <w:szCs w:val="24"/>
        </w:rPr>
        <w:t xml:space="preserve">[6]	</w:t>
      </w:r>
      <w:r>
        <w:rPr>
          <w:rFonts w:ascii="Times New Roman" w:cs="Times New Roman" w:eastAsia="Times New Roman" w:hAnsi="Times New Roman"/>
          <w:sz w:val="24"/>
          <w:szCs w:val="24"/>
        </w:rPr>
        <w:t xml:space="preserve">J.-P. Luminet, “Image of a spherical black hole with thin accretion disk,” </w:t>
      </w:r>
      <w:r>
        <w:rPr>
          <w:rFonts w:ascii="Times New Roman" w:cs="Times New Roman" w:eastAsia="Times New Roman" w:hAnsi="Times New Roman"/>
          <w:i/>
          <w:iCs/>
          <w:sz w:val="24"/>
          <w:szCs w:val="24"/>
        </w:rPr>
        <w:t xml:space="preserve">Astron. Astrophys.</w:t>
      </w:r>
      <w:r>
        <w:rPr>
          <w:rFonts w:ascii="Times New Roman" w:cs="Times New Roman" w:eastAsia="Times New Roman" w:hAnsi="Times New Roman"/>
          <w:sz w:val="24"/>
          <w:szCs w:val="24"/>
        </w:rPr>
        <w:t xml:space="preserve">, vol. 75, p. 228, May 1979. Accessed: Oct. 7, 2026. [Online]. Available:  </w:t>
      </w:r>
      <w:hyperlink w:history="1" r:id="rId3mfzsz-14d5kolqjrlr_k">
        <w:r>
          <w:rPr>
            <w:rStyle w:val="Hyperlink"/>
            <w:rFonts w:ascii="Times New Roman" w:cs="Times New Roman" w:eastAsia="Times New Roman" w:hAnsi="Times New Roman"/>
            <w:sz w:val="24"/>
            <w:szCs w:val="24"/>
          </w:rPr>
          <w:t xml:space="preserve">https://ui.adsabs.harvard.edu/abs/1979A&amp;A....75..228L/abstract</w:t>
        </w:r>
      </w:hyperlink>
    </w:p>
    <w:p>
      <w:pPr>
        <w:tabs>
          <w:tab w:val="left" w:pos="567"/>
        </w:tabs>
        <w:spacing w:after="80" w:line="252"/>
        <w:ind w:left="567" w:hanging="567"/>
        <w:jc w:val="left"/>
      </w:pPr>
      <w:r>
        <w:rPr>
          <w:rFonts w:ascii="Times New Roman" w:cs="Times New Roman" w:eastAsia="Times New Roman" w:hAnsi="Times New Roman"/>
          <w:sz w:val="24"/>
          <w:szCs w:val="24"/>
        </w:rPr>
        <w:t xml:space="preserve">[7]	</w:t>
      </w:r>
      <w:r>
        <w:rPr>
          <w:rFonts w:ascii="Times New Roman" w:cs="Times New Roman" w:eastAsia="Times New Roman" w:hAnsi="Times New Roman"/>
          <w:sz w:val="24"/>
          <w:szCs w:val="24"/>
        </w:rPr>
        <w:t xml:space="preserve">K. S. Virbhadra and G. F. R. Ellis, “Schwarzschild black hole lensing,” </w:t>
      </w:r>
      <w:r>
        <w:rPr>
          <w:rFonts w:ascii="Times New Roman" w:cs="Times New Roman" w:eastAsia="Times New Roman" w:hAnsi="Times New Roman"/>
          <w:i/>
          <w:iCs/>
          <w:sz w:val="24"/>
          <w:szCs w:val="24"/>
        </w:rPr>
        <w:t xml:space="preserve">Phys. Rev. D</w:t>
      </w:r>
      <w:r>
        <w:rPr>
          <w:rFonts w:ascii="Times New Roman" w:cs="Times New Roman" w:eastAsia="Times New Roman" w:hAnsi="Times New Roman"/>
          <w:sz w:val="24"/>
          <w:szCs w:val="24"/>
        </w:rPr>
        <w:t xml:space="preserve">, vol. 62, no. 8, p. 084003, Sep. 2000, doi: 10.1103/PhysRevD.62.084003. [Online]. Available:  </w:t>
      </w:r>
      <w:hyperlink w:history="1" r:id="rIdkpx9ukwskzlm4xdpquxbe">
        <w:r>
          <w:rPr>
            <w:rStyle w:val="Hyperlink"/>
            <w:rFonts w:ascii="Times New Roman" w:cs="Times New Roman" w:eastAsia="Times New Roman" w:hAnsi="Times New Roman"/>
            <w:sz w:val="24"/>
            <w:szCs w:val="24"/>
          </w:rPr>
          <w:t xml:space="preserve">https://doi.org/10.1103/PhysRevD.62.084003</w:t>
        </w:r>
      </w:hyperlink>
    </w:p>
    <w:p>
      <w:pPr>
        <w:tabs>
          <w:tab w:val="left" w:pos="567"/>
        </w:tabs>
        <w:spacing w:after="80" w:line="252"/>
        <w:ind w:left="567" w:hanging="567"/>
        <w:jc w:val="left"/>
      </w:pPr>
      <w:r>
        <w:rPr>
          <w:rFonts w:ascii="Times New Roman" w:cs="Times New Roman" w:eastAsia="Times New Roman" w:hAnsi="Times New Roman"/>
          <w:sz w:val="24"/>
          <w:szCs w:val="24"/>
        </w:rPr>
        <w:t xml:space="preserve">[8]	</w:t>
      </w:r>
      <w:r>
        <w:rPr>
          <w:rFonts w:ascii="Times New Roman" w:cs="Times New Roman" w:eastAsia="Times New Roman" w:hAnsi="Times New Roman"/>
          <w:sz w:val="24"/>
          <w:szCs w:val="24"/>
        </w:rPr>
        <w:t xml:space="preserve">S. E. Gralla, D. E. Holz, and R. M. Wald, “Black hole shadows, photon rings, and lensing rings,” </w:t>
      </w:r>
      <w:r>
        <w:rPr>
          <w:rFonts w:ascii="Times New Roman" w:cs="Times New Roman" w:eastAsia="Times New Roman" w:hAnsi="Times New Roman"/>
          <w:i/>
          <w:iCs/>
          <w:sz w:val="24"/>
          <w:szCs w:val="24"/>
        </w:rPr>
        <w:t xml:space="preserve">Phys. Rev. D</w:t>
      </w:r>
      <w:r>
        <w:rPr>
          <w:rFonts w:ascii="Times New Roman" w:cs="Times New Roman" w:eastAsia="Times New Roman" w:hAnsi="Times New Roman"/>
          <w:sz w:val="24"/>
          <w:szCs w:val="24"/>
        </w:rPr>
        <w:t xml:space="preserve">, vol. 100, no. 2, p. 024018, Jul. 2019, doi: 10.1103/PhysRevD.100.024018. [Online]. Available:  </w:t>
      </w:r>
      <w:hyperlink w:history="1" r:id="rIdkq_j20r4vjxcq4vx7w8jl">
        <w:r>
          <w:rPr>
            <w:rStyle w:val="Hyperlink"/>
            <w:rFonts w:ascii="Times New Roman" w:cs="Times New Roman" w:eastAsia="Times New Roman" w:hAnsi="Times New Roman"/>
            <w:sz w:val="24"/>
            <w:szCs w:val="24"/>
          </w:rPr>
          <w:t xml:space="preserve">https://doi.org/10.1103/PhysRevD.100.024018</w:t>
        </w:r>
      </w:hyperlink>
    </w:p>
    <w:p>
      <w:pPr>
        <w:tabs>
          <w:tab w:val="left" w:pos="567"/>
        </w:tabs>
        <w:spacing w:after="80" w:line="252"/>
        <w:ind w:left="567" w:hanging="567"/>
        <w:jc w:val="left"/>
      </w:pPr>
      <w:r>
        <w:rPr>
          <w:rFonts w:ascii="Times New Roman" w:cs="Times New Roman" w:eastAsia="Times New Roman" w:hAnsi="Times New Roman"/>
          <w:sz w:val="24"/>
          <w:szCs w:val="24"/>
        </w:rPr>
        <w:t xml:space="preserve">[9]	</w:t>
      </w:r>
      <w:r>
        <w:rPr>
          <w:rFonts w:ascii="Times New Roman" w:cs="Times New Roman" w:eastAsia="Times New Roman" w:hAnsi="Times New Roman"/>
          <w:sz w:val="24"/>
          <w:szCs w:val="24"/>
        </w:rPr>
        <w:t xml:space="preserve">J. Dexter and E. Agol, “A fast new public code for computing photon orbits in a Kerr spacetime,” </w:t>
      </w:r>
      <w:r>
        <w:rPr>
          <w:rFonts w:ascii="Times New Roman" w:cs="Times New Roman" w:eastAsia="Times New Roman" w:hAnsi="Times New Roman"/>
          <w:i/>
          <w:iCs/>
          <w:sz w:val="24"/>
          <w:szCs w:val="24"/>
        </w:rPr>
        <w:t xml:space="preserve">Astrophys. J.</w:t>
      </w:r>
      <w:r>
        <w:rPr>
          <w:rFonts w:ascii="Times New Roman" w:cs="Times New Roman" w:eastAsia="Times New Roman" w:hAnsi="Times New Roman"/>
          <w:sz w:val="24"/>
          <w:szCs w:val="24"/>
        </w:rPr>
        <w:t xml:space="preserve">, vol. 696, no. 2, pp. 1616-1629, May 2009. Accessed: Oct. 11, 2026. [Online]. Available:  </w:t>
      </w:r>
      <w:hyperlink w:history="1" r:id="rId-rmdabguxpbfddyfaj1iz">
        <w:r>
          <w:rPr>
            <w:rStyle w:val="Hyperlink"/>
            <w:rFonts w:ascii="Times New Roman" w:cs="Times New Roman" w:eastAsia="Times New Roman" w:hAnsi="Times New Roman"/>
            <w:sz w:val="24"/>
            <w:szCs w:val="24"/>
          </w:rPr>
          <w:t xml:space="preserve">https://ui.adsabs.harvard.edu/abs/2009ApJ...696.1616D/abstract</w:t>
        </w:r>
      </w:hyperlink>
    </w:p>
    <w:p>
      <w:pPr>
        <w:tabs>
          <w:tab w:val="left" w:pos="567"/>
        </w:tabs>
        <w:spacing w:after="80" w:line="252"/>
        <w:ind w:left="567" w:hanging="567"/>
        <w:jc w:val="left"/>
      </w:pPr>
      <w:r>
        <w:rPr>
          <w:rFonts w:ascii="Times New Roman" w:cs="Times New Roman" w:eastAsia="Times New Roman" w:hAnsi="Times New Roman"/>
          <w:sz w:val="24"/>
          <w:szCs w:val="24"/>
        </w:rPr>
        <w:t xml:space="preserve">[10]	</w:t>
      </w:r>
      <w:r>
        <w:rPr>
          <w:rFonts w:ascii="Times New Roman" w:cs="Times New Roman" w:eastAsia="Times New Roman" w:hAnsi="Times New Roman"/>
          <w:sz w:val="24"/>
          <w:szCs w:val="24"/>
        </w:rPr>
        <w:t xml:space="preserve">F. H. Vincent, T. Paumard, E. Gourgoulhon, and G. Perrin, “GYOTO: A new general relativistic ray-tracing code,” </w:t>
      </w:r>
      <w:r>
        <w:rPr>
          <w:rFonts w:ascii="Times New Roman" w:cs="Times New Roman" w:eastAsia="Times New Roman" w:hAnsi="Times New Roman"/>
          <w:i/>
          <w:iCs/>
          <w:sz w:val="24"/>
          <w:szCs w:val="24"/>
        </w:rPr>
        <w:t xml:space="preserve">Class. Quantum Grav.</w:t>
      </w:r>
      <w:r>
        <w:rPr>
          <w:rFonts w:ascii="Times New Roman" w:cs="Times New Roman" w:eastAsia="Times New Roman" w:hAnsi="Times New Roman"/>
          <w:sz w:val="24"/>
          <w:szCs w:val="24"/>
        </w:rPr>
        <w:t xml:space="preserve">, vol. 28, no. 22, p. 225011, Nov. 2011, doi: 10.1088/0264-9381/28/22/225011. [Online]. Available:  </w:t>
      </w:r>
      <w:hyperlink w:history="1" r:id="rIdhvslc4qjlfj-zd9ya5v9w">
        <w:r>
          <w:rPr>
            <w:rStyle w:val="Hyperlink"/>
            <w:rFonts w:ascii="Times New Roman" w:cs="Times New Roman" w:eastAsia="Times New Roman" w:hAnsi="Times New Roman"/>
            <w:sz w:val="24"/>
            <w:szCs w:val="24"/>
          </w:rPr>
          <w:t xml:space="preserve">https://doi.org/10.1088/0264-9381/28/22/225011</w:t>
        </w:r>
      </w:hyperlink>
    </w:p>
    <w:p>
      <w:pPr>
        <w:tabs>
          <w:tab w:val="left" w:pos="567"/>
        </w:tabs>
        <w:spacing w:after="80" w:line="252"/>
        <w:ind w:left="567" w:hanging="567"/>
        <w:jc w:val="left"/>
      </w:pPr>
      <w:r>
        <w:rPr>
          <w:rFonts w:ascii="Times New Roman" w:cs="Times New Roman" w:eastAsia="Times New Roman" w:hAnsi="Times New Roman"/>
          <w:sz w:val="24"/>
          <w:szCs w:val="24"/>
        </w:rPr>
        <w:t xml:space="preserve">[11]	</w:t>
      </w:r>
      <w:r>
        <w:rPr>
          <w:rFonts w:ascii="Times New Roman" w:cs="Times New Roman" w:eastAsia="Times New Roman" w:hAnsi="Times New Roman"/>
          <w:sz w:val="24"/>
          <w:szCs w:val="24"/>
        </w:rPr>
        <w:t xml:space="preserve">T. Müller, “GeoViS: Relativistic ray tracing in four-dimensional spacetimes,” </w:t>
      </w:r>
      <w:r>
        <w:rPr>
          <w:rFonts w:ascii="Times New Roman" w:cs="Times New Roman" w:eastAsia="Times New Roman" w:hAnsi="Times New Roman"/>
          <w:i/>
          <w:iCs/>
          <w:sz w:val="24"/>
          <w:szCs w:val="24"/>
        </w:rPr>
        <w:t xml:space="preserve">Comput. Phys. Commun.</w:t>
      </w:r>
      <w:r>
        <w:rPr>
          <w:rFonts w:ascii="Times New Roman" w:cs="Times New Roman" w:eastAsia="Times New Roman" w:hAnsi="Times New Roman"/>
          <w:sz w:val="24"/>
          <w:szCs w:val="24"/>
        </w:rPr>
        <w:t xml:space="preserve">, vol. 185, no. 8, pp. 2301-2308, Aug. 2014, doi: 10.1016/j.cpc.2014.04.013. [Online]. Available:  </w:t>
      </w:r>
      <w:hyperlink w:history="1" r:id="rIdm74eclqmjljwrmwhzyfk8">
        <w:r>
          <w:rPr>
            <w:rStyle w:val="Hyperlink"/>
            <w:rFonts w:ascii="Times New Roman" w:cs="Times New Roman" w:eastAsia="Times New Roman" w:hAnsi="Times New Roman"/>
            <w:sz w:val="24"/>
            <w:szCs w:val="24"/>
          </w:rPr>
          <w:t xml:space="preserve">https://doi.org/10.1016/j.cpc.2014.04.013</w:t>
        </w:r>
      </w:hyperlink>
    </w:p>
    <w:p>
      <w:pPr>
        <w:tabs>
          <w:tab w:val="left" w:pos="567"/>
        </w:tabs>
        <w:spacing w:after="80" w:line="252"/>
        <w:ind w:left="567" w:hanging="567"/>
        <w:jc w:val="left"/>
      </w:pPr>
      <w:r>
        <w:rPr>
          <w:rFonts w:ascii="Times New Roman" w:cs="Times New Roman" w:eastAsia="Times New Roman" w:hAnsi="Times New Roman"/>
          <w:sz w:val="24"/>
          <w:szCs w:val="24"/>
        </w:rPr>
        <w:t xml:space="preserve">[12]	</w:t>
      </w:r>
      <w:r>
        <w:rPr>
          <w:rFonts w:ascii="Times New Roman" w:cs="Times New Roman" w:eastAsia="Times New Roman" w:hAnsi="Times New Roman"/>
          <w:sz w:val="24"/>
          <w:szCs w:val="24"/>
        </w:rPr>
        <w:t xml:space="preserve">C.-K. Chan, D. Psaltis, and F. Özel, “GRay: A massively parallel GPU-based code for ray tracing in relativistic spacetimes,” </w:t>
      </w:r>
      <w:r>
        <w:rPr>
          <w:rFonts w:ascii="Times New Roman" w:cs="Times New Roman" w:eastAsia="Times New Roman" w:hAnsi="Times New Roman"/>
          <w:i/>
          <w:iCs/>
          <w:sz w:val="24"/>
          <w:szCs w:val="24"/>
        </w:rPr>
        <w:t xml:space="preserve">Astrophys. J.</w:t>
      </w:r>
      <w:r>
        <w:rPr>
          <w:rFonts w:ascii="Times New Roman" w:cs="Times New Roman" w:eastAsia="Times New Roman" w:hAnsi="Times New Roman"/>
          <w:sz w:val="24"/>
          <w:szCs w:val="24"/>
        </w:rPr>
        <w:t xml:space="preserve">, vol. 777, no. 1, p. 13, 2013, doi: 10.1088/0004-637X/777/1/13. [Online]. Available:  </w:t>
      </w:r>
      <w:hyperlink w:history="1" r:id="rIdapbbe8zzaliagnoa9ougx">
        <w:r>
          <w:rPr>
            <w:rStyle w:val="Hyperlink"/>
            <w:rFonts w:ascii="Times New Roman" w:cs="Times New Roman" w:eastAsia="Times New Roman" w:hAnsi="Times New Roman"/>
            <w:sz w:val="24"/>
            <w:szCs w:val="24"/>
          </w:rPr>
          <w:t xml:space="preserve">https://arxiv.org/abs/1303.5057</w:t>
        </w:r>
      </w:hyperlink>
    </w:p>
    <w:p>
      <w:pPr>
        <w:tabs>
          <w:tab w:val="left" w:pos="567"/>
        </w:tabs>
        <w:spacing w:after="80" w:line="252"/>
        <w:ind w:left="567" w:hanging="567"/>
        <w:jc w:val="left"/>
      </w:pPr>
      <w:r>
        <w:rPr>
          <w:rFonts w:ascii="Times New Roman" w:cs="Times New Roman" w:eastAsia="Times New Roman" w:hAnsi="Times New Roman"/>
          <w:sz w:val="24"/>
          <w:szCs w:val="24"/>
        </w:rPr>
        <w:t xml:space="preserve">[13]	</w:t>
      </w:r>
      <w:r>
        <w:rPr>
          <w:rFonts w:ascii="Times New Roman" w:cs="Times New Roman" w:eastAsia="Times New Roman" w:hAnsi="Times New Roman"/>
          <w:sz w:val="24"/>
          <w:szCs w:val="24"/>
        </w:rPr>
        <w:t xml:space="preserve">D. Kuchelmeister, T. Müller, M. Ament, G. Wunner, and D. Weiskopf, “GPU-based four-dimensional general-relativistic ray tracing,” </w:t>
      </w:r>
      <w:r>
        <w:rPr>
          <w:rFonts w:ascii="Times New Roman" w:cs="Times New Roman" w:eastAsia="Times New Roman" w:hAnsi="Times New Roman"/>
          <w:i/>
          <w:iCs/>
          <w:sz w:val="24"/>
          <w:szCs w:val="24"/>
        </w:rPr>
        <w:t xml:space="preserve">Comput. Phys. Commun.</w:t>
      </w:r>
      <w:r>
        <w:rPr>
          <w:rFonts w:ascii="Times New Roman" w:cs="Times New Roman" w:eastAsia="Times New Roman" w:hAnsi="Times New Roman"/>
          <w:sz w:val="24"/>
          <w:szCs w:val="24"/>
        </w:rPr>
        <w:t xml:space="preserve">, vol. 183, pp. 2282-2290, 2012, doi: 10.1016/j.cpc.2012.04.030. [Online]. Available:  </w:t>
      </w:r>
      <w:hyperlink w:history="1" r:id="rIdtldvdmqhsgmd_ye1e24in">
        <w:r>
          <w:rPr>
            <w:rStyle w:val="Hyperlink"/>
            <w:rFonts w:ascii="Times New Roman" w:cs="Times New Roman" w:eastAsia="Times New Roman" w:hAnsi="Times New Roman"/>
            <w:sz w:val="24"/>
            <w:szCs w:val="24"/>
          </w:rPr>
          <w:t xml:space="preserve">https://doi.org/10.1016/j.cpc.2012.04.030</w:t>
        </w:r>
      </w:hyperlink>
    </w:p>
    <w:p>
      <w:pPr>
        <w:tabs>
          <w:tab w:val="left" w:pos="567"/>
        </w:tabs>
        <w:spacing w:after="80" w:line="252"/>
        <w:ind w:left="567" w:hanging="567"/>
        <w:jc w:val="left"/>
      </w:pPr>
      <w:r>
        <w:rPr>
          <w:rFonts w:ascii="Times New Roman" w:cs="Times New Roman" w:eastAsia="Times New Roman" w:hAnsi="Times New Roman"/>
          <w:sz w:val="24"/>
          <w:szCs w:val="24"/>
        </w:rPr>
        <w:t xml:space="preserve">[14]	</w:t>
      </w:r>
      <w:r>
        <w:rPr>
          <w:rFonts w:ascii="Times New Roman" w:cs="Times New Roman" w:eastAsia="Times New Roman" w:hAnsi="Times New Roman"/>
          <w:sz w:val="24"/>
          <w:szCs w:val="24"/>
        </w:rPr>
        <w:t xml:space="preserve">F. Bacchini, B. Ripperda, A. Y. Chen, and L. Sironi, “Generalized, energy-conserving numerical simulations of particles in general relativity. I. Time-like and null geodesics,” </w:t>
      </w:r>
      <w:r>
        <w:rPr>
          <w:rFonts w:ascii="Times New Roman" w:cs="Times New Roman" w:eastAsia="Times New Roman" w:hAnsi="Times New Roman"/>
          <w:i/>
          <w:iCs/>
          <w:sz w:val="24"/>
          <w:szCs w:val="24"/>
        </w:rPr>
        <w:t xml:space="preserve">Astrophys. J. Suppl. Ser.</w:t>
      </w:r>
      <w:r>
        <w:rPr>
          <w:rFonts w:ascii="Times New Roman" w:cs="Times New Roman" w:eastAsia="Times New Roman" w:hAnsi="Times New Roman"/>
          <w:sz w:val="24"/>
          <w:szCs w:val="24"/>
        </w:rPr>
        <w:t xml:space="preserve">, vol. 237, no. 1, p. 6, Jul. 2018, doi: 10.3847/1538-4365/aac9ca. [Online]. Available:  </w:t>
      </w:r>
      <w:hyperlink w:history="1" r:id="rId1rhruehdhdzj_8b4l2s46">
        <w:r>
          <w:rPr>
            <w:rStyle w:val="Hyperlink"/>
            <w:rFonts w:ascii="Times New Roman" w:cs="Times New Roman" w:eastAsia="Times New Roman" w:hAnsi="Times New Roman"/>
            <w:sz w:val="24"/>
            <w:szCs w:val="24"/>
          </w:rPr>
          <w:t xml:space="preserve">https://arxiv.org/abs/1801.02378</w:t>
        </w:r>
      </w:hyperlink>
    </w:p>
    <w:p>
      <w:pPr>
        <w:tabs>
          <w:tab w:val="left" w:pos="567"/>
        </w:tabs>
        <w:spacing w:after="80" w:line="252"/>
        <w:ind w:left="567" w:hanging="567"/>
        <w:jc w:val="left"/>
      </w:pPr>
      <w:r>
        <w:rPr>
          <w:rFonts w:ascii="Times New Roman" w:cs="Times New Roman" w:eastAsia="Times New Roman" w:hAnsi="Times New Roman"/>
          <w:sz w:val="24"/>
          <w:szCs w:val="24"/>
        </w:rPr>
        <w:t xml:space="preserve">[15]	</w:t>
      </w:r>
      <w:r>
        <w:rPr>
          <w:rFonts w:ascii="Times New Roman" w:cs="Times New Roman" w:eastAsia="Times New Roman" w:hAnsi="Times New Roman"/>
          <w:sz w:val="24"/>
          <w:szCs w:val="24"/>
        </w:rPr>
        <w:t xml:space="preserve">J. R. Dormand and P. J. Prince, “A family of embedded Runge-Kutta formulae,” </w:t>
      </w:r>
      <w:r>
        <w:rPr>
          <w:rFonts w:ascii="Times New Roman" w:cs="Times New Roman" w:eastAsia="Times New Roman" w:hAnsi="Times New Roman"/>
          <w:i/>
          <w:iCs/>
          <w:sz w:val="24"/>
          <w:szCs w:val="24"/>
        </w:rPr>
        <w:t xml:space="preserve">J. Comput. Appl. Math.</w:t>
      </w:r>
      <w:r>
        <w:rPr>
          <w:rFonts w:ascii="Times New Roman" w:cs="Times New Roman" w:eastAsia="Times New Roman" w:hAnsi="Times New Roman"/>
          <w:sz w:val="24"/>
          <w:szCs w:val="24"/>
        </w:rPr>
        <w:t xml:space="preserve">, vol. 6, no. 1, pp. 19-26, Mar. 1980, doi: 10.1016/0771-050X(80)90013-3. [Online]. Available:  </w:t>
      </w:r>
      <w:hyperlink w:history="1" r:id="rIdnmefdlyxxe9mipg4zdbma">
        <w:r>
          <w:rPr>
            <w:rStyle w:val="Hyperlink"/>
            <w:rFonts w:ascii="Times New Roman" w:cs="Times New Roman" w:eastAsia="Times New Roman" w:hAnsi="Times New Roman"/>
            <w:sz w:val="24"/>
            <w:szCs w:val="24"/>
          </w:rPr>
          <w:t xml:space="preserve">https://doi.org/10.1016/0771-050X(80)90013-3</w:t>
        </w:r>
      </w:hyperlink>
    </w:p>
    <w:p>
      <w:pPr>
        <w:tabs>
          <w:tab w:val="left" w:pos="567"/>
        </w:tabs>
        <w:spacing w:after="80" w:line="252"/>
        <w:ind w:left="567" w:hanging="567"/>
        <w:jc w:val="left"/>
      </w:pPr>
      <w:r>
        <w:rPr>
          <w:rFonts w:ascii="Times New Roman" w:cs="Times New Roman" w:eastAsia="Times New Roman" w:hAnsi="Times New Roman"/>
          <w:sz w:val="24"/>
          <w:szCs w:val="24"/>
        </w:rPr>
        <w:t xml:space="preserve">[16]	</w:t>
      </w:r>
      <w:r>
        <w:rPr>
          <w:rFonts w:ascii="Times New Roman" w:cs="Times New Roman" w:eastAsia="Times New Roman" w:hAnsi="Times New Roman"/>
          <w:sz w:val="24"/>
          <w:szCs w:val="24"/>
        </w:rPr>
        <w:t xml:space="preserve">R. Gold </w:t>
      </w:r>
      <w:r>
        <w:rPr>
          <w:rFonts w:ascii="Times New Roman" w:cs="Times New Roman" w:eastAsia="Times New Roman" w:hAnsi="Times New Roman"/>
          <w:i/>
          <w:iCs/>
          <w:sz w:val="24"/>
          <w:szCs w:val="24"/>
        </w:rPr>
        <w:t xml:space="preserve">et al.</w:t>
      </w:r>
      <w:r>
        <w:rPr>
          <w:rFonts w:ascii="Times New Roman" w:cs="Times New Roman" w:eastAsia="Times New Roman" w:hAnsi="Times New Roman"/>
          <w:sz w:val="24"/>
          <w:szCs w:val="24"/>
        </w:rPr>
        <w:t xml:space="preserve">, “Verification of radiative transfer schemes for the EHT,” </w:t>
      </w:r>
      <w:r>
        <w:rPr>
          <w:rFonts w:ascii="Times New Roman" w:cs="Times New Roman" w:eastAsia="Times New Roman" w:hAnsi="Times New Roman"/>
          <w:i/>
          <w:iCs/>
          <w:sz w:val="24"/>
          <w:szCs w:val="24"/>
        </w:rPr>
        <w:t xml:space="preserve">Astrophys. J.</w:t>
      </w:r>
      <w:r>
        <w:rPr>
          <w:rFonts w:ascii="Times New Roman" w:cs="Times New Roman" w:eastAsia="Times New Roman" w:hAnsi="Times New Roman"/>
          <w:sz w:val="24"/>
          <w:szCs w:val="24"/>
        </w:rPr>
        <w:t xml:space="preserve">, vol. 897, no. 2, p. 148, Jul. 2020, doi: 10.3847/1538-4357/ab96c6. [Online]. Available:  </w:t>
      </w:r>
      <w:hyperlink w:history="1" r:id="rIdnwhb_7jhhj7vkyjfy6ezt">
        <w:r>
          <w:rPr>
            <w:rStyle w:val="Hyperlink"/>
            <w:rFonts w:ascii="Times New Roman" w:cs="Times New Roman" w:eastAsia="Times New Roman" w:hAnsi="Times New Roman"/>
            <w:sz w:val="24"/>
            <w:szCs w:val="24"/>
          </w:rPr>
          <w:t xml:space="preserve">https://doi.org/10.3847/1538-4357/ab96c6</w:t>
        </w:r>
      </w:hyperlink>
    </w:p>
    <w:p>
      <w:pPr>
        <w:tabs>
          <w:tab w:val="left" w:pos="567"/>
        </w:tabs>
        <w:spacing w:after="80" w:line="252"/>
        <w:ind w:left="567" w:hanging="567"/>
        <w:jc w:val="left"/>
      </w:pPr>
      <w:r>
        <w:rPr>
          <w:rFonts w:ascii="Times New Roman" w:cs="Times New Roman" w:eastAsia="Times New Roman" w:hAnsi="Times New Roman"/>
          <w:sz w:val="24"/>
          <w:szCs w:val="24"/>
        </w:rPr>
        <w:t xml:space="preserve">[17]	</w:t>
      </w:r>
      <w:r>
        <w:rPr>
          <w:rFonts w:ascii="Times New Roman" w:cs="Times New Roman" w:eastAsia="Times New Roman" w:hAnsi="Times New Roman"/>
          <w:sz w:val="24"/>
          <w:szCs w:val="24"/>
        </w:rPr>
        <w:t xml:space="preserve">G. Wilson </w:t>
      </w:r>
      <w:r>
        <w:rPr>
          <w:rFonts w:ascii="Times New Roman" w:cs="Times New Roman" w:eastAsia="Times New Roman" w:hAnsi="Times New Roman"/>
          <w:i/>
          <w:iCs/>
          <w:sz w:val="24"/>
          <w:szCs w:val="24"/>
        </w:rPr>
        <w:t xml:space="preserve">et al.</w:t>
      </w:r>
      <w:r>
        <w:rPr>
          <w:rFonts w:ascii="Times New Roman" w:cs="Times New Roman" w:eastAsia="Times New Roman" w:hAnsi="Times New Roman"/>
          <w:sz w:val="24"/>
          <w:szCs w:val="24"/>
        </w:rPr>
        <w:t xml:space="preserve">, “Best practices for scientific computing,” </w:t>
      </w:r>
      <w:r>
        <w:rPr>
          <w:rFonts w:ascii="Times New Roman" w:cs="Times New Roman" w:eastAsia="Times New Roman" w:hAnsi="Times New Roman"/>
          <w:i/>
          <w:iCs/>
          <w:sz w:val="24"/>
          <w:szCs w:val="24"/>
        </w:rPr>
        <w:t xml:space="preserve">PLoS Biol.</w:t>
      </w:r>
      <w:r>
        <w:rPr>
          <w:rFonts w:ascii="Times New Roman" w:cs="Times New Roman" w:eastAsia="Times New Roman" w:hAnsi="Times New Roman"/>
          <w:sz w:val="24"/>
          <w:szCs w:val="24"/>
        </w:rPr>
        <w:t xml:space="preserve">, vol. 12, no. 1, p. e1001745, Jan. 2014, doi: 10.1371/journal.pbio.1001745. [Online]. Available:  </w:t>
      </w:r>
      <w:hyperlink w:history="1" r:id="rId4shxa3z1owqnqzcp6ql6h">
        <w:r>
          <w:rPr>
            <w:rStyle w:val="Hyperlink"/>
            <w:rFonts w:ascii="Times New Roman" w:cs="Times New Roman" w:eastAsia="Times New Roman" w:hAnsi="Times New Roman"/>
            <w:sz w:val="24"/>
            <w:szCs w:val="24"/>
          </w:rPr>
          <w:t xml:space="preserve">https://doi.org/10.1371/journal.pbio.1001745</w:t>
        </w:r>
      </w:hyperlink>
    </w:p>
    <w:p>
      <w:pPr>
        <w:tabs>
          <w:tab w:val="left" w:pos="567"/>
        </w:tabs>
        <w:spacing w:after="80" w:line="252"/>
        <w:ind w:left="567" w:hanging="567"/>
        <w:jc w:val="left"/>
      </w:pPr>
      <w:r>
        <w:rPr>
          <w:rFonts w:ascii="Times New Roman" w:cs="Times New Roman" w:eastAsia="Times New Roman" w:hAnsi="Times New Roman"/>
          <w:sz w:val="24"/>
          <w:szCs w:val="24"/>
        </w:rPr>
        <w:t xml:space="preserve">[18]	</w:t>
      </w:r>
      <w:r>
        <w:rPr>
          <w:rFonts w:ascii="Times New Roman" w:cs="Times New Roman" w:eastAsia="Times New Roman" w:hAnsi="Times New Roman"/>
          <w:sz w:val="24"/>
          <w:szCs w:val="24"/>
        </w:rPr>
        <w:t xml:space="preserve">L. Lannelongue, J. Grealey, and M. Inouye, “Green Algorithms: Quantifying the carbon footprint of computation,” </w:t>
      </w:r>
      <w:r>
        <w:rPr>
          <w:rFonts w:ascii="Times New Roman" w:cs="Times New Roman" w:eastAsia="Times New Roman" w:hAnsi="Times New Roman"/>
          <w:i/>
          <w:iCs/>
          <w:sz w:val="24"/>
          <w:szCs w:val="24"/>
        </w:rPr>
        <w:t xml:space="preserve">Adv. Sci.</w:t>
      </w:r>
      <w:r>
        <w:rPr>
          <w:rFonts w:ascii="Times New Roman" w:cs="Times New Roman" w:eastAsia="Times New Roman" w:hAnsi="Times New Roman"/>
          <w:sz w:val="24"/>
          <w:szCs w:val="24"/>
        </w:rPr>
        <w:t xml:space="preserve">, vol. 8, no. 12, p. 2100707, Jun. 2021, doi: 10.1002/advs.202100707. [Online]. Available:  </w:t>
      </w:r>
      <w:hyperlink w:history="1" r:id="rIdqgevmn7rmovuhz83ttqiq">
        <w:r>
          <w:rPr>
            <w:rStyle w:val="Hyperlink"/>
            <w:rFonts w:ascii="Times New Roman" w:cs="Times New Roman" w:eastAsia="Times New Roman" w:hAnsi="Times New Roman"/>
            <w:sz w:val="24"/>
            <w:szCs w:val="24"/>
          </w:rPr>
          <w:t xml:space="preserve">https://doi.org/10.1002/advs.202100707</w:t>
        </w:r>
      </w:hyperlink>
    </w:p>
    <w:sectPr>
      <w:footerReference w:type="default" r:id="rId11"/>
      <w:type w:val="nextPage"/>
      <w:pgSz w:w="11906" w:h="16838" w:orient="portrait"/>
      <w:pgMar w:top="1440" w:right="1440" w:bottom="1440" w:left="144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w:p>
    <w:pPr>
      <w:jc w:val="center"/>
    </w:pPr>
    <w:r>
      <w:rPr>
        <w:rFonts w:ascii="Times New Roman" w:cs="Times New Roman" w:eastAsia="Times New Roman" w:hAnsi="Times New Roman"/>
        <w:sz w:val="24"/>
        <w:szCs w:val="24"/>
      </w:rPr>
      <w:fldChar w:fldCharType="begin"/>
      <w:instrText xml:space="preserve">PAGE</w:instrText>
      <w:fldChar w:fldCharType="separate"/>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w:p>
    <w:pPr>
      <w:jc w:val="center"/>
    </w:pPr>
    <w:r>
      <w:rPr>
        <w:rFonts w:ascii="Times New Roman" w:cs="Times New Roman" w:eastAsia="Times New Roman" w:hAnsi="Times New Roman"/>
        <w:sz w:val="24"/>
        <w:szCs w:val="24"/>
      </w:rPr>
      <w:fldChar w:fldCharType="begin"/>
      <w:instrText xml:space="preserve">PAGE</w:instrText>
      <w:fldChar w:fldCharType="separate"/>
      <w:fldChar w:fldCharType="end"/>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w:p>
    <w:pPr>
      <w:jc w:val="center"/>
    </w:pPr>
    <w:r>
      <w:rPr>
        <w:rFonts w:ascii="Times New Roman" w:cs="Times New Roman" w:eastAsia="Times New Roman" w:hAnsi="Times New Roman"/>
        <w:sz w:val="24"/>
        <w:szCs w:val="24"/>
      </w:rPr>
      <w:fldChar w:fldCharType="begin"/>
      <w:instrText xml:space="preserve">PAGE</w:instrText>
      <w:fldChar w:fldCharType="separate"/>
      <w:fldChar w:fldCharType="end"/>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w:p>
    <w:pPr>
      <w:jc w:val="center"/>
    </w:pPr>
    <w:r>
      <w:rPr>
        <w:rFonts w:ascii="Times New Roman" w:cs="Times New Roman" w:eastAsia="Times New Roman" w:hAnsi="Times New Roman"/>
        <w:sz w:val="24"/>
        <w:szCs w:val="24"/>
      </w:rPr>
      <w:fldChar w:fldCharType="begin"/>
      <w:instrText xml:space="preserve">PAGE</w:instrText>
      <w:fldChar w:fldCharType="separate"/>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abstractNum w:abstractNumId="2" w15:restartNumberingAfterBreak="0">
    <w:multiLevelType w:val="hybridMultilevel"/>
    <w:lvl w:ilvl="0" w15:tentative="1">
      <w:start w:val="1"/>
      <w:numFmt w:val="decimal"/>
      <w:lvlText w:val="O%1."/>
      <w:lvlJc w:val="left"/>
      <w:pPr>
        <w:ind w:left="567" w:hanging="567"/>
      </w:pPr>
      <w:rPr>
        <w:b/>
        <w:bCs/>
      </w:rPr>
    </w:lvl>
  </w:abstractNum>
  <w:num w:numId="1">
    <w:abstractNumId w:val="1"/>
    <w:lvlOverride w:ilvl="0">
      <w:startOverride w:val="1"/>
    </w:lvlOverride>
  </w:num>
  <w:num w:numId="2">
    <w:abstractNumId w:val="2"/>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cs="Times New Roman" w:eastAsia="Times New Roman" w:hAnsi="Times New Roman"/>
        <w:sz w:val="24"/>
        <w:szCs w:val="24"/>
      </w:rPr>
    </w:rPrDefault>
    <w:pPrDefault>
      <w:pPr>
        <w:spacing w:after="120" w:line="264"/>
      </w:pPr>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 w:type="paragraph" w:styleId="Heading1">
    <w:name w:val="Heading 1"/>
    <w:basedOn w:val="Normal"/>
    <w:next w:val="Normal"/>
    <w:qFormat/>
    <w:pPr>
      <w:spacing w:after="120" w:before="320"/>
      <w:outlineLvl w:val="0"/>
    </w:pPr>
    <w:rPr>
      <w:rFonts w:ascii="Times New Roman" w:cs="Times New Roman" w:eastAsia="Times New Roman" w:hAnsi="Times New Roman"/>
      <w:b/>
      <w:bCs/>
      <w:color w:val="000000"/>
      <w:sz w:val="28"/>
      <w:szCs w:val="28"/>
    </w:rPr>
  </w:style>
  <w:style w:type="paragraph" w:styleId="Heading2">
    <w:name w:val="Heading 2"/>
    <w:basedOn w:val="Normal"/>
    <w:next w:val="Normal"/>
    <w:qFormat/>
    <w:pPr>
      <w:spacing w:after="80" w:before="240"/>
      <w:outlineLvl w:val="1"/>
    </w:pPr>
    <w:rPr>
      <w:rFonts w:ascii="Times New Roman" w:cs="Times New Roman" w:eastAsia="Times New Roman" w:hAnsi="Times New Roman"/>
      <w:b/>
      <w:bCs/>
      <w:color w:val="000000"/>
      <w:sz w:val="24"/>
      <w:szCs w:val="24"/>
    </w:rPr>
  </w:style>
  <w:style w:type="character" w:styleId="Hyperlink">
    <w:name w:val="Hyperlink"/>
    <w:basedOn w:val="DefaultParagraphFont"/>
    <w:uiPriority w:val="99"/>
    <w:unhideWhenUsed/>
    <w:rPr>
      <w:color w:val="1F3864"/>
      <w:u w:val="single"/>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oter" Target="footer3.xml"/><Relationship Id="rId10" Type="http://schemas.openxmlformats.org/officeDocument/2006/relationships/footer" Target="footer4.xml"/><Relationship Id="rId11" Type="http://schemas.openxmlformats.org/officeDocument/2006/relationships/footer" Target="footer5.xml"/><Relationship Id="rId2inh5ypws8k_en3um35ig" Type="http://schemas.openxmlformats.org/officeDocument/2006/relationships/hyperlink" Target="https://doi.org/10.3847/2041-8213/ab0ec7" TargetMode="External"/><Relationship Id="rIdnx_uvlznnwpkbih_grj2s" Type="http://schemas.openxmlformats.org/officeDocument/2006/relationships/hyperlink" Target="https://doi.org/10.3847/2041-8213/ac6674" TargetMode="External"/><Relationship Id="rId6k_t3wl4xdaitqox3yrvh" Type="http://schemas.openxmlformats.org/officeDocument/2006/relationships/hyperlink" Target="https://doi.org/10.1088/0264-9381/32/6/065001" TargetMode="External"/><Relationship Id="rIdd1cyzy0mtc0knyxqg2psq" Type="http://schemas.openxmlformats.org/officeDocument/2006/relationships/hyperlink" Target="https://www.youtube.com/watch?v=8-B6ryuBkCM" TargetMode="External"/><Relationship Id="rIdw90-g5vmxtmtxbgtczolg" Type="http://schemas.openxmlformats.org/officeDocument/2006/relationships/hyperlink" Target="https://github.com/kavan010/black_hole" TargetMode="External"/><Relationship Id="rId3mfzsz-14d5kolqjrlr_k" Type="http://schemas.openxmlformats.org/officeDocument/2006/relationships/hyperlink" Target="https://ui.adsabs.harvard.edu/abs/1979A&amp;A....75..228L/abstract" TargetMode="External"/><Relationship Id="rIdkpx9ukwskzlm4xdpquxbe" Type="http://schemas.openxmlformats.org/officeDocument/2006/relationships/hyperlink" Target="https://doi.org/10.1103/PhysRevD.62.084003" TargetMode="External"/><Relationship Id="rIdkq_j20r4vjxcq4vx7w8jl" Type="http://schemas.openxmlformats.org/officeDocument/2006/relationships/hyperlink" Target="https://doi.org/10.1103/PhysRevD.100.024018" TargetMode="External"/><Relationship Id="rId-rmdabguxpbfddyfaj1iz" Type="http://schemas.openxmlformats.org/officeDocument/2006/relationships/hyperlink" Target="https://ui.adsabs.harvard.edu/abs/2009ApJ...696.1616D/abstract" TargetMode="External"/><Relationship Id="rIdhvslc4qjlfj-zd9ya5v9w" Type="http://schemas.openxmlformats.org/officeDocument/2006/relationships/hyperlink" Target="https://doi.org/10.1088/0264-9381/28/22/225011" TargetMode="External"/><Relationship Id="rIdm74eclqmjljwrmwhzyfk8" Type="http://schemas.openxmlformats.org/officeDocument/2006/relationships/hyperlink" Target="https://doi.org/10.1016/j.cpc.2014.04.013" TargetMode="External"/><Relationship Id="rIdapbbe8zzaliagnoa9ougx" Type="http://schemas.openxmlformats.org/officeDocument/2006/relationships/hyperlink" Target="https://arxiv.org/abs/1303.5057" TargetMode="External"/><Relationship Id="rIdtldvdmqhsgmd_ye1e24in" Type="http://schemas.openxmlformats.org/officeDocument/2006/relationships/hyperlink" Target="https://doi.org/10.1016/j.cpc.2012.04.030" TargetMode="External"/><Relationship Id="rId1rhruehdhdzj_8b4l2s46" Type="http://schemas.openxmlformats.org/officeDocument/2006/relationships/hyperlink" Target="https://arxiv.org/abs/1801.02378" TargetMode="External"/><Relationship Id="rIdnmefdlyxxe9mipg4zdbma" Type="http://schemas.openxmlformats.org/officeDocument/2006/relationships/hyperlink" Target="https://doi.org/10.1016/0771-050X(80)90013-3" TargetMode="External"/><Relationship Id="rIdnwhb_7jhhj7vkyjfy6ezt" Type="http://schemas.openxmlformats.org/officeDocument/2006/relationships/hyperlink" Target="https://doi.org/10.3847/1538-4357/ab96c6" TargetMode="External"/><Relationship Id="rId4shxa3z1owqnqzcp6ql6h" Type="http://schemas.openxmlformats.org/officeDocument/2006/relationships/hyperlink" Target="https://doi.org/10.1371/journal.pbio.1001745" TargetMode="External"/><Relationship Id="rIdqgevmn7rmovuhz83ttqiq" Type="http://schemas.openxmlformats.org/officeDocument/2006/relationships/hyperlink" Target="https://doi.org/10.1002/advs.202100707" TargetMode="External"/><Relationship Id="rId12" Type="http://schemas.openxmlformats.org/officeDocument/2006/relationships/image" Target="media/f5d0f5a7df79b4e2220b84ee57f43c2b13068966.png"/><Relationship Id="rId13" Type="http://schemas.openxmlformats.org/officeDocument/2006/relationships/image" Target="media/fab1c9a9fa9d263520facd5aa561de6530f367ba.png"/><Relationship Id="rId32"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er1.xml.rels><?xml version="1.0" encoding="UTF-8"?><Relationships xmlns="http://schemas.openxmlformats.org/package/2006/relationships"/>
</file>

<file path=word/_rels/footer2.xml.rels><?xml version="1.0" encoding="UTF-8"?><Relationships xmlns="http://schemas.openxmlformats.org/package/2006/relationships"/>
</file>

<file path=word/_rels/footer3.xml.rels><?xml version="1.0" encoding="UTF-8"?><Relationships xmlns="http://schemas.openxmlformats.org/package/2006/relationships"/>
</file>

<file path=word/_rels/footer4.xml.rels><?xml version="1.0" encoding="UTF-8"?><Relationships xmlns="http://schemas.openxmlformats.org/package/2006/relationships"/>
</file>

<file path=word/_rels/footer5.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Simulating the Physics of a Schwarzschild Black Hole in C++: A Two-Dimensional Simulator with a Measured Numerical Study</dc:title>
  <dc:creator>Zandr Badger</dc:creator>
  <cp:lastModifiedBy>Un-named</cp:lastModifiedBy>
  <cp:revision>1</cp:revision>
  <dcterms:created xsi:type="dcterms:W3CDTF">2026-10-20T22:57:53.980Z</dcterms:created>
  <dcterms:modified xsi:type="dcterms:W3CDTF">2026-10-20T22:57:53.980Z</dcterms:modified>
</cp:coreProperties>
</file>

<file path=docProps/custom.xml><?xml version="1.0" encoding="utf-8"?>
<Properties xmlns="http://schemas.openxmlformats.org/officeDocument/2006/custom-properties" xmlns:vt="http://schemas.openxmlformats.org/officeDocument/2006/docPropsVTypes"/>
</file>