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90366242"/>
        <w:docPartObj>
          <w:docPartGallery w:val="Cover Pages"/>
          <w:docPartUnique/>
        </w:docPartObj>
      </w:sdtPr>
      <w:sdtEndPr>
        <w:rPr>
          <w:rFonts w:asciiTheme="majorHAnsi" w:hAnsiTheme="majorHAnsi" w:cstheme="majorHAnsi"/>
        </w:rPr>
      </w:sdtEndPr>
      <w:sdtContent>
        <w:p w14:paraId="458B1A5E" w14:textId="2D3B0E49" w:rsidR="00B1430E" w:rsidRDefault="00B1430E"/>
        <w:tbl>
          <w:tblPr>
            <w:tblpPr w:leftFromText="187" w:rightFromText="187" w:vertAnchor="page" w:horzAnchor="margin" w:tblpXSpec="center" w:tblpY="4393"/>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B1430E" w14:paraId="2512E1C4" w14:textId="77777777" w:rsidTr="00AE35B2">
            <w:tc>
              <w:tcPr>
                <w:tcW w:w="7209" w:type="dxa"/>
                <w:tcMar>
                  <w:top w:w="216" w:type="dxa"/>
                  <w:left w:w="115" w:type="dxa"/>
                  <w:bottom w:w="216" w:type="dxa"/>
                  <w:right w:w="115" w:type="dxa"/>
                </w:tcMar>
              </w:tcPr>
              <w:p w14:paraId="047F5CAC" w14:textId="7D55A86B" w:rsidR="00B1430E" w:rsidRPr="00AE35B2" w:rsidRDefault="00B1430E" w:rsidP="00AE35B2">
                <w:pPr>
                  <w:pStyle w:val="NoSpacing"/>
                  <w:rPr>
                    <w:sz w:val="24"/>
                  </w:rPr>
                </w:pPr>
              </w:p>
            </w:tc>
          </w:tr>
          <w:tr w:rsidR="00B1430E" w14:paraId="26948F26" w14:textId="77777777" w:rsidTr="00AE35B2">
            <w:tc>
              <w:tcPr>
                <w:tcW w:w="7209" w:type="dxa"/>
              </w:tcPr>
              <w:sdt>
                <w:sdtPr>
                  <w:rPr>
                    <w:rFonts w:asciiTheme="majorHAnsi" w:eastAsiaTheme="majorEastAsia" w:hAnsiTheme="majorHAnsi" w:cstheme="majorHAnsi"/>
                    <w:sz w:val="88"/>
                    <w:szCs w:val="88"/>
                    <w:u w:val="single"/>
                  </w:rPr>
                  <w:alias w:val="Title"/>
                  <w:id w:val="13406919"/>
                  <w:placeholder>
                    <w:docPart w:val="882A8F19BF034C33B91A78CD8DD220A6"/>
                  </w:placeholder>
                  <w:dataBinding w:prefixMappings="xmlns:ns0='http://schemas.openxmlformats.org/package/2006/metadata/core-properties' xmlns:ns1='http://purl.org/dc/elements/1.1/'" w:xpath="/ns0:coreProperties[1]/ns1:title[1]" w:storeItemID="{6C3C8BC8-F283-45AE-878A-BAB7291924A1}"/>
                  <w:text/>
                </w:sdtPr>
                <w:sdtEndPr/>
                <w:sdtContent>
                  <w:p w14:paraId="606BE748" w14:textId="43946159" w:rsidR="00B1430E" w:rsidRPr="00AE35B2" w:rsidRDefault="00B1430E" w:rsidP="00AE35B2">
                    <w:pPr>
                      <w:pStyle w:val="NoSpacing"/>
                      <w:spacing w:line="216" w:lineRule="auto"/>
                      <w:rPr>
                        <w:rFonts w:asciiTheme="majorHAnsi" w:eastAsiaTheme="majorEastAsia" w:hAnsiTheme="majorHAnsi" w:cstheme="majorBidi"/>
                        <w:sz w:val="88"/>
                        <w:szCs w:val="88"/>
                      </w:rPr>
                    </w:pPr>
                    <w:r w:rsidRPr="00862F26">
                      <w:rPr>
                        <w:rFonts w:asciiTheme="majorHAnsi" w:eastAsiaTheme="majorEastAsia" w:hAnsiTheme="majorHAnsi" w:cstheme="majorHAnsi"/>
                        <w:sz w:val="88"/>
                        <w:szCs w:val="88"/>
                        <w:u w:val="single"/>
                      </w:rPr>
                      <w:t>Video Cr</w:t>
                    </w:r>
                    <w:r w:rsidR="00940B57" w:rsidRPr="00862F26">
                      <w:rPr>
                        <w:rFonts w:asciiTheme="majorHAnsi" w:eastAsiaTheme="majorEastAsia" w:hAnsiTheme="majorHAnsi" w:cstheme="majorHAnsi"/>
                        <w:sz w:val="88"/>
                        <w:szCs w:val="88"/>
                        <w:u w:val="single"/>
                      </w:rPr>
                      <w:t>itique</w:t>
                    </w:r>
                  </w:p>
                </w:sdtContent>
              </w:sdt>
            </w:tc>
          </w:tr>
          <w:tr w:rsidR="00B1430E" w14:paraId="55D8E9DE" w14:textId="77777777" w:rsidTr="00AE35B2">
            <w:tc>
              <w:tcPr>
                <w:tcW w:w="7209" w:type="dxa"/>
                <w:tcMar>
                  <w:top w:w="216" w:type="dxa"/>
                  <w:left w:w="115" w:type="dxa"/>
                  <w:bottom w:w="216" w:type="dxa"/>
                  <w:right w:w="115" w:type="dxa"/>
                </w:tcMar>
              </w:tcPr>
              <w:p w14:paraId="2C445E0D" w14:textId="64E3302D" w:rsidR="00B1430E" w:rsidRDefault="00B1430E" w:rsidP="00AE35B2">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B1430E" w14:paraId="192B8F55" w14:textId="77777777">
            <w:tc>
              <w:tcPr>
                <w:tcW w:w="7221" w:type="dxa"/>
                <w:tcMar>
                  <w:top w:w="216" w:type="dxa"/>
                  <w:left w:w="115" w:type="dxa"/>
                  <w:bottom w:w="216" w:type="dxa"/>
                  <w:right w:w="115" w:type="dxa"/>
                </w:tcMar>
              </w:tcPr>
              <w:sdt>
                <w:sdtPr>
                  <w:rPr>
                    <w:rFonts w:asciiTheme="majorHAnsi" w:hAnsiTheme="majorHAnsi" w:cstheme="majorHAnsi"/>
                    <w:sz w:val="28"/>
                    <w:szCs w:val="28"/>
                  </w:rPr>
                  <w:alias w:val="Author"/>
                  <w:id w:val="13406928"/>
                  <w:placeholder>
                    <w:docPart w:val="30D68B52D5D64EDD9EF469E2733FB3C6"/>
                  </w:placeholder>
                  <w:dataBinding w:prefixMappings="xmlns:ns0='http://schemas.openxmlformats.org/package/2006/metadata/core-properties' xmlns:ns1='http://purl.org/dc/elements/1.1/'" w:xpath="/ns0:coreProperties[1]/ns1:creator[1]" w:storeItemID="{6C3C8BC8-F283-45AE-878A-BAB7291924A1}"/>
                  <w:text/>
                </w:sdtPr>
                <w:sdtEndPr/>
                <w:sdtContent>
                  <w:p w14:paraId="39C7549F" w14:textId="2A11A922" w:rsidR="00B1430E" w:rsidRPr="00862F26" w:rsidRDefault="00613FE7">
                    <w:pPr>
                      <w:pStyle w:val="NoSpacing"/>
                      <w:rPr>
                        <w:rFonts w:asciiTheme="majorHAnsi" w:hAnsiTheme="majorHAnsi" w:cstheme="majorHAnsi"/>
                        <w:color w:val="4472C4" w:themeColor="accent1"/>
                        <w:sz w:val="28"/>
                        <w:szCs w:val="28"/>
                      </w:rPr>
                    </w:pPr>
                    <w:r>
                      <w:rPr>
                        <w:rFonts w:asciiTheme="majorHAnsi" w:hAnsiTheme="majorHAnsi" w:cstheme="majorHAnsi"/>
                        <w:sz w:val="28"/>
                        <w:szCs w:val="28"/>
                      </w:rPr>
                      <w:t xml:space="preserve">Chloe </w:t>
                    </w:r>
                    <w:proofErr w:type="gramStart"/>
                    <w:r>
                      <w:rPr>
                        <w:rFonts w:asciiTheme="majorHAnsi" w:hAnsiTheme="majorHAnsi" w:cstheme="majorHAnsi"/>
                        <w:sz w:val="28"/>
                        <w:szCs w:val="28"/>
                      </w:rPr>
                      <w:t>Rees  2105842</w:t>
                    </w:r>
                    <w:proofErr w:type="gramEnd"/>
                  </w:p>
                </w:sdtContent>
              </w:sdt>
              <w:p w14:paraId="2F0620F8" w14:textId="77777777" w:rsidR="00B1430E" w:rsidRPr="00862F26" w:rsidRDefault="00B1430E">
                <w:pPr>
                  <w:pStyle w:val="NoSpacing"/>
                  <w:rPr>
                    <w:rFonts w:asciiTheme="majorHAnsi" w:hAnsiTheme="majorHAnsi" w:cstheme="majorHAnsi"/>
                    <w:color w:val="4472C4" w:themeColor="accent1"/>
                  </w:rPr>
                </w:pPr>
              </w:p>
            </w:tc>
          </w:tr>
        </w:tbl>
        <w:p w14:paraId="7BE41B82" w14:textId="5D62AAB0" w:rsidR="00B1430E" w:rsidRDefault="00B1430E">
          <w:pPr>
            <w:rPr>
              <w:rFonts w:asciiTheme="majorHAnsi" w:hAnsiTheme="majorHAnsi" w:cstheme="majorHAnsi"/>
            </w:rPr>
          </w:pPr>
          <w:r>
            <w:rPr>
              <w:rFonts w:asciiTheme="majorHAnsi" w:hAnsiTheme="majorHAnsi" w:cstheme="majorHAnsi"/>
            </w:rPr>
            <w:br w:type="page"/>
          </w:r>
        </w:p>
      </w:sdtContent>
    </w:sdt>
    <w:p w14:paraId="5C690FAC" w14:textId="77777777" w:rsidR="00305065" w:rsidRDefault="00305065" w:rsidP="00776F76">
      <w:pPr>
        <w:rPr>
          <w:rFonts w:asciiTheme="majorHAnsi" w:hAnsiTheme="majorHAnsi" w:cstheme="majorHAnsi"/>
        </w:rPr>
      </w:pPr>
    </w:p>
    <w:p w14:paraId="49629290" w14:textId="36FE8E39" w:rsidR="008157BB" w:rsidRDefault="008157BB" w:rsidP="0033ADB2">
      <w:pPr>
        <w:spacing w:line="360" w:lineRule="auto"/>
        <w:rPr>
          <w:rFonts w:asciiTheme="majorHAnsi" w:hAnsiTheme="majorHAnsi" w:cstheme="majorBidi"/>
        </w:rPr>
      </w:pPr>
      <w:r w:rsidRPr="0033ADB2">
        <w:rPr>
          <w:rFonts w:asciiTheme="majorHAnsi" w:hAnsiTheme="majorHAnsi" w:cstheme="majorBidi"/>
        </w:rPr>
        <w:t>The purpose of this paper is to</w:t>
      </w:r>
      <w:r w:rsidR="004B6030" w:rsidRPr="0033ADB2">
        <w:rPr>
          <w:rFonts w:asciiTheme="majorHAnsi" w:hAnsiTheme="majorHAnsi" w:cstheme="majorBidi"/>
        </w:rPr>
        <w:t xml:space="preserve"> define </w:t>
      </w:r>
      <w:r w:rsidR="004C31DB" w:rsidRPr="0033ADB2">
        <w:rPr>
          <w:rFonts w:asciiTheme="majorHAnsi" w:hAnsiTheme="majorHAnsi" w:cstheme="majorBidi"/>
        </w:rPr>
        <w:t>Person-centred</w:t>
      </w:r>
      <w:r w:rsidR="004B6030" w:rsidRPr="0033ADB2">
        <w:rPr>
          <w:rFonts w:asciiTheme="majorHAnsi" w:hAnsiTheme="majorHAnsi" w:cstheme="majorBidi"/>
        </w:rPr>
        <w:t xml:space="preserve"> therapy and</w:t>
      </w:r>
      <w:r w:rsidRPr="0033ADB2">
        <w:rPr>
          <w:rFonts w:asciiTheme="majorHAnsi" w:hAnsiTheme="majorHAnsi" w:cstheme="majorBidi"/>
        </w:rPr>
        <w:t xml:space="preserve"> observe and </w:t>
      </w:r>
      <w:r w:rsidR="004C31DB" w:rsidRPr="0033ADB2">
        <w:rPr>
          <w:rFonts w:asciiTheme="majorHAnsi" w:hAnsiTheme="majorHAnsi" w:cstheme="majorBidi"/>
        </w:rPr>
        <w:t>analyse</w:t>
      </w:r>
      <w:r w:rsidRPr="0033ADB2">
        <w:rPr>
          <w:rFonts w:asciiTheme="majorHAnsi" w:hAnsiTheme="majorHAnsi" w:cstheme="majorBidi"/>
        </w:rPr>
        <w:t xml:space="preserve"> a </w:t>
      </w:r>
      <w:r w:rsidR="004C31DB" w:rsidRPr="0033ADB2">
        <w:rPr>
          <w:rFonts w:asciiTheme="majorHAnsi" w:hAnsiTheme="majorHAnsi" w:cstheme="majorBidi"/>
        </w:rPr>
        <w:t>counselling</w:t>
      </w:r>
      <w:r w:rsidRPr="0033ADB2">
        <w:rPr>
          <w:rFonts w:asciiTheme="majorHAnsi" w:hAnsiTheme="majorHAnsi" w:cstheme="majorBidi"/>
        </w:rPr>
        <w:t xml:space="preserve"> video clip of </w:t>
      </w:r>
      <w:r w:rsidR="00224605" w:rsidRPr="0033ADB2">
        <w:rPr>
          <w:rFonts w:asciiTheme="majorHAnsi" w:hAnsiTheme="majorHAnsi" w:cstheme="majorBidi"/>
        </w:rPr>
        <w:t>the approach,</w:t>
      </w:r>
      <w:r w:rsidR="004C31DB" w:rsidRPr="0033ADB2">
        <w:rPr>
          <w:rFonts w:asciiTheme="majorHAnsi" w:hAnsiTheme="majorHAnsi" w:cstheme="majorBidi"/>
        </w:rPr>
        <w:t xml:space="preserve"> between</w:t>
      </w:r>
      <w:r w:rsidR="00940C54" w:rsidRPr="0033ADB2">
        <w:rPr>
          <w:rFonts w:asciiTheme="majorHAnsi" w:hAnsiTheme="majorHAnsi" w:cstheme="majorBidi"/>
        </w:rPr>
        <w:t xml:space="preserve"> leading therapist Carl Rogers with his client Gloria, looking closely at what forms of communication, </w:t>
      </w:r>
      <w:r w:rsidR="00567E36" w:rsidRPr="0033ADB2">
        <w:rPr>
          <w:rFonts w:asciiTheme="majorHAnsi" w:hAnsiTheme="majorHAnsi" w:cstheme="majorBidi"/>
        </w:rPr>
        <w:t xml:space="preserve">strategies and </w:t>
      </w:r>
      <w:r w:rsidR="00AF5A34" w:rsidRPr="0033ADB2">
        <w:rPr>
          <w:rFonts w:asciiTheme="majorHAnsi" w:hAnsiTheme="majorHAnsi" w:cstheme="majorBidi"/>
        </w:rPr>
        <w:t>techniques</w:t>
      </w:r>
      <w:r w:rsidR="00567E36" w:rsidRPr="0033ADB2">
        <w:rPr>
          <w:rFonts w:asciiTheme="majorHAnsi" w:hAnsiTheme="majorHAnsi" w:cstheme="majorBidi"/>
        </w:rPr>
        <w:t xml:space="preserve"> are used within this approach. It will then explore where this therapy is conducted within the United Kingdom </w:t>
      </w:r>
      <w:r w:rsidR="00AF5A34" w:rsidRPr="0033ADB2">
        <w:rPr>
          <w:rFonts w:asciiTheme="majorHAnsi" w:hAnsiTheme="majorHAnsi" w:cstheme="majorBidi"/>
        </w:rPr>
        <w:t>heal</w:t>
      </w:r>
      <w:r w:rsidR="00CE5EEF" w:rsidRPr="0033ADB2">
        <w:rPr>
          <w:rFonts w:asciiTheme="majorHAnsi" w:hAnsiTheme="majorHAnsi" w:cstheme="majorBidi"/>
        </w:rPr>
        <w:t>thc</w:t>
      </w:r>
      <w:r w:rsidR="00AF5A34" w:rsidRPr="0033ADB2">
        <w:rPr>
          <w:rFonts w:asciiTheme="majorHAnsi" w:hAnsiTheme="majorHAnsi" w:cstheme="majorBidi"/>
        </w:rPr>
        <w:t>are organisations,</w:t>
      </w:r>
      <w:r w:rsidR="00CE5EEF" w:rsidRPr="0033ADB2">
        <w:rPr>
          <w:rFonts w:asciiTheme="majorHAnsi" w:hAnsiTheme="majorHAnsi" w:cstheme="majorBidi"/>
        </w:rPr>
        <w:t xml:space="preserve"> what professionals carry out this </w:t>
      </w:r>
      <w:r w:rsidR="003A7F22" w:rsidRPr="0033ADB2">
        <w:rPr>
          <w:rFonts w:asciiTheme="majorHAnsi" w:hAnsiTheme="majorHAnsi" w:cstheme="majorBidi"/>
        </w:rPr>
        <w:t>therapy within their job role, and how significant it still is today.</w:t>
      </w:r>
      <w:r w:rsidR="00AF5A34" w:rsidRPr="0033ADB2">
        <w:rPr>
          <w:rFonts w:asciiTheme="majorHAnsi" w:hAnsiTheme="majorHAnsi" w:cstheme="majorBidi"/>
        </w:rPr>
        <w:t xml:space="preserve"> It will also look </w:t>
      </w:r>
      <w:r w:rsidR="004B6030" w:rsidRPr="0033ADB2">
        <w:rPr>
          <w:rFonts w:asciiTheme="majorHAnsi" w:hAnsiTheme="majorHAnsi" w:cstheme="majorBidi"/>
        </w:rPr>
        <w:t xml:space="preserve">at what evidence there is to show the </w:t>
      </w:r>
      <w:r w:rsidR="00AF5A34" w:rsidRPr="0033ADB2">
        <w:rPr>
          <w:rFonts w:asciiTheme="majorHAnsi" w:hAnsiTheme="majorHAnsi" w:cstheme="majorBidi"/>
        </w:rPr>
        <w:t>strengths and weaknesses</w:t>
      </w:r>
      <w:r w:rsidR="004B6030" w:rsidRPr="0033ADB2">
        <w:rPr>
          <w:rFonts w:asciiTheme="majorHAnsi" w:hAnsiTheme="majorHAnsi" w:cstheme="majorBidi"/>
        </w:rPr>
        <w:t xml:space="preserve"> that</w:t>
      </w:r>
      <w:r w:rsidR="00AF5A34" w:rsidRPr="0033ADB2">
        <w:rPr>
          <w:rFonts w:asciiTheme="majorHAnsi" w:hAnsiTheme="majorHAnsi" w:cstheme="majorBidi"/>
        </w:rPr>
        <w:t xml:space="preserve"> </w:t>
      </w:r>
      <w:r w:rsidR="00327CD8" w:rsidRPr="0033ADB2">
        <w:rPr>
          <w:rFonts w:asciiTheme="majorHAnsi" w:hAnsiTheme="majorHAnsi" w:cstheme="majorBidi"/>
        </w:rPr>
        <w:t xml:space="preserve">appear in this approach and how successful it </w:t>
      </w:r>
      <w:r w:rsidR="004C31DB" w:rsidRPr="0033ADB2">
        <w:rPr>
          <w:rFonts w:asciiTheme="majorHAnsi" w:hAnsiTheme="majorHAnsi" w:cstheme="majorBidi"/>
        </w:rPr>
        <w:t>can be</w:t>
      </w:r>
      <w:r w:rsidR="00327CD8" w:rsidRPr="0033ADB2">
        <w:rPr>
          <w:rFonts w:asciiTheme="majorHAnsi" w:hAnsiTheme="majorHAnsi" w:cstheme="majorBidi"/>
        </w:rPr>
        <w:t xml:space="preserve"> for individuals </w:t>
      </w:r>
      <w:r w:rsidR="003E1FD6" w:rsidRPr="0033ADB2">
        <w:rPr>
          <w:rFonts w:asciiTheme="majorHAnsi" w:hAnsiTheme="majorHAnsi" w:cstheme="majorBidi"/>
        </w:rPr>
        <w:t>in</w:t>
      </w:r>
      <w:r w:rsidR="00327CD8" w:rsidRPr="0033ADB2">
        <w:rPr>
          <w:rFonts w:asciiTheme="majorHAnsi" w:hAnsiTheme="majorHAnsi" w:cstheme="majorBidi"/>
        </w:rPr>
        <w:t xml:space="preserve"> crisis</w:t>
      </w:r>
      <w:r w:rsidR="008703E0" w:rsidRPr="0033ADB2">
        <w:rPr>
          <w:rFonts w:asciiTheme="majorHAnsi" w:hAnsiTheme="majorHAnsi" w:cstheme="majorBidi"/>
        </w:rPr>
        <w:t xml:space="preserve">. </w:t>
      </w:r>
    </w:p>
    <w:p w14:paraId="20163161" w14:textId="334278E2" w:rsidR="00776F76" w:rsidRPr="00862F26" w:rsidRDefault="00776F76" w:rsidP="0033ADB2">
      <w:pPr>
        <w:spacing w:line="360" w:lineRule="auto"/>
        <w:rPr>
          <w:rFonts w:asciiTheme="majorHAnsi" w:hAnsiTheme="majorHAnsi" w:cstheme="majorBidi"/>
        </w:rPr>
      </w:pPr>
      <w:r w:rsidRPr="0033ADB2">
        <w:rPr>
          <w:rFonts w:asciiTheme="majorHAnsi" w:hAnsiTheme="majorHAnsi" w:cstheme="majorBidi"/>
        </w:rPr>
        <w:t>NSW Health (2022) demonstrates that a person-centred approach helps the person at the "centre" of the service improve life choices. The way an individual has lived their life and what they want and need in terms of services and support needs to be considered. NSW Health (2022) then explains that when individuals are treated as experts in their own lives, they focus on what they can do first and how they can get help second.</w:t>
      </w:r>
      <w:r w:rsidR="00CC4141" w:rsidRPr="0033ADB2">
        <w:rPr>
          <w:rFonts w:asciiTheme="majorHAnsi" w:hAnsiTheme="majorHAnsi" w:cstheme="majorBidi"/>
        </w:rPr>
        <w:t xml:space="preserve"> </w:t>
      </w:r>
      <w:r w:rsidR="00636CDE" w:rsidRPr="0033ADB2">
        <w:rPr>
          <w:rFonts w:asciiTheme="majorHAnsi" w:hAnsiTheme="majorHAnsi" w:cstheme="majorBidi"/>
        </w:rPr>
        <w:t>Webster (2018)</w:t>
      </w:r>
      <w:r w:rsidRPr="0033ADB2">
        <w:rPr>
          <w:rFonts w:asciiTheme="majorHAnsi" w:hAnsiTheme="majorHAnsi" w:cstheme="majorBidi"/>
        </w:rPr>
        <w:t xml:space="preserve"> </w:t>
      </w:r>
      <w:r w:rsidR="005B1322" w:rsidRPr="0033ADB2">
        <w:rPr>
          <w:rFonts w:asciiTheme="majorHAnsi" w:hAnsiTheme="majorHAnsi" w:cstheme="majorBidi"/>
        </w:rPr>
        <w:t>agrees that the</w:t>
      </w:r>
      <w:r w:rsidRPr="0033ADB2">
        <w:rPr>
          <w:rFonts w:asciiTheme="majorHAnsi" w:hAnsiTheme="majorHAnsi" w:cstheme="majorBidi"/>
        </w:rPr>
        <w:t xml:space="preserve"> person-centred approach is also</w:t>
      </w:r>
      <w:r w:rsidR="00A8787B" w:rsidRPr="0033ADB2">
        <w:rPr>
          <w:rFonts w:asciiTheme="majorHAnsi" w:hAnsiTheme="majorHAnsi" w:cstheme="majorBidi"/>
        </w:rPr>
        <w:t xml:space="preserve"> an</w:t>
      </w:r>
      <w:r w:rsidR="005B1322" w:rsidRPr="0033ADB2">
        <w:rPr>
          <w:rFonts w:asciiTheme="majorHAnsi" w:hAnsiTheme="majorHAnsi" w:cstheme="majorBidi"/>
        </w:rPr>
        <w:t xml:space="preserve"> ideal</w:t>
      </w:r>
      <w:r w:rsidRPr="0033ADB2">
        <w:rPr>
          <w:rFonts w:asciiTheme="majorHAnsi" w:hAnsiTheme="majorHAnsi" w:cstheme="majorBidi"/>
        </w:rPr>
        <w:t xml:space="preserve"> </w:t>
      </w:r>
      <w:r w:rsidR="00A8787B" w:rsidRPr="0033ADB2">
        <w:rPr>
          <w:rFonts w:asciiTheme="majorHAnsi" w:hAnsiTheme="majorHAnsi" w:cstheme="majorBidi"/>
        </w:rPr>
        <w:t xml:space="preserve">setting where the </w:t>
      </w:r>
      <w:r w:rsidRPr="0033ADB2">
        <w:rPr>
          <w:rFonts w:asciiTheme="majorHAnsi" w:hAnsiTheme="majorHAnsi" w:cstheme="majorBidi"/>
        </w:rPr>
        <w:t>client</w:t>
      </w:r>
      <w:r w:rsidR="00A8787B" w:rsidRPr="0033ADB2">
        <w:rPr>
          <w:rFonts w:asciiTheme="majorHAnsi" w:hAnsiTheme="majorHAnsi" w:cstheme="majorBidi"/>
        </w:rPr>
        <w:t xml:space="preserve"> is put</w:t>
      </w:r>
      <w:r w:rsidRPr="0033ADB2">
        <w:rPr>
          <w:rFonts w:asciiTheme="majorHAnsi" w:hAnsiTheme="majorHAnsi" w:cstheme="majorBidi"/>
        </w:rPr>
        <w:t xml:space="preserve"> first and works in partnership with therapy. There is no reason why an individual needs to be in a crisis before receiving this support (Grassi, </w:t>
      </w:r>
      <w:proofErr w:type="spellStart"/>
      <w:r w:rsidRPr="0033ADB2">
        <w:rPr>
          <w:rFonts w:asciiTheme="majorHAnsi" w:hAnsiTheme="majorHAnsi" w:cstheme="majorBidi"/>
        </w:rPr>
        <w:t>Riba</w:t>
      </w:r>
      <w:proofErr w:type="spellEnd"/>
      <w:r w:rsidR="0096532A" w:rsidRPr="0033ADB2">
        <w:rPr>
          <w:rFonts w:asciiTheme="majorHAnsi" w:hAnsiTheme="majorHAnsi" w:cstheme="majorBidi"/>
        </w:rPr>
        <w:t xml:space="preserve"> </w:t>
      </w:r>
      <w:r w:rsidRPr="0033ADB2">
        <w:rPr>
          <w:rFonts w:asciiTheme="majorHAnsi" w:hAnsiTheme="majorHAnsi" w:cstheme="majorBidi"/>
        </w:rPr>
        <w:t xml:space="preserve">and Wise, </w:t>
      </w:r>
      <w:r w:rsidR="0096532A" w:rsidRPr="0033ADB2">
        <w:rPr>
          <w:rFonts w:asciiTheme="majorHAnsi" w:hAnsiTheme="majorHAnsi" w:cstheme="majorBidi"/>
        </w:rPr>
        <w:t xml:space="preserve">2019). </w:t>
      </w:r>
      <w:r w:rsidRPr="0033ADB2">
        <w:rPr>
          <w:rFonts w:asciiTheme="majorHAnsi" w:hAnsiTheme="majorHAnsi" w:cstheme="majorBidi"/>
        </w:rPr>
        <w:t>Support should be geared toward the individual's goals and tailored to their unique needs and circumstances. Carl Rogers came up with person-centred therapy in the 1940s and stayed in the profession through the 1980s. Rogers (1995) maintained that person-centred therapy aims to help a client become more self-actualized or to grow and be happy by giving them unconditional positive regard, being honest with them, and empathising with them (</w:t>
      </w:r>
      <w:proofErr w:type="spellStart"/>
      <w:r w:rsidRPr="0033ADB2">
        <w:rPr>
          <w:rFonts w:asciiTheme="majorHAnsi" w:hAnsiTheme="majorHAnsi" w:cstheme="majorBidi"/>
        </w:rPr>
        <w:t>Esser</w:t>
      </w:r>
      <w:proofErr w:type="spellEnd"/>
      <w:r w:rsidRPr="0033ADB2">
        <w:rPr>
          <w:rFonts w:asciiTheme="majorHAnsi" w:hAnsiTheme="majorHAnsi" w:cstheme="majorBidi"/>
        </w:rPr>
        <w:t xml:space="preserve">, Pabst, and </w:t>
      </w:r>
      <w:proofErr w:type="spellStart"/>
      <w:r w:rsidRPr="0033ADB2">
        <w:rPr>
          <w:rFonts w:asciiTheme="majorHAnsi" w:hAnsiTheme="majorHAnsi" w:cstheme="majorBidi"/>
        </w:rPr>
        <w:t>Speierer</w:t>
      </w:r>
      <w:proofErr w:type="spellEnd"/>
      <w:r w:rsidRPr="0033ADB2">
        <w:rPr>
          <w:rFonts w:asciiTheme="majorHAnsi" w:hAnsiTheme="majorHAnsi" w:cstheme="majorBidi"/>
        </w:rPr>
        <w:t>, 1997).</w:t>
      </w:r>
    </w:p>
    <w:p w14:paraId="22913784" w14:textId="77777777" w:rsidR="00776F76" w:rsidRPr="00862F26" w:rsidRDefault="00776F76" w:rsidP="00862F26">
      <w:pPr>
        <w:spacing w:line="360" w:lineRule="auto"/>
        <w:rPr>
          <w:rFonts w:asciiTheme="majorHAnsi" w:hAnsiTheme="majorHAnsi" w:cstheme="majorHAnsi"/>
        </w:rPr>
      </w:pPr>
      <w:r w:rsidRPr="0033ADB2">
        <w:rPr>
          <w:rFonts w:asciiTheme="majorHAnsi" w:hAnsiTheme="majorHAnsi" w:cstheme="majorBidi"/>
        </w:rPr>
        <w:t>When evaluating the video and closely observing Gloria's reaction to entering the person-centred counselling session, it was evident that Gloria felt uneasy about the whole situation. Gloria's posture and body language indicated that she was uptight and tense. This could be seen in the way she sat. Here, Gloria is shown to be incongruent. Landy (2011) describes the term incongruent as feeling torn between your ideal self and how you see yourself. This term was first established by Rogers in the 1950s and, in this case, can be described as Gloria wanting to be her idea of "perfect" for her children, while resisting her own urges and desires.</w:t>
      </w:r>
    </w:p>
    <w:p w14:paraId="6D962B3D" w14:textId="6729F0DB" w:rsidR="00BE3BB8" w:rsidRPr="00862F26" w:rsidRDefault="00776F76" w:rsidP="0033ADB2">
      <w:pPr>
        <w:spacing w:line="360" w:lineRule="auto"/>
        <w:rPr>
          <w:rFonts w:asciiTheme="majorHAnsi" w:hAnsiTheme="majorHAnsi" w:cstheme="majorBidi"/>
        </w:rPr>
      </w:pPr>
      <w:r w:rsidRPr="0033ADB2">
        <w:rPr>
          <w:rFonts w:asciiTheme="majorHAnsi" w:hAnsiTheme="majorHAnsi" w:cstheme="majorBidi"/>
        </w:rPr>
        <w:t>On entering the room, it is evident that Rogers is congruent. Karplus and Meir (2014) back this up by explaining that being congruent is to be genuine, authentic and real. This can be seen by Rogers' behaviour. Rogers is empathetic with Gloria, and he also shows unconditional positive regard by the way he is responding to Gloria. Rogers is being very attentive</w:t>
      </w:r>
      <w:r w:rsidR="0076448C" w:rsidRPr="0033ADB2">
        <w:rPr>
          <w:rFonts w:asciiTheme="majorHAnsi" w:hAnsiTheme="majorHAnsi" w:cstheme="majorBidi"/>
        </w:rPr>
        <w:t>,</w:t>
      </w:r>
      <w:r w:rsidRPr="0033ADB2">
        <w:rPr>
          <w:rFonts w:asciiTheme="majorHAnsi" w:hAnsiTheme="majorHAnsi" w:cstheme="majorBidi"/>
        </w:rPr>
        <w:t xml:space="preserve"> and </w:t>
      </w:r>
      <w:r w:rsidR="005C0819" w:rsidRPr="0033ADB2">
        <w:rPr>
          <w:rFonts w:asciiTheme="majorHAnsi" w:hAnsiTheme="majorHAnsi" w:cstheme="majorBidi"/>
        </w:rPr>
        <w:t>i</w:t>
      </w:r>
      <w:r w:rsidRPr="0033ADB2">
        <w:rPr>
          <w:rFonts w:asciiTheme="majorHAnsi" w:hAnsiTheme="majorHAnsi" w:cstheme="majorBidi"/>
        </w:rPr>
        <w:t>t is clear to see</w:t>
      </w:r>
      <w:r w:rsidR="00392A50" w:rsidRPr="0033ADB2">
        <w:rPr>
          <w:rFonts w:asciiTheme="majorHAnsi" w:hAnsiTheme="majorHAnsi" w:cstheme="majorBidi"/>
        </w:rPr>
        <w:t xml:space="preserve"> in response,</w:t>
      </w:r>
      <w:r w:rsidRPr="0033ADB2">
        <w:rPr>
          <w:rFonts w:asciiTheme="majorHAnsi" w:hAnsiTheme="majorHAnsi" w:cstheme="majorBidi"/>
        </w:rPr>
        <w:t xml:space="preserve"> </w:t>
      </w:r>
      <w:r w:rsidR="0076448C" w:rsidRPr="0033ADB2">
        <w:rPr>
          <w:rFonts w:asciiTheme="majorHAnsi" w:hAnsiTheme="majorHAnsi" w:cstheme="majorBidi"/>
        </w:rPr>
        <w:t>Gloria has a</w:t>
      </w:r>
      <w:r w:rsidR="005E070F" w:rsidRPr="0033ADB2">
        <w:rPr>
          <w:rFonts w:asciiTheme="majorHAnsi" w:hAnsiTheme="majorHAnsi" w:cstheme="majorBidi"/>
        </w:rPr>
        <w:t xml:space="preserve"> more positive</w:t>
      </w:r>
      <w:r w:rsidRPr="0033ADB2">
        <w:rPr>
          <w:rFonts w:asciiTheme="majorHAnsi" w:hAnsiTheme="majorHAnsi" w:cstheme="majorBidi"/>
        </w:rPr>
        <w:t xml:space="preserve"> </w:t>
      </w:r>
      <w:r w:rsidR="009C7F89" w:rsidRPr="0033ADB2">
        <w:rPr>
          <w:rFonts w:asciiTheme="majorHAnsi" w:hAnsiTheme="majorHAnsi" w:cstheme="majorBidi"/>
        </w:rPr>
        <w:t>phenomenological</w:t>
      </w:r>
      <w:r w:rsidRPr="0033ADB2">
        <w:rPr>
          <w:rFonts w:asciiTheme="majorHAnsi" w:hAnsiTheme="majorHAnsi" w:cstheme="majorBidi"/>
        </w:rPr>
        <w:t xml:space="preserve"> approach</w:t>
      </w:r>
      <w:r w:rsidR="005E070F" w:rsidRPr="0033ADB2">
        <w:rPr>
          <w:rFonts w:asciiTheme="majorHAnsi" w:hAnsiTheme="majorHAnsi" w:cstheme="majorBidi"/>
        </w:rPr>
        <w:t>,</w:t>
      </w:r>
      <w:r w:rsidR="00C8035E" w:rsidRPr="0033ADB2">
        <w:rPr>
          <w:rFonts w:asciiTheme="majorHAnsi" w:hAnsiTheme="majorHAnsi" w:cstheme="majorBidi"/>
        </w:rPr>
        <w:t xml:space="preserve"> which is</w:t>
      </w:r>
      <w:r w:rsidR="00E12EF9" w:rsidRPr="0033ADB2">
        <w:rPr>
          <w:rFonts w:asciiTheme="majorHAnsi" w:hAnsiTheme="majorHAnsi" w:cstheme="majorBidi"/>
        </w:rPr>
        <w:t xml:space="preserve"> explained </w:t>
      </w:r>
      <w:r w:rsidR="0076448C" w:rsidRPr="0033ADB2">
        <w:rPr>
          <w:rFonts w:asciiTheme="majorHAnsi" w:hAnsiTheme="majorHAnsi" w:cstheme="majorBidi"/>
        </w:rPr>
        <w:t>as</w:t>
      </w:r>
      <w:r w:rsidR="000D2291" w:rsidRPr="0033ADB2">
        <w:rPr>
          <w:rFonts w:asciiTheme="majorHAnsi" w:hAnsiTheme="majorHAnsi" w:cstheme="majorBidi"/>
        </w:rPr>
        <w:t xml:space="preserve"> </w:t>
      </w:r>
      <w:r w:rsidR="00C9241D" w:rsidRPr="0033ADB2">
        <w:rPr>
          <w:rFonts w:asciiTheme="majorHAnsi" w:hAnsiTheme="majorHAnsi" w:cstheme="majorBidi"/>
        </w:rPr>
        <w:t>how people perceive themselves (</w:t>
      </w:r>
      <w:r w:rsidR="000D2291" w:rsidRPr="0033ADB2">
        <w:rPr>
          <w:rFonts w:asciiTheme="majorHAnsi" w:hAnsiTheme="majorHAnsi" w:cstheme="majorBidi"/>
        </w:rPr>
        <w:t>Lambers and Thorne,1998)</w:t>
      </w:r>
      <w:r w:rsidRPr="0033ADB2">
        <w:rPr>
          <w:rFonts w:asciiTheme="majorHAnsi" w:hAnsiTheme="majorHAnsi" w:cstheme="majorBidi"/>
        </w:rPr>
        <w:t xml:space="preserve">. Gloria begins to show that she is moving from incongruent to </w:t>
      </w:r>
      <w:r w:rsidRPr="0033ADB2">
        <w:rPr>
          <w:rFonts w:asciiTheme="majorHAnsi" w:hAnsiTheme="majorHAnsi" w:cstheme="majorBidi"/>
        </w:rPr>
        <w:lastRenderedPageBreak/>
        <w:t>congruent</w:t>
      </w:r>
      <w:r w:rsidR="00C8035E" w:rsidRPr="0033ADB2">
        <w:rPr>
          <w:rFonts w:asciiTheme="majorHAnsi" w:hAnsiTheme="majorHAnsi" w:cstheme="majorBidi"/>
        </w:rPr>
        <w:t>,</w:t>
      </w:r>
      <w:r w:rsidRPr="0033ADB2">
        <w:rPr>
          <w:rFonts w:asciiTheme="majorHAnsi" w:hAnsiTheme="majorHAnsi" w:cstheme="majorBidi"/>
        </w:rPr>
        <w:t xml:space="preserve"> which</w:t>
      </w:r>
      <w:r w:rsidR="00C8035E" w:rsidRPr="0033ADB2">
        <w:rPr>
          <w:rFonts w:asciiTheme="majorHAnsi" w:hAnsiTheme="majorHAnsi" w:cstheme="majorBidi"/>
        </w:rPr>
        <w:t xml:space="preserve"> </w:t>
      </w:r>
      <w:r w:rsidRPr="0033ADB2">
        <w:rPr>
          <w:rFonts w:asciiTheme="majorHAnsi" w:hAnsiTheme="majorHAnsi" w:cstheme="majorBidi"/>
        </w:rPr>
        <w:t xml:space="preserve">can be identified by Gloria's changing mannerisms and looking overall more relaxed and at ease. You can see that Gloria is starting to trust Rogers as she </w:t>
      </w:r>
      <w:r w:rsidR="00A35A28" w:rsidRPr="0033ADB2">
        <w:rPr>
          <w:rFonts w:asciiTheme="majorHAnsi" w:hAnsiTheme="majorHAnsi" w:cstheme="majorBidi"/>
        </w:rPr>
        <w:t>relaxes. T</w:t>
      </w:r>
      <w:r w:rsidRPr="0033ADB2">
        <w:rPr>
          <w:rFonts w:asciiTheme="majorHAnsi" w:hAnsiTheme="majorHAnsi" w:cstheme="majorBidi"/>
        </w:rPr>
        <w:t>his is accomplished by Rogers assisting Gloria in understanding a positive view of human nature, while establishing a therapeutic relationship that allows Gloria to explore areas of her life.</w:t>
      </w:r>
      <w:r w:rsidR="00A35A28" w:rsidRPr="0033ADB2">
        <w:rPr>
          <w:rFonts w:asciiTheme="majorHAnsi" w:hAnsiTheme="majorHAnsi" w:cstheme="majorBidi"/>
        </w:rPr>
        <w:t xml:space="preserve"> </w:t>
      </w:r>
      <w:r w:rsidRPr="0033ADB2">
        <w:rPr>
          <w:rFonts w:asciiTheme="majorHAnsi" w:hAnsiTheme="majorHAnsi" w:cstheme="majorBidi"/>
        </w:rPr>
        <w:t xml:space="preserve">Rogers helps Gloria focus on </w:t>
      </w:r>
      <w:r w:rsidR="00A35A28" w:rsidRPr="0033ADB2">
        <w:rPr>
          <w:rFonts w:asciiTheme="majorHAnsi" w:hAnsiTheme="majorHAnsi" w:cstheme="majorBidi"/>
        </w:rPr>
        <w:t>positives</w:t>
      </w:r>
      <w:r w:rsidRPr="0033ADB2">
        <w:rPr>
          <w:rFonts w:asciiTheme="majorHAnsi" w:hAnsiTheme="majorHAnsi" w:cstheme="majorBidi"/>
        </w:rPr>
        <w:t xml:space="preserve"> about her and not just see what she feels is wrong. This appears to help Gloria increase her levels of self-understanding. If the therapy is successful, Gloria should feel unconditional positive regard for herself.</w:t>
      </w:r>
    </w:p>
    <w:p w14:paraId="4884FA94" w14:textId="633A48D5" w:rsidR="0091605E" w:rsidRPr="00862F26" w:rsidRDefault="0045332C" w:rsidP="0033ADB2">
      <w:pPr>
        <w:spacing w:line="360" w:lineRule="auto"/>
        <w:rPr>
          <w:rFonts w:asciiTheme="majorHAnsi" w:hAnsiTheme="majorHAnsi" w:cstheme="majorBidi"/>
        </w:rPr>
      </w:pPr>
      <w:r w:rsidRPr="0033ADB2">
        <w:rPr>
          <w:rFonts w:asciiTheme="majorHAnsi" w:hAnsiTheme="majorHAnsi" w:cstheme="majorBidi"/>
        </w:rPr>
        <w:t>Although</w:t>
      </w:r>
      <w:r w:rsidR="00E31B6F" w:rsidRPr="0033ADB2">
        <w:rPr>
          <w:rFonts w:asciiTheme="majorHAnsi" w:hAnsiTheme="majorHAnsi" w:cstheme="majorBidi"/>
        </w:rPr>
        <w:t xml:space="preserve"> </w:t>
      </w:r>
      <w:r w:rsidR="00776F76" w:rsidRPr="0033ADB2">
        <w:rPr>
          <w:rFonts w:asciiTheme="majorHAnsi" w:hAnsiTheme="majorHAnsi" w:cstheme="majorBidi"/>
        </w:rPr>
        <w:t>it is clear to see</w:t>
      </w:r>
      <w:r w:rsidRPr="0033ADB2">
        <w:rPr>
          <w:rFonts w:asciiTheme="majorHAnsi" w:hAnsiTheme="majorHAnsi" w:cstheme="majorBidi"/>
        </w:rPr>
        <w:t xml:space="preserve"> some positive changes</w:t>
      </w:r>
      <w:r w:rsidR="00842DA3" w:rsidRPr="0033ADB2">
        <w:rPr>
          <w:rFonts w:asciiTheme="majorHAnsi" w:hAnsiTheme="majorHAnsi" w:cstheme="majorBidi"/>
        </w:rPr>
        <w:t xml:space="preserve"> within Gloria towards the end of the video,</w:t>
      </w:r>
      <w:r w:rsidR="00776F76" w:rsidRPr="0033ADB2">
        <w:rPr>
          <w:rFonts w:asciiTheme="majorHAnsi" w:hAnsiTheme="majorHAnsi" w:cstheme="majorBidi"/>
        </w:rPr>
        <w:t xml:space="preserve"> th</w:t>
      </w:r>
      <w:r w:rsidR="00842DA3" w:rsidRPr="0033ADB2">
        <w:rPr>
          <w:rFonts w:asciiTheme="majorHAnsi" w:hAnsiTheme="majorHAnsi" w:cstheme="majorBidi"/>
        </w:rPr>
        <w:t>ere is also a concern that</w:t>
      </w:r>
      <w:r w:rsidR="00776F76" w:rsidRPr="0033ADB2">
        <w:rPr>
          <w:rFonts w:asciiTheme="majorHAnsi" w:hAnsiTheme="majorHAnsi" w:cstheme="majorBidi"/>
        </w:rPr>
        <w:t xml:space="preserve"> Gloria isn’t being challenged by Rogers</w:t>
      </w:r>
      <w:r w:rsidR="00CD60E8" w:rsidRPr="0033ADB2">
        <w:rPr>
          <w:rFonts w:asciiTheme="majorHAnsi" w:hAnsiTheme="majorHAnsi" w:cstheme="majorBidi"/>
        </w:rPr>
        <w:t>, and she may want straightforward answers that Rogers cannot provide.</w:t>
      </w:r>
      <w:r w:rsidR="00776F76" w:rsidRPr="0033ADB2">
        <w:rPr>
          <w:rFonts w:asciiTheme="majorHAnsi" w:hAnsiTheme="majorHAnsi" w:cstheme="majorBidi"/>
        </w:rPr>
        <w:t xml:space="preserve"> </w:t>
      </w:r>
      <w:r w:rsidR="00977C5B" w:rsidRPr="0033ADB2">
        <w:rPr>
          <w:rFonts w:asciiTheme="majorHAnsi" w:hAnsiTheme="majorHAnsi" w:cstheme="majorBidi"/>
        </w:rPr>
        <w:t>Weaknesses of this approach are</w:t>
      </w:r>
      <w:r w:rsidR="00CB00EB" w:rsidRPr="0033ADB2">
        <w:rPr>
          <w:rFonts w:asciiTheme="majorHAnsi" w:hAnsiTheme="majorHAnsi" w:cstheme="majorBidi"/>
        </w:rPr>
        <w:t xml:space="preserve"> often perceived that</w:t>
      </w:r>
      <w:r w:rsidR="00776F76" w:rsidRPr="0033ADB2">
        <w:rPr>
          <w:rFonts w:asciiTheme="majorHAnsi" w:hAnsiTheme="majorHAnsi" w:cstheme="majorBidi"/>
        </w:rPr>
        <w:t xml:space="preserve"> </w:t>
      </w:r>
      <w:r w:rsidR="00FC5B25" w:rsidRPr="0033ADB2">
        <w:rPr>
          <w:rFonts w:asciiTheme="majorHAnsi" w:hAnsiTheme="majorHAnsi" w:cstheme="majorBidi"/>
        </w:rPr>
        <w:t>person-</w:t>
      </w:r>
      <w:r w:rsidR="00A35A28" w:rsidRPr="0033ADB2">
        <w:rPr>
          <w:rFonts w:asciiTheme="majorHAnsi" w:hAnsiTheme="majorHAnsi" w:cstheme="majorBidi"/>
        </w:rPr>
        <w:t>centred</w:t>
      </w:r>
      <w:r w:rsidR="00776F76" w:rsidRPr="0033ADB2">
        <w:rPr>
          <w:rFonts w:asciiTheme="majorHAnsi" w:hAnsiTheme="majorHAnsi" w:cstheme="majorBidi"/>
        </w:rPr>
        <w:t xml:space="preserve"> therapy is very simple with few techniques</w:t>
      </w:r>
      <w:r w:rsidR="00CB00EB" w:rsidRPr="0033ADB2">
        <w:rPr>
          <w:rFonts w:asciiTheme="majorHAnsi" w:hAnsiTheme="majorHAnsi" w:cstheme="majorBidi"/>
        </w:rPr>
        <w:t xml:space="preserve"> and is quite dated. </w:t>
      </w:r>
      <w:r w:rsidR="00E9010D" w:rsidRPr="0033ADB2">
        <w:rPr>
          <w:rFonts w:asciiTheme="majorHAnsi" w:hAnsiTheme="majorHAnsi" w:cstheme="majorBidi"/>
        </w:rPr>
        <w:t>Wilson (2019) explains that</w:t>
      </w:r>
      <w:r w:rsidR="00776F76" w:rsidRPr="0033ADB2">
        <w:rPr>
          <w:rFonts w:asciiTheme="majorHAnsi" w:hAnsiTheme="majorHAnsi" w:cstheme="majorBidi"/>
        </w:rPr>
        <w:t xml:space="preserve"> </w:t>
      </w:r>
      <w:r w:rsidR="00635CC6" w:rsidRPr="0033ADB2">
        <w:rPr>
          <w:rFonts w:asciiTheme="majorHAnsi" w:hAnsiTheme="majorHAnsi" w:cstheme="majorBidi"/>
        </w:rPr>
        <w:t xml:space="preserve">this can be one of the reasons this form of therapy doesn’t work for everybody and why other forms, </w:t>
      </w:r>
      <w:r w:rsidR="00F96CA2" w:rsidRPr="0033ADB2">
        <w:rPr>
          <w:rFonts w:asciiTheme="majorHAnsi" w:hAnsiTheme="majorHAnsi" w:cstheme="majorBidi"/>
        </w:rPr>
        <w:t>for example</w:t>
      </w:r>
      <w:r w:rsidR="00635CC6" w:rsidRPr="0033ADB2">
        <w:rPr>
          <w:rFonts w:asciiTheme="majorHAnsi" w:hAnsiTheme="majorHAnsi" w:cstheme="majorBidi"/>
        </w:rPr>
        <w:t xml:space="preserve"> cognitive </w:t>
      </w:r>
      <w:r w:rsidR="00FC5B25" w:rsidRPr="0033ADB2">
        <w:rPr>
          <w:rFonts w:asciiTheme="majorHAnsi" w:hAnsiTheme="majorHAnsi" w:cstheme="majorBidi"/>
        </w:rPr>
        <w:t>behaviour</w:t>
      </w:r>
      <w:r w:rsidR="00635CC6" w:rsidRPr="0033ADB2">
        <w:rPr>
          <w:rFonts w:asciiTheme="majorHAnsi" w:hAnsiTheme="majorHAnsi" w:cstheme="majorBidi"/>
        </w:rPr>
        <w:t xml:space="preserve"> therapy</w:t>
      </w:r>
      <w:r w:rsidR="00C93F91" w:rsidRPr="0033ADB2">
        <w:rPr>
          <w:rFonts w:asciiTheme="majorHAnsi" w:hAnsiTheme="majorHAnsi" w:cstheme="majorBidi"/>
        </w:rPr>
        <w:t xml:space="preserve"> (CBT)</w:t>
      </w:r>
      <w:r w:rsidR="00635CC6" w:rsidRPr="0033ADB2">
        <w:rPr>
          <w:rFonts w:asciiTheme="majorHAnsi" w:hAnsiTheme="majorHAnsi" w:cstheme="majorBidi"/>
        </w:rPr>
        <w:t xml:space="preserve"> can </w:t>
      </w:r>
      <w:r w:rsidR="00FC5B25" w:rsidRPr="0033ADB2">
        <w:rPr>
          <w:rFonts w:asciiTheme="majorHAnsi" w:hAnsiTheme="majorHAnsi" w:cstheme="majorBidi"/>
        </w:rPr>
        <w:t>succeed for individuals</w:t>
      </w:r>
      <w:r w:rsidR="00AB7D2B" w:rsidRPr="0033ADB2">
        <w:rPr>
          <w:rFonts w:asciiTheme="majorHAnsi" w:hAnsiTheme="majorHAnsi" w:cstheme="majorBidi"/>
        </w:rPr>
        <w:t xml:space="preserve">, </w:t>
      </w:r>
      <w:r w:rsidR="00F96CA2" w:rsidRPr="0033ADB2">
        <w:rPr>
          <w:rFonts w:asciiTheme="majorHAnsi" w:hAnsiTheme="majorHAnsi" w:cstheme="majorBidi"/>
        </w:rPr>
        <w:t>where the</w:t>
      </w:r>
      <w:r w:rsidR="00AB7D2B" w:rsidRPr="0033ADB2">
        <w:rPr>
          <w:rFonts w:asciiTheme="majorHAnsi" w:hAnsiTheme="majorHAnsi" w:cstheme="majorBidi"/>
        </w:rPr>
        <w:t xml:space="preserve"> person-centred</w:t>
      </w:r>
      <w:r w:rsidR="00F96CA2" w:rsidRPr="0033ADB2">
        <w:rPr>
          <w:rFonts w:asciiTheme="majorHAnsi" w:hAnsiTheme="majorHAnsi" w:cstheme="majorBidi"/>
        </w:rPr>
        <w:t xml:space="preserve"> approach has failed</w:t>
      </w:r>
      <w:r w:rsidR="00677DE2" w:rsidRPr="0033ADB2">
        <w:rPr>
          <w:rFonts w:asciiTheme="majorHAnsi" w:hAnsiTheme="majorHAnsi" w:cstheme="majorBidi"/>
        </w:rPr>
        <w:t>.</w:t>
      </w:r>
      <w:r w:rsidR="00F96CA2" w:rsidRPr="0033ADB2">
        <w:rPr>
          <w:rFonts w:asciiTheme="majorHAnsi" w:hAnsiTheme="majorHAnsi" w:cstheme="majorBidi"/>
        </w:rPr>
        <w:t xml:space="preserve"> </w:t>
      </w:r>
      <w:r w:rsidR="00677DE2" w:rsidRPr="0033ADB2">
        <w:rPr>
          <w:rFonts w:asciiTheme="majorHAnsi" w:hAnsiTheme="majorHAnsi" w:cstheme="majorBidi"/>
        </w:rPr>
        <w:t>T</w:t>
      </w:r>
      <w:r w:rsidR="00F96CA2" w:rsidRPr="0033ADB2">
        <w:rPr>
          <w:rFonts w:asciiTheme="majorHAnsi" w:hAnsiTheme="majorHAnsi" w:cstheme="majorBidi"/>
        </w:rPr>
        <w:t xml:space="preserve">his can be </w:t>
      </w:r>
      <w:r w:rsidR="00B77265" w:rsidRPr="0033ADB2">
        <w:rPr>
          <w:rFonts w:asciiTheme="majorHAnsi" w:hAnsiTheme="majorHAnsi" w:cstheme="majorBidi"/>
        </w:rPr>
        <w:t>because the person-centred approach relies on</w:t>
      </w:r>
      <w:r w:rsidR="00446D37" w:rsidRPr="0033ADB2">
        <w:rPr>
          <w:rFonts w:asciiTheme="majorHAnsi" w:hAnsiTheme="majorHAnsi" w:cstheme="majorBidi"/>
        </w:rPr>
        <w:t xml:space="preserve"> the</w:t>
      </w:r>
      <w:r w:rsidR="00F12A88" w:rsidRPr="0033ADB2">
        <w:rPr>
          <w:rFonts w:asciiTheme="majorHAnsi" w:hAnsiTheme="majorHAnsi" w:cstheme="majorBidi"/>
        </w:rPr>
        <w:t xml:space="preserve"> clients</w:t>
      </w:r>
      <w:r w:rsidR="00446D37" w:rsidRPr="0033ADB2">
        <w:rPr>
          <w:rFonts w:asciiTheme="majorHAnsi" w:hAnsiTheme="majorHAnsi" w:cstheme="majorBidi"/>
        </w:rPr>
        <w:t xml:space="preserve"> to develop</w:t>
      </w:r>
      <w:r w:rsidR="00F12A88" w:rsidRPr="0033ADB2">
        <w:rPr>
          <w:rFonts w:asciiTheme="majorHAnsi" w:hAnsiTheme="majorHAnsi" w:cstheme="majorBidi"/>
        </w:rPr>
        <w:t xml:space="preserve"> their own </w:t>
      </w:r>
      <w:r w:rsidR="00446D37" w:rsidRPr="0033ADB2">
        <w:rPr>
          <w:rFonts w:asciiTheme="majorHAnsi" w:hAnsiTheme="majorHAnsi" w:cstheme="majorBidi"/>
        </w:rPr>
        <w:t>climate and tools for a more congruent mind set,</w:t>
      </w:r>
      <w:r w:rsidR="00B77265" w:rsidRPr="0033ADB2">
        <w:rPr>
          <w:rFonts w:asciiTheme="majorHAnsi" w:hAnsiTheme="majorHAnsi" w:cstheme="majorBidi"/>
        </w:rPr>
        <w:t xml:space="preserve"> where in contrast</w:t>
      </w:r>
      <w:r w:rsidR="00446D37" w:rsidRPr="0033ADB2">
        <w:rPr>
          <w:rFonts w:asciiTheme="majorHAnsi" w:hAnsiTheme="majorHAnsi" w:cstheme="majorBidi"/>
        </w:rPr>
        <w:t xml:space="preserve"> CBT </w:t>
      </w:r>
      <w:r w:rsidR="00FF1571" w:rsidRPr="0033ADB2">
        <w:rPr>
          <w:rFonts w:asciiTheme="majorHAnsi" w:hAnsiTheme="majorHAnsi" w:cstheme="majorBidi"/>
        </w:rPr>
        <w:t xml:space="preserve">is more straight forward </w:t>
      </w:r>
      <w:r w:rsidR="00B77265" w:rsidRPr="0033ADB2">
        <w:rPr>
          <w:rFonts w:asciiTheme="majorHAnsi" w:hAnsiTheme="majorHAnsi" w:cstheme="majorBidi"/>
        </w:rPr>
        <w:t xml:space="preserve">and the therapists provide </w:t>
      </w:r>
      <w:r w:rsidR="003C4FA2" w:rsidRPr="0033ADB2">
        <w:rPr>
          <w:rFonts w:asciiTheme="majorHAnsi" w:hAnsiTheme="majorHAnsi" w:cstheme="majorBidi"/>
        </w:rPr>
        <w:t>more direct solutions</w:t>
      </w:r>
      <w:r w:rsidR="006041FA" w:rsidRPr="0033ADB2">
        <w:rPr>
          <w:rFonts w:asciiTheme="majorHAnsi" w:hAnsiTheme="majorHAnsi" w:cstheme="majorBidi"/>
        </w:rPr>
        <w:t xml:space="preserve">, through their therapy </w:t>
      </w:r>
      <w:r w:rsidR="00335AF5" w:rsidRPr="0033ADB2">
        <w:rPr>
          <w:rFonts w:asciiTheme="majorHAnsi" w:hAnsiTheme="majorHAnsi" w:cstheme="majorBidi"/>
        </w:rPr>
        <w:t>treatments (</w:t>
      </w:r>
      <w:proofErr w:type="spellStart"/>
      <w:r w:rsidR="00F0520F" w:rsidRPr="0033ADB2">
        <w:rPr>
          <w:rFonts w:asciiTheme="majorHAnsi" w:hAnsiTheme="majorHAnsi" w:cstheme="majorBidi"/>
        </w:rPr>
        <w:t>Haarhoff</w:t>
      </w:r>
      <w:proofErr w:type="spellEnd"/>
      <w:r w:rsidR="00F0520F" w:rsidRPr="0033ADB2">
        <w:rPr>
          <w:rFonts w:asciiTheme="majorHAnsi" w:hAnsiTheme="majorHAnsi" w:cstheme="majorBidi"/>
        </w:rPr>
        <w:t xml:space="preserve"> and Thwaites, 2016).</w:t>
      </w:r>
    </w:p>
    <w:p w14:paraId="19CEB5E9" w14:textId="3630CF39" w:rsidR="007E3C7C" w:rsidRPr="00862F26" w:rsidRDefault="00537CF1" w:rsidP="0033ADB2">
      <w:pPr>
        <w:spacing w:line="360" w:lineRule="auto"/>
        <w:rPr>
          <w:rFonts w:asciiTheme="majorHAnsi" w:hAnsiTheme="majorHAnsi" w:cstheme="majorBidi"/>
        </w:rPr>
      </w:pPr>
      <w:r w:rsidRPr="0033ADB2">
        <w:rPr>
          <w:rFonts w:asciiTheme="majorHAnsi" w:hAnsiTheme="majorHAnsi" w:cstheme="majorBidi"/>
        </w:rPr>
        <w:t>Although there are some weaknesses within the</w:t>
      </w:r>
      <w:r w:rsidR="00B92E1C" w:rsidRPr="0033ADB2">
        <w:rPr>
          <w:rFonts w:asciiTheme="majorHAnsi" w:hAnsiTheme="majorHAnsi" w:cstheme="majorBidi"/>
        </w:rPr>
        <w:t xml:space="preserve"> p</w:t>
      </w:r>
      <w:r w:rsidR="00AB7ADC" w:rsidRPr="0033ADB2">
        <w:rPr>
          <w:rFonts w:asciiTheme="majorHAnsi" w:hAnsiTheme="majorHAnsi" w:cstheme="majorBidi"/>
        </w:rPr>
        <w:t>erson-centred approach</w:t>
      </w:r>
      <w:r w:rsidRPr="0033ADB2">
        <w:rPr>
          <w:rFonts w:asciiTheme="majorHAnsi" w:hAnsiTheme="majorHAnsi" w:cstheme="majorBidi"/>
        </w:rPr>
        <w:t>,</w:t>
      </w:r>
      <w:r w:rsidR="00AB7ADC" w:rsidRPr="0033ADB2">
        <w:rPr>
          <w:rFonts w:asciiTheme="majorHAnsi" w:hAnsiTheme="majorHAnsi" w:cstheme="majorBidi"/>
        </w:rPr>
        <w:t xml:space="preserve"> </w:t>
      </w:r>
      <w:r w:rsidRPr="0033ADB2">
        <w:rPr>
          <w:rFonts w:asciiTheme="majorHAnsi" w:hAnsiTheme="majorHAnsi" w:cstheme="majorBidi"/>
        </w:rPr>
        <w:t xml:space="preserve">it is still highly regarded as a </w:t>
      </w:r>
      <w:r w:rsidR="00B92E1C" w:rsidRPr="0033ADB2">
        <w:rPr>
          <w:rFonts w:asciiTheme="majorHAnsi" w:hAnsiTheme="majorHAnsi" w:cstheme="majorBidi"/>
        </w:rPr>
        <w:t>method</w:t>
      </w:r>
      <w:r w:rsidR="00AB7ADC" w:rsidRPr="0033ADB2">
        <w:rPr>
          <w:rFonts w:asciiTheme="majorHAnsi" w:hAnsiTheme="majorHAnsi" w:cstheme="majorBidi"/>
        </w:rPr>
        <w:t xml:space="preserve"> used to treat people with mental health problems</w:t>
      </w:r>
      <w:r w:rsidR="00067F87" w:rsidRPr="0033ADB2">
        <w:rPr>
          <w:rFonts w:asciiTheme="majorHAnsi" w:hAnsiTheme="majorHAnsi" w:cstheme="majorBidi"/>
        </w:rPr>
        <w:t xml:space="preserve"> in therapy</w:t>
      </w:r>
      <w:r w:rsidR="00CE575E" w:rsidRPr="0033ADB2">
        <w:rPr>
          <w:rFonts w:asciiTheme="majorHAnsi" w:hAnsiTheme="majorHAnsi" w:cstheme="majorBidi"/>
        </w:rPr>
        <w:t xml:space="preserve">. This is called person centred mental health care. </w:t>
      </w:r>
      <w:r w:rsidR="00CE7021" w:rsidRPr="0033ADB2">
        <w:rPr>
          <w:rFonts w:asciiTheme="majorHAnsi" w:hAnsiTheme="majorHAnsi" w:cstheme="majorBidi"/>
        </w:rPr>
        <w:t>It is used to treat children as well as adults</w:t>
      </w:r>
      <w:r w:rsidR="004D2651" w:rsidRPr="0033ADB2">
        <w:rPr>
          <w:rFonts w:asciiTheme="majorHAnsi" w:hAnsiTheme="majorHAnsi" w:cstheme="majorBidi"/>
        </w:rPr>
        <w:t xml:space="preserve"> </w:t>
      </w:r>
      <w:proofErr w:type="gramStart"/>
      <w:r w:rsidR="004D2651" w:rsidRPr="0033ADB2">
        <w:rPr>
          <w:rFonts w:asciiTheme="majorHAnsi" w:hAnsiTheme="majorHAnsi" w:cstheme="majorBidi"/>
        </w:rPr>
        <w:t xml:space="preserve">in </w:t>
      </w:r>
      <w:r w:rsidR="00067F87" w:rsidRPr="0033ADB2">
        <w:rPr>
          <w:rFonts w:asciiTheme="majorHAnsi" w:hAnsiTheme="majorHAnsi" w:cstheme="majorBidi"/>
        </w:rPr>
        <w:t>particular</w:t>
      </w:r>
      <w:r w:rsidR="004D2651" w:rsidRPr="0033ADB2">
        <w:rPr>
          <w:rFonts w:asciiTheme="majorHAnsi" w:hAnsiTheme="majorHAnsi" w:cstheme="majorBidi"/>
        </w:rPr>
        <w:t xml:space="preserve"> those</w:t>
      </w:r>
      <w:proofErr w:type="gramEnd"/>
      <w:r w:rsidR="004D2651" w:rsidRPr="0033ADB2">
        <w:rPr>
          <w:rFonts w:asciiTheme="majorHAnsi" w:hAnsiTheme="majorHAnsi" w:cstheme="majorBidi"/>
        </w:rPr>
        <w:t xml:space="preserve"> with </w:t>
      </w:r>
      <w:r w:rsidR="00067F87" w:rsidRPr="0033ADB2">
        <w:rPr>
          <w:rFonts w:asciiTheme="majorHAnsi" w:hAnsiTheme="majorHAnsi" w:cstheme="majorBidi"/>
        </w:rPr>
        <w:t>schizophrenia</w:t>
      </w:r>
      <w:r w:rsidR="00132F5F" w:rsidRPr="0033ADB2">
        <w:rPr>
          <w:rFonts w:asciiTheme="majorHAnsi" w:hAnsiTheme="majorHAnsi" w:cstheme="majorBidi"/>
        </w:rPr>
        <w:t xml:space="preserve"> </w:t>
      </w:r>
      <w:r w:rsidR="004D2651" w:rsidRPr="0033ADB2">
        <w:rPr>
          <w:rFonts w:asciiTheme="majorHAnsi" w:hAnsiTheme="majorHAnsi" w:cstheme="majorBidi"/>
        </w:rPr>
        <w:t>(</w:t>
      </w:r>
      <w:proofErr w:type="spellStart"/>
      <w:r w:rsidR="004D2651" w:rsidRPr="0033ADB2">
        <w:rPr>
          <w:rFonts w:asciiTheme="majorHAnsi" w:hAnsiTheme="majorHAnsi" w:cstheme="majorBidi"/>
        </w:rPr>
        <w:t>Portnova</w:t>
      </w:r>
      <w:proofErr w:type="spellEnd"/>
      <w:r w:rsidR="004D2651" w:rsidRPr="0033ADB2">
        <w:rPr>
          <w:rFonts w:asciiTheme="majorHAnsi" w:hAnsiTheme="majorHAnsi" w:cstheme="majorBidi"/>
        </w:rPr>
        <w:t xml:space="preserve"> </w:t>
      </w:r>
      <w:r w:rsidR="004D2651" w:rsidRPr="0033ADB2">
        <w:rPr>
          <w:rFonts w:asciiTheme="majorHAnsi" w:hAnsiTheme="majorHAnsi" w:cstheme="majorBidi"/>
          <w:i/>
          <w:iCs/>
        </w:rPr>
        <w:t>et al.</w:t>
      </w:r>
      <w:r w:rsidR="004D2651" w:rsidRPr="0033ADB2">
        <w:rPr>
          <w:rFonts w:asciiTheme="majorHAnsi" w:hAnsiTheme="majorHAnsi" w:cstheme="majorBidi"/>
        </w:rPr>
        <w:t>, 2021).</w:t>
      </w:r>
      <w:r w:rsidR="00800D4A" w:rsidRPr="0033ADB2">
        <w:rPr>
          <w:rFonts w:asciiTheme="majorHAnsi" w:hAnsiTheme="majorHAnsi" w:cstheme="majorBidi"/>
        </w:rPr>
        <w:t xml:space="preserve"> </w:t>
      </w:r>
      <w:r w:rsidR="00B92E1C" w:rsidRPr="0033ADB2">
        <w:rPr>
          <w:rFonts w:asciiTheme="majorHAnsi" w:hAnsiTheme="majorHAnsi" w:cstheme="majorBidi"/>
        </w:rPr>
        <w:t xml:space="preserve"> Adams and </w:t>
      </w:r>
      <w:proofErr w:type="spellStart"/>
      <w:r w:rsidR="00B92E1C" w:rsidRPr="0033ADB2">
        <w:rPr>
          <w:rFonts w:asciiTheme="majorHAnsi" w:hAnsiTheme="majorHAnsi" w:cstheme="majorBidi"/>
        </w:rPr>
        <w:t>Manthorpe</w:t>
      </w:r>
      <w:proofErr w:type="spellEnd"/>
      <w:r w:rsidR="00B92E1C" w:rsidRPr="0033ADB2">
        <w:rPr>
          <w:rFonts w:asciiTheme="majorHAnsi" w:hAnsiTheme="majorHAnsi" w:cstheme="majorBidi"/>
        </w:rPr>
        <w:t xml:space="preserve"> (2003) </w:t>
      </w:r>
      <w:r w:rsidR="004A5547" w:rsidRPr="0033ADB2">
        <w:rPr>
          <w:rFonts w:asciiTheme="majorHAnsi" w:hAnsiTheme="majorHAnsi" w:cstheme="majorBidi"/>
        </w:rPr>
        <w:t>observe that person centred therapy has been adapted into different organisations within healthcare</w:t>
      </w:r>
      <w:r w:rsidR="00C20D75" w:rsidRPr="0033ADB2">
        <w:rPr>
          <w:rFonts w:asciiTheme="majorHAnsi" w:hAnsiTheme="majorHAnsi" w:cstheme="majorBidi"/>
        </w:rPr>
        <w:t xml:space="preserve">, and has been used to present person centred care, which can be identified within </w:t>
      </w:r>
      <w:r w:rsidR="001E1087" w:rsidRPr="0033ADB2">
        <w:rPr>
          <w:rFonts w:asciiTheme="majorHAnsi" w:hAnsiTheme="majorHAnsi" w:cstheme="majorBidi"/>
        </w:rPr>
        <w:t xml:space="preserve">individual packages of care designed around the clients’ individual needs, not only for their personal care, but are adapted to </w:t>
      </w:r>
      <w:r w:rsidR="00EA0269" w:rsidRPr="0033ADB2">
        <w:rPr>
          <w:rFonts w:asciiTheme="majorHAnsi" w:hAnsiTheme="majorHAnsi" w:cstheme="majorBidi"/>
        </w:rPr>
        <w:t>preserve their mental health and promote better well-being.</w:t>
      </w:r>
      <w:r w:rsidR="00580354" w:rsidRPr="0033ADB2">
        <w:rPr>
          <w:rFonts w:asciiTheme="majorHAnsi" w:hAnsiTheme="majorHAnsi" w:cstheme="majorBidi"/>
        </w:rPr>
        <w:t xml:space="preserve"> This can regularly be seen within the national health service (NHS) particularly within the nursing profession. </w:t>
      </w:r>
    </w:p>
    <w:p w14:paraId="61F58330" w14:textId="0F99AAD7" w:rsidR="000C6741" w:rsidRPr="00862F26" w:rsidRDefault="00971BBE" w:rsidP="0033ADB2">
      <w:pPr>
        <w:spacing w:line="360" w:lineRule="auto"/>
        <w:rPr>
          <w:rFonts w:asciiTheme="majorHAnsi" w:hAnsiTheme="majorHAnsi" w:cstheme="majorBidi"/>
        </w:rPr>
      </w:pPr>
      <w:r w:rsidRPr="0033ADB2">
        <w:rPr>
          <w:rFonts w:asciiTheme="majorHAnsi" w:hAnsiTheme="majorHAnsi" w:cstheme="majorBidi"/>
        </w:rPr>
        <w:t xml:space="preserve"> </w:t>
      </w:r>
      <w:r w:rsidR="00FE2CAE" w:rsidRPr="0033ADB2">
        <w:rPr>
          <w:rFonts w:asciiTheme="majorHAnsi" w:hAnsiTheme="majorHAnsi" w:cstheme="majorBidi"/>
        </w:rPr>
        <w:t xml:space="preserve">The NHS has a person-centred care team that works on a variety of initiatives to encourage individuals to take a more active role in their own health and care, as part of the overall drive toward a fully person-centred NHS. </w:t>
      </w:r>
      <w:proofErr w:type="spellStart"/>
      <w:r w:rsidR="001D4EE5" w:rsidRPr="0033ADB2">
        <w:rPr>
          <w:rFonts w:asciiTheme="majorHAnsi" w:hAnsiTheme="majorHAnsi" w:cstheme="majorBidi"/>
        </w:rPr>
        <w:t>Breckman</w:t>
      </w:r>
      <w:proofErr w:type="spellEnd"/>
      <w:r w:rsidR="001D4EE5" w:rsidRPr="0033ADB2">
        <w:rPr>
          <w:rFonts w:asciiTheme="majorHAnsi" w:hAnsiTheme="majorHAnsi" w:cstheme="majorBidi"/>
        </w:rPr>
        <w:t xml:space="preserve"> (2005) </w:t>
      </w:r>
      <w:r w:rsidR="00E07810" w:rsidRPr="0033ADB2">
        <w:rPr>
          <w:rFonts w:asciiTheme="majorHAnsi" w:hAnsiTheme="majorHAnsi" w:cstheme="majorBidi"/>
        </w:rPr>
        <w:t xml:space="preserve">observes that </w:t>
      </w:r>
      <w:r w:rsidR="001D4EE5" w:rsidRPr="0033ADB2">
        <w:rPr>
          <w:rFonts w:asciiTheme="majorHAnsi" w:hAnsiTheme="majorHAnsi" w:cstheme="majorBidi"/>
        </w:rPr>
        <w:t>t</w:t>
      </w:r>
      <w:r w:rsidR="00FE2CAE" w:rsidRPr="0033ADB2">
        <w:rPr>
          <w:rFonts w:asciiTheme="majorHAnsi" w:hAnsiTheme="majorHAnsi" w:cstheme="majorBidi"/>
        </w:rPr>
        <w:t xml:space="preserve">hroughout the NHS, a patient-centred approach is used to empower patients to take control of their own health and make informed decisions about their care and treatment, aiding individuals in enhancing their health and ensuring they have the best possible chance of living the life they desire. </w:t>
      </w:r>
      <w:r w:rsidRPr="0033ADB2">
        <w:rPr>
          <w:rFonts w:asciiTheme="majorHAnsi" w:hAnsiTheme="majorHAnsi" w:cstheme="majorBidi"/>
        </w:rPr>
        <w:t>NHS Englan</w:t>
      </w:r>
      <w:r w:rsidR="007E5A7E" w:rsidRPr="0033ADB2">
        <w:rPr>
          <w:rFonts w:asciiTheme="majorHAnsi" w:hAnsiTheme="majorHAnsi" w:cstheme="majorBidi"/>
        </w:rPr>
        <w:t>d</w:t>
      </w:r>
      <w:r w:rsidRPr="0033ADB2">
        <w:rPr>
          <w:rFonts w:asciiTheme="majorHAnsi" w:hAnsiTheme="majorHAnsi" w:cstheme="majorBidi"/>
        </w:rPr>
        <w:t xml:space="preserve"> </w:t>
      </w:r>
      <w:r w:rsidR="007E5A7E" w:rsidRPr="0033ADB2">
        <w:rPr>
          <w:rFonts w:asciiTheme="majorHAnsi" w:hAnsiTheme="majorHAnsi" w:cstheme="majorBidi"/>
        </w:rPr>
        <w:t>(</w:t>
      </w:r>
      <w:r w:rsidRPr="0033ADB2">
        <w:rPr>
          <w:rFonts w:asciiTheme="majorHAnsi" w:hAnsiTheme="majorHAnsi" w:cstheme="majorBidi"/>
        </w:rPr>
        <w:t>2019)</w:t>
      </w:r>
      <w:r w:rsidR="007E5A7E" w:rsidRPr="0033ADB2">
        <w:rPr>
          <w:rFonts w:asciiTheme="majorHAnsi" w:hAnsiTheme="majorHAnsi" w:cstheme="majorBidi"/>
        </w:rPr>
        <w:t xml:space="preserve"> explains that mental health is of as </w:t>
      </w:r>
      <w:r w:rsidR="00790D81" w:rsidRPr="0033ADB2">
        <w:rPr>
          <w:rFonts w:asciiTheme="majorHAnsi" w:hAnsiTheme="majorHAnsi" w:cstheme="majorBidi"/>
        </w:rPr>
        <w:t xml:space="preserve">much importance as physical health. </w:t>
      </w:r>
      <w:r w:rsidR="00636FF8" w:rsidRPr="0033ADB2">
        <w:rPr>
          <w:rFonts w:asciiTheme="majorHAnsi" w:hAnsiTheme="majorHAnsi" w:cstheme="majorBidi"/>
        </w:rPr>
        <w:t xml:space="preserve">Person centred therapy is also provided </w:t>
      </w:r>
      <w:r w:rsidR="00636FF8" w:rsidRPr="0033ADB2">
        <w:rPr>
          <w:rFonts w:asciiTheme="majorHAnsi" w:hAnsiTheme="majorHAnsi" w:cstheme="majorBidi"/>
        </w:rPr>
        <w:lastRenderedPageBreak/>
        <w:t xml:space="preserve">through the NHS in Wales for people with dementia, battling upsetting illnesses, </w:t>
      </w:r>
      <w:r w:rsidR="0009766F" w:rsidRPr="0033ADB2">
        <w:rPr>
          <w:rFonts w:asciiTheme="majorHAnsi" w:hAnsiTheme="majorHAnsi" w:cstheme="majorBidi"/>
        </w:rPr>
        <w:t>bereavements</w:t>
      </w:r>
      <w:r w:rsidR="00636FF8" w:rsidRPr="0033ADB2">
        <w:rPr>
          <w:rFonts w:asciiTheme="majorHAnsi" w:hAnsiTheme="majorHAnsi" w:cstheme="majorBidi"/>
        </w:rPr>
        <w:t xml:space="preserve"> or </w:t>
      </w:r>
      <w:r w:rsidR="0009766F" w:rsidRPr="0033ADB2">
        <w:rPr>
          <w:rFonts w:asciiTheme="majorHAnsi" w:hAnsiTheme="majorHAnsi" w:cstheme="majorBidi"/>
        </w:rPr>
        <w:t xml:space="preserve">lifestyle crises, as they are considered to benefit from gaining these tools and knowledge to move on and </w:t>
      </w:r>
      <w:r w:rsidR="00EF17CD" w:rsidRPr="0033ADB2">
        <w:rPr>
          <w:rFonts w:asciiTheme="majorHAnsi" w:hAnsiTheme="majorHAnsi" w:cstheme="majorBidi"/>
        </w:rPr>
        <w:t xml:space="preserve">be able to be equipped to deal with ongoing problems </w:t>
      </w:r>
      <w:r w:rsidR="00331284" w:rsidRPr="0033ADB2">
        <w:rPr>
          <w:rFonts w:asciiTheme="majorHAnsi" w:hAnsiTheme="majorHAnsi" w:cstheme="majorBidi"/>
        </w:rPr>
        <w:t xml:space="preserve">(Spencer and </w:t>
      </w:r>
      <w:proofErr w:type="spellStart"/>
      <w:r w:rsidR="00331284" w:rsidRPr="0033ADB2">
        <w:rPr>
          <w:rFonts w:asciiTheme="majorHAnsi" w:hAnsiTheme="majorHAnsi" w:cstheme="majorBidi"/>
        </w:rPr>
        <w:t>Puntoni</w:t>
      </w:r>
      <w:proofErr w:type="spellEnd"/>
      <w:r w:rsidR="00331284" w:rsidRPr="0033ADB2">
        <w:rPr>
          <w:rFonts w:asciiTheme="majorHAnsi" w:hAnsiTheme="majorHAnsi" w:cstheme="majorBidi"/>
        </w:rPr>
        <w:t>, 2015).</w:t>
      </w:r>
    </w:p>
    <w:p w14:paraId="57303CAF" w14:textId="7EA6BF67" w:rsidR="00AE35B2" w:rsidRDefault="0033ADB2" w:rsidP="0033ADB2">
      <w:pPr>
        <w:spacing w:line="360" w:lineRule="auto"/>
        <w:rPr>
          <w:rFonts w:asciiTheme="majorHAnsi" w:hAnsiTheme="majorHAnsi" w:cstheme="majorBidi"/>
        </w:rPr>
      </w:pPr>
      <w:r w:rsidRPr="0033ADB2">
        <w:rPr>
          <w:rFonts w:asciiTheme="majorHAnsi" w:hAnsiTheme="majorHAnsi" w:cstheme="majorBidi"/>
        </w:rPr>
        <w:t xml:space="preserve">The video observed of Rogers and Gloria’s person-centred therapy session showed how person-centred therapy can work, demonstrating how Gloria moved from incongruent to congruent and how Rogers established a therapeutic relationship with Gloria using unconditional positive regard. This essay has shown that the person-centred approach is still a relevant form of therapy, although it may not be suitable for all conditions and situations. This is shown by the fact that it is still widely used today and has been embedded into health and social care in the form of person-centred care. </w:t>
      </w:r>
    </w:p>
    <w:p w14:paraId="1E118BBB" w14:textId="222A3484" w:rsidR="00AE35B2" w:rsidRDefault="00AE35B2" w:rsidP="00776F76">
      <w:pPr>
        <w:rPr>
          <w:rFonts w:asciiTheme="majorHAnsi" w:hAnsiTheme="majorHAnsi" w:cstheme="majorHAnsi"/>
          <w:color w:val="FF00FF"/>
        </w:rPr>
      </w:pPr>
    </w:p>
    <w:p w14:paraId="3C1D131C" w14:textId="4272DC3C" w:rsidR="00AE35B2" w:rsidRDefault="00AE35B2" w:rsidP="00776F76">
      <w:pPr>
        <w:rPr>
          <w:rFonts w:asciiTheme="majorHAnsi" w:hAnsiTheme="majorHAnsi" w:cstheme="majorHAnsi"/>
          <w:color w:val="FF00FF"/>
        </w:rPr>
      </w:pPr>
    </w:p>
    <w:p w14:paraId="4B77B314" w14:textId="4A1DD278" w:rsidR="00AE35B2" w:rsidRDefault="00AE35B2" w:rsidP="00776F76">
      <w:pPr>
        <w:rPr>
          <w:rFonts w:asciiTheme="majorHAnsi" w:hAnsiTheme="majorHAnsi" w:cstheme="majorHAnsi"/>
          <w:color w:val="FF00FF"/>
        </w:rPr>
      </w:pPr>
    </w:p>
    <w:p w14:paraId="75201504" w14:textId="40D83448" w:rsidR="00AE35B2" w:rsidRDefault="00AE35B2" w:rsidP="00776F76">
      <w:pPr>
        <w:rPr>
          <w:rFonts w:asciiTheme="majorHAnsi" w:hAnsiTheme="majorHAnsi" w:cstheme="majorHAnsi"/>
          <w:color w:val="FF00FF"/>
        </w:rPr>
      </w:pPr>
    </w:p>
    <w:p w14:paraId="415A9243" w14:textId="2635075D" w:rsidR="000C6741" w:rsidRDefault="000C6741" w:rsidP="00776F76">
      <w:pPr>
        <w:rPr>
          <w:rFonts w:asciiTheme="majorHAnsi" w:hAnsiTheme="majorHAnsi" w:cstheme="majorHAnsi"/>
          <w:color w:val="FF00FF"/>
        </w:rPr>
      </w:pPr>
    </w:p>
    <w:p w14:paraId="5B683082" w14:textId="4719CE22" w:rsidR="000C6741" w:rsidRDefault="000C6741" w:rsidP="00776F76">
      <w:pPr>
        <w:rPr>
          <w:rFonts w:asciiTheme="majorHAnsi" w:hAnsiTheme="majorHAnsi" w:cstheme="majorHAnsi"/>
          <w:color w:val="FF00FF"/>
        </w:rPr>
      </w:pPr>
    </w:p>
    <w:p w14:paraId="4405BF33" w14:textId="2B84E0FE" w:rsidR="000C6741" w:rsidRDefault="000C6741" w:rsidP="00776F76">
      <w:pPr>
        <w:rPr>
          <w:rFonts w:asciiTheme="majorHAnsi" w:hAnsiTheme="majorHAnsi" w:cstheme="majorHAnsi"/>
          <w:color w:val="FF00FF"/>
        </w:rPr>
      </w:pPr>
    </w:p>
    <w:p w14:paraId="23B84578" w14:textId="6F4DD439" w:rsidR="000C6741" w:rsidRDefault="000C6741" w:rsidP="00776F76">
      <w:pPr>
        <w:rPr>
          <w:rFonts w:asciiTheme="majorHAnsi" w:hAnsiTheme="majorHAnsi" w:cstheme="majorHAnsi"/>
          <w:color w:val="FF00FF"/>
        </w:rPr>
      </w:pPr>
    </w:p>
    <w:p w14:paraId="17D3816D" w14:textId="2818E9AC" w:rsidR="000C6741" w:rsidRDefault="000C6741" w:rsidP="00776F76">
      <w:pPr>
        <w:rPr>
          <w:rFonts w:asciiTheme="majorHAnsi" w:hAnsiTheme="majorHAnsi" w:cstheme="majorHAnsi"/>
          <w:color w:val="FF00FF"/>
        </w:rPr>
      </w:pPr>
    </w:p>
    <w:p w14:paraId="5EC9325D" w14:textId="679E138B" w:rsidR="000C6741" w:rsidRDefault="000C6741" w:rsidP="00776F76">
      <w:pPr>
        <w:rPr>
          <w:rFonts w:asciiTheme="majorHAnsi" w:hAnsiTheme="majorHAnsi" w:cstheme="majorHAnsi"/>
          <w:color w:val="FF00FF"/>
        </w:rPr>
      </w:pPr>
    </w:p>
    <w:p w14:paraId="36609BB4" w14:textId="33422AEC" w:rsidR="000C6741" w:rsidRDefault="000C6741" w:rsidP="00776F76">
      <w:pPr>
        <w:rPr>
          <w:rFonts w:asciiTheme="majorHAnsi" w:hAnsiTheme="majorHAnsi" w:cstheme="majorHAnsi"/>
          <w:color w:val="FF00FF"/>
        </w:rPr>
      </w:pPr>
    </w:p>
    <w:p w14:paraId="0C75741B" w14:textId="10F3F785" w:rsidR="000C6741" w:rsidRDefault="000C6741" w:rsidP="00776F76">
      <w:pPr>
        <w:rPr>
          <w:rFonts w:asciiTheme="majorHAnsi" w:hAnsiTheme="majorHAnsi" w:cstheme="majorHAnsi"/>
          <w:color w:val="FF00FF"/>
        </w:rPr>
      </w:pPr>
    </w:p>
    <w:p w14:paraId="7A6B5645" w14:textId="02D994AC" w:rsidR="000C6741" w:rsidRDefault="000C6741" w:rsidP="00776F76">
      <w:pPr>
        <w:rPr>
          <w:rFonts w:asciiTheme="majorHAnsi" w:hAnsiTheme="majorHAnsi" w:cstheme="majorHAnsi"/>
          <w:color w:val="FF00FF"/>
        </w:rPr>
      </w:pPr>
    </w:p>
    <w:p w14:paraId="70294AD8" w14:textId="7B2941CB" w:rsidR="000C6741" w:rsidRDefault="000C6741" w:rsidP="00776F76">
      <w:pPr>
        <w:rPr>
          <w:rFonts w:asciiTheme="majorHAnsi" w:hAnsiTheme="majorHAnsi" w:cstheme="majorHAnsi"/>
          <w:color w:val="FF00FF"/>
        </w:rPr>
      </w:pPr>
    </w:p>
    <w:p w14:paraId="78CE0D4B" w14:textId="13E0DC87" w:rsidR="000C6741" w:rsidRDefault="000C6741" w:rsidP="00776F76">
      <w:pPr>
        <w:rPr>
          <w:rFonts w:asciiTheme="majorHAnsi" w:hAnsiTheme="majorHAnsi" w:cstheme="majorHAnsi"/>
          <w:color w:val="FF00FF"/>
        </w:rPr>
      </w:pPr>
    </w:p>
    <w:p w14:paraId="3478D846" w14:textId="1B0DB5DF" w:rsidR="000C6741" w:rsidRDefault="000C6741" w:rsidP="00776F76">
      <w:pPr>
        <w:rPr>
          <w:rFonts w:asciiTheme="majorHAnsi" w:hAnsiTheme="majorHAnsi" w:cstheme="majorHAnsi"/>
          <w:color w:val="FF00FF"/>
        </w:rPr>
      </w:pPr>
    </w:p>
    <w:p w14:paraId="7806E794" w14:textId="3BEF021E" w:rsidR="000C6741" w:rsidRDefault="000C6741" w:rsidP="00776F76">
      <w:pPr>
        <w:rPr>
          <w:rFonts w:asciiTheme="majorHAnsi" w:hAnsiTheme="majorHAnsi" w:cstheme="majorHAnsi"/>
          <w:color w:val="FF00FF"/>
        </w:rPr>
      </w:pPr>
    </w:p>
    <w:p w14:paraId="5B30FB5C" w14:textId="0127D6B0" w:rsidR="000C6741" w:rsidRDefault="000C6741" w:rsidP="00776F76">
      <w:pPr>
        <w:rPr>
          <w:rFonts w:asciiTheme="majorHAnsi" w:hAnsiTheme="majorHAnsi" w:cstheme="majorHAnsi"/>
          <w:color w:val="FF00FF"/>
        </w:rPr>
      </w:pPr>
    </w:p>
    <w:p w14:paraId="7063BE61" w14:textId="3D8B8208" w:rsidR="000C6741" w:rsidRDefault="000C6741" w:rsidP="00776F76">
      <w:pPr>
        <w:rPr>
          <w:rFonts w:asciiTheme="majorHAnsi" w:hAnsiTheme="majorHAnsi" w:cstheme="majorHAnsi"/>
          <w:color w:val="FF00FF"/>
        </w:rPr>
      </w:pPr>
    </w:p>
    <w:p w14:paraId="2C08366A" w14:textId="521C3B40" w:rsidR="000C6741" w:rsidRDefault="000C6741" w:rsidP="00776F76">
      <w:pPr>
        <w:rPr>
          <w:rFonts w:asciiTheme="majorHAnsi" w:hAnsiTheme="majorHAnsi" w:cstheme="majorHAnsi"/>
          <w:color w:val="FF00FF"/>
        </w:rPr>
      </w:pPr>
    </w:p>
    <w:p w14:paraId="2019EFAD" w14:textId="77777777" w:rsidR="000C6741" w:rsidRDefault="000C6741" w:rsidP="00776F76">
      <w:pPr>
        <w:rPr>
          <w:rFonts w:asciiTheme="majorHAnsi" w:hAnsiTheme="majorHAnsi" w:cstheme="majorHAnsi"/>
          <w:color w:val="FF00FF"/>
        </w:rPr>
      </w:pPr>
    </w:p>
    <w:p w14:paraId="41D7AF4D" w14:textId="0A6CE488" w:rsidR="00AE35B2" w:rsidRDefault="00AE35B2" w:rsidP="00776F76">
      <w:pPr>
        <w:rPr>
          <w:rFonts w:asciiTheme="majorHAnsi" w:hAnsiTheme="majorHAnsi" w:cstheme="majorHAnsi"/>
          <w:color w:val="FF00FF"/>
        </w:rPr>
      </w:pPr>
    </w:p>
    <w:p w14:paraId="0E87FACB" w14:textId="55CF6C1C" w:rsidR="00AE35B2" w:rsidRPr="001D1BCB" w:rsidRDefault="00AE35B2" w:rsidP="00776F76">
      <w:pPr>
        <w:rPr>
          <w:rFonts w:asciiTheme="majorHAnsi" w:hAnsiTheme="majorHAnsi" w:cstheme="majorHAnsi"/>
          <w:u w:val="single"/>
        </w:rPr>
      </w:pPr>
      <w:r w:rsidRPr="001D1BCB">
        <w:rPr>
          <w:rFonts w:asciiTheme="majorHAnsi" w:hAnsiTheme="majorHAnsi" w:cstheme="majorHAnsi"/>
          <w:u w:val="single"/>
        </w:rPr>
        <w:lastRenderedPageBreak/>
        <w:t>References</w:t>
      </w:r>
    </w:p>
    <w:p w14:paraId="79DDA4AA" w14:textId="77777777" w:rsidR="001264E9" w:rsidRPr="00776F76" w:rsidRDefault="001264E9" w:rsidP="000C6741">
      <w:pPr>
        <w:rPr>
          <w:rFonts w:asciiTheme="majorHAnsi" w:hAnsiTheme="majorHAnsi" w:cstheme="majorHAnsi"/>
        </w:rPr>
      </w:pPr>
    </w:p>
    <w:p w14:paraId="47031035" w14:textId="77777777" w:rsidR="001264E9" w:rsidRPr="000C6741" w:rsidRDefault="001264E9" w:rsidP="000C6741">
      <w:pPr>
        <w:rPr>
          <w:rFonts w:asciiTheme="majorHAnsi" w:hAnsiTheme="majorHAnsi" w:cstheme="majorHAnsi"/>
        </w:rPr>
      </w:pPr>
      <w:r w:rsidRPr="000C6741">
        <w:rPr>
          <w:rFonts w:asciiTheme="majorHAnsi" w:hAnsiTheme="majorHAnsi" w:cstheme="majorHAnsi"/>
        </w:rPr>
        <w:t xml:space="preserve">Adams, T. and </w:t>
      </w:r>
      <w:proofErr w:type="spellStart"/>
      <w:r w:rsidRPr="000C6741">
        <w:rPr>
          <w:rFonts w:asciiTheme="majorHAnsi" w:hAnsiTheme="majorHAnsi" w:cstheme="majorHAnsi"/>
        </w:rPr>
        <w:t>Manthorpe</w:t>
      </w:r>
      <w:proofErr w:type="spellEnd"/>
      <w:r w:rsidRPr="000C6741">
        <w:rPr>
          <w:rFonts w:asciiTheme="majorHAnsi" w:hAnsiTheme="majorHAnsi" w:cstheme="majorHAnsi"/>
        </w:rPr>
        <w:t xml:space="preserve">, J. (2003) </w:t>
      </w:r>
      <w:r w:rsidRPr="000C6741">
        <w:rPr>
          <w:rFonts w:asciiTheme="majorHAnsi" w:hAnsiTheme="majorHAnsi" w:cstheme="majorHAnsi"/>
          <w:i/>
          <w:iCs/>
        </w:rPr>
        <w:t>Dementia care</w:t>
      </w:r>
      <w:r w:rsidRPr="000C6741">
        <w:rPr>
          <w:rFonts w:asciiTheme="majorHAnsi" w:hAnsiTheme="majorHAnsi" w:cstheme="majorHAnsi"/>
        </w:rPr>
        <w:t>. 2</w:t>
      </w:r>
      <w:r w:rsidRPr="000C6741">
        <w:rPr>
          <w:rFonts w:asciiTheme="majorHAnsi" w:hAnsiTheme="majorHAnsi" w:cstheme="majorHAnsi"/>
          <w:vertAlign w:val="superscript"/>
        </w:rPr>
        <w:t>nd</w:t>
      </w:r>
      <w:r w:rsidRPr="000C6741">
        <w:rPr>
          <w:rFonts w:asciiTheme="majorHAnsi" w:hAnsiTheme="majorHAnsi" w:cstheme="majorHAnsi"/>
        </w:rPr>
        <w:t xml:space="preserve"> </w:t>
      </w:r>
      <w:proofErr w:type="spellStart"/>
      <w:r w:rsidRPr="000C6741">
        <w:rPr>
          <w:rFonts w:asciiTheme="majorHAnsi" w:hAnsiTheme="majorHAnsi" w:cstheme="majorHAnsi"/>
        </w:rPr>
        <w:t>edn</w:t>
      </w:r>
      <w:proofErr w:type="spellEnd"/>
      <w:r w:rsidRPr="000C6741">
        <w:rPr>
          <w:rFonts w:asciiTheme="majorHAnsi" w:hAnsiTheme="majorHAnsi" w:cstheme="majorHAnsi"/>
        </w:rPr>
        <w:t xml:space="preserve">. London: </w:t>
      </w:r>
      <w:proofErr w:type="gramStart"/>
      <w:r w:rsidRPr="000C6741">
        <w:rPr>
          <w:rFonts w:asciiTheme="majorHAnsi" w:hAnsiTheme="majorHAnsi" w:cstheme="majorHAnsi"/>
        </w:rPr>
        <w:t>Arnold ;</w:t>
      </w:r>
      <w:proofErr w:type="gramEnd"/>
      <w:r w:rsidRPr="000C6741">
        <w:rPr>
          <w:rFonts w:asciiTheme="majorHAnsi" w:hAnsiTheme="majorHAnsi" w:cstheme="majorHAnsi"/>
        </w:rPr>
        <w:t xml:space="preserve"> New York.</w:t>
      </w:r>
    </w:p>
    <w:p w14:paraId="5B91A43C" w14:textId="4F3ACE30" w:rsidR="001264E9" w:rsidRPr="000C6741" w:rsidRDefault="001264E9" w:rsidP="000C6741">
      <w:pPr>
        <w:rPr>
          <w:rFonts w:asciiTheme="majorHAnsi" w:hAnsiTheme="majorHAnsi" w:cstheme="majorHAnsi"/>
        </w:rPr>
      </w:pPr>
      <w:proofErr w:type="spellStart"/>
      <w:r w:rsidRPr="000C6741">
        <w:rPr>
          <w:rFonts w:asciiTheme="majorHAnsi" w:hAnsiTheme="majorHAnsi" w:cstheme="majorHAnsi"/>
        </w:rPr>
        <w:t>Breckman</w:t>
      </w:r>
      <w:proofErr w:type="spellEnd"/>
      <w:r w:rsidRPr="000C6741">
        <w:rPr>
          <w:rFonts w:asciiTheme="majorHAnsi" w:hAnsiTheme="majorHAnsi" w:cstheme="majorHAnsi"/>
        </w:rPr>
        <w:t xml:space="preserve">, B. (2005) ‘Workplace Counselling in the NHS – Person-centred </w:t>
      </w:r>
      <w:proofErr w:type="spellStart"/>
      <w:r w:rsidRPr="000C6741">
        <w:rPr>
          <w:rFonts w:asciiTheme="majorHAnsi" w:hAnsiTheme="majorHAnsi" w:cstheme="majorHAnsi"/>
        </w:rPr>
        <w:t>DialoguesWorkplace</w:t>
      </w:r>
      <w:proofErr w:type="spellEnd"/>
      <w:r w:rsidRPr="000C6741">
        <w:rPr>
          <w:rFonts w:asciiTheme="majorHAnsi" w:hAnsiTheme="majorHAnsi" w:cstheme="majorHAnsi"/>
        </w:rPr>
        <w:t xml:space="preserve"> Counselling in the NHS – Person-centred Dialogues’, </w:t>
      </w:r>
      <w:r w:rsidRPr="000C6741">
        <w:rPr>
          <w:rFonts w:asciiTheme="majorHAnsi" w:hAnsiTheme="majorHAnsi" w:cstheme="majorHAnsi"/>
          <w:i/>
          <w:iCs/>
        </w:rPr>
        <w:t>Nursing Standard</w:t>
      </w:r>
      <w:r w:rsidRPr="000C6741">
        <w:rPr>
          <w:rFonts w:asciiTheme="majorHAnsi" w:hAnsiTheme="majorHAnsi" w:cstheme="majorHAnsi"/>
        </w:rPr>
        <w:t xml:space="preserve">, 20(10), pp. 36–36. </w:t>
      </w:r>
    </w:p>
    <w:p w14:paraId="1E04D6B7" w14:textId="77777777" w:rsidR="001264E9" w:rsidRDefault="001264E9" w:rsidP="000C6741">
      <w:pPr>
        <w:rPr>
          <w:rFonts w:asciiTheme="majorHAnsi" w:hAnsiTheme="majorHAnsi" w:cstheme="majorHAnsi"/>
        </w:rPr>
      </w:pPr>
    </w:p>
    <w:p w14:paraId="7D56699C" w14:textId="3AADE4B3" w:rsidR="001264E9" w:rsidRPr="000C6741" w:rsidRDefault="001264E9" w:rsidP="000C6741">
      <w:pPr>
        <w:rPr>
          <w:rFonts w:asciiTheme="majorHAnsi" w:hAnsiTheme="majorHAnsi" w:cstheme="majorBidi"/>
        </w:rPr>
      </w:pPr>
      <w:proofErr w:type="spellStart"/>
      <w:r w:rsidRPr="000C6741">
        <w:rPr>
          <w:rFonts w:asciiTheme="majorHAnsi" w:hAnsiTheme="majorHAnsi" w:cstheme="majorBidi"/>
        </w:rPr>
        <w:t>Esser</w:t>
      </w:r>
      <w:proofErr w:type="spellEnd"/>
      <w:r w:rsidRPr="000C6741">
        <w:rPr>
          <w:rFonts w:asciiTheme="majorHAnsi" w:hAnsiTheme="majorHAnsi" w:cstheme="majorBidi"/>
        </w:rPr>
        <w:t xml:space="preserve">, U., Pabst, H. and </w:t>
      </w:r>
      <w:proofErr w:type="spellStart"/>
      <w:r w:rsidRPr="000C6741">
        <w:rPr>
          <w:rFonts w:asciiTheme="majorHAnsi" w:hAnsiTheme="majorHAnsi" w:cstheme="majorBidi"/>
        </w:rPr>
        <w:t>Speierer</w:t>
      </w:r>
      <w:proofErr w:type="spellEnd"/>
      <w:r w:rsidRPr="000C6741">
        <w:rPr>
          <w:rFonts w:asciiTheme="majorHAnsi" w:hAnsiTheme="majorHAnsi" w:cstheme="majorBidi"/>
        </w:rPr>
        <w:t xml:space="preserve">, G.W. (1997) </w:t>
      </w:r>
      <w:r w:rsidRPr="000C6741">
        <w:rPr>
          <w:rFonts w:asciiTheme="majorHAnsi" w:hAnsiTheme="majorHAnsi" w:cstheme="majorBidi"/>
          <w:i/>
          <w:iCs/>
        </w:rPr>
        <w:t xml:space="preserve">The power of the person </w:t>
      </w:r>
      <w:proofErr w:type="spellStart"/>
      <w:r w:rsidRPr="000C6741">
        <w:rPr>
          <w:rFonts w:asciiTheme="majorHAnsi" w:hAnsiTheme="majorHAnsi" w:cstheme="majorBidi"/>
          <w:i/>
          <w:iCs/>
        </w:rPr>
        <w:t>centered</w:t>
      </w:r>
      <w:proofErr w:type="spellEnd"/>
      <w:r w:rsidRPr="000C6741">
        <w:rPr>
          <w:rFonts w:asciiTheme="majorHAnsi" w:hAnsiTheme="majorHAnsi" w:cstheme="majorBidi"/>
          <w:i/>
          <w:iCs/>
        </w:rPr>
        <w:t xml:space="preserve"> </w:t>
      </w:r>
      <w:proofErr w:type="gramStart"/>
      <w:r w:rsidRPr="000C6741">
        <w:rPr>
          <w:rFonts w:asciiTheme="majorHAnsi" w:hAnsiTheme="majorHAnsi" w:cstheme="majorBidi"/>
          <w:i/>
          <w:iCs/>
        </w:rPr>
        <w:t>approach :</w:t>
      </w:r>
      <w:proofErr w:type="gramEnd"/>
      <w:r w:rsidRPr="000C6741">
        <w:rPr>
          <w:rFonts w:asciiTheme="majorHAnsi" w:hAnsiTheme="majorHAnsi" w:cstheme="majorBidi"/>
          <w:i/>
          <w:iCs/>
        </w:rPr>
        <w:t xml:space="preserve"> new challenges, perspectives, answers</w:t>
      </w:r>
      <w:r w:rsidRPr="000C6741">
        <w:rPr>
          <w:rFonts w:asciiTheme="majorHAnsi" w:hAnsiTheme="majorHAnsi" w:cstheme="majorBidi"/>
        </w:rPr>
        <w:t>. 2</w:t>
      </w:r>
      <w:r w:rsidRPr="000C6741">
        <w:rPr>
          <w:rFonts w:asciiTheme="majorHAnsi" w:hAnsiTheme="majorHAnsi" w:cstheme="majorBidi"/>
          <w:vertAlign w:val="superscript"/>
        </w:rPr>
        <w:t>nd</w:t>
      </w:r>
      <w:r w:rsidRPr="000C6741">
        <w:rPr>
          <w:rFonts w:asciiTheme="majorHAnsi" w:hAnsiTheme="majorHAnsi" w:cstheme="majorBidi"/>
        </w:rPr>
        <w:t xml:space="preserve"> </w:t>
      </w:r>
      <w:proofErr w:type="spellStart"/>
      <w:r w:rsidRPr="000C6741">
        <w:rPr>
          <w:rFonts w:asciiTheme="majorHAnsi" w:hAnsiTheme="majorHAnsi" w:cstheme="majorBidi"/>
        </w:rPr>
        <w:t>edn</w:t>
      </w:r>
      <w:proofErr w:type="spellEnd"/>
      <w:r w:rsidRPr="000C6741">
        <w:rPr>
          <w:rFonts w:asciiTheme="majorHAnsi" w:hAnsiTheme="majorHAnsi" w:cstheme="majorBidi"/>
        </w:rPr>
        <w:t xml:space="preserve">. </w:t>
      </w:r>
      <w:proofErr w:type="spellStart"/>
      <w:r w:rsidRPr="000C6741">
        <w:rPr>
          <w:rFonts w:asciiTheme="majorHAnsi" w:hAnsiTheme="majorHAnsi" w:cstheme="majorBidi"/>
        </w:rPr>
        <w:t>Köln</w:t>
      </w:r>
      <w:proofErr w:type="spellEnd"/>
      <w:r w:rsidRPr="000C6741">
        <w:rPr>
          <w:rFonts w:asciiTheme="majorHAnsi" w:hAnsiTheme="majorHAnsi" w:cstheme="majorBidi"/>
        </w:rPr>
        <w:t xml:space="preserve">: </w:t>
      </w:r>
      <w:proofErr w:type="spellStart"/>
      <w:r w:rsidRPr="000C6741">
        <w:rPr>
          <w:rFonts w:asciiTheme="majorHAnsi" w:hAnsiTheme="majorHAnsi" w:cstheme="majorBidi"/>
        </w:rPr>
        <w:t>Gwg</w:t>
      </w:r>
      <w:proofErr w:type="spellEnd"/>
      <w:r w:rsidRPr="000C6741">
        <w:rPr>
          <w:rFonts w:asciiTheme="majorHAnsi" w:hAnsiTheme="majorHAnsi" w:cstheme="majorBidi"/>
        </w:rPr>
        <w:t>-Verlag.</w:t>
      </w:r>
    </w:p>
    <w:p w14:paraId="3C2B8609" w14:textId="77777777" w:rsidR="001264E9" w:rsidRDefault="001264E9" w:rsidP="000C6741">
      <w:pPr>
        <w:rPr>
          <w:rFonts w:asciiTheme="majorHAnsi" w:hAnsiTheme="majorHAnsi" w:cstheme="majorBidi"/>
        </w:rPr>
      </w:pPr>
    </w:p>
    <w:p w14:paraId="771E8160" w14:textId="7F340458" w:rsidR="001264E9" w:rsidRPr="000C6741" w:rsidRDefault="001264E9" w:rsidP="000C6741">
      <w:pPr>
        <w:rPr>
          <w:rFonts w:asciiTheme="majorHAnsi" w:hAnsiTheme="majorHAnsi" w:cstheme="majorHAnsi"/>
        </w:rPr>
      </w:pPr>
      <w:r w:rsidRPr="000C6741">
        <w:rPr>
          <w:rFonts w:asciiTheme="majorHAnsi" w:hAnsiTheme="majorHAnsi" w:cstheme="majorHAnsi"/>
        </w:rPr>
        <w:t xml:space="preserve">Grassi, L., </w:t>
      </w:r>
      <w:proofErr w:type="spellStart"/>
      <w:r w:rsidRPr="000C6741">
        <w:rPr>
          <w:rFonts w:asciiTheme="majorHAnsi" w:hAnsiTheme="majorHAnsi" w:cstheme="majorHAnsi"/>
        </w:rPr>
        <w:t>Riba</w:t>
      </w:r>
      <w:proofErr w:type="spellEnd"/>
      <w:r w:rsidRPr="000C6741">
        <w:rPr>
          <w:rFonts w:asciiTheme="majorHAnsi" w:hAnsiTheme="majorHAnsi" w:cstheme="majorHAnsi"/>
        </w:rPr>
        <w:t xml:space="preserve">, M. B. and Wise, T. (2019) </w:t>
      </w:r>
      <w:r w:rsidRPr="000C6741">
        <w:rPr>
          <w:rFonts w:asciiTheme="majorHAnsi" w:hAnsiTheme="majorHAnsi" w:cstheme="majorHAnsi"/>
          <w:i/>
          <w:iCs/>
        </w:rPr>
        <w:t xml:space="preserve">Person </w:t>
      </w:r>
      <w:proofErr w:type="spellStart"/>
      <w:r w:rsidRPr="000C6741">
        <w:rPr>
          <w:rFonts w:asciiTheme="majorHAnsi" w:hAnsiTheme="majorHAnsi" w:cstheme="majorHAnsi"/>
          <w:i/>
          <w:iCs/>
        </w:rPr>
        <w:t>centered</w:t>
      </w:r>
      <w:proofErr w:type="spellEnd"/>
      <w:r w:rsidRPr="000C6741">
        <w:rPr>
          <w:rFonts w:asciiTheme="majorHAnsi" w:hAnsiTheme="majorHAnsi" w:cstheme="majorHAnsi"/>
          <w:i/>
          <w:iCs/>
        </w:rPr>
        <w:t xml:space="preserve"> approach to recovery in </w:t>
      </w:r>
      <w:proofErr w:type="gramStart"/>
      <w:r w:rsidRPr="000C6741">
        <w:rPr>
          <w:rFonts w:asciiTheme="majorHAnsi" w:hAnsiTheme="majorHAnsi" w:cstheme="majorHAnsi"/>
          <w:i/>
          <w:iCs/>
        </w:rPr>
        <w:t>medicine :</w:t>
      </w:r>
      <w:proofErr w:type="gramEnd"/>
      <w:r w:rsidRPr="000C6741">
        <w:rPr>
          <w:rFonts w:asciiTheme="majorHAnsi" w:hAnsiTheme="majorHAnsi" w:cstheme="majorHAnsi"/>
          <w:i/>
          <w:iCs/>
        </w:rPr>
        <w:t xml:space="preserve"> insights from psychosomatic medicine and consultation-liaison psychiatry</w:t>
      </w:r>
      <w:r w:rsidRPr="000C6741">
        <w:rPr>
          <w:rFonts w:asciiTheme="majorHAnsi" w:hAnsiTheme="majorHAnsi" w:cstheme="majorHAnsi"/>
        </w:rPr>
        <w:t>. 2</w:t>
      </w:r>
      <w:r w:rsidRPr="000C6741">
        <w:rPr>
          <w:rFonts w:asciiTheme="majorHAnsi" w:hAnsiTheme="majorHAnsi" w:cstheme="majorHAnsi"/>
          <w:vertAlign w:val="superscript"/>
        </w:rPr>
        <w:t>nd</w:t>
      </w:r>
      <w:r w:rsidRPr="000C6741">
        <w:rPr>
          <w:rFonts w:asciiTheme="majorHAnsi" w:hAnsiTheme="majorHAnsi" w:cstheme="majorHAnsi"/>
        </w:rPr>
        <w:t xml:space="preserve"> </w:t>
      </w:r>
      <w:proofErr w:type="spellStart"/>
      <w:r w:rsidRPr="000C6741">
        <w:rPr>
          <w:rFonts w:asciiTheme="majorHAnsi" w:hAnsiTheme="majorHAnsi" w:cstheme="majorHAnsi"/>
        </w:rPr>
        <w:t>edn</w:t>
      </w:r>
      <w:proofErr w:type="spellEnd"/>
      <w:r w:rsidRPr="000C6741">
        <w:rPr>
          <w:rFonts w:asciiTheme="majorHAnsi" w:hAnsiTheme="majorHAnsi" w:cstheme="majorHAnsi"/>
        </w:rPr>
        <w:t>. Cham: Springer, Cop.</w:t>
      </w:r>
    </w:p>
    <w:p w14:paraId="0997927E" w14:textId="77777777" w:rsidR="0045734C" w:rsidRPr="001E69F2" w:rsidRDefault="0045734C" w:rsidP="000C6741">
      <w:pPr>
        <w:rPr>
          <w:rFonts w:asciiTheme="majorHAnsi" w:hAnsiTheme="majorHAnsi" w:cstheme="majorHAnsi"/>
        </w:rPr>
      </w:pPr>
    </w:p>
    <w:p w14:paraId="68563BE1" w14:textId="16DB9C41" w:rsidR="001264E9" w:rsidRPr="000C6741" w:rsidRDefault="001264E9" w:rsidP="000C6741">
      <w:pPr>
        <w:rPr>
          <w:rFonts w:asciiTheme="majorHAnsi" w:hAnsiTheme="majorHAnsi" w:cstheme="majorHAnsi"/>
        </w:rPr>
      </w:pPr>
      <w:proofErr w:type="spellStart"/>
      <w:r w:rsidRPr="000C6741">
        <w:rPr>
          <w:rFonts w:asciiTheme="majorHAnsi" w:hAnsiTheme="majorHAnsi" w:cstheme="majorHAnsi"/>
        </w:rPr>
        <w:t>Haarhoff</w:t>
      </w:r>
      <w:proofErr w:type="spellEnd"/>
      <w:r w:rsidRPr="000C6741">
        <w:rPr>
          <w:rFonts w:asciiTheme="majorHAnsi" w:hAnsiTheme="majorHAnsi" w:cstheme="majorHAnsi"/>
        </w:rPr>
        <w:t xml:space="preserve">, B. and Thwaites, R. (2016) </w:t>
      </w:r>
      <w:r w:rsidRPr="000C6741">
        <w:rPr>
          <w:rFonts w:asciiTheme="majorHAnsi" w:hAnsiTheme="majorHAnsi" w:cstheme="majorHAnsi"/>
          <w:i/>
          <w:iCs/>
        </w:rPr>
        <w:t>Reflection in CBT</w:t>
      </w:r>
      <w:r w:rsidRPr="000C6741">
        <w:rPr>
          <w:rFonts w:asciiTheme="majorHAnsi" w:hAnsiTheme="majorHAnsi" w:cstheme="majorHAnsi"/>
        </w:rPr>
        <w:t>. 1</w:t>
      </w:r>
      <w:r w:rsidRPr="000C6741">
        <w:rPr>
          <w:rFonts w:asciiTheme="majorHAnsi" w:hAnsiTheme="majorHAnsi" w:cstheme="majorHAnsi"/>
          <w:vertAlign w:val="superscript"/>
        </w:rPr>
        <w:t>st</w:t>
      </w:r>
      <w:r w:rsidRPr="000C6741">
        <w:rPr>
          <w:rFonts w:asciiTheme="majorHAnsi" w:hAnsiTheme="majorHAnsi" w:cstheme="majorHAnsi"/>
        </w:rPr>
        <w:t xml:space="preserve"> </w:t>
      </w:r>
      <w:proofErr w:type="spellStart"/>
      <w:r w:rsidRPr="000C6741">
        <w:rPr>
          <w:rFonts w:asciiTheme="majorHAnsi" w:hAnsiTheme="majorHAnsi" w:cstheme="majorHAnsi"/>
        </w:rPr>
        <w:t>edn</w:t>
      </w:r>
      <w:proofErr w:type="spellEnd"/>
      <w:r w:rsidRPr="000C6741">
        <w:rPr>
          <w:rFonts w:asciiTheme="majorHAnsi" w:hAnsiTheme="majorHAnsi" w:cstheme="majorHAnsi"/>
        </w:rPr>
        <w:t>. Los Angeles: Sage.</w:t>
      </w:r>
    </w:p>
    <w:p w14:paraId="02063119" w14:textId="77777777" w:rsidR="0045734C" w:rsidRPr="00EC098B" w:rsidRDefault="0045734C" w:rsidP="000C6741">
      <w:pPr>
        <w:rPr>
          <w:rFonts w:asciiTheme="majorHAnsi" w:hAnsiTheme="majorHAnsi" w:cstheme="majorHAnsi"/>
        </w:rPr>
      </w:pPr>
    </w:p>
    <w:p w14:paraId="4F441841" w14:textId="42964A7F" w:rsidR="001264E9" w:rsidRPr="000C6741" w:rsidRDefault="001264E9" w:rsidP="000C6741">
      <w:pPr>
        <w:rPr>
          <w:rFonts w:asciiTheme="majorHAnsi" w:hAnsiTheme="majorHAnsi" w:cstheme="majorHAnsi"/>
        </w:rPr>
      </w:pPr>
      <w:r w:rsidRPr="000C6741">
        <w:rPr>
          <w:rFonts w:asciiTheme="majorHAnsi" w:hAnsiTheme="majorHAnsi" w:cstheme="majorHAnsi"/>
        </w:rPr>
        <w:t xml:space="preserve">Karplus, Y. and Meir, A. (2014) ‘From congruent to non-congruent spaces: Dynamics of Bedouin production of space in Israel’, </w:t>
      </w:r>
      <w:proofErr w:type="spellStart"/>
      <w:r w:rsidRPr="000C6741">
        <w:rPr>
          <w:rFonts w:asciiTheme="majorHAnsi" w:hAnsiTheme="majorHAnsi" w:cstheme="majorHAnsi"/>
          <w:i/>
          <w:iCs/>
        </w:rPr>
        <w:t>Geoforum</w:t>
      </w:r>
      <w:proofErr w:type="spellEnd"/>
      <w:r w:rsidRPr="000C6741">
        <w:rPr>
          <w:rFonts w:asciiTheme="majorHAnsi" w:hAnsiTheme="majorHAnsi" w:cstheme="majorHAnsi"/>
        </w:rPr>
        <w:t xml:space="preserve">, 52, pp. 180–192. </w:t>
      </w:r>
    </w:p>
    <w:p w14:paraId="1AB4CFBF" w14:textId="77777777" w:rsidR="0045734C" w:rsidRPr="006E5FA1" w:rsidRDefault="0045734C" w:rsidP="000C6741">
      <w:pPr>
        <w:rPr>
          <w:rFonts w:asciiTheme="majorHAnsi" w:hAnsiTheme="majorHAnsi" w:cstheme="majorHAnsi"/>
        </w:rPr>
      </w:pPr>
    </w:p>
    <w:p w14:paraId="02635693" w14:textId="25928231" w:rsidR="001264E9" w:rsidRPr="000C6741" w:rsidRDefault="001264E9" w:rsidP="000C6741">
      <w:pPr>
        <w:rPr>
          <w:rFonts w:asciiTheme="majorHAnsi" w:hAnsiTheme="majorHAnsi" w:cstheme="majorHAnsi"/>
        </w:rPr>
      </w:pPr>
      <w:r w:rsidRPr="000C6741">
        <w:rPr>
          <w:rFonts w:asciiTheme="majorHAnsi" w:hAnsiTheme="majorHAnsi" w:cstheme="majorHAnsi"/>
        </w:rPr>
        <w:t xml:space="preserve">Lambers, E. and Thorne, B. (1998) </w:t>
      </w:r>
      <w:r w:rsidRPr="000C6741">
        <w:rPr>
          <w:rFonts w:asciiTheme="majorHAnsi" w:hAnsiTheme="majorHAnsi" w:cstheme="majorHAnsi"/>
          <w:i/>
          <w:iCs/>
        </w:rPr>
        <w:t xml:space="preserve">Person-centred </w:t>
      </w:r>
      <w:proofErr w:type="gramStart"/>
      <w:r w:rsidRPr="000C6741">
        <w:rPr>
          <w:rFonts w:asciiTheme="majorHAnsi" w:hAnsiTheme="majorHAnsi" w:cstheme="majorHAnsi"/>
          <w:i/>
          <w:iCs/>
        </w:rPr>
        <w:t>therapy :</w:t>
      </w:r>
      <w:proofErr w:type="gramEnd"/>
      <w:r w:rsidRPr="000C6741">
        <w:rPr>
          <w:rFonts w:asciiTheme="majorHAnsi" w:hAnsiTheme="majorHAnsi" w:cstheme="majorHAnsi"/>
          <w:i/>
          <w:iCs/>
        </w:rPr>
        <w:t xml:space="preserve"> a European perspective</w:t>
      </w:r>
      <w:r w:rsidRPr="000C6741">
        <w:rPr>
          <w:rFonts w:asciiTheme="majorHAnsi" w:hAnsiTheme="majorHAnsi" w:cstheme="majorHAnsi"/>
        </w:rPr>
        <w:t>.3</w:t>
      </w:r>
      <w:r w:rsidRPr="000C6741">
        <w:rPr>
          <w:rFonts w:asciiTheme="majorHAnsi" w:hAnsiTheme="majorHAnsi" w:cstheme="majorHAnsi"/>
          <w:vertAlign w:val="superscript"/>
        </w:rPr>
        <w:t>rd</w:t>
      </w:r>
      <w:r w:rsidRPr="000C6741">
        <w:rPr>
          <w:rFonts w:asciiTheme="majorHAnsi" w:hAnsiTheme="majorHAnsi" w:cstheme="majorHAnsi"/>
        </w:rPr>
        <w:t xml:space="preserve"> </w:t>
      </w:r>
      <w:proofErr w:type="spellStart"/>
      <w:r w:rsidRPr="000C6741">
        <w:rPr>
          <w:rFonts w:asciiTheme="majorHAnsi" w:hAnsiTheme="majorHAnsi" w:cstheme="majorHAnsi"/>
        </w:rPr>
        <w:t>edn</w:t>
      </w:r>
      <w:proofErr w:type="spellEnd"/>
      <w:r w:rsidRPr="000C6741">
        <w:rPr>
          <w:rFonts w:asciiTheme="majorHAnsi" w:hAnsiTheme="majorHAnsi" w:cstheme="majorHAnsi"/>
        </w:rPr>
        <w:t>. London: Sage.</w:t>
      </w:r>
    </w:p>
    <w:p w14:paraId="0099674C" w14:textId="77777777" w:rsidR="0045734C" w:rsidRPr="006F0FE4" w:rsidRDefault="0045734C" w:rsidP="000C6741">
      <w:pPr>
        <w:rPr>
          <w:rFonts w:asciiTheme="majorHAnsi" w:hAnsiTheme="majorHAnsi" w:cstheme="majorHAnsi"/>
        </w:rPr>
      </w:pPr>
    </w:p>
    <w:p w14:paraId="37FCFA87" w14:textId="1A2A26FC" w:rsidR="001264E9" w:rsidRPr="000C6741" w:rsidRDefault="001264E9" w:rsidP="000C6741">
      <w:pPr>
        <w:rPr>
          <w:rFonts w:asciiTheme="majorHAnsi" w:hAnsiTheme="majorHAnsi" w:cstheme="majorHAnsi"/>
        </w:rPr>
      </w:pPr>
      <w:r w:rsidRPr="000C6741">
        <w:rPr>
          <w:rFonts w:asciiTheme="majorHAnsi" w:hAnsiTheme="majorHAnsi" w:cstheme="majorHAnsi"/>
        </w:rPr>
        <w:t xml:space="preserve">Landy, D. (2011) ‘What Incongruent Counterparts Show’, </w:t>
      </w:r>
      <w:r w:rsidRPr="000C6741">
        <w:rPr>
          <w:rFonts w:asciiTheme="majorHAnsi" w:hAnsiTheme="majorHAnsi" w:cstheme="majorHAnsi"/>
          <w:i/>
          <w:iCs/>
        </w:rPr>
        <w:t>European Journal of Philosophy</w:t>
      </w:r>
      <w:r w:rsidRPr="000C6741">
        <w:rPr>
          <w:rFonts w:asciiTheme="majorHAnsi" w:hAnsiTheme="majorHAnsi" w:cstheme="majorHAnsi"/>
        </w:rPr>
        <w:t>, 21(4), pp. 507–524</w:t>
      </w:r>
      <w:r w:rsidR="0045734C" w:rsidRPr="000C6741">
        <w:rPr>
          <w:rFonts w:asciiTheme="majorHAnsi" w:hAnsiTheme="majorHAnsi" w:cstheme="majorHAnsi"/>
        </w:rPr>
        <w:t>.</w:t>
      </w:r>
    </w:p>
    <w:p w14:paraId="5E26558B" w14:textId="77777777" w:rsidR="0045734C" w:rsidRPr="002B3F99" w:rsidRDefault="0045734C" w:rsidP="000C6741">
      <w:pPr>
        <w:rPr>
          <w:rFonts w:asciiTheme="majorHAnsi" w:hAnsiTheme="majorHAnsi" w:cstheme="majorHAnsi"/>
        </w:rPr>
      </w:pPr>
    </w:p>
    <w:p w14:paraId="7F23DE90" w14:textId="7FAC9C55" w:rsidR="001264E9" w:rsidRPr="000C6741" w:rsidRDefault="001264E9" w:rsidP="000C6741">
      <w:pPr>
        <w:rPr>
          <w:rFonts w:asciiTheme="majorHAnsi" w:hAnsiTheme="majorHAnsi" w:cstheme="majorHAnsi"/>
        </w:rPr>
      </w:pPr>
      <w:r w:rsidRPr="000C6741">
        <w:rPr>
          <w:rFonts w:asciiTheme="majorHAnsi" w:hAnsiTheme="majorHAnsi" w:cstheme="majorHAnsi"/>
        </w:rPr>
        <w:t>NHS England (2019) Involving people in their own care, England.nhs.uk. Available at: https://www.england.nhs.uk/ourwork/patient-participation/ (Accessed: 5 April 2022).</w:t>
      </w:r>
    </w:p>
    <w:p w14:paraId="1BF66184" w14:textId="77777777" w:rsidR="0045734C" w:rsidRPr="001264E9" w:rsidRDefault="0045734C" w:rsidP="000C6741">
      <w:pPr>
        <w:rPr>
          <w:rFonts w:asciiTheme="majorHAnsi" w:hAnsiTheme="majorHAnsi" w:cstheme="majorHAnsi"/>
        </w:rPr>
      </w:pPr>
    </w:p>
    <w:p w14:paraId="1E1E4322" w14:textId="5607C983" w:rsidR="001264E9" w:rsidRPr="000C6741" w:rsidRDefault="001264E9" w:rsidP="000C6741">
      <w:pPr>
        <w:rPr>
          <w:rFonts w:asciiTheme="majorHAnsi" w:hAnsiTheme="majorHAnsi" w:cstheme="majorHAnsi"/>
        </w:rPr>
      </w:pPr>
      <w:r w:rsidRPr="000C6741">
        <w:rPr>
          <w:rFonts w:asciiTheme="majorHAnsi" w:hAnsiTheme="majorHAnsi" w:cstheme="majorHAnsi"/>
        </w:rPr>
        <w:t xml:space="preserve">NSW Health (2022) </w:t>
      </w:r>
      <w:r w:rsidRPr="000C6741">
        <w:rPr>
          <w:rFonts w:asciiTheme="majorHAnsi" w:hAnsiTheme="majorHAnsi" w:cstheme="majorHAnsi"/>
          <w:i/>
          <w:iCs/>
        </w:rPr>
        <w:t>What is a person-centred approach? - Principles for effective support</w:t>
      </w:r>
      <w:r w:rsidRPr="000C6741">
        <w:rPr>
          <w:rFonts w:asciiTheme="majorHAnsi" w:hAnsiTheme="majorHAnsi" w:cstheme="majorHAnsi"/>
        </w:rPr>
        <w:t xml:space="preserve">, </w:t>
      </w:r>
      <w:r w:rsidRPr="000C6741">
        <w:rPr>
          <w:rFonts w:asciiTheme="majorHAnsi" w:hAnsiTheme="majorHAnsi" w:cstheme="majorHAnsi"/>
          <w:i/>
          <w:iCs/>
        </w:rPr>
        <w:t>www.health.nsw.gov.au</w:t>
      </w:r>
      <w:r w:rsidRPr="000C6741">
        <w:rPr>
          <w:rFonts w:asciiTheme="majorHAnsi" w:hAnsiTheme="majorHAnsi" w:cstheme="majorHAnsi"/>
        </w:rPr>
        <w:t>. Available at: https://www.health.nsw.gov.au/mentalhealth/psychosocial/principles/Pages/person-centred.aspx#:~:text=A%20person-centred%20approach%3A%201%20supports%20the%20person%2C%20at (Accessed: 30 March 2022).</w:t>
      </w:r>
    </w:p>
    <w:p w14:paraId="03CA8827" w14:textId="77777777" w:rsidR="0045734C" w:rsidRDefault="0045734C" w:rsidP="000C6741">
      <w:pPr>
        <w:rPr>
          <w:rFonts w:asciiTheme="majorHAnsi" w:hAnsiTheme="majorHAnsi" w:cstheme="majorHAnsi"/>
        </w:rPr>
      </w:pPr>
    </w:p>
    <w:p w14:paraId="0A023CE8" w14:textId="0BD5E051" w:rsidR="001264E9" w:rsidRPr="000C6741" w:rsidRDefault="001264E9" w:rsidP="000C6741">
      <w:pPr>
        <w:rPr>
          <w:rFonts w:asciiTheme="majorHAnsi" w:hAnsiTheme="majorHAnsi" w:cstheme="majorHAnsi"/>
        </w:rPr>
      </w:pPr>
      <w:r w:rsidRPr="000C6741">
        <w:rPr>
          <w:rFonts w:asciiTheme="majorHAnsi" w:hAnsiTheme="majorHAnsi" w:cstheme="majorHAnsi"/>
        </w:rPr>
        <w:t xml:space="preserve">Rogers, C. R. (1995) </w:t>
      </w:r>
      <w:r w:rsidRPr="000C6741">
        <w:rPr>
          <w:rFonts w:asciiTheme="majorHAnsi" w:hAnsiTheme="majorHAnsi" w:cstheme="majorHAnsi"/>
          <w:i/>
          <w:iCs/>
        </w:rPr>
        <w:t>A way of being</w:t>
      </w:r>
      <w:r w:rsidRPr="000C6741">
        <w:rPr>
          <w:rFonts w:asciiTheme="majorHAnsi" w:hAnsiTheme="majorHAnsi" w:cstheme="majorHAnsi"/>
        </w:rPr>
        <w:t>.1</w:t>
      </w:r>
      <w:r w:rsidRPr="000C6741">
        <w:rPr>
          <w:rFonts w:asciiTheme="majorHAnsi" w:hAnsiTheme="majorHAnsi" w:cstheme="majorHAnsi"/>
          <w:vertAlign w:val="superscript"/>
        </w:rPr>
        <w:t>st</w:t>
      </w:r>
      <w:r w:rsidRPr="000C6741">
        <w:rPr>
          <w:rFonts w:asciiTheme="majorHAnsi" w:hAnsiTheme="majorHAnsi" w:cstheme="majorHAnsi"/>
        </w:rPr>
        <w:t xml:space="preserve"> </w:t>
      </w:r>
      <w:proofErr w:type="spellStart"/>
      <w:r w:rsidRPr="000C6741">
        <w:rPr>
          <w:rFonts w:asciiTheme="majorHAnsi" w:hAnsiTheme="majorHAnsi" w:cstheme="majorHAnsi"/>
        </w:rPr>
        <w:t>edn</w:t>
      </w:r>
      <w:proofErr w:type="spellEnd"/>
      <w:r w:rsidRPr="000C6741">
        <w:rPr>
          <w:rFonts w:asciiTheme="majorHAnsi" w:hAnsiTheme="majorHAnsi" w:cstheme="majorHAnsi"/>
        </w:rPr>
        <w:t>. Boston: Houghton Mifflin Co.</w:t>
      </w:r>
    </w:p>
    <w:p w14:paraId="270B33FB" w14:textId="77777777" w:rsidR="0045734C" w:rsidRDefault="0045734C" w:rsidP="000C6741">
      <w:pPr>
        <w:rPr>
          <w:rFonts w:asciiTheme="majorHAnsi" w:hAnsiTheme="majorHAnsi" w:cstheme="majorHAnsi"/>
        </w:rPr>
      </w:pPr>
    </w:p>
    <w:p w14:paraId="12E743AF" w14:textId="77777777" w:rsidR="001264E9" w:rsidRPr="00663D66" w:rsidRDefault="001264E9" w:rsidP="000C6741">
      <w:pPr>
        <w:pStyle w:val="NormalWeb"/>
        <w:spacing w:before="0" w:beforeAutospacing="0" w:after="240" w:afterAutospacing="0" w:line="360" w:lineRule="auto"/>
        <w:rPr>
          <w:rFonts w:asciiTheme="majorHAnsi" w:hAnsiTheme="majorHAnsi" w:cstheme="majorBidi"/>
        </w:rPr>
      </w:pPr>
      <w:r w:rsidRPr="0033ADB2">
        <w:rPr>
          <w:rFonts w:asciiTheme="majorHAnsi" w:hAnsiTheme="majorHAnsi" w:cstheme="majorBidi"/>
        </w:rPr>
        <w:lastRenderedPageBreak/>
        <w:t xml:space="preserve">Spencer, M. and </w:t>
      </w:r>
      <w:proofErr w:type="spellStart"/>
      <w:r w:rsidRPr="0033ADB2">
        <w:rPr>
          <w:rFonts w:asciiTheme="majorHAnsi" w:hAnsiTheme="majorHAnsi" w:cstheme="majorBidi"/>
        </w:rPr>
        <w:t>Puntoni</w:t>
      </w:r>
      <w:proofErr w:type="spellEnd"/>
      <w:r w:rsidRPr="0033ADB2">
        <w:rPr>
          <w:rFonts w:asciiTheme="majorHAnsi" w:hAnsiTheme="majorHAnsi" w:cstheme="majorBidi"/>
        </w:rPr>
        <w:t>, S</w:t>
      </w:r>
      <w:r w:rsidRPr="00663D66">
        <w:rPr>
          <w:rFonts w:asciiTheme="majorHAnsi" w:hAnsiTheme="majorHAnsi" w:cstheme="majorBidi"/>
          <w:color w:val="000000" w:themeColor="text1"/>
        </w:rPr>
        <w:t xml:space="preserve">. (2015) </w:t>
      </w:r>
      <w:r w:rsidRPr="0033ADB2">
        <w:rPr>
          <w:rFonts w:asciiTheme="majorHAnsi" w:hAnsiTheme="majorHAnsi" w:cstheme="majorBidi"/>
          <w:i/>
          <w:iCs/>
        </w:rPr>
        <w:t xml:space="preserve">Listening and learning to improve the experience of </w:t>
      </w:r>
      <w:proofErr w:type="gramStart"/>
      <w:r w:rsidRPr="0033ADB2">
        <w:rPr>
          <w:rFonts w:asciiTheme="majorHAnsi" w:hAnsiTheme="majorHAnsi" w:cstheme="majorBidi"/>
          <w:i/>
          <w:iCs/>
        </w:rPr>
        <w:t>care :</w:t>
      </w:r>
      <w:proofErr w:type="gramEnd"/>
      <w:r w:rsidRPr="0033ADB2">
        <w:rPr>
          <w:rFonts w:asciiTheme="majorHAnsi" w:hAnsiTheme="majorHAnsi" w:cstheme="majorBidi"/>
          <w:i/>
          <w:iCs/>
        </w:rPr>
        <w:t xml:space="preserve"> Understanding what it feels like to use services in NHS Wales</w:t>
      </w:r>
      <w:r w:rsidRPr="0033ADB2">
        <w:rPr>
          <w:rFonts w:asciiTheme="majorHAnsi" w:hAnsiTheme="majorHAnsi" w:cstheme="majorBidi"/>
        </w:rPr>
        <w:t>.</w:t>
      </w:r>
      <w:r>
        <w:rPr>
          <w:rFonts w:asciiTheme="majorHAnsi" w:hAnsiTheme="majorHAnsi" w:cstheme="majorBidi"/>
        </w:rPr>
        <w:t xml:space="preserve"> 1</w:t>
      </w:r>
      <w:r w:rsidRPr="00663D66">
        <w:rPr>
          <w:rFonts w:asciiTheme="majorHAnsi" w:hAnsiTheme="majorHAnsi" w:cstheme="majorBidi"/>
          <w:vertAlign w:val="superscript"/>
        </w:rPr>
        <w:t>st</w:t>
      </w:r>
      <w:r>
        <w:rPr>
          <w:rFonts w:asciiTheme="majorHAnsi" w:hAnsiTheme="majorHAnsi" w:cstheme="majorBidi"/>
        </w:rPr>
        <w:t xml:space="preserve"> </w:t>
      </w:r>
      <w:proofErr w:type="spellStart"/>
      <w:r>
        <w:rPr>
          <w:rFonts w:asciiTheme="majorHAnsi" w:hAnsiTheme="majorHAnsi" w:cstheme="majorBidi"/>
        </w:rPr>
        <w:t>edn</w:t>
      </w:r>
      <w:proofErr w:type="spellEnd"/>
      <w:r>
        <w:rPr>
          <w:rFonts w:asciiTheme="majorHAnsi" w:hAnsiTheme="majorHAnsi" w:cstheme="majorBidi"/>
        </w:rPr>
        <w:t>.</w:t>
      </w:r>
      <w:r w:rsidRPr="0033ADB2">
        <w:rPr>
          <w:rFonts w:asciiTheme="majorHAnsi" w:hAnsiTheme="majorHAnsi" w:cstheme="majorBidi"/>
        </w:rPr>
        <w:t xml:space="preserve"> Cardiff: Lives Improvement.</w:t>
      </w:r>
    </w:p>
    <w:p w14:paraId="4D1C5B47" w14:textId="05C0E80F" w:rsidR="001264E9" w:rsidRPr="000C6741" w:rsidRDefault="001264E9" w:rsidP="000C6741">
      <w:pPr>
        <w:rPr>
          <w:rFonts w:asciiTheme="majorHAnsi" w:hAnsiTheme="majorHAnsi" w:cstheme="majorHAnsi"/>
        </w:rPr>
      </w:pPr>
      <w:r w:rsidRPr="000C6741">
        <w:rPr>
          <w:rFonts w:asciiTheme="majorHAnsi" w:hAnsiTheme="majorHAnsi" w:cstheme="majorHAnsi"/>
        </w:rPr>
        <w:t xml:space="preserve">Webster, J. (2018) ‘The Handbook of Person-Centred Therapy and Mental Health’, </w:t>
      </w:r>
      <w:r w:rsidRPr="000C6741">
        <w:rPr>
          <w:rFonts w:asciiTheme="majorHAnsi" w:hAnsiTheme="majorHAnsi" w:cstheme="majorHAnsi"/>
          <w:i/>
          <w:iCs/>
        </w:rPr>
        <w:t>Nursing Older People</w:t>
      </w:r>
      <w:r w:rsidRPr="000C6741">
        <w:rPr>
          <w:rFonts w:asciiTheme="majorHAnsi" w:hAnsiTheme="majorHAnsi" w:cstheme="majorHAnsi"/>
        </w:rPr>
        <w:t xml:space="preserve">, 30(4), pp. 15–15. </w:t>
      </w:r>
    </w:p>
    <w:p w14:paraId="549348DC" w14:textId="77777777" w:rsidR="000C6741" w:rsidRPr="002D2A75" w:rsidRDefault="000C6741" w:rsidP="000C6741">
      <w:pPr>
        <w:rPr>
          <w:rFonts w:asciiTheme="majorHAnsi" w:hAnsiTheme="majorHAnsi" w:cstheme="majorHAnsi"/>
        </w:rPr>
      </w:pPr>
    </w:p>
    <w:p w14:paraId="53E6904D" w14:textId="77777777" w:rsidR="001264E9" w:rsidRPr="000C6741" w:rsidRDefault="001264E9" w:rsidP="000C6741">
      <w:pPr>
        <w:rPr>
          <w:rFonts w:asciiTheme="majorHAnsi" w:hAnsiTheme="majorHAnsi" w:cstheme="majorHAnsi"/>
        </w:rPr>
      </w:pPr>
      <w:proofErr w:type="spellStart"/>
      <w:r w:rsidRPr="000C6741">
        <w:rPr>
          <w:rFonts w:asciiTheme="majorHAnsi" w:hAnsiTheme="majorHAnsi" w:cstheme="majorHAnsi"/>
        </w:rPr>
        <w:t>Willson</w:t>
      </w:r>
      <w:proofErr w:type="spellEnd"/>
      <w:r w:rsidRPr="000C6741">
        <w:rPr>
          <w:rFonts w:asciiTheme="majorHAnsi" w:hAnsiTheme="majorHAnsi" w:cstheme="majorHAnsi"/>
        </w:rPr>
        <w:t xml:space="preserve">, R. (2019) </w:t>
      </w:r>
      <w:r w:rsidRPr="000C6741">
        <w:rPr>
          <w:rFonts w:asciiTheme="majorHAnsi" w:hAnsiTheme="majorHAnsi" w:cstheme="majorHAnsi"/>
          <w:i/>
          <w:iCs/>
        </w:rPr>
        <w:t xml:space="preserve">Cognitive </w:t>
      </w:r>
      <w:proofErr w:type="spellStart"/>
      <w:r w:rsidRPr="000C6741">
        <w:rPr>
          <w:rFonts w:asciiTheme="majorHAnsi" w:hAnsiTheme="majorHAnsi" w:cstheme="majorHAnsi"/>
          <w:i/>
          <w:iCs/>
        </w:rPr>
        <w:t>behavioral</w:t>
      </w:r>
      <w:proofErr w:type="spellEnd"/>
      <w:r w:rsidRPr="000C6741">
        <w:rPr>
          <w:rFonts w:asciiTheme="majorHAnsi" w:hAnsiTheme="majorHAnsi" w:cstheme="majorHAnsi"/>
          <w:i/>
          <w:iCs/>
        </w:rPr>
        <w:t xml:space="preserve"> therapy for dummies</w:t>
      </w:r>
      <w:r w:rsidRPr="000C6741">
        <w:rPr>
          <w:rFonts w:asciiTheme="majorHAnsi" w:hAnsiTheme="majorHAnsi" w:cstheme="majorHAnsi"/>
        </w:rPr>
        <w:t>. 2</w:t>
      </w:r>
      <w:r w:rsidRPr="000C6741">
        <w:rPr>
          <w:rFonts w:asciiTheme="majorHAnsi" w:hAnsiTheme="majorHAnsi" w:cstheme="majorHAnsi"/>
          <w:vertAlign w:val="superscript"/>
        </w:rPr>
        <w:t>nd</w:t>
      </w:r>
      <w:r w:rsidRPr="000C6741">
        <w:rPr>
          <w:rFonts w:asciiTheme="majorHAnsi" w:hAnsiTheme="majorHAnsi" w:cstheme="majorHAnsi"/>
        </w:rPr>
        <w:t xml:space="preserve"> </w:t>
      </w:r>
      <w:proofErr w:type="spellStart"/>
      <w:r w:rsidRPr="000C6741">
        <w:rPr>
          <w:rFonts w:asciiTheme="majorHAnsi" w:hAnsiTheme="majorHAnsi" w:cstheme="majorHAnsi"/>
        </w:rPr>
        <w:t>edn</w:t>
      </w:r>
      <w:proofErr w:type="spellEnd"/>
      <w:r w:rsidRPr="000C6741">
        <w:rPr>
          <w:rFonts w:asciiTheme="majorHAnsi" w:hAnsiTheme="majorHAnsi" w:cstheme="majorHAnsi"/>
        </w:rPr>
        <w:t>, New York: John Wiley.</w:t>
      </w:r>
    </w:p>
    <w:sectPr w:rsidR="001264E9" w:rsidRPr="000C6741" w:rsidSect="00B1430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5E26EA"/>
    <w:multiLevelType w:val="hybridMultilevel"/>
    <w:tmpl w:val="2BBE8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F76"/>
    <w:rsid w:val="00017A28"/>
    <w:rsid w:val="00067F87"/>
    <w:rsid w:val="0009766F"/>
    <w:rsid w:val="000C6741"/>
    <w:rsid w:val="000D2291"/>
    <w:rsid w:val="001264E9"/>
    <w:rsid w:val="00132F5F"/>
    <w:rsid w:val="00152F2F"/>
    <w:rsid w:val="001D1BCB"/>
    <w:rsid w:val="001D4EE5"/>
    <w:rsid w:val="001E1087"/>
    <w:rsid w:val="001E69F2"/>
    <w:rsid w:val="00220E53"/>
    <w:rsid w:val="00224605"/>
    <w:rsid w:val="00277EC6"/>
    <w:rsid w:val="002923E2"/>
    <w:rsid w:val="00293632"/>
    <w:rsid w:val="002B3F99"/>
    <w:rsid w:val="002D2A75"/>
    <w:rsid w:val="002F2AD4"/>
    <w:rsid w:val="00301A16"/>
    <w:rsid w:val="00305065"/>
    <w:rsid w:val="00327CD8"/>
    <w:rsid w:val="00331284"/>
    <w:rsid w:val="00335AF5"/>
    <w:rsid w:val="0033ADB2"/>
    <w:rsid w:val="00392A50"/>
    <w:rsid w:val="003A7F22"/>
    <w:rsid w:val="003C4FA2"/>
    <w:rsid w:val="003E1FD6"/>
    <w:rsid w:val="00446D37"/>
    <w:rsid w:val="0045031E"/>
    <w:rsid w:val="0045332C"/>
    <w:rsid w:val="0045734C"/>
    <w:rsid w:val="004A5547"/>
    <w:rsid w:val="004B6030"/>
    <w:rsid w:val="004C31DB"/>
    <w:rsid w:val="004D2651"/>
    <w:rsid w:val="00537CF1"/>
    <w:rsid w:val="00567E36"/>
    <w:rsid w:val="00580354"/>
    <w:rsid w:val="00581741"/>
    <w:rsid w:val="005B1322"/>
    <w:rsid w:val="005C0819"/>
    <w:rsid w:val="005E070F"/>
    <w:rsid w:val="005E201E"/>
    <w:rsid w:val="0060138D"/>
    <w:rsid w:val="006041FA"/>
    <w:rsid w:val="00613FE7"/>
    <w:rsid w:val="00635CC6"/>
    <w:rsid w:val="00636CDE"/>
    <w:rsid w:val="00636FF8"/>
    <w:rsid w:val="006474D7"/>
    <w:rsid w:val="00663D66"/>
    <w:rsid w:val="00677DE2"/>
    <w:rsid w:val="006E5FA1"/>
    <w:rsid w:val="006F0FE4"/>
    <w:rsid w:val="00712C48"/>
    <w:rsid w:val="00742666"/>
    <w:rsid w:val="007529DB"/>
    <w:rsid w:val="0076448C"/>
    <w:rsid w:val="00776F76"/>
    <w:rsid w:val="00790D81"/>
    <w:rsid w:val="007E3C7C"/>
    <w:rsid w:val="007E5A7E"/>
    <w:rsid w:val="00800D4A"/>
    <w:rsid w:val="00800EEF"/>
    <w:rsid w:val="008157BB"/>
    <w:rsid w:val="00824BEC"/>
    <w:rsid w:val="00842DA3"/>
    <w:rsid w:val="00862F26"/>
    <w:rsid w:val="008703E0"/>
    <w:rsid w:val="008A76DB"/>
    <w:rsid w:val="008B4444"/>
    <w:rsid w:val="008C2A87"/>
    <w:rsid w:val="0091363C"/>
    <w:rsid w:val="0091605E"/>
    <w:rsid w:val="00920FAC"/>
    <w:rsid w:val="00940B57"/>
    <w:rsid w:val="00940C54"/>
    <w:rsid w:val="009638CD"/>
    <w:rsid w:val="0096532A"/>
    <w:rsid w:val="00971BBE"/>
    <w:rsid w:val="00977C5B"/>
    <w:rsid w:val="00980DA1"/>
    <w:rsid w:val="00982695"/>
    <w:rsid w:val="00986F54"/>
    <w:rsid w:val="00994315"/>
    <w:rsid w:val="009B6776"/>
    <w:rsid w:val="009C7F89"/>
    <w:rsid w:val="009E04C9"/>
    <w:rsid w:val="00A35A28"/>
    <w:rsid w:val="00A8787B"/>
    <w:rsid w:val="00AB7ADC"/>
    <w:rsid w:val="00AB7D2B"/>
    <w:rsid w:val="00AE35B2"/>
    <w:rsid w:val="00AF5A34"/>
    <w:rsid w:val="00B1430E"/>
    <w:rsid w:val="00B235AC"/>
    <w:rsid w:val="00B238C7"/>
    <w:rsid w:val="00B77265"/>
    <w:rsid w:val="00B92E1C"/>
    <w:rsid w:val="00BE3BB8"/>
    <w:rsid w:val="00C0352B"/>
    <w:rsid w:val="00C1219F"/>
    <w:rsid w:val="00C20D75"/>
    <w:rsid w:val="00C22320"/>
    <w:rsid w:val="00C50AD2"/>
    <w:rsid w:val="00C8035E"/>
    <w:rsid w:val="00C9241D"/>
    <w:rsid w:val="00C93F91"/>
    <w:rsid w:val="00C960EF"/>
    <w:rsid w:val="00CB00EB"/>
    <w:rsid w:val="00CB3918"/>
    <w:rsid w:val="00CC4141"/>
    <w:rsid w:val="00CD60E8"/>
    <w:rsid w:val="00CE2F9E"/>
    <w:rsid w:val="00CE575E"/>
    <w:rsid w:val="00CE5EEF"/>
    <w:rsid w:val="00CE7021"/>
    <w:rsid w:val="00D34689"/>
    <w:rsid w:val="00D552A6"/>
    <w:rsid w:val="00D80657"/>
    <w:rsid w:val="00DE3877"/>
    <w:rsid w:val="00E07810"/>
    <w:rsid w:val="00E12EF9"/>
    <w:rsid w:val="00E31B6F"/>
    <w:rsid w:val="00E53395"/>
    <w:rsid w:val="00E65178"/>
    <w:rsid w:val="00E9010D"/>
    <w:rsid w:val="00EA0269"/>
    <w:rsid w:val="00EC098B"/>
    <w:rsid w:val="00EE63E1"/>
    <w:rsid w:val="00EF17CD"/>
    <w:rsid w:val="00F0520F"/>
    <w:rsid w:val="00F12A88"/>
    <w:rsid w:val="00F259A1"/>
    <w:rsid w:val="00F96CA2"/>
    <w:rsid w:val="00FC5B25"/>
    <w:rsid w:val="00FE2CAE"/>
    <w:rsid w:val="00FF1571"/>
    <w:rsid w:val="03EFDE82"/>
    <w:rsid w:val="08FD64B1"/>
    <w:rsid w:val="092CF2E4"/>
    <w:rsid w:val="0CBE2A03"/>
    <w:rsid w:val="132D6B87"/>
    <w:rsid w:val="1497AADF"/>
    <w:rsid w:val="15DBE7B9"/>
    <w:rsid w:val="2BF7AAC3"/>
    <w:rsid w:val="2EF0E05B"/>
    <w:rsid w:val="2F47B431"/>
    <w:rsid w:val="30949E42"/>
    <w:rsid w:val="33031BB3"/>
    <w:rsid w:val="33198189"/>
    <w:rsid w:val="33CC3F04"/>
    <w:rsid w:val="341B2554"/>
    <w:rsid w:val="359E8D09"/>
    <w:rsid w:val="35B6F5B5"/>
    <w:rsid w:val="39725D37"/>
    <w:rsid w:val="3D73214A"/>
    <w:rsid w:val="3F0EF1AB"/>
    <w:rsid w:val="466F339B"/>
    <w:rsid w:val="48DDB10C"/>
    <w:rsid w:val="4E7A4580"/>
    <w:rsid w:val="4FFFB00B"/>
    <w:rsid w:val="58F13A88"/>
    <w:rsid w:val="59B99E28"/>
    <w:rsid w:val="5B4262B2"/>
    <w:rsid w:val="5E2EB391"/>
    <w:rsid w:val="5EB86E9E"/>
    <w:rsid w:val="5F549E0A"/>
    <w:rsid w:val="60A9E3E5"/>
    <w:rsid w:val="61F00F60"/>
    <w:rsid w:val="643E7503"/>
    <w:rsid w:val="6527B022"/>
    <w:rsid w:val="68462887"/>
    <w:rsid w:val="6B474BA5"/>
    <w:rsid w:val="6B7DC949"/>
    <w:rsid w:val="6C332112"/>
    <w:rsid w:val="6C8FDE9D"/>
    <w:rsid w:val="72A26296"/>
    <w:rsid w:val="74EB6B64"/>
    <w:rsid w:val="74EE2DEB"/>
    <w:rsid w:val="75D740D1"/>
    <w:rsid w:val="7ED61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02561"/>
  <w15:chartTrackingRefBased/>
  <w15:docId w15:val="{6A34260A-8902-4485-BE90-0998FB1B5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13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B143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430E"/>
    <w:rPr>
      <w:rFonts w:eastAsiaTheme="minorEastAsia"/>
      <w:lang w:val="en-US"/>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0C67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286033">
      <w:bodyDiv w:val="1"/>
      <w:marLeft w:val="0"/>
      <w:marRight w:val="0"/>
      <w:marTop w:val="0"/>
      <w:marBottom w:val="0"/>
      <w:divBdr>
        <w:top w:val="none" w:sz="0" w:space="0" w:color="auto"/>
        <w:left w:val="none" w:sz="0" w:space="0" w:color="auto"/>
        <w:bottom w:val="none" w:sz="0" w:space="0" w:color="auto"/>
        <w:right w:val="none" w:sz="0" w:space="0" w:color="auto"/>
      </w:divBdr>
      <w:divsChild>
        <w:div w:id="1172180102">
          <w:marLeft w:val="0"/>
          <w:marRight w:val="0"/>
          <w:marTop w:val="0"/>
          <w:marBottom w:val="0"/>
          <w:divBdr>
            <w:top w:val="none" w:sz="0" w:space="0" w:color="auto"/>
            <w:left w:val="none" w:sz="0" w:space="0" w:color="auto"/>
            <w:bottom w:val="none" w:sz="0" w:space="0" w:color="auto"/>
            <w:right w:val="none" w:sz="0" w:space="0" w:color="auto"/>
          </w:divBdr>
        </w:div>
      </w:divsChild>
    </w:div>
    <w:div w:id="560485157">
      <w:bodyDiv w:val="1"/>
      <w:marLeft w:val="0"/>
      <w:marRight w:val="0"/>
      <w:marTop w:val="0"/>
      <w:marBottom w:val="0"/>
      <w:divBdr>
        <w:top w:val="none" w:sz="0" w:space="0" w:color="auto"/>
        <w:left w:val="none" w:sz="0" w:space="0" w:color="auto"/>
        <w:bottom w:val="none" w:sz="0" w:space="0" w:color="auto"/>
        <w:right w:val="none" w:sz="0" w:space="0" w:color="auto"/>
      </w:divBdr>
      <w:divsChild>
        <w:div w:id="1119180810">
          <w:marLeft w:val="0"/>
          <w:marRight w:val="0"/>
          <w:marTop w:val="0"/>
          <w:marBottom w:val="0"/>
          <w:divBdr>
            <w:top w:val="none" w:sz="0" w:space="0" w:color="auto"/>
            <w:left w:val="none" w:sz="0" w:space="0" w:color="auto"/>
            <w:bottom w:val="none" w:sz="0" w:space="0" w:color="auto"/>
            <w:right w:val="none" w:sz="0" w:space="0" w:color="auto"/>
          </w:divBdr>
        </w:div>
      </w:divsChild>
    </w:div>
    <w:div w:id="638807769">
      <w:bodyDiv w:val="1"/>
      <w:marLeft w:val="0"/>
      <w:marRight w:val="0"/>
      <w:marTop w:val="0"/>
      <w:marBottom w:val="0"/>
      <w:divBdr>
        <w:top w:val="none" w:sz="0" w:space="0" w:color="auto"/>
        <w:left w:val="none" w:sz="0" w:space="0" w:color="auto"/>
        <w:bottom w:val="none" w:sz="0" w:space="0" w:color="auto"/>
        <w:right w:val="none" w:sz="0" w:space="0" w:color="auto"/>
      </w:divBdr>
      <w:divsChild>
        <w:div w:id="1420444087">
          <w:marLeft w:val="0"/>
          <w:marRight w:val="0"/>
          <w:marTop w:val="0"/>
          <w:marBottom w:val="0"/>
          <w:divBdr>
            <w:top w:val="none" w:sz="0" w:space="0" w:color="auto"/>
            <w:left w:val="none" w:sz="0" w:space="0" w:color="auto"/>
            <w:bottom w:val="none" w:sz="0" w:space="0" w:color="auto"/>
            <w:right w:val="none" w:sz="0" w:space="0" w:color="auto"/>
          </w:divBdr>
        </w:div>
      </w:divsChild>
    </w:div>
    <w:div w:id="718747750">
      <w:bodyDiv w:val="1"/>
      <w:marLeft w:val="0"/>
      <w:marRight w:val="0"/>
      <w:marTop w:val="0"/>
      <w:marBottom w:val="0"/>
      <w:divBdr>
        <w:top w:val="none" w:sz="0" w:space="0" w:color="auto"/>
        <w:left w:val="none" w:sz="0" w:space="0" w:color="auto"/>
        <w:bottom w:val="none" w:sz="0" w:space="0" w:color="auto"/>
        <w:right w:val="none" w:sz="0" w:space="0" w:color="auto"/>
      </w:divBdr>
      <w:divsChild>
        <w:div w:id="1451976379">
          <w:marLeft w:val="0"/>
          <w:marRight w:val="0"/>
          <w:marTop w:val="0"/>
          <w:marBottom w:val="0"/>
          <w:divBdr>
            <w:top w:val="none" w:sz="0" w:space="0" w:color="auto"/>
            <w:left w:val="none" w:sz="0" w:space="0" w:color="auto"/>
            <w:bottom w:val="none" w:sz="0" w:space="0" w:color="auto"/>
            <w:right w:val="none" w:sz="0" w:space="0" w:color="auto"/>
          </w:divBdr>
        </w:div>
      </w:divsChild>
    </w:div>
    <w:div w:id="729311356">
      <w:bodyDiv w:val="1"/>
      <w:marLeft w:val="0"/>
      <w:marRight w:val="0"/>
      <w:marTop w:val="0"/>
      <w:marBottom w:val="0"/>
      <w:divBdr>
        <w:top w:val="none" w:sz="0" w:space="0" w:color="auto"/>
        <w:left w:val="none" w:sz="0" w:space="0" w:color="auto"/>
        <w:bottom w:val="none" w:sz="0" w:space="0" w:color="auto"/>
        <w:right w:val="none" w:sz="0" w:space="0" w:color="auto"/>
      </w:divBdr>
      <w:divsChild>
        <w:div w:id="1039742167">
          <w:marLeft w:val="0"/>
          <w:marRight w:val="0"/>
          <w:marTop w:val="0"/>
          <w:marBottom w:val="0"/>
          <w:divBdr>
            <w:top w:val="none" w:sz="0" w:space="0" w:color="auto"/>
            <w:left w:val="none" w:sz="0" w:space="0" w:color="auto"/>
            <w:bottom w:val="none" w:sz="0" w:space="0" w:color="auto"/>
            <w:right w:val="none" w:sz="0" w:space="0" w:color="auto"/>
          </w:divBdr>
        </w:div>
      </w:divsChild>
    </w:div>
    <w:div w:id="896205036">
      <w:bodyDiv w:val="1"/>
      <w:marLeft w:val="0"/>
      <w:marRight w:val="0"/>
      <w:marTop w:val="0"/>
      <w:marBottom w:val="0"/>
      <w:divBdr>
        <w:top w:val="none" w:sz="0" w:space="0" w:color="auto"/>
        <w:left w:val="none" w:sz="0" w:space="0" w:color="auto"/>
        <w:bottom w:val="none" w:sz="0" w:space="0" w:color="auto"/>
        <w:right w:val="none" w:sz="0" w:space="0" w:color="auto"/>
      </w:divBdr>
      <w:divsChild>
        <w:div w:id="1259603212">
          <w:marLeft w:val="0"/>
          <w:marRight w:val="0"/>
          <w:marTop w:val="0"/>
          <w:marBottom w:val="0"/>
          <w:divBdr>
            <w:top w:val="none" w:sz="0" w:space="0" w:color="auto"/>
            <w:left w:val="none" w:sz="0" w:space="0" w:color="auto"/>
            <w:bottom w:val="none" w:sz="0" w:space="0" w:color="auto"/>
            <w:right w:val="none" w:sz="0" w:space="0" w:color="auto"/>
          </w:divBdr>
        </w:div>
      </w:divsChild>
    </w:div>
    <w:div w:id="1048645871">
      <w:bodyDiv w:val="1"/>
      <w:marLeft w:val="0"/>
      <w:marRight w:val="0"/>
      <w:marTop w:val="0"/>
      <w:marBottom w:val="0"/>
      <w:divBdr>
        <w:top w:val="none" w:sz="0" w:space="0" w:color="auto"/>
        <w:left w:val="none" w:sz="0" w:space="0" w:color="auto"/>
        <w:bottom w:val="none" w:sz="0" w:space="0" w:color="auto"/>
        <w:right w:val="none" w:sz="0" w:space="0" w:color="auto"/>
      </w:divBdr>
      <w:divsChild>
        <w:div w:id="284309189">
          <w:marLeft w:val="0"/>
          <w:marRight w:val="0"/>
          <w:marTop w:val="0"/>
          <w:marBottom w:val="0"/>
          <w:divBdr>
            <w:top w:val="none" w:sz="0" w:space="0" w:color="auto"/>
            <w:left w:val="none" w:sz="0" w:space="0" w:color="auto"/>
            <w:bottom w:val="none" w:sz="0" w:space="0" w:color="auto"/>
            <w:right w:val="none" w:sz="0" w:space="0" w:color="auto"/>
          </w:divBdr>
        </w:div>
      </w:divsChild>
    </w:div>
    <w:div w:id="1105883005">
      <w:bodyDiv w:val="1"/>
      <w:marLeft w:val="0"/>
      <w:marRight w:val="0"/>
      <w:marTop w:val="0"/>
      <w:marBottom w:val="0"/>
      <w:divBdr>
        <w:top w:val="none" w:sz="0" w:space="0" w:color="auto"/>
        <w:left w:val="none" w:sz="0" w:space="0" w:color="auto"/>
        <w:bottom w:val="none" w:sz="0" w:space="0" w:color="auto"/>
        <w:right w:val="none" w:sz="0" w:space="0" w:color="auto"/>
      </w:divBdr>
      <w:divsChild>
        <w:div w:id="1220166352">
          <w:marLeft w:val="0"/>
          <w:marRight w:val="0"/>
          <w:marTop w:val="0"/>
          <w:marBottom w:val="0"/>
          <w:divBdr>
            <w:top w:val="none" w:sz="0" w:space="0" w:color="auto"/>
            <w:left w:val="none" w:sz="0" w:space="0" w:color="auto"/>
            <w:bottom w:val="none" w:sz="0" w:space="0" w:color="auto"/>
            <w:right w:val="none" w:sz="0" w:space="0" w:color="auto"/>
          </w:divBdr>
        </w:div>
      </w:divsChild>
    </w:div>
    <w:div w:id="1258946732">
      <w:bodyDiv w:val="1"/>
      <w:marLeft w:val="0"/>
      <w:marRight w:val="0"/>
      <w:marTop w:val="0"/>
      <w:marBottom w:val="0"/>
      <w:divBdr>
        <w:top w:val="none" w:sz="0" w:space="0" w:color="auto"/>
        <w:left w:val="none" w:sz="0" w:space="0" w:color="auto"/>
        <w:bottom w:val="none" w:sz="0" w:space="0" w:color="auto"/>
        <w:right w:val="none" w:sz="0" w:space="0" w:color="auto"/>
      </w:divBdr>
      <w:divsChild>
        <w:div w:id="732583977">
          <w:marLeft w:val="0"/>
          <w:marRight w:val="0"/>
          <w:marTop w:val="0"/>
          <w:marBottom w:val="0"/>
          <w:divBdr>
            <w:top w:val="none" w:sz="0" w:space="0" w:color="auto"/>
            <w:left w:val="none" w:sz="0" w:space="0" w:color="auto"/>
            <w:bottom w:val="none" w:sz="0" w:space="0" w:color="auto"/>
            <w:right w:val="none" w:sz="0" w:space="0" w:color="auto"/>
          </w:divBdr>
        </w:div>
      </w:divsChild>
    </w:div>
    <w:div w:id="1433815063">
      <w:bodyDiv w:val="1"/>
      <w:marLeft w:val="0"/>
      <w:marRight w:val="0"/>
      <w:marTop w:val="0"/>
      <w:marBottom w:val="0"/>
      <w:divBdr>
        <w:top w:val="none" w:sz="0" w:space="0" w:color="auto"/>
        <w:left w:val="none" w:sz="0" w:space="0" w:color="auto"/>
        <w:bottom w:val="none" w:sz="0" w:space="0" w:color="auto"/>
        <w:right w:val="none" w:sz="0" w:space="0" w:color="auto"/>
      </w:divBdr>
      <w:divsChild>
        <w:div w:id="692848202">
          <w:marLeft w:val="0"/>
          <w:marRight w:val="0"/>
          <w:marTop w:val="0"/>
          <w:marBottom w:val="0"/>
          <w:divBdr>
            <w:top w:val="none" w:sz="0" w:space="0" w:color="auto"/>
            <w:left w:val="none" w:sz="0" w:space="0" w:color="auto"/>
            <w:bottom w:val="none" w:sz="0" w:space="0" w:color="auto"/>
            <w:right w:val="none" w:sz="0" w:space="0" w:color="auto"/>
          </w:divBdr>
        </w:div>
      </w:divsChild>
    </w:div>
    <w:div w:id="1897546152">
      <w:bodyDiv w:val="1"/>
      <w:marLeft w:val="0"/>
      <w:marRight w:val="0"/>
      <w:marTop w:val="0"/>
      <w:marBottom w:val="0"/>
      <w:divBdr>
        <w:top w:val="none" w:sz="0" w:space="0" w:color="auto"/>
        <w:left w:val="none" w:sz="0" w:space="0" w:color="auto"/>
        <w:bottom w:val="none" w:sz="0" w:space="0" w:color="auto"/>
        <w:right w:val="none" w:sz="0" w:space="0" w:color="auto"/>
      </w:divBdr>
      <w:divsChild>
        <w:div w:id="225382524">
          <w:marLeft w:val="0"/>
          <w:marRight w:val="0"/>
          <w:marTop w:val="0"/>
          <w:marBottom w:val="0"/>
          <w:divBdr>
            <w:top w:val="none" w:sz="0" w:space="0" w:color="auto"/>
            <w:left w:val="none" w:sz="0" w:space="0" w:color="auto"/>
            <w:bottom w:val="none" w:sz="0" w:space="0" w:color="auto"/>
            <w:right w:val="none" w:sz="0" w:space="0" w:color="auto"/>
          </w:divBdr>
        </w:div>
      </w:divsChild>
    </w:div>
    <w:div w:id="2069376062">
      <w:bodyDiv w:val="1"/>
      <w:marLeft w:val="0"/>
      <w:marRight w:val="0"/>
      <w:marTop w:val="0"/>
      <w:marBottom w:val="0"/>
      <w:divBdr>
        <w:top w:val="none" w:sz="0" w:space="0" w:color="auto"/>
        <w:left w:val="none" w:sz="0" w:space="0" w:color="auto"/>
        <w:bottom w:val="none" w:sz="0" w:space="0" w:color="auto"/>
        <w:right w:val="none" w:sz="0" w:space="0" w:color="auto"/>
      </w:divBdr>
      <w:divsChild>
        <w:div w:id="1433630495">
          <w:marLeft w:val="0"/>
          <w:marRight w:val="0"/>
          <w:marTop w:val="0"/>
          <w:marBottom w:val="0"/>
          <w:divBdr>
            <w:top w:val="none" w:sz="0" w:space="0" w:color="auto"/>
            <w:left w:val="none" w:sz="0" w:space="0" w:color="auto"/>
            <w:bottom w:val="none" w:sz="0" w:space="0" w:color="auto"/>
            <w:right w:val="none" w:sz="0" w:space="0" w:color="auto"/>
          </w:divBdr>
        </w:div>
      </w:divsChild>
    </w:div>
    <w:div w:id="2107921490">
      <w:bodyDiv w:val="1"/>
      <w:marLeft w:val="0"/>
      <w:marRight w:val="0"/>
      <w:marTop w:val="0"/>
      <w:marBottom w:val="0"/>
      <w:divBdr>
        <w:top w:val="none" w:sz="0" w:space="0" w:color="auto"/>
        <w:left w:val="none" w:sz="0" w:space="0" w:color="auto"/>
        <w:bottom w:val="none" w:sz="0" w:space="0" w:color="auto"/>
        <w:right w:val="none" w:sz="0" w:space="0" w:color="auto"/>
      </w:divBdr>
      <w:divsChild>
        <w:div w:id="19333935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82A8F19BF034C33B91A78CD8DD220A6"/>
        <w:category>
          <w:name w:val="General"/>
          <w:gallery w:val="placeholder"/>
        </w:category>
        <w:types>
          <w:type w:val="bbPlcHdr"/>
        </w:types>
        <w:behaviors>
          <w:behavior w:val="content"/>
        </w:behaviors>
        <w:guid w:val="{C7A53C00-93EB-4658-88AD-4A7B65EB419C}"/>
      </w:docPartPr>
      <w:docPartBody>
        <w:p w:rsidR="008252FB" w:rsidRDefault="00277EC6" w:rsidP="00277EC6">
          <w:pPr>
            <w:pStyle w:val="882A8F19BF034C33B91A78CD8DD220A6"/>
          </w:pPr>
          <w:r>
            <w:rPr>
              <w:rFonts w:asciiTheme="majorHAnsi" w:eastAsiaTheme="majorEastAsia" w:hAnsiTheme="majorHAnsi" w:cstheme="majorBidi"/>
              <w:color w:val="4472C4" w:themeColor="accent1"/>
              <w:sz w:val="88"/>
              <w:szCs w:val="88"/>
            </w:rPr>
            <w:t>[Document title]</w:t>
          </w:r>
        </w:p>
      </w:docPartBody>
    </w:docPart>
    <w:docPart>
      <w:docPartPr>
        <w:name w:val="30D68B52D5D64EDD9EF469E2733FB3C6"/>
        <w:category>
          <w:name w:val="General"/>
          <w:gallery w:val="placeholder"/>
        </w:category>
        <w:types>
          <w:type w:val="bbPlcHdr"/>
        </w:types>
        <w:behaviors>
          <w:behavior w:val="content"/>
        </w:behaviors>
        <w:guid w:val="{64512FBB-BB2F-4823-8582-93320166A056}"/>
      </w:docPartPr>
      <w:docPartBody>
        <w:p w:rsidR="008252FB" w:rsidRDefault="00277EC6" w:rsidP="00277EC6">
          <w:pPr>
            <w:pStyle w:val="30D68B52D5D64EDD9EF469E2733FB3C6"/>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EC6"/>
    <w:rsid w:val="00277EC6"/>
    <w:rsid w:val="00825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2A8F19BF034C33B91A78CD8DD220A6">
    <w:name w:val="882A8F19BF034C33B91A78CD8DD220A6"/>
    <w:rsid w:val="00277EC6"/>
  </w:style>
  <w:style w:type="paragraph" w:customStyle="1" w:styleId="30D68B52D5D64EDD9EF469E2733FB3C6">
    <w:name w:val="30D68B52D5D64EDD9EF469E2733FB3C6"/>
    <w:rsid w:val="00277EC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0" ma:contentTypeDescription="Create a new document." ma:contentTypeScope="" ma:versionID="93bc34b8381d7a945c6d2a57c916d39a">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e690a8ab5a519401d9b95cbf6adcef43"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C75C5B-8157-453C-A873-C8CD8DC2F20B}">
  <ds:schemaRefs>
    <ds:schemaRef ds:uri="http://schemas.microsoft.com/sharepoint/v3/contenttype/forms"/>
  </ds:schemaRefs>
</ds:datastoreItem>
</file>

<file path=customXml/itemProps2.xml><?xml version="1.0" encoding="utf-8"?>
<ds:datastoreItem xmlns:ds="http://schemas.openxmlformats.org/officeDocument/2006/customXml" ds:itemID="{3CDE1970-ACFE-4BDB-AE6A-FDF3099D4ADE}">
  <ds:schemaRefs>
    <ds:schemaRef ds:uri="http://www.w3.org/XML/1998/namespace"/>
    <ds:schemaRef ds:uri="http://purl.org/dc/elements/1.1/"/>
    <ds:schemaRef ds:uri="http://schemas.openxmlformats.org/package/2006/metadata/core-properties"/>
    <ds:schemaRef ds:uri="http://schemas.microsoft.com/office/2006/metadata/properties"/>
    <ds:schemaRef ds:uri="http://purl.org/dc/terms/"/>
    <ds:schemaRef ds:uri="0129b9fd-52ee-4735-801a-8d39556133ce"/>
    <ds:schemaRef ds:uri="http://purl.org/dc/dcmitype/"/>
    <ds:schemaRef ds:uri="http://schemas.microsoft.com/office/2006/documentManagement/types"/>
    <ds:schemaRef ds:uri="http://schemas.microsoft.com/office/infopath/2007/PartnerControls"/>
    <ds:schemaRef ds:uri="b0fe3e24-d995-423c-a7fa-dbcb21490404"/>
  </ds:schemaRefs>
</ds:datastoreItem>
</file>

<file path=customXml/itemProps3.xml><?xml version="1.0" encoding="utf-8"?>
<ds:datastoreItem xmlns:ds="http://schemas.openxmlformats.org/officeDocument/2006/customXml" ds:itemID="{85EA2C6E-527B-418C-A0BD-E36D94C44E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1369</Words>
  <Characters>7806</Characters>
  <Application>Microsoft Office Word</Application>
  <DocSecurity>0</DocSecurity>
  <Lines>65</Lines>
  <Paragraphs>18</Paragraphs>
  <ScaleCrop>false</ScaleCrop>
  <Company/>
  <LinksUpToDate>false</LinksUpToDate>
  <CharactersWithSpaces>9157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 Critique</dc:title>
  <dc:subject/>
  <dc:creator>Chloe Rees  2105842</dc:creator>
  <cp:keywords/>
  <dc:description/>
  <cp:lastModifiedBy>Chloe Rees</cp:lastModifiedBy>
  <cp:revision>2</cp:revision>
  <dcterms:created xsi:type="dcterms:W3CDTF">2022-04-06T17:10:00Z</dcterms:created>
  <dcterms:modified xsi:type="dcterms:W3CDTF">2022-04-06T17:10:00Z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