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57D1" w:rsidRPr="00A11E42" w:rsidRDefault="008257D1" w:rsidP="008257D1">
      <w:pPr>
        <w:pStyle w:val="NormalWeb"/>
        <w:spacing w:before="0" w:beforeAutospacing="0" w:after="0" w:afterAutospacing="0"/>
        <w:ind w:left="-180" w:right="-334"/>
        <w:rPr>
          <w:rFonts w:ascii="Calibri" w:hAnsi="Calibri" w:cs="Tahoma"/>
          <w:sz w:val="22"/>
          <w:szCs w:val="22"/>
        </w:rPr>
      </w:pPr>
      <w:r w:rsidRPr="00A11E42">
        <w:rPr>
          <w:rFonts w:ascii="Calibri" w:hAnsi="Calibri"/>
          <w:noProof/>
          <w:sz w:val="22"/>
          <w:szCs w:val="22"/>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8257D1" w:rsidRPr="00A11E42" w:rsidRDefault="008257D1" w:rsidP="008257D1">
      <w:pPr>
        <w:pStyle w:val="Heading1"/>
        <w:jc w:val="center"/>
        <w:rPr>
          <w:rFonts w:ascii="Calibri" w:hAnsi="Calibri"/>
          <w:sz w:val="22"/>
          <w:szCs w:val="22"/>
          <w:lang w:val="cy-GB"/>
        </w:rPr>
      </w:pPr>
      <w:r w:rsidRPr="00A11E42">
        <w:rPr>
          <w:rFonts w:ascii="Calibri" w:hAnsi="Calibri"/>
          <w:sz w:val="22"/>
          <w:szCs w:val="22"/>
          <w:lang w:val="cy-GB"/>
        </w:rPr>
        <w:t>Undergraduate assignment feedback form</w:t>
      </w:r>
    </w:p>
    <w:p w:rsidR="008257D1" w:rsidRPr="00A11E42" w:rsidRDefault="008257D1" w:rsidP="008257D1">
      <w:pPr>
        <w:jc w:val="center"/>
        <w:rPr>
          <w:rFonts w:ascii="Calibri" w:hAnsi="Calibri" w:cs="Arial"/>
          <w:b/>
          <w:lang w:val="cy-GB"/>
        </w:rPr>
      </w:pPr>
      <w:r w:rsidRPr="00A11E42">
        <w:rPr>
          <w:rFonts w:ascii="Calibri" w:hAnsi="Calibri" w:cs="Arial"/>
          <w:b/>
          <w:lang w:val="cy-GB"/>
        </w:rPr>
        <w:t>(to be completed by marker)</w:t>
      </w:r>
    </w:p>
    <w:p w:rsidR="008257D1" w:rsidRPr="00A11E42" w:rsidRDefault="008257D1" w:rsidP="008257D1">
      <w:pPr>
        <w:pStyle w:val="Heading3"/>
        <w:rPr>
          <w:rFonts w:ascii="Calibri" w:hAnsi="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257D1" w:rsidRPr="00A11E42" w:rsidTr="008257D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8257D1" w:rsidRPr="00A11E42" w:rsidRDefault="008257D1">
            <w:pPr>
              <w:pStyle w:val="NormalWeb"/>
              <w:spacing w:before="0" w:beforeAutospacing="0" w:after="0" w:afterAutospacing="0" w:line="256" w:lineRule="auto"/>
              <w:ind w:right="34"/>
              <w:rPr>
                <w:rFonts w:ascii="Calibri" w:hAnsi="Calibri" w:cs="Tahoma"/>
                <w:i/>
                <w:sz w:val="22"/>
                <w:szCs w:val="22"/>
              </w:rPr>
            </w:pPr>
            <w:r w:rsidRPr="00A11E42">
              <w:rPr>
                <w:rFonts w:ascii="Calibri" w:hAnsi="Calibri" w:cs="Tahoma"/>
                <w:i/>
                <w:sz w:val="22"/>
                <w:szCs w:val="22"/>
              </w:rPr>
              <w:t>Student Name: Sophie Rossiter</w:t>
            </w:r>
          </w:p>
          <w:p w:rsidR="008257D1" w:rsidRPr="00A11E42" w:rsidRDefault="008257D1">
            <w:pPr>
              <w:pStyle w:val="NormalWeb"/>
              <w:spacing w:before="0" w:beforeAutospacing="0" w:after="0" w:afterAutospacing="0" w:line="256" w:lineRule="auto"/>
              <w:ind w:right="34"/>
              <w:rPr>
                <w:rFonts w:ascii="Calibri" w:hAnsi="Calibri" w:cs="Tahoma"/>
                <w:i/>
                <w:sz w:val="22"/>
                <w:szCs w:val="22"/>
              </w:rPr>
            </w:pPr>
          </w:p>
        </w:tc>
      </w:tr>
      <w:tr w:rsidR="008257D1" w:rsidRPr="00A11E42" w:rsidTr="008257D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8257D1" w:rsidRPr="00A11E42" w:rsidRDefault="008257D1">
            <w:pPr>
              <w:pStyle w:val="NormalWeb"/>
              <w:spacing w:before="0" w:beforeAutospacing="0" w:after="0" w:afterAutospacing="0" w:line="256" w:lineRule="auto"/>
              <w:ind w:right="34"/>
              <w:rPr>
                <w:rFonts w:ascii="Calibri" w:hAnsi="Calibri" w:cs="Tahoma"/>
                <w:i/>
                <w:sz w:val="22"/>
                <w:szCs w:val="22"/>
              </w:rPr>
            </w:pPr>
            <w:r w:rsidRPr="00A11E42">
              <w:rPr>
                <w:rFonts w:ascii="Calibri" w:hAnsi="Calibri" w:cs="Tahoma"/>
                <w:i/>
                <w:sz w:val="22"/>
                <w:szCs w:val="22"/>
              </w:rPr>
              <w:t>Module Code: CSSK4004</w:t>
            </w:r>
          </w:p>
          <w:p w:rsidR="008257D1" w:rsidRPr="00A11E42" w:rsidRDefault="008257D1">
            <w:pPr>
              <w:pStyle w:val="NormalWeb"/>
              <w:spacing w:before="0" w:beforeAutospacing="0" w:after="0" w:afterAutospacing="0" w:line="256" w:lineRule="auto"/>
              <w:ind w:right="34"/>
              <w:rPr>
                <w:rFonts w:ascii="Calibri" w:hAnsi="Calibri" w:cs="Tahoma"/>
                <w:i/>
                <w:sz w:val="22"/>
                <w:szCs w:val="22"/>
              </w:rPr>
            </w:pPr>
          </w:p>
          <w:p w:rsidR="008257D1" w:rsidRPr="00A11E42" w:rsidRDefault="008257D1">
            <w:pPr>
              <w:pStyle w:val="NormalWeb"/>
              <w:spacing w:before="0" w:beforeAutospacing="0" w:after="0" w:afterAutospacing="0" w:line="256" w:lineRule="auto"/>
              <w:ind w:right="34"/>
              <w:rPr>
                <w:rFonts w:ascii="Calibri" w:hAnsi="Calibri" w:cs="Tahoma"/>
                <w:i/>
                <w:sz w:val="22"/>
                <w:szCs w:val="22"/>
              </w:rPr>
            </w:pPr>
            <w:r w:rsidRPr="00A11E42">
              <w:rPr>
                <w:rFonts w:ascii="Calibri" w:hAnsi="Calibri" w:cs="Tahoma"/>
                <w:i/>
                <w:sz w:val="22"/>
                <w:szCs w:val="22"/>
              </w:rPr>
              <w:t>Module title: Skills for academic study in English and creative writing</w:t>
            </w:r>
          </w:p>
          <w:p w:rsidR="008257D1" w:rsidRPr="00A11E42" w:rsidRDefault="008257D1">
            <w:pPr>
              <w:pStyle w:val="NormalWeb"/>
              <w:spacing w:before="0" w:beforeAutospacing="0" w:after="0" w:afterAutospacing="0" w:line="256" w:lineRule="auto"/>
              <w:ind w:right="34"/>
              <w:rPr>
                <w:rFonts w:ascii="Calibri" w:hAnsi="Calibri" w:cs="Tahoma"/>
                <w:i/>
                <w:sz w:val="22"/>
                <w:szCs w:val="22"/>
              </w:rPr>
            </w:pPr>
          </w:p>
        </w:tc>
        <w:tc>
          <w:tcPr>
            <w:tcW w:w="3967" w:type="dxa"/>
            <w:gridSpan w:val="2"/>
            <w:tcBorders>
              <w:top w:val="single" w:sz="4" w:space="0" w:color="auto"/>
              <w:left w:val="single" w:sz="4" w:space="0" w:color="auto"/>
              <w:bottom w:val="single" w:sz="4" w:space="0" w:color="auto"/>
              <w:right w:val="single" w:sz="4" w:space="0" w:color="auto"/>
            </w:tcBorders>
            <w:hideMark/>
          </w:tcPr>
          <w:p w:rsidR="008257D1" w:rsidRPr="00A11E42" w:rsidRDefault="008257D1">
            <w:pPr>
              <w:pStyle w:val="NormalWeb"/>
              <w:spacing w:before="0" w:beforeAutospacing="0" w:after="0" w:afterAutospacing="0" w:line="256" w:lineRule="auto"/>
              <w:ind w:right="34"/>
              <w:rPr>
                <w:rFonts w:ascii="Calibri" w:hAnsi="Calibri" w:cs="Tahoma"/>
                <w:i/>
                <w:sz w:val="22"/>
                <w:szCs w:val="22"/>
              </w:rPr>
            </w:pPr>
            <w:r w:rsidRPr="00A11E42">
              <w:rPr>
                <w:rFonts w:ascii="Calibri" w:hAnsi="Calibri" w:cs="Tahoma"/>
                <w:i/>
                <w:sz w:val="22"/>
                <w:szCs w:val="22"/>
              </w:rPr>
              <w:t>Student number:1707327</w:t>
            </w:r>
          </w:p>
        </w:tc>
      </w:tr>
      <w:tr w:rsidR="008257D1" w:rsidRPr="00A11E42" w:rsidTr="008257D1">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8257D1" w:rsidRPr="00A11E42" w:rsidRDefault="008257D1">
            <w:pPr>
              <w:pStyle w:val="NormalWeb"/>
              <w:spacing w:before="0" w:beforeAutospacing="0" w:after="0" w:afterAutospacing="0" w:line="256" w:lineRule="auto"/>
              <w:rPr>
                <w:rFonts w:ascii="Calibri" w:hAnsi="Calibri" w:cs="Tahoma"/>
                <w:i/>
                <w:sz w:val="22"/>
                <w:szCs w:val="22"/>
              </w:rPr>
            </w:pPr>
            <w:r w:rsidRPr="00A11E42">
              <w:rPr>
                <w:rFonts w:ascii="Calibri" w:hAnsi="Calibri" w:cs="Tahoma"/>
                <w:i/>
                <w:sz w:val="22"/>
                <w:szCs w:val="22"/>
              </w:rPr>
              <w:t>For completion by marker:</w:t>
            </w:r>
          </w:p>
          <w:p w:rsidR="008257D1" w:rsidRPr="00A11E42" w:rsidRDefault="008257D1">
            <w:pPr>
              <w:pStyle w:val="NormalWeb"/>
              <w:spacing w:line="256" w:lineRule="auto"/>
              <w:rPr>
                <w:rFonts w:ascii="Calibri" w:hAnsi="Calibri" w:cs="Tahoma"/>
                <w:i/>
                <w:sz w:val="22"/>
                <w:szCs w:val="22"/>
              </w:rPr>
            </w:pPr>
            <w:r w:rsidRPr="00A11E42">
              <w:rPr>
                <w:rFonts w:ascii="Calibri" w:hAnsi="Calibri" w:cs="Tahoma"/>
                <w:i/>
                <w:sz w:val="22"/>
                <w:szCs w:val="22"/>
              </w:rPr>
              <w:t>Comments:</w:t>
            </w: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p w:rsidR="008257D1" w:rsidRPr="00A11E42" w:rsidRDefault="008257D1">
            <w:pPr>
              <w:pStyle w:val="NormalWeb"/>
              <w:spacing w:line="256" w:lineRule="auto"/>
              <w:rPr>
                <w:rFonts w:ascii="Calibri" w:hAnsi="Calibri" w:cs="Tahoma"/>
                <w:i/>
                <w:sz w:val="22"/>
                <w:szCs w:val="22"/>
              </w:rPr>
            </w:pPr>
          </w:p>
        </w:tc>
      </w:tr>
      <w:tr w:rsidR="008257D1" w:rsidRPr="00A11E42" w:rsidTr="008257D1">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8257D1" w:rsidRPr="00A11E42" w:rsidRDefault="008257D1">
            <w:pPr>
              <w:pStyle w:val="NormalWeb"/>
              <w:spacing w:beforeAutospacing="0" w:afterAutospacing="0" w:line="256" w:lineRule="auto"/>
              <w:ind w:left="142" w:right="34"/>
              <w:rPr>
                <w:rFonts w:ascii="Calibri" w:hAnsi="Calibri" w:cs="Tahoma"/>
                <w:i/>
                <w:sz w:val="22"/>
                <w:szCs w:val="22"/>
              </w:rPr>
            </w:pPr>
            <w:r w:rsidRPr="00A11E42">
              <w:rPr>
                <w:rFonts w:ascii="Calibri" w:hAnsi="Calibri" w:cs="Tahoma"/>
                <w:i/>
                <w:sz w:val="22"/>
                <w:szCs w:val="22"/>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8257D1" w:rsidRPr="00A11E42" w:rsidRDefault="008257D1">
            <w:pPr>
              <w:pStyle w:val="NormalWeb"/>
              <w:spacing w:beforeAutospacing="0" w:after="0" w:afterAutospacing="0" w:line="256" w:lineRule="auto"/>
              <w:ind w:left="142" w:right="34"/>
              <w:rPr>
                <w:rFonts w:ascii="Calibri" w:hAnsi="Calibri" w:cs="Tahoma"/>
                <w:i/>
                <w:sz w:val="22"/>
                <w:szCs w:val="22"/>
              </w:rPr>
            </w:pPr>
            <w:r w:rsidRPr="00A11E42">
              <w:rPr>
                <w:rFonts w:ascii="Calibri" w:hAnsi="Calibri" w:cs="Tahoma"/>
                <w:i/>
                <w:sz w:val="22"/>
                <w:szCs w:val="22"/>
              </w:rPr>
              <w:t>Date:</w:t>
            </w:r>
          </w:p>
        </w:tc>
      </w:tr>
      <w:tr w:rsidR="008257D1" w:rsidRPr="00A11E42" w:rsidTr="008257D1">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8257D1" w:rsidRPr="00A11E42" w:rsidRDefault="008257D1">
            <w:pPr>
              <w:pStyle w:val="NormalWeb"/>
              <w:spacing w:before="0" w:beforeAutospacing="0" w:after="0" w:afterAutospacing="0" w:line="256" w:lineRule="auto"/>
              <w:ind w:left="142" w:right="34"/>
              <w:rPr>
                <w:rFonts w:ascii="Calibri" w:hAnsi="Calibri" w:cs="Tahoma"/>
                <w:i/>
                <w:sz w:val="22"/>
                <w:szCs w:val="22"/>
              </w:rPr>
            </w:pPr>
            <w:r w:rsidRPr="00A11E42">
              <w:rPr>
                <w:rFonts w:ascii="Calibri" w:hAnsi="Calibri" w:cs="Tahoma"/>
                <w:i/>
                <w:sz w:val="22"/>
                <w:szCs w:val="22"/>
              </w:rPr>
              <w:t xml:space="preserve">Provisional mark: </w:t>
            </w:r>
          </w:p>
          <w:p w:rsidR="008257D1" w:rsidRPr="00A11E42" w:rsidRDefault="008257D1">
            <w:pPr>
              <w:pStyle w:val="NormalWeb"/>
              <w:spacing w:before="0" w:beforeAutospacing="0" w:after="0" w:afterAutospacing="0" w:line="256" w:lineRule="auto"/>
              <w:ind w:left="142" w:right="34"/>
              <w:rPr>
                <w:rFonts w:ascii="Calibri" w:hAnsi="Calibri" w:cs="Tahoma"/>
                <w:i/>
                <w:sz w:val="22"/>
                <w:szCs w:val="22"/>
              </w:rPr>
            </w:pPr>
            <w:r w:rsidRPr="00A11E42">
              <w:rPr>
                <w:rFonts w:ascii="Calibri" w:hAnsi="Calibri" w:cs="Tahoma"/>
                <w:b/>
                <w:i/>
                <w:sz w:val="22"/>
                <w:szCs w:val="22"/>
              </w:rPr>
              <w:t>NB.</w:t>
            </w:r>
            <w:r w:rsidRPr="00A11E42">
              <w:rPr>
                <w:rFonts w:ascii="Calibri" w:hAnsi="Calibri" w:cs="Tahoma"/>
                <w:i/>
                <w:sz w:val="22"/>
                <w:szCs w:val="22"/>
              </w:rPr>
              <w:t xml:space="preserve">  All marks are provisional until confirmed by the final examination board. </w:t>
            </w:r>
          </w:p>
        </w:tc>
      </w:tr>
    </w:tbl>
    <w:p w:rsidR="008257D1" w:rsidRPr="00A11E42" w:rsidRDefault="008257D1" w:rsidP="008257D1">
      <w:pPr>
        <w:spacing w:line="259" w:lineRule="auto"/>
        <w:rPr>
          <w:rFonts w:ascii="Calibri" w:hAnsi="Calibri" w:cstheme="minorHAnsi"/>
        </w:rPr>
      </w:pPr>
      <w:r w:rsidRPr="00A11E42">
        <w:rPr>
          <w:rFonts w:ascii="Calibri" w:hAnsi="Calibri" w:cstheme="minorHAnsi"/>
        </w:rPr>
        <w:t>PORTFOLIO TASK (30 minutes)</w:t>
      </w:r>
    </w:p>
    <w:p w:rsidR="008257D1" w:rsidRPr="00A11E42" w:rsidRDefault="008257D1" w:rsidP="008257D1">
      <w:pPr>
        <w:rPr>
          <w:rFonts w:ascii="Calibri" w:hAnsi="Calibri" w:cstheme="minorHAnsi"/>
        </w:rPr>
      </w:pPr>
      <w:r w:rsidRPr="00A11E42">
        <w:rPr>
          <w:rFonts w:ascii="Calibri" w:hAnsi="Calibri" w:cstheme="minorHAnsi"/>
        </w:rPr>
        <w:lastRenderedPageBreak/>
        <w:t>1.</w:t>
      </w:r>
      <w:r w:rsidRPr="00A11E42">
        <w:rPr>
          <w:rFonts w:ascii="Calibri" w:hAnsi="Calibri" w:cstheme="minorHAnsi"/>
        </w:rPr>
        <w:tab/>
        <w:t xml:space="preserve">Read the extract of Montaigne’s essay ‘Of Conscience (1580) </w:t>
      </w:r>
    </w:p>
    <w:p w:rsidR="008257D1" w:rsidRPr="00A11E42" w:rsidRDefault="008257D1" w:rsidP="008257D1">
      <w:pPr>
        <w:rPr>
          <w:rFonts w:ascii="Calibri" w:hAnsi="Calibri" w:cstheme="minorHAnsi"/>
        </w:rPr>
      </w:pPr>
    </w:p>
    <w:p w:rsidR="008257D1" w:rsidRPr="00A11E42" w:rsidRDefault="008257D1" w:rsidP="008257D1">
      <w:pPr>
        <w:pStyle w:val="ListParagraph"/>
        <w:numPr>
          <w:ilvl w:val="0"/>
          <w:numId w:val="1"/>
        </w:numPr>
        <w:rPr>
          <w:rFonts w:ascii="Calibri" w:hAnsi="Calibri" w:cstheme="minorHAnsi"/>
        </w:rPr>
      </w:pPr>
      <w:r w:rsidRPr="00A11E42">
        <w:rPr>
          <w:rFonts w:ascii="Calibri" w:hAnsi="Calibri" w:cstheme="minorHAnsi"/>
        </w:rPr>
        <w:t>What is the ‘thesis’ or main argument of the essay?</w:t>
      </w:r>
    </w:p>
    <w:p w:rsidR="008257D1" w:rsidRPr="00A11E42" w:rsidRDefault="008257D1" w:rsidP="008257D1">
      <w:pPr>
        <w:rPr>
          <w:rFonts w:ascii="Calibri" w:hAnsi="Calibri" w:cstheme="minorHAnsi"/>
        </w:rPr>
      </w:pPr>
      <w:r w:rsidRPr="00A11E42">
        <w:rPr>
          <w:rFonts w:ascii="Calibri" w:hAnsi="Calibri" w:cstheme="minorHAnsi"/>
        </w:rPr>
        <w:t>Montaigne begins his essay with the trouble of being able to unconsciously perceive people, especially those who felt guilt. This bring the use of a conscience forward to the ability of the mind to be more forthcoming with information. The use of barbaric torture to get truth out of people seemed inexplicable to Montaigne, although it worked, it was not always the correct way to go about life. There is only one argument, and this is of Montaigne’s apparent opinion. He offers no argument against his belief, apart from a very deep sentence at the end which shows proof of torture working in the favour of an innocent party.</w:t>
      </w:r>
    </w:p>
    <w:p w:rsidR="008257D1" w:rsidRPr="00A11E42" w:rsidRDefault="008257D1" w:rsidP="008257D1">
      <w:pPr>
        <w:rPr>
          <w:rFonts w:ascii="Calibri" w:hAnsi="Calibri" w:cstheme="minorHAnsi"/>
        </w:rPr>
      </w:pPr>
    </w:p>
    <w:p w:rsidR="008257D1" w:rsidRPr="00A11E42" w:rsidRDefault="008257D1" w:rsidP="008257D1">
      <w:pPr>
        <w:pStyle w:val="ListParagraph"/>
        <w:numPr>
          <w:ilvl w:val="0"/>
          <w:numId w:val="1"/>
        </w:numPr>
        <w:rPr>
          <w:rFonts w:ascii="Calibri" w:hAnsi="Calibri" w:cstheme="minorHAnsi"/>
        </w:rPr>
      </w:pPr>
      <w:r w:rsidRPr="00A11E42">
        <w:rPr>
          <w:rFonts w:ascii="Calibri" w:hAnsi="Calibri" w:cstheme="minorHAnsi"/>
        </w:rPr>
        <w:t>What kind(s) of evidence is used to support the claim?</w:t>
      </w:r>
    </w:p>
    <w:p w:rsidR="008257D1" w:rsidRPr="00A11E42" w:rsidRDefault="008257D1" w:rsidP="008257D1">
      <w:pPr>
        <w:rPr>
          <w:rFonts w:ascii="Calibri" w:hAnsi="Calibri" w:cstheme="minorHAnsi"/>
        </w:rPr>
      </w:pPr>
      <w:r w:rsidRPr="00A11E42">
        <w:rPr>
          <w:rFonts w:ascii="Calibri" w:hAnsi="Calibri" w:cstheme="minorHAnsi"/>
        </w:rPr>
        <w:t>Montaigne uses history to support his claim, with quotes from ‘Publius Syrus’</w:t>
      </w:r>
      <w:r w:rsidRPr="00A11E42">
        <w:rPr>
          <w:rStyle w:val="FootnoteReference"/>
          <w:rFonts w:ascii="Calibri" w:hAnsi="Calibri" w:cstheme="minorHAnsi"/>
        </w:rPr>
        <w:footnoteReference w:id="1"/>
      </w:r>
      <w:r w:rsidRPr="00A11E42">
        <w:rPr>
          <w:rFonts w:ascii="Calibri" w:hAnsi="Calibri" w:cstheme="minorHAnsi"/>
        </w:rPr>
        <w:t xml:space="preserve"> and others who were influential at the time of the essay. He chose quotes based on people’s ability to relate to the words he used as a back up to his findings. He also used his own experience of the world, along with a story he has heard about a woman accusing a soldier of eating the last of her child’s food, which on its own is a very deep narration to comprehend. </w:t>
      </w:r>
    </w:p>
    <w:p w:rsidR="008257D1" w:rsidRPr="00A11E42" w:rsidRDefault="008257D1" w:rsidP="008257D1">
      <w:pPr>
        <w:rPr>
          <w:rFonts w:ascii="Calibri" w:hAnsi="Calibri" w:cstheme="minorHAnsi"/>
        </w:rPr>
      </w:pPr>
    </w:p>
    <w:p w:rsidR="008257D1" w:rsidRPr="00A11E42" w:rsidRDefault="008257D1" w:rsidP="008257D1">
      <w:pPr>
        <w:pStyle w:val="ListParagraph"/>
        <w:numPr>
          <w:ilvl w:val="0"/>
          <w:numId w:val="1"/>
        </w:numPr>
        <w:rPr>
          <w:rFonts w:ascii="Calibri" w:hAnsi="Calibri" w:cstheme="minorHAnsi"/>
        </w:rPr>
      </w:pPr>
      <w:r w:rsidRPr="00A11E42">
        <w:rPr>
          <w:rFonts w:ascii="Calibri" w:hAnsi="Calibri" w:cstheme="minorHAnsi"/>
        </w:rPr>
        <w:t xml:space="preserve">What impact does each of the chosen quotations have? Where are the quotations from? </w:t>
      </w:r>
    </w:p>
    <w:p w:rsidR="008257D1" w:rsidRPr="00A11E42" w:rsidRDefault="008257D1" w:rsidP="008257D1">
      <w:pPr>
        <w:rPr>
          <w:rFonts w:ascii="Calibri" w:hAnsi="Calibri" w:cstheme="minorHAnsi"/>
        </w:rPr>
      </w:pPr>
      <w:r w:rsidRPr="00A11E42">
        <w:rPr>
          <w:rFonts w:ascii="Calibri" w:hAnsi="Calibri" w:cstheme="minorHAnsi"/>
        </w:rPr>
        <w:t xml:space="preserve">The quotes Montaigne has used are from roman poets who were well known at the time so their quotes carried weight with his readers. Even though they are old quotes, they are still relevant to the point he was making. The opinion and education behind the quotes make the essay more believable. </w:t>
      </w:r>
    </w:p>
    <w:p w:rsidR="008257D1" w:rsidRPr="00A11E42" w:rsidRDefault="008257D1" w:rsidP="008257D1">
      <w:pPr>
        <w:rPr>
          <w:rFonts w:ascii="Calibri" w:hAnsi="Calibri" w:cstheme="minorHAnsi"/>
        </w:rPr>
      </w:pPr>
    </w:p>
    <w:p w:rsidR="008257D1" w:rsidRPr="00A11E42" w:rsidRDefault="008257D1" w:rsidP="008257D1">
      <w:pPr>
        <w:rPr>
          <w:rFonts w:ascii="Calibri" w:hAnsi="Calibri" w:cstheme="minorHAnsi"/>
        </w:rPr>
      </w:pPr>
      <w:r w:rsidRPr="00A11E42">
        <w:rPr>
          <w:rFonts w:ascii="Calibri" w:hAnsi="Calibri" w:cstheme="minorHAnsi"/>
        </w:rPr>
        <w:t>iv.</w:t>
      </w:r>
      <w:r w:rsidRPr="00A11E42">
        <w:rPr>
          <w:rFonts w:ascii="Calibri" w:hAnsi="Calibri" w:cstheme="minorHAnsi"/>
        </w:rPr>
        <w:tab/>
        <w:t>What is general tone, style, rhythm of piece? Select and focus on a short passage to explore these factors in detail.</w:t>
      </w:r>
    </w:p>
    <w:p w:rsidR="008257D1" w:rsidRPr="00A11E42" w:rsidRDefault="008257D1" w:rsidP="008257D1">
      <w:pPr>
        <w:pStyle w:val="ListParagraph"/>
        <w:numPr>
          <w:ilvl w:val="0"/>
          <w:numId w:val="1"/>
        </w:numPr>
        <w:rPr>
          <w:rFonts w:ascii="Calibri" w:hAnsi="Calibri" w:cstheme="minorHAnsi"/>
        </w:rPr>
      </w:pPr>
      <w:r w:rsidRPr="00A11E42">
        <w:rPr>
          <w:rFonts w:ascii="Calibri" w:hAnsi="Calibri" w:cstheme="minorHAnsi"/>
        </w:rPr>
        <w:t>What are the characteristics of this kind of writing?</w:t>
      </w:r>
    </w:p>
    <w:p w:rsidR="008257D1" w:rsidRPr="00A11E42" w:rsidRDefault="008257D1" w:rsidP="008257D1">
      <w:pPr>
        <w:ind w:left="360"/>
        <w:rPr>
          <w:rFonts w:ascii="Calibri" w:hAnsi="Calibri" w:cstheme="minorHAnsi"/>
        </w:rPr>
      </w:pPr>
      <w:r w:rsidRPr="00A11E42">
        <w:rPr>
          <w:rFonts w:ascii="Calibri" w:hAnsi="Calibri" w:cstheme="minorHAnsi"/>
        </w:rPr>
        <w:t>This essay is written in the first person, from the perspective and emotions of Montaigne. It is informal, but with very long sentences paused with commas. Each sentence, as long as they are all make a point which adds weight to his theory.</w:t>
      </w:r>
    </w:p>
    <w:p w:rsidR="008257D1" w:rsidRPr="00A11E42" w:rsidRDefault="008257D1" w:rsidP="008257D1">
      <w:pPr>
        <w:ind w:left="360"/>
        <w:rPr>
          <w:rFonts w:ascii="Calibri" w:eastAsia="Times New Roman" w:hAnsi="Calibri" w:cstheme="minorHAnsi"/>
          <w:color w:val="000000"/>
          <w:lang w:eastAsia="en-GB"/>
        </w:rPr>
      </w:pPr>
      <w:r w:rsidRPr="00A11E42">
        <w:rPr>
          <w:rFonts w:ascii="Calibri" w:hAnsi="Calibri" w:cstheme="minorHAnsi"/>
        </w:rPr>
        <w:t xml:space="preserve"> ‘</w:t>
      </w:r>
      <w:r w:rsidRPr="00A11E42">
        <w:rPr>
          <w:rFonts w:ascii="Calibri" w:eastAsia="Times New Roman" w:hAnsi="Calibri" w:cstheme="minorHAnsi"/>
          <w:color w:val="000000"/>
          <w:lang w:eastAsia="en-GB"/>
        </w:rPr>
        <w:t>This made me afraid myself of meeting any of our troops in a place where I was not known, that I might not be in fear to tell my name, and peradventure of something worse; as it had befallen me before, where, by such a mistake, I lost both men and horses, and amongst others an Italian gentleman my page, whom I bred with the greatest care and affection, was miserably slain, in whom a youth of great promise and expectation was extinguished’</w:t>
      </w:r>
      <w:r w:rsidRPr="00A11E42">
        <w:rPr>
          <w:rStyle w:val="FootnoteReference"/>
          <w:rFonts w:ascii="Calibri" w:eastAsia="Times New Roman" w:hAnsi="Calibri" w:cstheme="minorHAnsi"/>
          <w:color w:val="000000"/>
          <w:lang w:eastAsia="en-GB"/>
        </w:rPr>
        <w:footnoteReference w:id="2"/>
      </w:r>
    </w:p>
    <w:p w:rsidR="008257D1" w:rsidRPr="00A11E42" w:rsidRDefault="008257D1" w:rsidP="008257D1">
      <w:pPr>
        <w:ind w:left="360"/>
        <w:rPr>
          <w:rFonts w:ascii="Calibri" w:eastAsia="Times New Roman" w:hAnsi="Calibri" w:cstheme="minorHAnsi"/>
          <w:color w:val="000000"/>
          <w:lang w:eastAsia="en-GB"/>
        </w:rPr>
      </w:pPr>
      <w:r w:rsidRPr="00A11E42">
        <w:rPr>
          <w:rFonts w:ascii="Calibri" w:eastAsia="Times New Roman" w:hAnsi="Calibri" w:cstheme="minorHAnsi"/>
          <w:color w:val="000000"/>
          <w:lang w:eastAsia="en-GB"/>
        </w:rPr>
        <w:lastRenderedPageBreak/>
        <w:t xml:space="preserve">The quote I have used above shows an example of one of his lengthy sentences, which again adds depth and reason. It shows his opinion, his feelings and his motive for writing the piece in general. </w:t>
      </w:r>
    </w:p>
    <w:p w:rsidR="008257D1" w:rsidRPr="00A11E42" w:rsidRDefault="008257D1" w:rsidP="008257D1">
      <w:pPr>
        <w:rPr>
          <w:rFonts w:ascii="Calibri" w:hAnsi="Calibri" w:cstheme="minorHAnsi"/>
        </w:rPr>
      </w:pPr>
    </w:p>
    <w:p w:rsidR="008257D1" w:rsidRPr="00A11E42" w:rsidRDefault="008257D1" w:rsidP="008257D1">
      <w:pPr>
        <w:pStyle w:val="ListParagraph"/>
        <w:numPr>
          <w:ilvl w:val="0"/>
          <w:numId w:val="1"/>
        </w:numPr>
        <w:rPr>
          <w:rFonts w:ascii="Calibri" w:hAnsi="Calibri" w:cstheme="minorHAnsi"/>
        </w:rPr>
      </w:pPr>
      <w:r w:rsidRPr="00A11E42">
        <w:rPr>
          <w:rFonts w:ascii="Calibri" w:hAnsi="Calibri" w:cstheme="minorHAnsi"/>
        </w:rPr>
        <w:t>Why do you think it is written in this way?</w:t>
      </w:r>
    </w:p>
    <w:p w:rsidR="008257D1" w:rsidRPr="00A11E42" w:rsidRDefault="008257D1" w:rsidP="008257D1">
      <w:pPr>
        <w:ind w:left="360"/>
        <w:rPr>
          <w:rFonts w:ascii="Calibri" w:hAnsi="Calibri" w:cstheme="minorHAnsi"/>
        </w:rPr>
      </w:pPr>
      <w:r w:rsidRPr="00A11E42">
        <w:rPr>
          <w:rFonts w:ascii="Calibri" w:hAnsi="Calibri" w:cstheme="minorHAnsi"/>
        </w:rPr>
        <w:t xml:space="preserve">I personally think it was written this way to make it more relatable. It has more feeling than facts and is easier to read for a broad spectrum of people. The relatability of the use of ‘guilt’, ‘fear’ and ‘consciousness’ is wide and can be approached by many people. This essay was written to be read by others, not just for himself. To persuade others to share his view. It plays on your emotions and strengthens the belief you have in him, especially with the specific quotes he has used from the very well though of Roman poets. </w:t>
      </w:r>
    </w:p>
    <w:p w:rsidR="008257D1" w:rsidRPr="00A11E42" w:rsidRDefault="008257D1" w:rsidP="008257D1">
      <w:pPr>
        <w:rPr>
          <w:rFonts w:ascii="Calibri" w:hAnsi="Calibri" w:cstheme="minorHAnsi"/>
        </w:rPr>
      </w:pPr>
    </w:p>
    <w:p w:rsidR="008257D1" w:rsidRPr="00A11E42" w:rsidRDefault="008257D1" w:rsidP="008257D1">
      <w:pPr>
        <w:pStyle w:val="ListParagraph"/>
        <w:numPr>
          <w:ilvl w:val="0"/>
          <w:numId w:val="1"/>
        </w:numPr>
        <w:rPr>
          <w:rFonts w:ascii="Calibri" w:hAnsi="Calibri" w:cstheme="minorHAnsi"/>
        </w:rPr>
      </w:pPr>
      <w:r w:rsidRPr="00A11E42">
        <w:rPr>
          <w:rFonts w:ascii="Calibri" w:hAnsi="Calibri" w:cstheme="minorHAnsi"/>
        </w:rPr>
        <w:t xml:space="preserve">Who is it written for? </w:t>
      </w:r>
    </w:p>
    <w:p w:rsidR="008257D1" w:rsidRPr="00A11E42" w:rsidRDefault="008257D1" w:rsidP="008257D1">
      <w:pPr>
        <w:ind w:left="360"/>
        <w:rPr>
          <w:rFonts w:ascii="Calibri" w:hAnsi="Calibri" w:cstheme="minorHAnsi"/>
        </w:rPr>
      </w:pPr>
      <w:r w:rsidRPr="00A11E42">
        <w:rPr>
          <w:rFonts w:ascii="Calibri" w:hAnsi="Calibri" w:cstheme="minorHAnsi"/>
        </w:rPr>
        <w:t xml:space="preserve">I think this essay was intended for Montaigne himself, to keep all his thoughts together, but as it goes on the arguments presented and weight added to the essay from the quotes used make it seem more relatable to the general public. There is not an argument against his belief as such included in the essay, which means he wanted the readers to have the same opinion as him by the end of the piece. It plays on sympathy, which again is easy for a reader to understand. </w:t>
      </w:r>
    </w:p>
    <w:p w:rsidR="008257D1" w:rsidRPr="00A11E42" w:rsidRDefault="008257D1" w:rsidP="008257D1">
      <w:pPr>
        <w:rPr>
          <w:rFonts w:ascii="Calibri" w:hAnsi="Calibri" w:cstheme="minorHAnsi"/>
        </w:rPr>
      </w:pPr>
    </w:p>
    <w:p w:rsidR="008257D1" w:rsidRPr="00A11E42" w:rsidRDefault="008257D1" w:rsidP="008257D1">
      <w:pPr>
        <w:rPr>
          <w:rFonts w:ascii="Calibri" w:hAnsi="Calibri" w:cstheme="minorHAnsi"/>
        </w:rPr>
      </w:pPr>
      <w:r w:rsidRPr="00A11E42">
        <w:rPr>
          <w:rFonts w:ascii="Calibri" w:hAnsi="Calibri" w:cstheme="minorHAnsi"/>
        </w:rPr>
        <w:t>c.</w:t>
      </w:r>
      <w:r w:rsidRPr="00A11E42">
        <w:rPr>
          <w:rFonts w:ascii="Calibri" w:hAnsi="Calibri" w:cstheme="minorHAnsi"/>
        </w:rPr>
        <w:tab/>
        <w:t>Consider the discussion of torture: what does Montaigne think about the practice?</w:t>
      </w:r>
    </w:p>
    <w:p w:rsidR="008257D1" w:rsidRPr="00A11E42" w:rsidRDefault="008257D1" w:rsidP="008257D1">
      <w:pPr>
        <w:rPr>
          <w:rFonts w:ascii="Calibri" w:eastAsia="Times New Roman" w:hAnsi="Calibri" w:cstheme="minorHAnsi"/>
          <w:color w:val="000000"/>
          <w:lang w:eastAsia="en-GB"/>
        </w:rPr>
      </w:pPr>
      <w:r w:rsidRPr="00A11E42">
        <w:rPr>
          <w:rFonts w:ascii="Calibri" w:hAnsi="Calibri" w:cstheme="minorHAnsi"/>
        </w:rPr>
        <w:t>‘</w:t>
      </w:r>
      <w:r w:rsidRPr="00A11E42">
        <w:rPr>
          <w:rFonts w:ascii="Calibri" w:eastAsia="Times New Roman" w:hAnsi="Calibri" w:cstheme="minorHAnsi"/>
          <w:color w:val="000000"/>
          <w:lang w:eastAsia="en-GB"/>
        </w:rPr>
        <w:t>Whence it comes to pass, that him whom the judge has racked that he may not die innocent, he makes him die both innocent and racked. A thousand and a thousand have charged their own heads by false confessions, amongst whom I place Philotas, considering the circumstances of the trial Alexander put upon him and the progress of his torture. But so it is that some say it is the least evil human weakness could invent; very inhumanly, notwithstanding, and to very little purpose’</w:t>
      </w:r>
    </w:p>
    <w:p w:rsidR="008257D1" w:rsidRPr="00A11E42" w:rsidRDefault="008257D1" w:rsidP="008257D1">
      <w:pPr>
        <w:rPr>
          <w:rFonts w:ascii="Calibri" w:hAnsi="Calibri" w:cstheme="minorHAnsi"/>
          <w:i/>
          <w:iCs/>
          <w:color w:val="800000"/>
          <w:shd w:val="clear" w:color="auto" w:fill="E9E9E8"/>
        </w:rPr>
      </w:pPr>
      <w:r w:rsidRPr="00A11E42">
        <w:rPr>
          <w:rFonts w:ascii="Calibri" w:eastAsia="Times New Roman" w:hAnsi="Calibri" w:cstheme="minorHAnsi"/>
          <w:color w:val="000000"/>
          <w:lang w:eastAsia="en-GB"/>
        </w:rPr>
        <w:t xml:space="preserve">The quote I have used above is nearing the end of Montaigne’s essay. Philotas was tortured under severe circumstances to encourage him to name his accomplice. </w:t>
      </w:r>
      <w:r w:rsidRPr="00A11E42">
        <w:rPr>
          <w:rFonts w:ascii="Calibri" w:hAnsi="Calibri" w:cstheme="minorHAnsi"/>
          <w:i/>
          <w:iCs/>
          <w:shd w:val="clear" w:color="auto" w:fill="E9E9E8"/>
        </w:rPr>
        <w:t>[Philotas said] ‘If you think torture to be more reliable than oracles, I do not refuse even this method of exposing the truth.’</w:t>
      </w:r>
      <w:r w:rsidRPr="00A11E42">
        <w:rPr>
          <w:rStyle w:val="FootnoteReference"/>
          <w:rFonts w:ascii="Calibri" w:hAnsi="Calibri" w:cstheme="minorHAnsi"/>
          <w:i/>
          <w:iCs/>
          <w:shd w:val="clear" w:color="auto" w:fill="E9E9E8"/>
        </w:rPr>
        <w:footnoteReference w:id="3"/>
      </w:r>
    </w:p>
    <w:p w:rsidR="008257D1" w:rsidRPr="00A11E42" w:rsidRDefault="008257D1" w:rsidP="008257D1">
      <w:pPr>
        <w:rPr>
          <w:rFonts w:ascii="Calibri" w:hAnsi="Calibri" w:cstheme="minorHAnsi"/>
          <w:iCs/>
          <w:shd w:val="clear" w:color="auto" w:fill="E9E9E8"/>
        </w:rPr>
      </w:pPr>
      <w:r w:rsidRPr="00A11E42">
        <w:rPr>
          <w:rFonts w:ascii="Calibri" w:hAnsi="Calibri" w:cstheme="minorHAnsi"/>
          <w:iCs/>
          <w:shd w:val="clear" w:color="auto" w:fill="E9E9E8"/>
        </w:rPr>
        <w:t xml:space="preserve">With this being the example of torture given to us by Montaigne, it merely heightens his point and encourages us to also think of it being barbaric. He focus’ on the conscious we are supposed to have to encourage us to tell the truth. </w:t>
      </w:r>
    </w:p>
    <w:p w:rsidR="00A11E42" w:rsidRPr="00A11E42" w:rsidRDefault="008257D1">
      <w:pPr>
        <w:rPr>
          <w:rFonts w:ascii="Calibri" w:hAnsi="Calibri" w:cstheme="minorHAnsi"/>
          <w:iCs/>
          <w:shd w:val="clear" w:color="auto" w:fill="E9E9E8"/>
        </w:rPr>
      </w:pPr>
      <w:r w:rsidRPr="00A11E42">
        <w:rPr>
          <w:rFonts w:ascii="Calibri" w:hAnsi="Calibri" w:cstheme="minorHAnsi"/>
          <w:iCs/>
          <w:shd w:val="clear" w:color="auto" w:fill="E9E9E8"/>
        </w:rPr>
        <w:t xml:space="preserve">It is clear from this essay that Montaigne is completely against torture. Making a man suffer when there is no evidence to suggest that he most defiantly deserves it is something that he feels strongly about.  Montaigne worries that innocent people would confess to things they had not actually done to make the suffering stop as the prosecutor for need of a better name to not inflict anymore pain or in fact kill them via torture. Justice </w:t>
      </w:r>
      <w:r w:rsidRPr="00A11E42">
        <w:rPr>
          <w:rFonts w:ascii="Calibri" w:hAnsi="Calibri" w:cstheme="minorHAnsi"/>
          <w:iCs/>
          <w:shd w:val="clear" w:color="auto" w:fill="E9E9E8"/>
        </w:rPr>
        <w:t>cannot</w:t>
      </w:r>
      <w:r w:rsidRPr="00A11E42">
        <w:rPr>
          <w:rFonts w:ascii="Calibri" w:hAnsi="Calibri" w:cstheme="minorHAnsi"/>
          <w:iCs/>
          <w:shd w:val="clear" w:color="auto" w:fill="E9E9E8"/>
        </w:rPr>
        <w:t xml:space="preserve"> be done to an innocent being tortured, even if they are found to be truthful, they will still bear the emotional and or physical scars for the rest of their lives, and the chance of their reputation being tarnished by others and becoming an outcast is also highly likely. </w:t>
      </w:r>
    </w:p>
    <w:p w:rsidR="00A11E42" w:rsidRPr="00A11E42" w:rsidRDefault="00A11E42">
      <w:pPr>
        <w:rPr>
          <w:rFonts w:ascii="Calibri" w:hAnsi="Calibri"/>
        </w:rPr>
      </w:pPr>
    </w:p>
    <w:p w:rsidR="00A11E42" w:rsidRPr="00A11E42" w:rsidRDefault="00A11E42" w:rsidP="00A11E42">
      <w:pPr>
        <w:spacing w:after="120"/>
        <w:ind w:left="720"/>
        <w:jc w:val="center"/>
        <w:rPr>
          <w:rFonts w:eastAsia="Times New Roman" w:cstheme="minorHAnsi"/>
          <w:b/>
          <w:lang w:eastAsia="en-GB"/>
        </w:rPr>
      </w:pPr>
      <w:r w:rsidRPr="00A11E42">
        <w:rPr>
          <w:rFonts w:eastAsia="Times New Roman" w:cstheme="minorHAnsi"/>
          <w:b/>
          <w:lang w:eastAsia="en-GB"/>
        </w:rPr>
        <w:t>Produce an Annotated bibliography</w:t>
      </w:r>
    </w:p>
    <w:p w:rsidR="00A11E42" w:rsidRPr="00A11E42" w:rsidRDefault="00A11E42" w:rsidP="00A11E42"/>
    <w:p w:rsidR="00A11E42" w:rsidRPr="00A11E42" w:rsidRDefault="00A11E42" w:rsidP="00A11E42">
      <w:pPr>
        <w:rPr>
          <w:rFonts w:ascii="Calibri" w:hAnsi="Calibri" w:cs="Calibri"/>
          <w:color w:val="FF0000"/>
        </w:rPr>
      </w:pPr>
      <w:r w:rsidRPr="00A11E42">
        <w:rPr>
          <w:rFonts w:ascii="Calibri" w:hAnsi="Calibri" w:cs="Calibri"/>
          <w:color w:val="FF0000"/>
        </w:rPr>
        <w:t>Achebe, Chinua,</w:t>
      </w:r>
      <w:r w:rsidRPr="00A11E42">
        <w:rPr>
          <w:rFonts w:ascii="Calibri" w:hAnsi="Calibri" w:cs="Calibri"/>
          <w:i/>
          <w:color w:val="FF0000"/>
        </w:rPr>
        <w:t xml:space="preserve"> Things Fall Apart</w:t>
      </w:r>
      <w:r w:rsidRPr="00A11E42">
        <w:rPr>
          <w:rFonts w:ascii="Calibri" w:hAnsi="Calibri" w:cs="Calibri"/>
          <w:color w:val="FF0000"/>
        </w:rPr>
        <w:t>, (London: Heinemann, Heinemann Educational, 1958)</w:t>
      </w:r>
    </w:p>
    <w:p w:rsidR="00A11E42" w:rsidRPr="00A11E42" w:rsidRDefault="00A11E42" w:rsidP="00A11E42">
      <w:r w:rsidRPr="00A11E42">
        <w:t xml:space="preserve">African narrative novel, focalising on life in Nigeria and the life the clansmen lived according to their tribes. Used during an essay based on the book. </w:t>
      </w:r>
    </w:p>
    <w:p w:rsidR="00A11E42" w:rsidRPr="00A11E42" w:rsidRDefault="00A11E42" w:rsidP="00A11E42"/>
    <w:p w:rsidR="00A11E42" w:rsidRPr="00A11E42" w:rsidRDefault="00A11E42" w:rsidP="00A11E42">
      <w:pPr>
        <w:rPr>
          <w:color w:val="FF0000"/>
        </w:rPr>
      </w:pPr>
      <w:r w:rsidRPr="00A11E42">
        <w:rPr>
          <w:color w:val="FF0000"/>
        </w:rPr>
        <w:t xml:space="preserve">Gikandi, Simon, </w:t>
      </w:r>
      <w:r w:rsidRPr="00A11E42">
        <w:rPr>
          <w:i/>
          <w:color w:val="FF0000"/>
        </w:rPr>
        <w:t>Reading Chinua Achebe: language &amp; ideology in fiction,</w:t>
      </w:r>
      <w:r w:rsidRPr="00A11E42">
        <w:rPr>
          <w:color w:val="FF0000"/>
        </w:rPr>
        <w:t xml:space="preserve"> (London: Currey 1991)</w:t>
      </w:r>
    </w:p>
    <w:p w:rsidR="00A11E42" w:rsidRPr="00A11E42" w:rsidRDefault="00A11E42" w:rsidP="00A11E42">
      <w:r w:rsidRPr="00A11E42">
        <w:t xml:space="preserve">Informative book used alongside others to help understand language used in African Narratives, clear understanding and easy to understand. </w:t>
      </w:r>
    </w:p>
    <w:p w:rsidR="00A11E42" w:rsidRPr="00A11E42" w:rsidRDefault="00A11E42" w:rsidP="00A11E42"/>
    <w:p w:rsidR="00A11E42" w:rsidRPr="00A11E42" w:rsidRDefault="00A11E42" w:rsidP="00A11E42">
      <w:pPr>
        <w:rPr>
          <w:color w:val="FF0000"/>
        </w:rPr>
      </w:pPr>
      <w:r w:rsidRPr="00A11E42">
        <w:rPr>
          <w:color w:val="FF0000"/>
        </w:rPr>
        <w:t xml:space="preserve">Brian Fay, Philip Pomper, Richard T Vann, </w:t>
      </w:r>
      <w:r w:rsidRPr="00A11E42">
        <w:rPr>
          <w:i/>
          <w:color w:val="FF0000"/>
        </w:rPr>
        <w:t xml:space="preserve">History and theory: contemporary readings, </w:t>
      </w:r>
      <w:r w:rsidRPr="00A11E42">
        <w:rPr>
          <w:color w:val="FF0000"/>
        </w:rPr>
        <w:t>(Malden, Mass; Oxford: Blackwell, 1998)</w:t>
      </w:r>
    </w:p>
    <w:p w:rsidR="00A11E42" w:rsidRPr="00A11E42" w:rsidRDefault="00A11E42" w:rsidP="00A11E42">
      <w:r w:rsidRPr="00A11E42">
        <w:t>Using Hayden White quotes in the essay, this book became useful as they contained the full quotes and references around the theme of what I needed to write.</w:t>
      </w:r>
    </w:p>
    <w:p w:rsidR="00A11E42" w:rsidRPr="00A11E42" w:rsidRDefault="00A11E42" w:rsidP="00A11E42"/>
    <w:p w:rsidR="00A11E42" w:rsidRPr="00A11E42" w:rsidRDefault="00A11E42" w:rsidP="00A11E42">
      <w:pPr>
        <w:rPr>
          <w:color w:val="FF0000"/>
        </w:rPr>
      </w:pPr>
      <w:r w:rsidRPr="00A11E42">
        <w:rPr>
          <w:color w:val="FF0000"/>
        </w:rPr>
        <w:t xml:space="preserve">Gikandi, Simon, </w:t>
      </w:r>
      <w:r w:rsidRPr="00A11E42">
        <w:rPr>
          <w:i/>
          <w:color w:val="FF0000"/>
        </w:rPr>
        <w:t xml:space="preserve">Reading the African novel, </w:t>
      </w:r>
      <w:r w:rsidRPr="00A11E42">
        <w:rPr>
          <w:color w:val="FF0000"/>
        </w:rPr>
        <w:t>(London: Currey 1989)</w:t>
      </w:r>
    </w:p>
    <w:p w:rsidR="00A11E42" w:rsidRPr="00A11E42" w:rsidRDefault="00A11E42" w:rsidP="00A11E42">
      <w:r w:rsidRPr="00A11E42">
        <w:t>Informative book with relevant information on how to understand the context of an African novel, helping to understand the question of the essay a little more in depth.</w:t>
      </w:r>
    </w:p>
    <w:p w:rsidR="00A11E42" w:rsidRPr="00A11E42" w:rsidRDefault="00A11E42" w:rsidP="00A11E42"/>
    <w:p w:rsidR="00A11E42" w:rsidRPr="00A11E42" w:rsidRDefault="00A11E42" w:rsidP="00A11E42">
      <w:pPr>
        <w:rPr>
          <w:color w:val="FF0000"/>
        </w:rPr>
      </w:pPr>
      <w:r w:rsidRPr="00A11E42">
        <w:rPr>
          <w:color w:val="FF0000"/>
        </w:rPr>
        <w:t xml:space="preserve">Robert M Wrenn, </w:t>
      </w:r>
      <w:r w:rsidRPr="00A11E42">
        <w:rPr>
          <w:i/>
          <w:color w:val="FF0000"/>
        </w:rPr>
        <w:t xml:space="preserve">Achebe's world: the historical and cultural context of the novels of Chinua Achebe </w:t>
      </w:r>
      <w:r w:rsidRPr="00A11E42">
        <w:rPr>
          <w:color w:val="FF0000"/>
        </w:rPr>
        <w:t>(Boulder, Colorado: Three continents press original 1980)</w:t>
      </w:r>
    </w:p>
    <w:p w:rsidR="00A11E42" w:rsidRPr="00A11E42" w:rsidRDefault="00A11E42" w:rsidP="00A11E42">
      <w:r w:rsidRPr="00A11E42">
        <w:t>Helped understand the author, his background and more information on the history of African novels.</w:t>
      </w:r>
    </w:p>
    <w:p w:rsidR="00A11E42" w:rsidRPr="00A11E42" w:rsidRDefault="00A11E42" w:rsidP="00A11E42">
      <w:pPr>
        <w:rPr>
          <w:color w:val="FF0000"/>
        </w:rPr>
      </w:pPr>
      <w:r w:rsidRPr="00A11E42">
        <w:rPr>
          <w:color w:val="FF0000"/>
        </w:rPr>
        <w:t xml:space="preserve">Michael J Toolan, </w:t>
      </w:r>
      <w:r w:rsidRPr="00A11E42">
        <w:rPr>
          <w:i/>
          <w:color w:val="FF0000"/>
        </w:rPr>
        <w:t>Narrative: A Critical Linguistic Introduction</w:t>
      </w:r>
      <w:r w:rsidRPr="00A11E42">
        <w:rPr>
          <w:color w:val="FF0000"/>
        </w:rPr>
        <w:t xml:space="preserve"> (London: Roultedge 1988)</w:t>
      </w:r>
    </w:p>
    <w:p w:rsidR="00A11E42" w:rsidRPr="00A11E42" w:rsidRDefault="00A11E42" w:rsidP="00A11E42">
      <w:r w:rsidRPr="00A11E42">
        <w:t xml:space="preserve">Detailed understanding of language and the influence it has on this genre and the effects it can have on the story telling. </w:t>
      </w:r>
    </w:p>
    <w:p w:rsidR="00A11E42" w:rsidRPr="00A11E42" w:rsidRDefault="00A11E42" w:rsidP="00A11E42"/>
    <w:p w:rsidR="00A11E42" w:rsidRPr="00A11E42" w:rsidRDefault="00A11E42" w:rsidP="00A11E42">
      <w:pPr>
        <w:rPr>
          <w:color w:val="FF0000"/>
        </w:rPr>
      </w:pPr>
      <w:r w:rsidRPr="00A11E42">
        <w:rPr>
          <w:color w:val="FF0000"/>
        </w:rPr>
        <w:t xml:space="preserve">Keith Edward Byerman, </w:t>
      </w:r>
      <w:r w:rsidRPr="00A11E42">
        <w:rPr>
          <w:i/>
          <w:color w:val="FF0000"/>
        </w:rPr>
        <w:t xml:space="preserve">Remembering the past in contemporary African American Fiction </w:t>
      </w:r>
      <w:r w:rsidRPr="00A11E42">
        <w:rPr>
          <w:color w:val="FF0000"/>
        </w:rPr>
        <w:t>(Chapel Hill: University of North Carolina Press 2005)</w:t>
      </w:r>
    </w:p>
    <w:p w:rsidR="00A11E42" w:rsidRPr="00A11E42" w:rsidRDefault="00A11E42" w:rsidP="00A11E42">
      <w:r w:rsidRPr="00A11E42">
        <w:t>More information on African American rituals than actual African tribes, not helpful for the information I was looking for.</w:t>
      </w:r>
    </w:p>
    <w:p w:rsidR="00A11E42" w:rsidRPr="00A11E42" w:rsidRDefault="00A11E42" w:rsidP="00A11E42">
      <w:pPr>
        <w:rPr>
          <w:color w:val="FF0000"/>
        </w:rPr>
      </w:pPr>
      <w:r w:rsidRPr="00A11E42">
        <w:rPr>
          <w:color w:val="FF0000"/>
        </w:rPr>
        <w:t xml:space="preserve">Carrol David, </w:t>
      </w:r>
      <w:r w:rsidRPr="00A11E42">
        <w:rPr>
          <w:i/>
          <w:color w:val="FF0000"/>
        </w:rPr>
        <w:t xml:space="preserve">Chinua Achebe: Novelist, Poet, Critic </w:t>
      </w:r>
      <w:r w:rsidRPr="00A11E42">
        <w:rPr>
          <w:color w:val="FF0000"/>
        </w:rPr>
        <w:t>(Basingstoke: Macmillan 1990)</w:t>
      </w:r>
    </w:p>
    <w:p w:rsidR="00A11E42" w:rsidRPr="00A11E42" w:rsidRDefault="00A11E42" w:rsidP="00A11E42">
      <w:r w:rsidRPr="00A11E42">
        <w:t>Helped with understanding the author in more detail, with notes of his other work and his personal background.</w:t>
      </w:r>
    </w:p>
    <w:p w:rsidR="00A11E42" w:rsidRPr="00A11E42" w:rsidRDefault="00A11E42" w:rsidP="00A11E42">
      <w:pPr>
        <w:rPr>
          <w:color w:val="FF0000"/>
        </w:rPr>
      </w:pPr>
      <w:r w:rsidRPr="00A11E42">
        <w:rPr>
          <w:color w:val="FF0000"/>
        </w:rPr>
        <w:lastRenderedPageBreak/>
        <w:t xml:space="preserve">Ravenscroft, Arthur, Scott, Ian, </w:t>
      </w:r>
      <w:r w:rsidRPr="00A11E42">
        <w:rPr>
          <w:i/>
          <w:color w:val="FF0000"/>
        </w:rPr>
        <w:t>Chinua Achebe</w:t>
      </w:r>
      <w:r w:rsidRPr="00A11E42">
        <w:rPr>
          <w:color w:val="FF0000"/>
        </w:rPr>
        <w:t xml:space="preserve"> (Harlow: Longman for the British Council 1977)</w:t>
      </w:r>
    </w:p>
    <w:p w:rsidR="00A11E42" w:rsidRPr="00A11E42" w:rsidRDefault="00A11E42" w:rsidP="00A11E42">
      <w:r w:rsidRPr="00A11E42">
        <w:t xml:space="preserve">More in depth detail on the author of </w:t>
      </w:r>
      <w:r w:rsidRPr="00A11E42">
        <w:rPr>
          <w:i/>
        </w:rPr>
        <w:t>Things fall apart</w:t>
      </w:r>
      <w:r w:rsidRPr="00A11E42">
        <w:t xml:space="preserve"> but maybe too much as already taken notes on the information from previous books.</w:t>
      </w:r>
    </w:p>
    <w:p w:rsidR="00A11E42" w:rsidRDefault="00A11E42">
      <w:pPr>
        <w:rPr>
          <w:rFonts w:ascii="Calibri" w:hAnsi="Calibri"/>
        </w:rPr>
      </w:pPr>
    </w:p>
    <w:p w:rsidR="00A11E42" w:rsidRDefault="00A11E42">
      <w:pPr>
        <w:rPr>
          <w:rFonts w:ascii="Calibri" w:hAnsi="Calibri"/>
        </w:rPr>
      </w:pPr>
    </w:p>
    <w:p w:rsidR="00A11E42" w:rsidRPr="00A11E42" w:rsidRDefault="00A11E42" w:rsidP="00A11E42">
      <w:pPr>
        <w:jc w:val="center"/>
        <w:rPr>
          <w:b/>
        </w:rPr>
      </w:pPr>
      <w:r w:rsidRPr="00A11E42">
        <w:rPr>
          <w:b/>
        </w:rPr>
        <w:t>The Changeling Portfolio Task</w:t>
      </w:r>
    </w:p>
    <w:p w:rsidR="00A11E42" w:rsidRDefault="00A11E42" w:rsidP="00A11E42"/>
    <w:p w:rsidR="00A11E42" w:rsidRDefault="00A11E42" w:rsidP="00A11E42">
      <w:r>
        <w:t xml:space="preserve">The first scene opens near the docks, on a street outside a church. There is a brief conversation between Alsamero and Jasperino regarding sailing, if they are ready to go or not. The servant, Jasperino who is also Alsamero’s friend, agrees with Alsamero’s decision to not set sail, ‘we are safer on land’. We are not given a clear reason as to why it is safer on land than at sea, it could be anything from dangerous weather conditions to simply Alsamero wanting to stay to see Beatrice once more before they depart. </w:t>
      </w:r>
    </w:p>
    <w:p w:rsidR="00A11E42" w:rsidRDefault="00A11E42" w:rsidP="00A11E42">
      <w:r>
        <w:t xml:space="preserve">The first scene shows themes of a sexual nature, (Jasperino) ‘Yonder's another vessel: I'll board her; if she be lawful prize, down goes her topsail!’ with hints of obsession (Deflores) ‘I know she hates me, yet cannot choose but love her: No matter, if but to vex her, I'll haunt her still’ and betrayal (Alsamero) ‘How shall I dare to venture in his castle When he discharges murderers at the gate’. This leaves the play open to numerous endings from the outset. </w:t>
      </w:r>
    </w:p>
    <w:p w:rsidR="00A11E42" w:rsidRDefault="00A11E42" w:rsidP="00A11E42">
      <w:r>
        <w:t xml:space="preserve">If I were to predict what happens throughout the rest of the play, I would suggest that the obsessive love that Deflores has for Beatrice ends in tragedy. Alsamero will give in to Beatrice’s father Vermadero and will visit the castle to profess his love to Beatrice, forcing her to have to choose between him, a good suitor and her fiancé. All the while, Deflores would be listening in, and decide that he could now also confess his love, as he believes he loves her the most and that she should forget about the other two, give up her hatred towards him and marry him instead. </w:t>
      </w:r>
    </w:p>
    <w:p w:rsidR="00A11E42" w:rsidRDefault="00A11E42" w:rsidP="00A11E42">
      <w:r>
        <w:t xml:space="preserve">Beatrice will be heard talking to her lady in waiting Diaphanta about the choice she is facing, and will show more love for Alsamero, for he has already confessed his love for her in the first scene, this has stuck in her head throughout. </w:t>
      </w:r>
    </w:p>
    <w:p w:rsidR="00A11E42" w:rsidRDefault="00A11E42" w:rsidP="00A11E42">
      <w:r>
        <w:t xml:space="preserve">Deflores will then rage with jealousy, and plot to kill Beatrice, he will poison her with cyanide in her glass of wine that he has prepared for her, once she has drunk it she slowly drifts off to sleep, to a peaceful death. </w:t>
      </w:r>
    </w:p>
    <w:p w:rsidR="00A11E42" w:rsidRDefault="00A11E42" w:rsidP="00A11E42">
      <w:r>
        <w:t xml:space="preserve">Deflores will then continue to hide the poison, and write a note from Beatrice that says she is sorry and could not bare to decide between the men, so decided the best option would be to leave them all. </w:t>
      </w:r>
    </w:p>
    <w:p w:rsidR="00A11E42" w:rsidRDefault="00A11E42" w:rsidP="00A11E42">
      <w:r>
        <w:t xml:space="preserve">Diaphanta will be distraught, as she had previously spoken to Beatrice and knew of her thoughts on choosing Alsamero. She will then talk to Beatrice’s father, Vermadero and voice her concerns of the suicide. </w:t>
      </w:r>
    </w:p>
    <w:p w:rsidR="00A11E42" w:rsidRDefault="00A11E42" w:rsidP="00A11E42">
      <w:r>
        <w:t xml:space="preserve">There will be an investigation that points towards Beatrice’s husband as her killer, as he would have had ample cause for a jealous rage, and to want her dead if he couldn’t have her himself.  </w:t>
      </w:r>
    </w:p>
    <w:p w:rsidR="00A11E42" w:rsidRDefault="00A11E42" w:rsidP="00A11E42">
      <w:r>
        <w:t xml:space="preserve">Deflores will be seen to be pleased with his work, unaware that Diaphanta is watching his every move. There would be a scene where Deflores is sat, drunk, talking to his reflection in the sea at the </w:t>
      </w:r>
      <w:r>
        <w:lastRenderedPageBreak/>
        <w:t xml:space="preserve">dock, pleased with himself for getting away with the perfect crime, but torturing himself for killing his love, but then if she wasn’t going to choose him after he had so bravely professed his love to her then he done the right thing, </w:t>
      </w:r>
    </w:p>
    <w:p w:rsidR="00A11E42" w:rsidRDefault="00A11E42" w:rsidP="00A11E42">
      <w:r>
        <w:t xml:space="preserve">Diaphante will be seen with Vermadero, emotionally explaining that it was in fact Deflores that killed his daughter, not the fiancée. </w:t>
      </w:r>
    </w:p>
    <w:p w:rsidR="00A11E42" w:rsidRDefault="00A11E42" w:rsidP="00A11E42">
      <w:r>
        <w:t xml:space="preserve">Vermadero will take his revenge himself by staging a dinner party. He invites every nobleman he knows to the grand hall, as well as Deflores. Deflores, just a servant is not aware of his social standing and doesn’t see this as odd in anyway, just something that is over-due. He is finally being recognised for the outstanding gentleman that he is, or so he thinks. </w:t>
      </w:r>
    </w:p>
    <w:p w:rsidR="00A11E42" w:rsidRDefault="00A11E42" w:rsidP="00A11E42">
      <w:r>
        <w:t xml:space="preserve">Vermandero is the perfect host, paying close attention to Deflores, making him the guest of honour and ensuring that all the other guests know who he is, Deflores would lap up the attention. Something which he always craved. </w:t>
      </w:r>
    </w:p>
    <w:p w:rsidR="00A11E42" w:rsidRDefault="00A11E42" w:rsidP="00A11E42">
      <w:r>
        <w:t xml:space="preserve">Unknowingly to Deflores, his perfect evening would soon be over. Vermandero invites Deflores to a tour of his castle, showing him around his home as a gesture of good faith. Deflores, although having already worked here before, accepts the gesture and follows Vermandero to a balcony. </w:t>
      </w:r>
    </w:p>
    <w:p w:rsidR="00A11E42" w:rsidRDefault="00A11E42" w:rsidP="00A11E42">
      <w:r>
        <w:t xml:space="preserve">Whilst the two of them are enjoying the fresh night air, Diaphanta and Alsamero are also in on the revenge plot. They quietly enter the balcony, locking the door behind them so that there is no way of escape for Deflores. </w:t>
      </w:r>
    </w:p>
    <w:p w:rsidR="00A11E42" w:rsidRDefault="00A11E42" w:rsidP="00A11E42">
      <w:r>
        <w:t xml:space="preserve">Alsamero confronts Deflores, and while they argue the truth, Diaphanta loses control, her emotions get the better of her, as she cries uncontrollably, she reaches out to Deflores and pushes him over the balcony, the three fall silent. </w:t>
      </w:r>
    </w:p>
    <w:p w:rsidR="00A11E42" w:rsidRDefault="00A11E42" w:rsidP="00A11E42">
      <w:r>
        <w:t xml:space="preserve">The guests from the party rush out and find Deflores on the floor in a pool of blood, and instantly Vermandero covers for Diaphanta and announces that he jumped. He jumped because he just could not face a life without dear Beatrice. </w:t>
      </w:r>
    </w:p>
    <w:p w:rsidR="00A11E42" w:rsidRDefault="00A11E42" w:rsidP="00A11E42">
      <w:r>
        <w:t xml:space="preserve">Diaphante, riddled with guilt and unable to deal with the murder, she hangs herself in the hope to be reunited with Beatrice. </w:t>
      </w:r>
    </w:p>
    <w:p w:rsidR="00A11E42" w:rsidRDefault="00A11E42" w:rsidP="00A11E42"/>
    <w:p w:rsidR="00A11E42" w:rsidRDefault="00A11E42" w:rsidP="00A11E42"/>
    <w:p w:rsidR="00A11E42" w:rsidRDefault="00A11E42" w:rsidP="00A11E42">
      <w:r>
        <w:t xml:space="preserve">I believe that this is a possible ending to ‘The Changeling’ as it is a Jacobean tragedy, and most tragedies of this time were dramatic. I feel that the ending I have predicted is dramatic enough to be a plausible ending for this play.  </w:t>
      </w:r>
    </w:p>
    <w:p w:rsidR="00A11E42" w:rsidRDefault="00A11E42" w:rsidP="00A11E42">
      <w:r>
        <w:t xml:space="preserve"> </w:t>
      </w:r>
    </w:p>
    <w:p w:rsidR="00374F58" w:rsidRDefault="00374F58" w:rsidP="00783FDB">
      <w:pPr>
        <w:jc w:val="center"/>
        <w:rPr>
          <w:b/>
        </w:rPr>
      </w:pPr>
    </w:p>
    <w:p w:rsidR="00374F58" w:rsidRDefault="00374F58" w:rsidP="00783FDB">
      <w:pPr>
        <w:jc w:val="center"/>
        <w:rPr>
          <w:b/>
        </w:rPr>
      </w:pPr>
    </w:p>
    <w:p w:rsidR="007D066C" w:rsidRDefault="007D066C" w:rsidP="00497E47">
      <w:pPr>
        <w:rPr>
          <w:rFonts w:ascii="Calibri" w:hAnsi="Calibri"/>
          <w:b/>
        </w:rPr>
      </w:pPr>
    </w:p>
    <w:p w:rsidR="002E3686" w:rsidRDefault="002E3686" w:rsidP="00497E47">
      <w:pPr>
        <w:rPr>
          <w:rFonts w:ascii="Calibri" w:hAnsi="Calibri"/>
          <w:b/>
        </w:rPr>
      </w:pPr>
    </w:p>
    <w:p w:rsidR="002E3686" w:rsidRDefault="002E3686" w:rsidP="00497E47">
      <w:pPr>
        <w:rPr>
          <w:rFonts w:ascii="Calibri" w:hAnsi="Calibri"/>
          <w:b/>
        </w:rPr>
      </w:pPr>
    </w:p>
    <w:p w:rsidR="002E3686" w:rsidRDefault="002E3686" w:rsidP="00497E47">
      <w:pPr>
        <w:rPr>
          <w:rFonts w:ascii="Calibri" w:hAnsi="Calibri"/>
          <w:b/>
        </w:rPr>
      </w:pPr>
    </w:p>
    <w:p w:rsidR="002E3686" w:rsidRDefault="002E3686" w:rsidP="00497E47">
      <w:pPr>
        <w:rPr>
          <w:rFonts w:ascii="Calibri" w:hAnsi="Calibri"/>
          <w:b/>
        </w:rPr>
      </w:pPr>
    </w:p>
    <w:p w:rsidR="00262422" w:rsidRDefault="00262422" w:rsidP="00262422">
      <w:pPr>
        <w:jc w:val="center"/>
        <w:rPr>
          <w:rFonts w:ascii="Calibri" w:hAnsi="Calibri"/>
          <w:b/>
        </w:rPr>
      </w:pPr>
      <w:r>
        <w:rPr>
          <w:rFonts w:ascii="Calibri" w:hAnsi="Calibri"/>
          <w:b/>
        </w:rPr>
        <w:t>Critique of essay</w:t>
      </w:r>
    </w:p>
    <w:p w:rsidR="00262422" w:rsidRDefault="00262422" w:rsidP="00262422">
      <w:pPr>
        <w:jc w:val="center"/>
        <w:rPr>
          <w:rFonts w:ascii="Calibri" w:hAnsi="Calibri"/>
          <w:b/>
        </w:rPr>
      </w:pPr>
    </w:p>
    <w:p w:rsidR="00262422" w:rsidRDefault="00262422" w:rsidP="00262422">
      <w:pPr>
        <w:rPr>
          <w:rFonts w:ascii="Calibri" w:hAnsi="Calibri"/>
        </w:rPr>
      </w:pPr>
      <w:r>
        <w:rPr>
          <w:rFonts w:ascii="Calibri" w:hAnsi="Calibri"/>
        </w:rPr>
        <w:t>The essay I am critiquing is titled ‘</w:t>
      </w:r>
      <w:r w:rsidRPr="00262422">
        <w:rPr>
          <w:rFonts w:ascii="Calibri" w:hAnsi="Calibri"/>
        </w:rPr>
        <w:t>Tom Keymer, Peter Sabo describe novels like Pamela as ‘asserting the spiritual equality of servant and princess, and inserting the servant in the social elite as an agent of reformation’. How far do you agree with the argument that enlightenment writing similarly ‘disrupted many of the assumptions on which hierarchy rested’?</w:t>
      </w:r>
      <w:r>
        <w:rPr>
          <w:rFonts w:ascii="Calibri" w:hAnsi="Calibri"/>
        </w:rPr>
        <w:t xml:space="preserve">’ written by Sian Powell. I will include the full essay at the end of the document for ease of reference. </w:t>
      </w:r>
    </w:p>
    <w:p w:rsidR="00262422" w:rsidRDefault="00262422" w:rsidP="00262422">
      <w:pPr>
        <w:rPr>
          <w:rFonts w:ascii="Calibri" w:hAnsi="Calibri"/>
        </w:rPr>
      </w:pPr>
    </w:p>
    <w:p w:rsidR="00262422" w:rsidRDefault="005D6166" w:rsidP="00262422">
      <w:pPr>
        <w:rPr>
          <w:rFonts w:ascii="Calibri" w:hAnsi="Calibri"/>
        </w:rPr>
      </w:pPr>
      <w:r>
        <w:rPr>
          <w:rFonts w:ascii="Calibri" w:hAnsi="Calibri"/>
        </w:rPr>
        <w:t xml:space="preserve">The main thesis of this essay is the empowerment of young women, with the destruction of hierarchy in the class system using the books </w:t>
      </w:r>
      <w:r>
        <w:rPr>
          <w:rFonts w:ascii="Calibri" w:hAnsi="Calibri"/>
          <w:i/>
        </w:rPr>
        <w:t xml:space="preserve">Mansfeild Park </w:t>
      </w:r>
      <w:r>
        <w:rPr>
          <w:rFonts w:ascii="Calibri" w:hAnsi="Calibri"/>
        </w:rPr>
        <w:t xml:space="preserve">written by Jane Austin and </w:t>
      </w:r>
      <w:r>
        <w:rPr>
          <w:rFonts w:ascii="Calibri" w:hAnsi="Calibri"/>
          <w:i/>
        </w:rPr>
        <w:t>Pamela or virtue rewarded</w:t>
      </w:r>
      <w:r>
        <w:rPr>
          <w:rFonts w:ascii="Calibri" w:hAnsi="Calibri"/>
        </w:rPr>
        <w:t xml:space="preserve"> written by Samuel Richardson. </w:t>
      </w:r>
    </w:p>
    <w:p w:rsidR="005D6166" w:rsidRDefault="00491DEC" w:rsidP="00262422">
      <w:pPr>
        <w:rPr>
          <w:rFonts w:ascii="Calibri" w:hAnsi="Calibri"/>
        </w:rPr>
      </w:pPr>
      <w:r>
        <w:rPr>
          <w:rFonts w:ascii="Calibri" w:hAnsi="Calibri"/>
        </w:rPr>
        <w:t>In summery, the essay high</w:t>
      </w:r>
      <w:r w:rsidR="006D1537">
        <w:rPr>
          <w:rFonts w:ascii="Calibri" w:hAnsi="Calibri"/>
        </w:rPr>
        <w:t>lights the role of women in books in the 18</w:t>
      </w:r>
      <w:r w:rsidR="006D1537" w:rsidRPr="006D1537">
        <w:rPr>
          <w:rFonts w:ascii="Calibri" w:hAnsi="Calibri"/>
          <w:vertAlign w:val="superscript"/>
        </w:rPr>
        <w:t>th</w:t>
      </w:r>
      <w:r w:rsidR="006D1537">
        <w:rPr>
          <w:rFonts w:ascii="Calibri" w:hAnsi="Calibri"/>
        </w:rPr>
        <w:t xml:space="preserve"> century, through enlightenment and power. It dismantles the hierarchy and brings hope to young girls of that era. </w:t>
      </w:r>
    </w:p>
    <w:p w:rsidR="006D1537" w:rsidRDefault="006D1537" w:rsidP="00262422">
      <w:pPr>
        <w:rPr>
          <w:rFonts w:ascii="Calibri" w:hAnsi="Calibri"/>
        </w:rPr>
      </w:pPr>
      <w:r>
        <w:rPr>
          <w:rFonts w:ascii="Calibri" w:hAnsi="Calibri"/>
        </w:rPr>
        <w:t xml:space="preserve">The evidence used in the essay is vast, there is a mixture of quotes from </w:t>
      </w:r>
      <w:r w:rsidRPr="006D1537">
        <w:rPr>
          <w:rFonts w:ascii="Calibri" w:hAnsi="Calibri"/>
        </w:rPr>
        <w:t>‘Cogito erg</w:t>
      </w:r>
      <w:r>
        <w:rPr>
          <w:rFonts w:ascii="Calibri" w:hAnsi="Calibri"/>
        </w:rPr>
        <w:t>o sum: I think there for I am’.’</w:t>
      </w:r>
      <w:r>
        <w:rPr>
          <w:rStyle w:val="FootnoteReference"/>
          <w:rFonts w:ascii="Calibri" w:hAnsi="Calibri"/>
        </w:rPr>
        <w:footnoteReference w:id="4"/>
      </w:r>
      <w:r>
        <w:rPr>
          <w:rFonts w:ascii="Calibri" w:hAnsi="Calibri"/>
        </w:rPr>
        <w:t xml:space="preserve"> Which is a well known quote that offers recognition to the reader, to ‘</w:t>
      </w:r>
      <w:r w:rsidRPr="006D1537">
        <w:rPr>
          <w:rFonts w:ascii="Calibri" w:hAnsi="Calibri"/>
        </w:rPr>
        <w:t>‘But this wicked Mrs. Jewkes would not let me go without her; and she said she was not at Leisure… it was very hard I could not be trusted to walk myself in the Garden for a little Air; but must be dogg’d and watch’d worse than a Thief.</w:t>
      </w:r>
      <w:r>
        <w:rPr>
          <w:rFonts w:ascii="Calibri" w:hAnsi="Calibri"/>
        </w:rPr>
        <w:t>’</w:t>
      </w:r>
      <w:r>
        <w:rPr>
          <w:rStyle w:val="FootnoteReference"/>
          <w:rFonts w:ascii="Calibri" w:hAnsi="Calibri"/>
        </w:rPr>
        <w:footnoteReference w:id="5"/>
      </w:r>
      <w:r>
        <w:rPr>
          <w:rFonts w:ascii="Calibri" w:hAnsi="Calibri"/>
        </w:rPr>
        <w:t xml:space="preserve"> Which is a taken from the book </w:t>
      </w:r>
      <w:r w:rsidR="00D636CF">
        <w:rPr>
          <w:rFonts w:ascii="Calibri" w:hAnsi="Calibri"/>
          <w:i/>
        </w:rPr>
        <w:t>Pamela</w:t>
      </w:r>
      <w:r w:rsidR="00D636CF">
        <w:rPr>
          <w:rFonts w:ascii="Calibri" w:hAnsi="Calibri"/>
        </w:rPr>
        <w:t xml:space="preserve">, and this specific quote I feel offers the emotional side of the women in question. It heightens the entrapment that they felt before the empowerment. </w:t>
      </w:r>
    </w:p>
    <w:p w:rsidR="00A30AB0" w:rsidRDefault="00A30AB0" w:rsidP="008A428E">
      <w:pPr>
        <w:rPr>
          <w:rFonts w:ascii="Calibri" w:hAnsi="Calibri"/>
        </w:rPr>
      </w:pPr>
      <w:r>
        <w:rPr>
          <w:rFonts w:ascii="Calibri" w:hAnsi="Calibri"/>
        </w:rPr>
        <w:t xml:space="preserve">The essay offers more than quotes from book, but refences to </w:t>
      </w:r>
      <w:r w:rsidR="008A428E">
        <w:rPr>
          <w:rFonts w:ascii="Calibri" w:hAnsi="Calibri"/>
        </w:rPr>
        <w:t xml:space="preserve">outside works such as </w:t>
      </w:r>
      <w:r w:rsidR="008A428E" w:rsidRPr="008A428E">
        <w:rPr>
          <w:rFonts w:ascii="Calibri" w:hAnsi="Calibri"/>
          <w:i/>
        </w:rPr>
        <w:t>Enlightenment Fictio</w:t>
      </w:r>
      <w:r w:rsidR="008A428E">
        <w:rPr>
          <w:rFonts w:ascii="Calibri" w:hAnsi="Calibri"/>
          <w:i/>
        </w:rPr>
        <w:t xml:space="preserve">n and the Scientific Hypothesis </w:t>
      </w:r>
      <w:r w:rsidR="008A428E">
        <w:rPr>
          <w:rFonts w:ascii="Calibri" w:hAnsi="Calibri"/>
        </w:rPr>
        <w:t xml:space="preserve">written by John Bender and </w:t>
      </w:r>
      <w:r w:rsidR="008A428E" w:rsidRPr="008A428E">
        <w:rPr>
          <w:rFonts w:ascii="Calibri" w:hAnsi="Calibri"/>
          <w:i/>
        </w:rPr>
        <w:t>Then I Imagine a Child:</w:t>
      </w:r>
      <w:r w:rsidR="008A428E" w:rsidRPr="008A428E">
        <w:rPr>
          <w:rFonts w:ascii="Calibri" w:hAnsi="Calibri"/>
          <w:i/>
        </w:rPr>
        <w:t xml:space="preserve"> The Idea of Childhood and the </w:t>
      </w:r>
      <w:r w:rsidR="008A428E" w:rsidRPr="008A428E">
        <w:rPr>
          <w:rFonts w:ascii="Calibri" w:hAnsi="Calibri"/>
          <w:i/>
        </w:rPr>
        <w:t>Philosophy</w:t>
      </w:r>
      <w:r w:rsidR="008A428E" w:rsidRPr="008A428E">
        <w:rPr>
          <w:rFonts w:ascii="Calibri" w:hAnsi="Calibri"/>
          <w:i/>
        </w:rPr>
        <w:t xml:space="preserve"> of Memory in the Enlightenment</w:t>
      </w:r>
      <w:r w:rsidR="008A428E">
        <w:rPr>
          <w:rFonts w:ascii="Calibri" w:hAnsi="Calibri"/>
        </w:rPr>
        <w:t xml:space="preserve"> written by Larry Wolff. Thus offering external thoughts on enlightenment to coincide with the argument that has been presented. </w:t>
      </w:r>
    </w:p>
    <w:p w:rsidR="002C4A35" w:rsidRDefault="002C4A35" w:rsidP="008A428E">
      <w:pPr>
        <w:rPr>
          <w:rFonts w:ascii="Calibri" w:hAnsi="Calibri"/>
        </w:rPr>
      </w:pPr>
      <w:r>
        <w:rPr>
          <w:rFonts w:ascii="Calibri" w:hAnsi="Calibri"/>
        </w:rPr>
        <w:t>The language used is very clear and direct, it is easy to relate and understand. It has a clear outline of what the point of the essay is, and with multiple quotes from a variety of sources I find this essay has a lot of information.</w:t>
      </w:r>
    </w:p>
    <w:p w:rsidR="00E752E0" w:rsidRDefault="00E752E0" w:rsidP="008A428E">
      <w:pPr>
        <w:rPr>
          <w:rFonts w:ascii="Calibri" w:hAnsi="Calibri"/>
        </w:rPr>
      </w:pPr>
      <w:r>
        <w:rPr>
          <w:rFonts w:ascii="Calibri" w:hAnsi="Calibri"/>
        </w:rPr>
        <w:t xml:space="preserve">I find this essay very effective, the footnotes for refences are plentiful and there are a lot of valid points made throughout. It is structured very well, with the opening paragraph you have a sense of what the essay is about and where it is going. </w:t>
      </w:r>
      <w:r w:rsidR="00E63A84">
        <w:rPr>
          <w:rFonts w:ascii="Calibri" w:hAnsi="Calibri"/>
        </w:rPr>
        <w:t>It is very informative and sets a clear path of when women were granted the ability to travel through class in novels, and how enlightenment played a part in the 18</w:t>
      </w:r>
      <w:r w:rsidR="00E63A84" w:rsidRPr="00E63A84">
        <w:rPr>
          <w:rFonts w:ascii="Calibri" w:hAnsi="Calibri"/>
          <w:vertAlign w:val="superscript"/>
        </w:rPr>
        <w:t>th</w:t>
      </w:r>
      <w:r w:rsidR="00E63A84">
        <w:rPr>
          <w:rFonts w:ascii="Calibri" w:hAnsi="Calibri"/>
        </w:rPr>
        <w:t xml:space="preserve"> </w:t>
      </w:r>
      <w:r w:rsidR="005C4005">
        <w:rPr>
          <w:rFonts w:ascii="Calibri" w:hAnsi="Calibri"/>
        </w:rPr>
        <w:t>century</w:t>
      </w:r>
      <w:r w:rsidR="00E63A84">
        <w:rPr>
          <w:rFonts w:ascii="Calibri" w:hAnsi="Calibri"/>
        </w:rPr>
        <w:t xml:space="preserve">. </w:t>
      </w:r>
      <w:r w:rsidR="005C4005">
        <w:rPr>
          <w:rFonts w:ascii="Calibri" w:hAnsi="Calibri"/>
        </w:rPr>
        <w:t>‘</w:t>
      </w:r>
      <w:r w:rsidR="001E76EA" w:rsidRPr="001E76EA">
        <w:rPr>
          <w:rFonts w:ascii="Calibri" w:hAnsi="Calibri"/>
        </w:rPr>
        <w:t>in the latter half of the eighteenth century many female writers began to think about marrying for love rather than money, many also started to argue the rights of women</w:t>
      </w:r>
      <w:r w:rsidR="001E76EA">
        <w:rPr>
          <w:rFonts w:ascii="Calibri" w:hAnsi="Calibri"/>
        </w:rPr>
        <w:t>’</w:t>
      </w:r>
      <w:r w:rsidR="001E76EA">
        <w:rPr>
          <w:rStyle w:val="FootnoteReference"/>
          <w:rFonts w:ascii="Calibri" w:hAnsi="Calibri"/>
        </w:rPr>
        <w:footnoteReference w:id="6"/>
      </w:r>
      <w:r w:rsidR="001E76EA">
        <w:rPr>
          <w:rFonts w:ascii="Calibri" w:hAnsi="Calibri"/>
        </w:rPr>
        <w:t xml:space="preserve">. </w:t>
      </w:r>
    </w:p>
    <w:p w:rsidR="001E76EA" w:rsidRDefault="001E76EA" w:rsidP="008A428E">
      <w:pPr>
        <w:rPr>
          <w:rFonts w:ascii="Calibri" w:hAnsi="Calibri"/>
        </w:rPr>
      </w:pPr>
      <w:r>
        <w:rPr>
          <w:rFonts w:ascii="Calibri" w:hAnsi="Calibri"/>
        </w:rPr>
        <w:t xml:space="preserve">The essay really makes you think about the way women are represented in novels, especially in </w:t>
      </w:r>
      <w:r>
        <w:rPr>
          <w:rFonts w:ascii="Calibri" w:hAnsi="Calibri"/>
          <w:i/>
        </w:rPr>
        <w:t>Mansfield Park</w:t>
      </w:r>
      <w:r>
        <w:rPr>
          <w:rFonts w:ascii="Calibri" w:hAnsi="Calibri"/>
        </w:rPr>
        <w:t xml:space="preserve"> and how they were represented prior to this. </w:t>
      </w:r>
      <w:r w:rsidR="00D04500">
        <w:rPr>
          <w:rFonts w:ascii="Calibri" w:hAnsi="Calibri"/>
        </w:rPr>
        <w:t xml:space="preserve">I believe that this essay is </w:t>
      </w:r>
      <w:r w:rsidR="00061331">
        <w:rPr>
          <w:rFonts w:ascii="Calibri" w:hAnsi="Calibri"/>
        </w:rPr>
        <w:t xml:space="preserve">persuasive and direct with a lot of quotes to back up the main argument. </w:t>
      </w:r>
    </w:p>
    <w:p w:rsidR="00061331" w:rsidRDefault="00061331" w:rsidP="008A428E">
      <w:pPr>
        <w:rPr>
          <w:rFonts w:ascii="Calibri" w:hAnsi="Calibri"/>
        </w:rPr>
      </w:pPr>
    </w:p>
    <w:p w:rsidR="00061331" w:rsidRDefault="00C260A0" w:rsidP="008A428E">
      <w:pPr>
        <w:rPr>
          <w:rFonts w:ascii="Calibri" w:hAnsi="Calibri"/>
          <w:b/>
        </w:rPr>
      </w:pPr>
      <w:r>
        <w:rPr>
          <w:rFonts w:ascii="Calibri" w:hAnsi="Calibri"/>
          <w:b/>
        </w:rPr>
        <w:t xml:space="preserve">Compulsory task was done in class on paper and handed in directly so is not on this document. </w:t>
      </w:r>
    </w:p>
    <w:p w:rsidR="003C1A37" w:rsidRDefault="003C1A37" w:rsidP="008A428E">
      <w:pPr>
        <w:rPr>
          <w:rFonts w:ascii="Calibri" w:hAnsi="Calibri"/>
          <w:b/>
        </w:rPr>
      </w:pPr>
    </w:p>
    <w:p w:rsidR="003C1A37" w:rsidRDefault="003C1A37" w:rsidP="008A428E">
      <w:pPr>
        <w:rPr>
          <w:rFonts w:ascii="Calibri" w:hAnsi="Calibri"/>
        </w:rPr>
      </w:pPr>
      <w:r>
        <w:rPr>
          <w:rFonts w:ascii="Calibri" w:hAnsi="Calibri"/>
          <w:b/>
        </w:rPr>
        <w:t>*</w:t>
      </w:r>
      <w:r>
        <w:rPr>
          <w:rFonts w:ascii="Calibri" w:hAnsi="Calibri"/>
          <w:i/>
        </w:rPr>
        <w:t xml:space="preserve">for referencing purposes, here is the essay that I critiqued. As it isn’t available online, I have copied it directly. </w:t>
      </w:r>
      <w:bookmarkStart w:id="0" w:name="_GoBack"/>
      <w:bookmarkEnd w:id="0"/>
    </w:p>
    <w:p w:rsidR="003C1A37" w:rsidRDefault="003C1A37" w:rsidP="003C1A37">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86075" cy="1047750"/>
            <wp:effectExtent l="19050" t="19050" r="2857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047750"/>
                    </a:xfrm>
                    <a:prstGeom prst="rect">
                      <a:avLst/>
                    </a:prstGeom>
                    <a:noFill/>
                    <a:ln w="19050" cmpd="sng">
                      <a:solidFill>
                        <a:srgbClr val="000000"/>
                      </a:solidFill>
                      <a:miter lim="800000"/>
                      <a:headEnd/>
                      <a:tailEnd/>
                    </a:ln>
                    <a:effectLst/>
                  </pic:spPr>
                </pic:pic>
              </a:graphicData>
            </a:graphic>
          </wp:inline>
        </w:drawing>
      </w:r>
    </w:p>
    <w:p w:rsidR="003C1A37" w:rsidRDefault="003C1A37" w:rsidP="003C1A37">
      <w:pPr>
        <w:pStyle w:val="Heading3"/>
        <w:rPr>
          <w:rFonts w:ascii="Trebuchet MS" w:hAnsi="Trebuchet MS"/>
        </w:rPr>
      </w:pPr>
    </w:p>
    <w:p w:rsidR="003C1A37" w:rsidRDefault="003C1A37" w:rsidP="003C1A37">
      <w:pPr>
        <w:jc w:val="center"/>
        <w:rPr>
          <w:rFonts w:ascii="Arial" w:hAnsi="Arial" w:cs="Arial"/>
          <w:b/>
        </w:rPr>
      </w:pPr>
    </w:p>
    <w:p w:rsidR="003C1A37" w:rsidRDefault="003C1A37" w:rsidP="003C1A37">
      <w:pPr>
        <w:rPr>
          <w:rFonts w:ascii="Arial" w:hAnsi="Arial" w:cs="Arial"/>
        </w:rPr>
      </w:pPr>
      <w:r>
        <w:rPr>
          <w:rFonts w:ascii="Arial" w:hAnsi="Arial" w:cs="Arial"/>
        </w:rPr>
        <w:tab/>
        <w:t>During the eighteenth century, the emergence of the novel, relating form and ideas, science, reason and exploration began to change human perspective of what is known as the enlightenment. People moved away from the religious conflicts of the previous century to reason and explanations. Many revolutions such as the American and French gave way to less ridged societies. Due to this movement in thinking, the enlightenment is the birth of silent reading, differing from the Renaissance where people usually read aloud, ‘Enlightenment is man's emergence from his self-imposed immaturity.’</w:t>
      </w:r>
      <w:r>
        <w:rPr>
          <w:rStyle w:val="FootnoteReference"/>
          <w:rFonts w:ascii="Arial" w:hAnsi="Arial" w:cs="Arial"/>
        </w:rPr>
        <w:footnoteReference w:id="7"/>
      </w:r>
      <w:r>
        <w:rPr>
          <w:rFonts w:ascii="Arial" w:hAnsi="Arial" w:cs="Arial"/>
        </w:rPr>
        <w:t xml:space="preserve"> Throughout this time new ideas and scientific discoveries were brought to life. Many such ideas stem from the ability to freely think ‘Cogito ergo sum: I think there for I am’</w:t>
      </w:r>
      <w:r>
        <w:rPr>
          <w:rStyle w:val="FootnoteReference"/>
          <w:rFonts w:ascii="Arial" w:hAnsi="Arial" w:cs="Arial"/>
        </w:rPr>
        <w:footnoteReference w:id="8"/>
      </w:r>
      <w:r>
        <w:rPr>
          <w:rFonts w:ascii="Arial" w:hAnsi="Arial" w:cs="Arial"/>
        </w:rPr>
        <w:t xml:space="preserve">. </w:t>
      </w:r>
    </w:p>
    <w:p w:rsidR="003C1A37" w:rsidRDefault="003C1A37" w:rsidP="003C1A37">
      <w:pPr>
        <w:rPr>
          <w:rFonts w:ascii="Arial" w:hAnsi="Arial" w:cs="Arial"/>
        </w:rPr>
      </w:pPr>
      <w:r>
        <w:rPr>
          <w:rFonts w:ascii="Arial" w:hAnsi="Arial" w:cs="Arial"/>
        </w:rPr>
        <w:tab/>
        <w:t>Through the course of the eighteenth century, many great writers emerged as a by-product of the enlightenment. Writers such as Samuel Richardson, ‘Defoe and Richardson are the first great writers in our literature who did not take plots from mythology, history, legend or previous literature.’</w:t>
      </w:r>
      <w:r>
        <w:rPr>
          <w:rStyle w:val="FootnoteReference"/>
          <w:rFonts w:ascii="Arial" w:hAnsi="Arial" w:cs="Arial"/>
        </w:rPr>
        <w:footnoteReference w:id="9"/>
      </w:r>
      <w:r>
        <w:rPr>
          <w:rFonts w:ascii="Arial" w:hAnsi="Arial" w:cs="Arial"/>
        </w:rPr>
        <w:t xml:space="preserve"> Samuel Richardson’s novel </w:t>
      </w:r>
      <w:r>
        <w:rPr>
          <w:rFonts w:ascii="Arial" w:hAnsi="Arial" w:cs="Arial"/>
          <w:i/>
        </w:rPr>
        <w:t>Pamela</w:t>
      </w:r>
      <w:r>
        <w:rPr>
          <w:rFonts w:ascii="Arial" w:hAnsi="Arial" w:cs="Arial"/>
        </w:rPr>
        <w:t xml:space="preserve"> was a very popular book during the eighteenth century, so much so that Pamela merchandise: such as paintings, wax figures, playing cards and fans, were sold nationwide. </w:t>
      </w:r>
      <w:r>
        <w:rPr>
          <w:rFonts w:ascii="Arial" w:hAnsi="Arial" w:cs="Arial"/>
          <w:i/>
        </w:rPr>
        <w:t>Pamela</w:t>
      </w:r>
      <w:r>
        <w:rPr>
          <w:rFonts w:ascii="Arial" w:hAnsi="Arial" w:cs="Arial"/>
        </w:rPr>
        <w:t>, became so widely known to people that many women were considered ignorant if they did not know of the story. The epistolary</w:t>
      </w:r>
      <w:r>
        <w:rPr>
          <w:rStyle w:val="EndnoteReference"/>
          <w:rFonts w:ascii="Arial" w:hAnsi="Arial" w:cs="Arial"/>
        </w:rPr>
        <w:endnoteReference w:id="1"/>
      </w:r>
      <w:r>
        <w:rPr>
          <w:rFonts w:ascii="Arial" w:hAnsi="Arial" w:cs="Arial"/>
        </w:rPr>
        <w:t xml:space="preserve"> novel of an ordinary girl making a life for herself, by taking virtue into her own hands became some of the characteristics of the enlightenment ‘The epistolary novel's focus on private experience makes possible a deeper identification between its readers and its characters.’</w:t>
      </w:r>
      <w:r>
        <w:rPr>
          <w:rStyle w:val="FootnoteReference"/>
          <w:rFonts w:ascii="Arial" w:hAnsi="Arial" w:cs="Arial"/>
        </w:rPr>
        <w:footnoteReference w:id="10"/>
      </w:r>
      <w:r>
        <w:rPr>
          <w:rFonts w:ascii="Arial" w:hAnsi="Arial" w:cs="Arial"/>
        </w:rPr>
        <w:t xml:space="preserve"> McKee observes that, ‘there had never before been such opportunities for unreserved participation in the inner lives of fictional characters as were offered by Richardson's presentation of the flow of consciousness of Pamela and Clarissa in their letters.’</w:t>
      </w:r>
      <w:r>
        <w:rPr>
          <w:rStyle w:val="FootnoteReference"/>
          <w:rFonts w:ascii="Arial" w:hAnsi="Arial" w:cs="Arial"/>
        </w:rPr>
        <w:footnoteReference w:id="11"/>
      </w:r>
    </w:p>
    <w:p w:rsidR="003C1A37" w:rsidRDefault="003C1A37" w:rsidP="003C1A37">
      <w:pPr>
        <w:rPr>
          <w:rFonts w:ascii="Arial" w:hAnsi="Arial" w:cs="Arial"/>
        </w:rPr>
      </w:pPr>
    </w:p>
    <w:p w:rsidR="003C1A37" w:rsidRDefault="003C1A37" w:rsidP="003C1A37">
      <w:pPr>
        <w:rPr>
          <w:rFonts w:ascii="Arial" w:hAnsi="Arial" w:cs="Arial"/>
        </w:rPr>
      </w:pPr>
      <w:r>
        <w:rPr>
          <w:rFonts w:ascii="Arial" w:hAnsi="Arial" w:cs="Arial"/>
        </w:rPr>
        <w:tab/>
        <w:t xml:space="preserve">However, in the latter part of the century Richardson’s work would soon be overshadowed by many female writers such as Jane Austen, Conboy observes that ‘The </w:t>
      </w:r>
      <w:r>
        <w:rPr>
          <w:rFonts w:ascii="Arial" w:hAnsi="Arial" w:cs="Arial"/>
        </w:rPr>
        <w:lastRenderedPageBreak/>
        <w:t>harnessing of narrative sequence to individual consequence has ramifications for the reading audience, as well as for the future woman writer’</w:t>
      </w:r>
      <w:r>
        <w:rPr>
          <w:rStyle w:val="FootnoteReference"/>
          <w:rFonts w:ascii="Arial" w:hAnsi="Arial" w:cs="Arial"/>
        </w:rPr>
        <w:footnoteReference w:id="12"/>
      </w:r>
      <w:r>
        <w:rPr>
          <w:rFonts w:ascii="Arial" w:hAnsi="Arial" w:cs="Arial"/>
        </w:rPr>
        <w:t xml:space="preserve"> suggesting that </w:t>
      </w:r>
      <w:r>
        <w:rPr>
          <w:rFonts w:ascii="Arial" w:hAnsi="Arial" w:cs="Arial"/>
          <w:i/>
        </w:rPr>
        <w:t>Pamela</w:t>
      </w:r>
      <w:r>
        <w:rPr>
          <w:rFonts w:ascii="Arial" w:hAnsi="Arial" w:cs="Arial"/>
        </w:rPr>
        <w:t xml:space="preserve"> became the legacy for many heroines within female writer’s novels. One of Austen’s many works </w:t>
      </w:r>
      <w:r>
        <w:rPr>
          <w:rFonts w:ascii="Arial" w:hAnsi="Arial" w:cs="Arial"/>
          <w:i/>
        </w:rPr>
        <w:t>Mansfield Park</w:t>
      </w:r>
      <w:r>
        <w:rPr>
          <w:rFonts w:ascii="Arial" w:hAnsi="Arial" w:cs="Arial"/>
        </w:rPr>
        <w:t xml:space="preserve"> became popular by developing its characters over a period of time, Ian Watt observes that ‘the novel in general has interested itself much more than any other literary form in the development of its characters in the course of time.’</w:t>
      </w:r>
      <w:r>
        <w:rPr>
          <w:rStyle w:val="FootnoteReference"/>
          <w:rFonts w:ascii="Arial" w:hAnsi="Arial" w:cs="Arial"/>
        </w:rPr>
        <w:footnoteReference w:id="13"/>
      </w:r>
      <w:r>
        <w:rPr>
          <w:rFonts w:ascii="Arial" w:hAnsi="Arial" w:cs="Arial"/>
        </w:rPr>
        <w:t xml:space="preserve"> Though </w:t>
      </w:r>
      <w:r>
        <w:rPr>
          <w:rFonts w:ascii="Arial" w:hAnsi="Arial" w:cs="Arial"/>
          <w:i/>
        </w:rPr>
        <w:t>Mansfield Park</w:t>
      </w:r>
      <w:r>
        <w:rPr>
          <w:rFonts w:ascii="Arial" w:hAnsi="Arial" w:cs="Arial"/>
        </w:rPr>
        <w:t xml:space="preserve"> wasn’t really appreciated by reviewers, until 1821 when Richard Whately published his opinions about the novel specifically on the character Franny Price. However, the book did appeal to the public and was one of Austen’s greatest selling books; which gave her greater earnings than any other novel she had written within her lifetime. </w:t>
      </w:r>
    </w:p>
    <w:p w:rsidR="003C1A37" w:rsidRDefault="003C1A37" w:rsidP="003C1A37">
      <w:pPr>
        <w:rPr>
          <w:rFonts w:ascii="Arial" w:hAnsi="Arial" w:cs="Arial"/>
        </w:rPr>
      </w:pPr>
      <w:r>
        <w:rPr>
          <w:rFonts w:ascii="Arial" w:hAnsi="Arial" w:cs="Arial"/>
        </w:rPr>
        <w:tab/>
        <w:t xml:space="preserve">Both </w:t>
      </w:r>
      <w:r>
        <w:rPr>
          <w:rFonts w:ascii="Arial" w:hAnsi="Arial" w:cs="Arial"/>
          <w:i/>
        </w:rPr>
        <w:t>Pamela</w:t>
      </w:r>
      <w:r>
        <w:rPr>
          <w:rFonts w:ascii="Arial" w:hAnsi="Arial" w:cs="Arial"/>
        </w:rPr>
        <w:t xml:space="preserve"> and </w:t>
      </w:r>
      <w:r>
        <w:rPr>
          <w:rFonts w:ascii="Arial" w:hAnsi="Arial" w:cs="Arial"/>
          <w:i/>
        </w:rPr>
        <w:t>Mansfield Park</w:t>
      </w:r>
      <w:r>
        <w:rPr>
          <w:rFonts w:ascii="Arial" w:hAnsi="Arial" w:cs="Arial"/>
        </w:rPr>
        <w:t xml:space="preserve"> have characters within the books which can be compared as agents of reformation, which did disrupt many of the assumptions on which hierarchy rested. Within Richardson’s </w:t>
      </w:r>
      <w:r>
        <w:rPr>
          <w:rFonts w:ascii="Arial" w:hAnsi="Arial" w:cs="Arial"/>
          <w:i/>
        </w:rPr>
        <w:t>Pamela</w:t>
      </w:r>
      <w:r>
        <w:rPr>
          <w:rFonts w:ascii="Arial" w:hAnsi="Arial" w:cs="Arial"/>
        </w:rPr>
        <w:t xml:space="preserve">, the narration of the story is told through letters known as an epistolary novel, giving </w:t>
      </w:r>
      <w:r>
        <w:rPr>
          <w:rFonts w:ascii="Arial" w:hAnsi="Arial" w:cs="Arial"/>
          <w:i/>
        </w:rPr>
        <w:t>Pamela</w:t>
      </w:r>
      <w:r>
        <w:rPr>
          <w:rFonts w:ascii="Arial" w:hAnsi="Arial" w:cs="Arial"/>
        </w:rPr>
        <w:t xml:space="preserve"> a first-person perspective which allows the reader to connect with the narrator through the use of pronouns such as I and me. Though throughout </w:t>
      </w:r>
      <w:r>
        <w:rPr>
          <w:rFonts w:ascii="Arial" w:hAnsi="Arial" w:cs="Arial"/>
          <w:i/>
        </w:rPr>
        <w:t>Pamela</w:t>
      </w:r>
      <w:r>
        <w:rPr>
          <w:rFonts w:ascii="Arial" w:hAnsi="Arial" w:cs="Arial"/>
        </w:rPr>
        <w:t xml:space="preserve">, the narration changes between multiple characters such as Pamela and her parents. Whereas in </w:t>
      </w:r>
      <w:r>
        <w:rPr>
          <w:rFonts w:ascii="Arial" w:hAnsi="Arial" w:cs="Arial"/>
          <w:i/>
        </w:rPr>
        <w:t>Mansfield Park</w:t>
      </w:r>
      <w:r>
        <w:rPr>
          <w:rFonts w:ascii="Arial" w:hAnsi="Arial" w:cs="Arial"/>
        </w:rPr>
        <w:t xml:space="preserve"> the narration is third-person, which differs from first person by using the pronouns he, she and they. This gives the reader a greater perspective over the novel and allows them to essentially be a God-like figure.</w:t>
      </w:r>
    </w:p>
    <w:p w:rsidR="003C1A37" w:rsidRDefault="003C1A37" w:rsidP="003C1A37">
      <w:pPr>
        <w:rPr>
          <w:rFonts w:ascii="Arial" w:hAnsi="Arial" w:cs="Arial"/>
        </w:rPr>
      </w:pPr>
      <w:r>
        <w:rPr>
          <w:rFonts w:ascii="Arial" w:hAnsi="Arial" w:cs="Arial"/>
        </w:rPr>
        <w:tab/>
        <w:t xml:space="preserve">Throughout </w:t>
      </w:r>
      <w:r>
        <w:rPr>
          <w:rFonts w:ascii="Arial" w:hAnsi="Arial" w:cs="Arial"/>
          <w:i/>
        </w:rPr>
        <w:t>Pamela</w:t>
      </w:r>
      <w:r>
        <w:rPr>
          <w:rFonts w:ascii="Arial" w:hAnsi="Arial" w:cs="Arial"/>
        </w:rPr>
        <w:t>, Richardson uses the character Pamela to rise though the classes distinguish a change in the hierarchy assumptions. Richardson portrays Pamela, as a hand maiden to a wealthy family. Within the novel, Pamela is taught how to act above her class by her late Lady, ‘as my Lady’s Goodness had put me to write and cast Accompts, and made me a little expert at my needle, and other Qualifications above my Degree.’</w:t>
      </w:r>
      <w:r>
        <w:rPr>
          <w:rStyle w:val="FootnoteReference"/>
          <w:rFonts w:ascii="Arial" w:hAnsi="Arial" w:cs="Arial"/>
        </w:rPr>
        <w:footnoteReference w:id="14"/>
      </w:r>
      <w:r>
        <w:rPr>
          <w:rFonts w:ascii="Arial" w:hAnsi="Arial" w:cs="Arial"/>
        </w:rPr>
        <w:t xml:space="preserve"> Though Pamela is only a servant girl, her lady taught her in many past times which were uncommon for a girl of her stature, this can also been seen in Pamela’s style of writing, the internal voice of the character does not sound like a servant girl, but of someone who is of a higher class. Though compared with </w:t>
      </w:r>
      <w:r>
        <w:rPr>
          <w:rFonts w:ascii="Arial" w:hAnsi="Arial" w:cs="Arial"/>
          <w:i/>
        </w:rPr>
        <w:t>Mansfield Park</w:t>
      </w:r>
      <w:r>
        <w:rPr>
          <w:rFonts w:ascii="Arial" w:hAnsi="Arial" w:cs="Arial"/>
        </w:rPr>
        <w:t>, the novel takes a different approach to the teachings of lower class children, ‘What if they were among them to undertake the care of her eldest daughter, a girl now nine years old, of an age to require attention than her poor mother could possible give?’</w:t>
      </w:r>
      <w:r>
        <w:rPr>
          <w:rStyle w:val="FootnoteReference"/>
          <w:rFonts w:ascii="Arial" w:hAnsi="Arial" w:cs="Arial"/>
        </w:rPr>
        <w:footnoteReference w:id="15"/>
      </w:r>
      <w:r>
        <w:rPr>
          <w:rFonts w:ascii="Arial" w:hAnsi="Arial" w:cs="Arial"/>
        </w:rPr>
        <w:t xml:space="preserve"> Instead of taking the eldest son, Mrs Norris convinces her brother-in-law to take Franny Price, her sisters eldest daughter; in the hopes of raising a model citizen, ‘Give a girl an education, and introduce her properly into the world, and ten to one but she has the means of settling well, without farther expense to any body…but she would be introduced into the society of this country under such very favourable circumstances as, in all human probability, would get her a creditable establishment.’</w:t>
      </w:r>
      <w:r>
        <w:rPr>
          <w:rStyle w:val="FootnoteReference"/>
          <w:rFonts w:ascii="Arial" w:hAnsi="Arial" w:cs="Arial"/>
        </w:rPr>
        <w:footnoteReference w:id="16"/>
      </w:r>
      <w:r>
        <w:rPr>
          <w:rFonts w:ascii="Arial" w:hAnsi="Arial" w:cs="Arial"/>
        </w:rPr>
        <w:t xml:space="preserve"> In both cases within </w:t>
      </w:r>
      <w:r>
        <w:rPr>
          <w:rFonts w:ascii="Arial" w:hAnsi="Arial" w:cs="Arial"/>
          <w:i/>
        </w:rPr>
        <w:t>Pamela</w:t>
      </w:r>
      <w:r>
        <w:rPr>
          <w:rFonts w:ascii="Arial" w:hAnsi="Arial" w:cs="Arial"/>
        </w:rPr>
        <w:t xml:space="preserve"> and </w:t>
      </w:r>
      <w:r>
        <w:rPr>
          <w:rFonts w:ascii="Arial" w:hAnsi="Arial" w:cs="Arial"/>
          <w:i/>
        </w:rPr>
        <w:t>Mansfield Park</w:t>
      </w:r>
      <w:r>
        <w:rPr>
          <w:rFonts w:ascii="Arial" w:hAnsi="Arial" w:cs="Arial"/>
        </w:rPr>
        <w:t>, a young girl is educated out of her class range and put into an elite society. However, Pamela still remains a servant whereas Franny never was. Although both girls came from poor background, only one actually elevates in status at the beginning of the book. Ideas such as these would have caused mass speculation of the class structure within the eighteenth century, which would have disrupted the assumptions of the hierarchy, suggesting the rise of the middle classes.</w:t>
      </w:r>
    </w:p>
    <w:p w:rsidR="003C1A37" w:rsidRDefault="003C1A37" w:rsidP="003C1A37">
      <w:pPr>
        <w:rPr>
          <w:rFonts w:ascii="Arial" w:hAnsi="Arial" w:cs="Arial"/>
        </w:rPr>
      </w:pPr>
      <w:r>
        <w:rPr>
          <w:rFonts w:ascii="Arial" w:hAnsi="Arial" w:cs="Arial"/>
        </w:rPr>
        <w:lastRenderedPageBreak/>
        <w:tab/>
        <w:t xml:space="preserve">   During the eighteenth century, the aristocracy usually only intermingled with people from within their class structure, securing contracts either through businesses or marriage between high standing families. However, within </w:t>
      </w:r>
      <w:r>
        <w:rPr>
          <w:rFonts w:ascii="Arial" w:hAnsi="Arial" w:cs="Arial"/>
          <w:i/>
        </w:rPr>
        <w:t>Pamela</w:t>
      </w:r>
      <w:r>
        <w:rPr>
          <w:rFonts w:ascii="Arial" w:hAnsi="Arial" w:cs="Arial"/>
        </w:rPr>
        <w:t xml:space="preserve"> the world of contracts, causes many problems for the character Pamela when Mr B proposes a deal that is better suited to him, ‘VII. You shall be Mistress of my Person and Fortune, as much as if the foolish Ceremony had passed… after a Twelve-month’s Cohabitation, marry you; for if my Love increases for you, as it has done for many Months past, it will be impossible for me to deny you any thing.’</w:t>
      </w:r>
      <w:r>
        <w:rPr>
          <w:rStyle w:val="FootnoteReference"/>
          <w:rFonts w:ascii="Arial" w:hAnsi="Arial" w:cs="Arial"/>
        </w:rPr>
        <w:footnoteReference w:id="17"/>
      </w:r>
      <w:r>
        <w:rPr>
          <w:rFonts w:ascii="Arial" w:hAnsi="Arial" w:cs="Arial"/>
        </w:rPr>
        <w:t xml:space="preserve">  This however implies that Mr B thinks that because he’s the master of the house, he can bed any woman he wishes which includes Pamela. This would have been the same for many aristocratic men during this period, due to their beliefs of being better than the lower classes. </w:t>
      </w:r>
    </w:p>
    <w:p w:rsidR="003C1A37" w:rsidRDefault="003C1A37" w:rsidP="003C1A37">
      <w:pPr>
        <w:ind w:firstLine="720"/>
        <w:rPr>
          <w:rFonts w:ascii="Arial" w:hAnsi="Arial" w:cs="Arial"/>
        </w:rPr>
      </w:pPr>
      <w:r>
        <w:rPr>
          <w:rFonts w:ascii="Arial" w:hAnsi="Arial" w:cs="Arial"/>
        </w:rPr>
        <w:t xml:space="preserve">However, when Pamela refuses to become sexually intimate with Mr B, he sends her an article which is meant to persuade young Pamela into becoming his mistress. This literally has the opposite effect when Mr B receives Pamela’s reply, ‘Give me Leave to say, Sir, in Answer to what you hint, That you may, in a Twelvemonth’s Time, marry me… What, Sir, would the World say, were you to marry your Harlot? ─ That a Gentleman of your Rank in Life, should stoop, not only to the base-born </w:t>
      </w:r>
      <w:r>
        <w:rPr>
          <w:rFonts w:ascii="Arial" w:hAnsi="Arial" w:cs="Arial"/>
          <w:i/>
        </w:rPr>
        <w:t>Pamela</w:t>
      </w:r>
      <w:r>
        <w:rPr>
          <w:rFonts w:ascii="Arial" w:hAnsi="Arial" w:cs="Arial"/>
        </w:rPr>
        <w:t>, but to a base-born Prostitute?’</w:t>
      </w:r>
      <w:r>
        <w:rPr>
          <w:rStyle w:val="FootnoteReference"/>
          <w:rFonts w:ascii="Arial" w:hAnsi="Arial" w:cs="Arial"/>
        </w:rPr>
        <w:footnoteReference w:id="18"/>
      </w:r>
      <w:r>
        <w:rPr>
          <w:rFonts w:ascii="Arial" w:hAnsi="Arial" w:cs="Arial"/>
        </w:rPr>
        <w:t xml:space="preserve"> Pamela’s response to Mr B’s proposal, would have been seen as shocking from a person of a low stature. Not only has she blatantly refused his offer, she has even tried to reason and educate him on what the world would think of his conducts. To the public eye, many women would have been impressed by the strength of Pamela; for not giving into her masters every whim and desires. This may have affected the way aristocracy thought, disrupting the assumption; that the hierarchy could have and do what they liked.  </w:t>
      </w:r>
    </w:p>
    <w:p w:rsidR="003C1A37" w:rsidRDefault="003C1A37" w:rsidP="003C1A37">
      <w:pPr>
        <w:rPr>
          <w:rFonts w:ascii="Arial" w:hAnsi="Arial" w:cs="Arial"/>
        </w:rPr>
      </w:pPr>
      <w:r>
        <w:rPr>
          <w:rFonts w:ascii="Arial" w:hAnsi="Arial" w:cs="Arial"/>
        </w:rPr>
        <w:tab/>
        <w:t xml:space="preserve">Within </w:t>
      </w:r>
      <w:r>
        <w:rPr>
          <w:rFonts w:ascii="Arial" w:hAnsi="Arial" w:cs="Arial"/>
          <w:i/>
        </w:rPr>
        <w:t>Mansfield Park</w:t>
      </w:r>
      <w:r>
        <w:rPr>
          <w:rFonts w:ascii="Arial" w:hAnsi="Arial" w:cs="Arial"/>
        </w:rPr>
        <w:t>, Austen introduces the reader into a world of contracts between three sisters, ‘About thirty years ago Miss Maria Ward, of Huntingdon, with only seven thousand pounds, had the good luck to captivate Sir Thomas Bertram, of Mansfield Park, in the county of Northampton, and to be thereby raised to the rank of Baronet’s lady.’</w:t>
      </w:r>
      <w:r>
        <w:rPr>
          <w:rStyle w:val="FootnoteReference"/>
          <w:rFonts w:ascii="Arial" w:hAnsi="Arial" w:cs="Arial"/>
        </w:rPr>
        <w:footnoteReference w:id="19"/>
      </w:r>
      <w:r>
        <w:rPr>
          <w:rFonts w:ascii="Arial" w:hAnsi="Arial" w:cs="Arial"/>
        </w:rPr>
        <w:t xml:space="preserve"> The first sister, Maria is shown to have risen through the classes and joined the rank of her husband. This was very common within the eighteenth century, women were not specifically attached to classes; which lead to women moving up and down the class spectrum quite freely to join the class of their husband. Many women decided that they would stick to the class they were born into such as the second sister, ‘Miss Ward, at the end of half a dozen years, found herself obliged to be attached to the Rev. Mr Norris, a friend of her brother-in-law, with scarcely any private fortune.’</w:t>
      </w:r>
      <w:r>
        <w:rPr>
          <w:rStyle w:val="FootnoteReference"/>
          <w:rFonts w:ascii="Arial" w:hAnsi="Arial" w:cs="Arial"/>
        </w:rPr>
        <w:footnoteReference w:id="20"/>
      </w:r>
      <w:r>
        <w:rPr>
          <w:rFonts w:ascii="Arial" w:hAnsi="Arial" w:cs="Arial"/>
        </w:rPr>
        <w:t xml:space="preserve"> Though not content with her situation, this was usually the reality for many women in the eighteenth century; as their wasn’t enough rich men or heirs for every women of high class to marry. Many women would have been married to second sons who wouldn’t inherit any money or estate from their fathers. The third sister however married below her class which causes many problems within the family, ‘But Miss Frances married, in the common phrase, to disoblige her family, and by fixing on a lieutenant of marines, without education, fortune or connexions, did it very thoroughly.’</w:t>
      </w:r>
      <w:r>
        <w:rPr>
          <w:rStyle w:val="FootnoteReference"/>
          <w:rFonts w:ascii="Arial" w:hAnsi="Arial" w:cs="Arial"/>
        </w:rPr>
        <w:footnoteReference w:id="21"/>
      </w:r>
      <w:r>
        <w:rPr>
          <w:rFonts w:ascii="Arial" w:hAnsi="Arial" w:cs="Arial"/>
        </w:rPr>
        <w:t xml:space="preserve"> Though cruel, the reality of marrying below the classes they were born into was thought immoral and tarnishing to high standing family names. Many women would be shunned by their family if such an event should occur, disrupting the assumptions of honour and nobility that the hierarchy rested upon. However, in the latter half of the eighteenth century many female writers began to think about marrying for love rather than money, many also started to argue </w:t>
      </w:r>
      <w:r>
        <w:rPr>
          <w:rFonts w:ascii="Arial" w:hAnsi="Arial" w:cs="Arial"/>
        </w:rPr>
        <w:lastRenderedPageBreak/>
        <w:t>the rights of women, ‘will moralists pretend to assert that this is the condition in which one-half of the human race should be encouraged to remain with listless inactivity and stupid acquiescence?’</w:t>
      </w:r>
      <w:r>
        <w:rPr>
          <w:rStyle w:val="FootnoteReference"/>
          <w:rFonts w:ascii="Arial" w:hAnsi="Arial" w:cs="Arial"/>
        </w:rPr>
        <w:footnoteReference w:id="22"/>
      </w:r>
      <w:r>
        <w:rPr>
          <w:rFonts w:ascii="Arial" w:hAnsi="Arial" w:cs="Arial"/>
        </w:rPr>
        <w:t xml:space="preserve"> Mary Wollstonecraft’s </w:t>
      </w:r>
      <w:r>
        <w:rPr>
          <w:rFonts w:ascii="Arial" w:hAnsi="Arial" w:cs="Arial"/>
          <w:i/>
        </w:rPr>
        <w:t>A Vindication of the Rights of Woman</w:t>
      </w:r>
      <w:r>
        <w:rPr>
          <w:rFonts w:ascii="Arial" w:hAnsi="Arial" w:cs="Arial"/>
        </w:rPr>
        <w:t xml:space="preserve">, became the first feminist thesis written within the century. Wollstonecraft’s ideas of men and women being equal, would have been absurd during the eighteenth century; where women were meant to be seen and not heard. It is thought by many critics that Jane Austen’s </w:t>
      </w:r>
      <w:r>
        <w:rPr>
          <w:rFonts w:ascii="Arial" w:hAnsi="Arial" w:cs="Arial"/>
          <w:i/>
        </w:rPr>
        <w:t>Mansfield Park</w:t>
      </w:r>
      <w:r>
        <w:rPr>
          <w:rFonts w:ascii="Arial" w:hAnsi="Arial" w:cs="Arial"/>
        </w:rPr>
        <w:t xml:space="preserve"> was inspired by Wollstonecraft, here Mclnnes observes that ‘Echoing Wollstonecraft, Austen shows how Sir Thomas and Mrs Norris’s preservation of the distinction between Franny and her cousins corrupts Maria and Julia as much as it oppresses Franny.’</w:t>
      </w:r>
      <w:r>
        <w:rPr>
          <w:rStyle w:val="FootnoteReference"/>
          <w:rFonts w:ascii="Arial" w:hAnsi="Arial" w:cs="Arial"/>
        </w:rPr>
        <w:footnoteReference w:id="23"/>
      </w:r>
    </w:p>
    <w:p w:rsidR="003C1A37" w:rsidRDefault="003C1A37" w:rsidP="003C1A37">
      <w:pPr>
        <w:rPr>
          <w:rFonts w:ascii="Arial" w:hAnsi="Arial" w:cs="Arial"/>
        </w:rPr>
      </w:pPr>
      <w:r>
        <w:rPr>
          <w:rFonts w:ascii="Arial" w:hAnsi="Arial" w:cs="Arial"/>
        </w:rPr>
        <w:tab/>
        <w:t xml:space="preserve">However, the contract of marriage or proposal of marriage can have its effects on other contracts such as within </w:t>
      </w:r>
      <w:r>
        <w:rPr>
          <w:rFonts w:ascii="Arial" w:hAnsi="Arial" w:cs="Arial"/>
          <w:i/>
        </w:rPr>
        <w:t>Mansfield Park</w:t>
      </w:r>
      <w:r>
        <w:rPr>
          <w:rFonts w:ascii="Arial" w:hAnsi="Arial" w:cs="Arial"/>
        </w:rPr>
        <w:t>. After Henry Crawford decides he wants to make Franny his next conquest, he consults his uncle the Admiral, ‘His last journey to London had been undertaken with no other view that that of introducing her brother in Hill Street and prevailing on the Admiral to exert whatever interest he might have for getting him on.’</w:t>
      </w:r>
      <w:r>
        <w:rPr>
          <w:rStyle w:val="FootnoteReference"/>
          <w:rFonts w:ascii="Arial" w:hAnsi="Arial" w:cs="Arial"/>
        </w:rPr>
        <w:footnoteReference w:id="24"/>
      </w:r>
      <w:r>
        <w:rPr>
          <w:rFonts w:ascii="Arial" w:hAnsi="Arial" w:cs="Arial"/>
        </w:rPr>
        <w:t xml:space="preserve"> Here it is implying that Henry Crawford tries to use a business like transaction to gain the affections of Franny, by involving her brothers employment as a naval man; he expects Franny to be overjoyed by his kindness and accept his marriage proposal. This however is not the case, Austen shows that Franny is indeed grateful to Henry but does not wish to marry him, ‘Do not distress me. I can hear no more of this. Your kindness to William makes me more obliged to you than words can express; but I do not want, I cannot bear, I must not listen to such ─ No, no, don’t think of me.’</w:t>
      </w:r>
      <w:r>
        <w:rPr>
          <w:rStyle w:val="FootnoteReference"/>
          <w:rFonts w:ascii="Arial" w:hAnsi="Arial" w:cs="Arial"/>
        </w:rPr>
        <w:footnoteReference w:id="25"/>
      </w:r>
      <w:r>
        <w:rPr>
          <w:rFonts w:ascii="Arial" w:hAnsi="Arial" w:cs="Arial"/>
        </w:rPr>
        <w:t xml:space="preserve"> It seems that Austen demonstrates that using other proposals such as business contracts, will not always have its desired effect; such as marriage between Franny and Henry. To the public eye, of the eighteenth century, Austen could have been trying to convey to the aristocracy that business proposals mixed in with marriage would not end well, or go as expected; which would unsettle the foundations on which hierarchy rested upon.</w:t>
      </w:r>
    </w:p>
    <w:p w:rsidR="003C1A37" w:rsidRDefault="003C1A37" w:rsidP="003C1A37">
      <w:pPr>
        <w:rPr>
          <w:rFonts w:ascii="Arial" w:hAnsi="Arial" w:cs="Arial"/>
        </w:rPr>
      </w:pPr>
      <w:r>
        <w:rPr>
          <w:rFonts w:ascii="Arial" w:hAnsi="Arial" w:cs="Arial"/>
        </w:rPr>
        <w:tab/>
        <w:t xml:space="preserve">Throughout </w:t>
      </w:r>
      <w:r>
        <w:rPr>
          <w:rFonts w:ascii="Arial" w:hAnsi="Arial" w:cs="Arial"/>
          <w:i/>
        </w:rPr>
        <w:t>Pamela</w:t>
      </w:r>
      <w:r>
        <w:rPr>
          <w:rFonts w:ascii="Arial" w:hAnsi="Arial" w:cs="Arial"/>
        </w:rPr>
        <w:t>, Richardson presents young Pamela in a prison type atmosphere, where she cannot escape the desires of men and always seems to be watched by others; while trying to watch for others deceit, ‘But this wicked Mrs.</w:t>
      </w:r>
      <w:r>
        <w:rPr>
          <w:rFonts w:ascii="Arial" w:hAnsi="Arial" w:cs="Arial"/>
          <w:i/>
        </w:rPr>
        <w:t xml:space="preserve"> Jewkes</w:t>
      </w:r>
      <w:r>
        <w:rPr>
          <w:rFonts w:ascii="Arial" w:hAnsi="Arial" w:cs="Arial"/>
        </w:rPr>
        <w:t xml:space="preserve"> would not let me go without her; and she said she was not at Leisure… it was very hard I could not be trusted to walk myself in the Garden for a little Air; but must be dogg’d and watch’d worse than a Thief.’</w:t>
      </w:r>
      <w:r>
        <w:rPr>
          <w:rStyle w:val="FootnoteReference"/>
          <w:rFonts w:ascii="Arial" w:hAnsi="Arial" w:cs="Arial"/>
        </w:rPr>
        <w:footnoteReference w:id="26"/>
      </w:r>
      <w:r>
        <w:rPr>
          <w:rFonts w:ascii="Arial" w:hAnsi="Arial" w:cs="Arial"/>
        </w:rPr>
        <w:t xml:space="preserve"> The emotional and physical entrapment of Pamela, by the Master and Mrs. </w:t>
      </w:r>
      <w:r>
        <w:rPr>
          <w:rFonts w:ascii="Arial" w:hAnsi="Arial" w:cs="Arial"/>
          <w:i/>
        </w:rPr>
        <w:t>Jewkes</w:t>
      </w:r>
      <w:r>
        <w:rPr>
          <w:rFonts w:ascii="Arial" w:hAnsi="Arial" w:cs="Arial"/>
        </w:rPr>
        <w:t>; shows the emotional turmoil many women within this century had to face. However, Austen also uses emotional entrapment against Franny, ‘She was disheartened by Lady Bertram's silence, awed by Sir Thomas's grave looks, and quite overcome by Mrs. Norris's admonitions. Her elder cousins mortified her by reflections on her size, and abashed her by noticing her shyness.’</w:t>
      </w:r>
      <w:r>
        <w:rPr>
          <w:rStyle w:val="FootnoteReference"/>
          <w:rFonts w:ascii="Arial" w:hAnsi="Arial" w:cs="Arial"/>
        </w:rPr>
        <w:footnoteReference w:id="27"/>
      </w:r>
      <w:r>
        <w:rPr>
          <w:rFonts w:ascii="Arial" w:hAnsi="Arial" w:cs="Arial"/>
        </w:rPr>
        <w:t xml:space="preserve"> Though the feeling of imprisonment isn’t carried through </w:t>
      </w:r>
      <w:r>
        <w:rPr>
          <w:rFonts w:ascii="Arial" w:hAnsi="Arial" w:cs="Arial"/>
          <w:i/>
        </w:rPr>
        <w:t>Mansfield Park</w:t>
      </w:r>
      <w:r>
        <w:rPr>
          <w:rFonts w:ascii="Arial" w:hAnsi="Arial" w:cs="Arial"/>
        </w:rPr>
        <w:t xml:space="preserve"> like it is within </w:t>
      </w:r>
      <w:r>
        <w:rPr>
          <w:rFonts w:ascii="Arial" w:hAnsi="Arial" w:cs="Arial"/>
          <w:i/>
        </w:rPr>
        <w:t>Pamela</w:t>
      </w:r>
      <w:r>
        <w:rPr>
          <w:rFonts w:ascii="Arial" w:hAnsi="Arial" w:cs="Arial"/>
        </w:rPr>
        <w:t xml:space="preserve">, the feeling on worthlessness against a ten-year-old child; can </w:t>
      </w:r>
      <w:r>
        <w:rPr>
          <w:rFonts w:ascii="Arial" w:hAnsi="Arial" w:cs="Arial"/>
        </w:rPr>
        <w:lastRenderedPageBreak/>
        <w:t xml:space="preserve">create the effects of a prison. During the eighteenth century, the aristocracy usually moved children around to gain more land and wealth, the feeling of abandonment and constantly being watched; would eventually take its toll on the children of aristocracy, causing many to rebel from their parent’s oppressive gaze. It is from childhood events such as these, that cause many scandals which would then need to be covered up by the family; such as Maria and Henry within </w:t>
      </w:r>
      <w:r>
        <w:rPr>
          <w:rFonts w:ascii="Arial" w:hAnsi="Arial" w:cs="Arial"/>
          <w:i/>
        </w:rPr>
        <w:t>Mansfield Park</w:t>
      </w:r>
      <w:r>
        <w:rPr>
          <w:rFonts w:ascii="Arial" w:hAnsi="Arial" w:cs="Arial"/>
        </w:rPr>
        <w:t>. Larry Wolff observes that another famous enlightenment writer Jean-Jacques Rousseau, ‘"I feel as I write this that my pulse is rising again. These moments will always be present to me if I live to be a hundred thousand. This first feeling for violence and injustice has remained so profoundly engraved in my soul that every idea that relates to it restores to me my first emotion.’</w:t>
      </w:r>
      <w:r>
        <w:rPr>
          <w:rStyle w:val="FootnoteReference"/>
          <w:rFonts w:ascii="Arial" w:hAnsi="Arial" w:cs="Arial"/>
        </w:rPr>
        <w:footnoteReference w:id="28"/>
      </w:r>
      <w:r>
        <w:rPr>
          <w:rFonts w:ascii="Arial" w:hAnsi="Arial" w:cs="Arial"/>
        </w:rPr>
        <w:t xml:space="preserve"> Wolff comments that Rousseau’s childhood experiences affected him for the rest of his life; which is something many aristocratic children may have suffered with during the eighteenth century.</w:t>
      </w:r>
    </w:p>
    <w:p w:rsidR="003C1A37" w:rsidRPr="003C1A37" w:rsidRDefault="003C1A37" w:rsidP="002E3686">
      <w:pPr>
        <w:rPr>
          <w:rFonts w:ascii="Arial" w:hAnsi="Arial" w:cs="Arial"/>
        </w:rPr>
      </w:pPr>
      <w:r>
        <w:rPr>
          <w:rFonts w:ascii="Arial" w:hAnsi="Arial" w:cs="Arial"/>
        </w:rPr>
        <w:tab/>
        <w:t xml:space="preserve">Throughout the eighteenth century, enlightenment writers began to freely think and express their ideals through different styles, whether it was through novels, literacy thesis, conduct literature or poems, the enlightenment disrupted many of the assumptions on which hierarchy rested. Many assumptions on how women should act and behave, were challenged and continued to cause disruption well into the Victorian era. Novels such as </w:t>
      </w:r>
      <w:r>
        <w:rPr>
          <w:rFonts w:ascii="Arial" w:hAnsi="Arial" w:cs="Arial"/>
          <w:i/>
        </w:rPr>
        <w:t>Pamela</w:t>
      </w:r>
      <w:r>
        <w:rPr>
          <w:rFonts w:ascii="Arial" w:hAnsi="Arial" w:cs="Arial"/>
        </w:rPr>
        <w:t xml:space="preserve"> and </w:t>
      </w:r>
      <w:r>
        <w:rPr>
          <w:rFonts w:ascii="Arial" w:hAnsi="Arial" w:cs="Arial"/>
          <w:i/>
        </w:rPr>
        <w:t>Mansfield Park</w:t>
      </w:r>
      <w:r>
        <w:rPr>
          <w:rFonts w:ascii="Arial" w:hAnsi="Arial" w:cs="Arial"/>
        </w:rPr>
        <w:t xml:space="preserve"> challenged the class structure, allowing the shift in power from the aristocracy to the lower classes. However, this system would take another century to fully take place and even more so for the equality of the sexes, but within the enlightenment the beginnings of a less ridged society began to take hold; causing the bridges separating the male and female gender roles slowly began to break down. As observed by John Bender, ‘questioning of traditional doctrines and values, a tendency toward individualism, and an emphasis on the idea of universal human progress, the empirical method in science, and the free use of reason.’</w:t>
      </w:r>
      <w:r>
        <w:rPr>
          <w:rStyle w:val="FootnoteReference"/>
          <w:rFonts w:ascii="Arial" w:hAnsi="Arial" w:cs="Arial"/>
        </w:rPr>
        <w:footnoteReference w:id="29"/>
      </w:r>
      <w:r>
        <w:rPr>
          <w:rFonts w:ascii="Arial" w:hAnsi="Arial" w:cs="Arial"/>
        </w:rPr>
        <w:t xml:space="preserve"> Enlightenment writers disrupted the foundations on which hierarchy rested, essentially created an opening for new fantasies and discoveries by new authors to be published and enjoyed by the generations yet to come. The eighteenth century from a personal perspective, is an historic event showing humanities escape from self-</w:t>
      </w:r>
      <w:r>
        <w:rPr>
          <w:rFonts w:ascii="Arial" w:hAnsi="Arial" w:cs="Arial"/>
        </w:rPr>
        <w:t>persecution to self-exploration.</w:t>
      </w:r>
    </w:p>
    <w:sectPr w:rsidR="003C1A37" w:rsidRPr="003C1A3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61C2" w:rsidRDefault="001361C2" w:rsidP="008257D1">
      <w:pPr>
        <w:spacing w:after="0" w:line="240" w:lineRule="auto"/>
      </w:pPr>
      <w:r>
        <w:separator/>
      </w:r>
    </w:p>
  </w:endnote>
  <w:endnote w:type="continuationSeparator" w:id="0">
    <w:p w:rsidR="001361C2" w:rsidRDefault="001361C2" w:rsidP="008257D1">
      <w:pPr>
        <w:spacing w:after="0" w:line="240" w:lineRule="auto"/>
      </w:pPr>
      <w:r>
        <w:continuationSeparator/>
      </w:r>
    </w:p>
  </w:endnote>
  <w:endnote w:id="1">
    <w:p w:rsidR="003C1A37" w:rsidRDefault="003C1A37" w:rsidP="003C1A37">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61C2" w:rsidRDefault="001361C2" w:rsidP="008257D1">
      <w:pPr>
        <w:spacing w:after="0" w:line="240" w:lineRule="auto"/>
      </w:pPr>
      <w:r>
        <w:separator/>
      </w:r>
    </w:p>
  </w:footnote>
  <w:footnote w:type="continuationSeparator" w:id="0">
    <w:p w:rsidR="001361C2" w:rsidRDefault="001361C2" w:rsidP="008257D1">
      <w:pPr>
        <w:spacing w:after="0" w:line="240" w:lineRule="auto"/>
      </w:pPr>
      <w:r>
        <w:continuationSeparator/>
      </w:r>
    </w:p>
  </w:footnote>
  <w:footnote w:id="1">
    <w:p w:rsidR="008257D1" w:rsidRDefault="008257D1" w:rsidP="008257D1">
      <w:pPr>
        <w:pStyle w:val="FootnoteText"/>
      </w:pPr>
      <w:r>
        <w:rPr>
          <w:rStyle w:val="FootnoteReference"/>
        </w:rPr>
        <w:footnoteRef/>
      </w:r>
      <w:r>
        <w:t xml:space="preserve"> https://www.britannica.com/biography/Publilius-Syrus</w:t>
      </w:r>
    </w:p>
  </w:footnote>
  <w:footnote w:id="2">
    <w:p w:rsidR="008257D1" w:rsidRDefault="008257D1" w:rsidP="008257D1">
      <w:pPr>
        <w:pStyle w:val="FootnoteText"/>
      </w:pPr>
      <w:r>
        <w:rPr>
          <w:rStyle w:val="FootnoteReference"/>
        </w:rPr>
        <w:footnoteRef/>
      </w:r>
      <w:r>
        <w:t xml:space="preserve"> THE ESSAYS OF MICHEL DE MONTAIGNE (1580)</w:t>
      </w:r>
    </w:p>
    <w:p w:rsidR="008257D1" w:rsidRDefault="008257D1" w:rsidP="008257D1">
      <w:pPr>
        <w:pStyle w:val="FootnoteText"/>
      </w:pPr>
      <w:r>
        <w:t>Translated by Charles Cotton, Edited by William Carew Hazlitt, 1877</w:t>
      </w:r>
    </w:p>
  </w:footnote>
  <w:footnote w:id="3">
    <w:p w:rsidR="008257D1" w:rsidRDefault="008257D1" w:rsidP="008257D1">
      <w:pPr>
        <w:pStyle w:val="FootnoteText"/>
      </w:pPr>
      <w:r>
        <w:rPr>
          <w:rStyle w:val="FootnoteReference"/>
        </w:rPr>
        <w:footnoteRef/>
      </w:r>
      <w:r>
        <w:t xml:space="preserve"> https://thesecondachilles.com/2015/02/25/torture-in-curtius-2/</w:t>
      </w:r>
    </w:p>
  </w:footnote>
  <w:footnote w:id="4">
    <w:p w:rsidR="006D1537" w:rsidRDefault="006D1537">
      <w:pPr>
        <w:pStyle w:val="FootnoteText"/>
      </w:pPr>
      <w:r>
        <w:rPr>
          <w:rStyle w:val="FootnoteReference"/>
        </w:rPr>
        <w:footnoteRef/>
      </w:r>
      <w:r>
        <w:t xml:space="preserve"> </w:t>
      </w:r>
      <w:r>
        <w:t>Descartes, 1644.</w:t>
      </w:r>
    </w:p>
  </w:footnote>
  <w:footnote w:id="5">
    <w:p w:rsidR="006D1537" w:rsidRDefault="006D1537">
      <w:pPr>
        <w:pStyle w:val="FootnoteText"/>
      </w:pPr>
      <w:r>
        <w:rPr>
          <w:rStyle w:val="FootnoteReference"/>
        </w:rPr>
        <w:footnoteRef/>
      </w:r>
      <w:r>
        <w:t xml:space="preserve"> </w:t>
      </w:r>
      <w:r>
        <w:t xml:space="preserve">Ibid., Richarson, </w:t>
      </w:r>
      <w:r>
        <w:rPr>
          <w:i/>
        </w:rPr>
        <w:t>Pamela</w:t>
      </w:r>
      <w:r>
        <w:t>, p.125.</w:t>
      </w:r>
    </w:p>
  </w:footnote>
  <w:footnote w:id="6">
    <w:p w:rsidR="001E76EA" w:rsidRDefault="001E76EA">
      <w:pPr>
        <w:pStyle w:val="FootnoteText"/>
      </w:pPr>
      <w:r>
        <w:rPr>
          <w:rStyle w:val="FootnoteReference"/>
        </w:rPr>
        <w:footnoteRef/>
      </w:r>
      <w:r>
        <w:t xml:space="preserve"> Sian Powell quote direct from essay</w:t>
      </w:r>
    </w:p>
  </w:footnote>
  <w:footnote w:id="7">
    <w:p w:rsidR="003C1A37" w:rsidRDefault="003C1A37" w:rsidP="003C1A37">
      <w:pPr>
        <w:pStyle w:val="FootnoteText"/>
        <w:rPr>
          <w:rFonts w:ascii="Times New Roman" w:hAnsi="Times New Roman" w:cs="Times New Roman"/>
        </w:rPr>
      </w:pPr>
      <w:r>
        <w:rPr>
          <w:rStyle w:val="FootnoteReference"/>
        </w:rPr>
        <w:footnoteRef/>
      </w:r>
      <w:r>
        <w:t xml:space="preserve"> Immanuel Kant, </w:t>
      </w:r>
      <w:r>
        <w:rPr>
          <w:i/>
        </w:rPr>
        <w:t>An Answer to the Question: What is Enlightenment?</w:t>
      </w:r>
      <w:r>
        <w:t xml:space="preserve"> (1784) </w:t>
      </w:r>
      <w:hyperlink r:id="rId1" w:history="1">
        <w:r>
          <w:rPr>
            <w:rStyle w:val="Hyperlink"/>
          </w:rPr>
          <w:t>www.english.upenn.edu/~mgamer/Etexts/kant.html</w:t>
        </w:r>
      </w:hyperlink>
      <w:r>
        <w:t>. Accessed 23.03.2017.</w:t>
      </w:r>
    </w:p>
  </w:footnote>
  <w:footnote w:id="8">
    <w:p w:rsidR="003C1A37" w:rsidRDefault="003C1A37" w:rsidP="003C1A37">
      <w:pPr>
        <w:pStyle w:val="FootnoteText"/>
      </w:pPr>
      <w:r>
        <w:rPr>
          <w:rStyle w:val="FootnoteReference"/>
        </w:rPr>
        <w:footnoteRef/>
      </w:r>
      <w:r>
        <w:t xml:space="preserve"> Descartes, 1644.</w:t>
      </w:r>
    </w:p>
  </w:footnote>
  <w:footnote w:id="9">
    <w:p w:rsidR="003C1A37" w:rsidRDefault="003C1A37" w:rsidP="003C1A37">
      <w:pPr>
        <w:pStyle w:val="FootnoteText"/>
      </w:pPr>
      <w:r>
        <w:rPr>
          <w:rStyle w:val="FootnoteReference"/>
        </w:rPr>
        <w:footnoteRef/>
      </w:r>
      <w:r>
        <w:t xml:space="preserve"> Ian Watt, </w:t>
      </w:r>
      <w:r>
        <w:rPr>
          <w:i/>
        </w:rPr>
        <w:t>The Rise of the Novel</w:t>
      </w:r>
      <w:r>
        <w:t xml:space="preserve"> (1957) (Chatto 1963)</w:t>
      </w:r>
    </w:p>
  </w:footnote>
  <w:footnote w:id="10">
    <w:p w:rsidR="003C1A37" w:rsidRDefault="003C1A37" w:rsidP="003C1A37">
      <w:pPr>
        <w:pStyle w:val="FootnoteText"/>
      </w:pPr>
      <w:r>
        <w:rPr>
          <w:rStyle w:val="FootnoteReference"/>
        </w:rPr>
        <w:footnoteRef/>
      </w:r>
      <w:r>
        <w:t xml:space="preserve"> Patricia McKee, ‘Corresponding Freedoms: Language and the Self in Pamela’ ELH, (Vol. 52, No. 3 (Autumn, 1985), 621-648; 621.</w:t>
      </w:r>
    </w:p>
  </w:footnote>
  <w:footnote w:id="11">
    <w:p w:rsidR="003C1A37" w:rsidRDefault="003C1A37" w:rsidP="003C1A37">
      <w:pPr>
        <w:pStyle w:val="FootnoteText"/>
      </w:pPr>
      <w:r>
        <w:rPr>
          <w:rStyle w:val="FootnoteReference"/>
        </w:rPr>
        <w:footnoteRef/>
      </w:r>
      <w:r>
        <w:t xml:space="preserve"> Ibid., Patricia McKee. </w:t>
      </w:r>
    </w:p>
  </w:footnote>
  <w:footnote w:id="12">
    <w:p w:rsidR="003C1A37" w:rsidRDefault="003C1A37" w:rsidP="003C1A37">
      <w:pPr>
        <w:pStyle w:val="FootnoteText"/>
      </w:pPr>
      <w:r>
        <w:rPr>
          <w:rStyle w:val="FootnoteReference"/>
        </w:rPr>
        <w:footnoteRef/>
      </w:r>
      <w:r>
        <w:t xml:space="preserve"> Shelia C. Conboy, </w:t>
      </w:r>
      <w:r>
        <w:rPr>
          <w:i/>
        </w:rPr>
        <w:t>Fabric and Fabrication in Richardson's Pamela</w:t>
      </w:r>
      <w:r>
        <w:t xml:space="preserve">, Vol. 54, No. 1 (Spring, 1987), pp. 95. </w:t>
      </w:r>
      <w:hyperlink r:id="rId2" w:anchor="page_scan_tab_contents" w:history="1">
        <w:r>
          <w:rPr>
            <w:rStyle w:val="Hyperlink"/>
          </w:rPr>
          <w:t>http://www.jstor.org/stable/2873051?seq=15#page_scan_tab_contents</w:t>
        </w:r>
      </w:hyperlink>
      <w:r>
        <w:t xml:space="preserve">. Accessed 23.03.2017. </w:t>
      </w:r>
    </w:p>
  </w:footnote>
  <w:footnote w:id="13">
    <w:p w:rsidR="003C1A37" w:rsidRDefault="003C1A37" w:rsidP="003C1A37">
      <w:pPr>
        <w:pStyle w:val="FootnoteText"/>
      </w:pPr>
      <w:r>
        <w:rPr>
          <w:rStyle w:val="FootnoteReference"/>
        </w:rPr>
        <w:footnoteRef/>
      </w:r>
      <w:r>
        <w:t xml:space="preserve"> Ian Watt, </w:t>
      </w:r>
      <w:r>
        <w:rPr>
          <w:i/>
        </w:rPr>
        <w:t>The Rise of the Novel</w:t>
      </w:r>
      <w:r>
        <w:t>, (1957) (London: Chatto,1963) pp. 21-2.</w:t>
      </w:r>
    </w:p>
  </w:footnote>
  <w:footnote w:id="14">
    <w:p w:rsidR="003C1A37" w:rsidRDefault="003C1A37" w:rsidP="003C1A37">
      <w:pPr>
        <w:pStyle w:val="FootnoteText"/>
      </w:pPr>
      <w:r>
        <w:rPr>
          <w:rStyle w:val="FootnoteReference"/>
        </w:rPr>
        <w:footnoteRef/>
      </w:r>
      <w:r>
        <w:t xml:space="preserve"> Samuel Richardson, </w:t>
      </w:r>
      <w:r>
        <w:rPr>
          <w:i/>
        </w:rPr>
        <w:t>Pamela</w:t>
      </w:r>
      <w:r>
        <w:t xml:space="preserve"> (Oxford University Press, 2001). p.11. </w:t>
      </w:r>
    </w:p>
  </w:footnote>
  <w:footnote w:id="15">
    <w:p w:rsidR="003C1A37" w:rsidRDefault="003C1A37" w:rsidP="003C1A37">
      <w:pPr>
        <w:pStyle w:val="FootnoteText"/>
      </w:pPr>
      <w:r>
        <w:rPr>
          <w:rStyle w:val="FootnoteReference"/>
        </w:rPr>
        <w:footnoteRef/>
      </w:r>
      <w:r>
        <w:t xml:space="preserve"> Jane Austen,</w:t>
      </w:r>
      <w:r>
        <w:rPr>
          <w:i/>
        </w:rPr>
        <w:t xml:space="preserve"> Mansfield Park </w:t>
      </w:r>
      <w:r>
        <w:t xml:space="preserve">(London: Headline Review, 2006). p.3. </w:t>
      </w:r>
    </w:p>
  </w:footnote>
  <w:footnote w:id="16">
    <w:p w:rsidR="003C1A37" w:rsidRDefault="003C1A37" w:rsidP="003C1A37">
      <w:pPr>
        <w:pStyle w:val="FootnoteText"/>
      </w:pPr>
      <w:r>
        <w:rPr>
          <w:rStyle w:val="FootnoteReference"/>
        </w:rPr>
        <w:footnoteRef/>
      </w:r>
      <w:r>
        <w:t xml:space="preserve"> Ibid., Jane Austen </w:t>
      </w:r>
      <w:r>
        <w:rPr>
          <w:i/>
        </w:rPr>
        <w:t>Mansfield Park</w:t>
      </w:r>
      <w:r>
        <w:t>.</w:t>
      </w:r>
    </w:p>
  </w:footnote>
  <w:footnote w:id="17">
    <w:p w:rsidR="003C1A37" w:rsidRDefault="003C1A37" w:rsidP="003C1A37">
      <w:pPr>
        <w:pStyle w:val="FootnoteText"/>
      </w:pPr>
      <w:r>
        <w:rPr>
          <w:rStyle w:val="FootnoteReference"/>
        </w:rPr>
        <w:footnoteRef/>
      </w:r>
      <w:r>
        <w:t xml:space="preserve"> Ibid., Richardson, </w:t>
      </w:r>
      <w:r>
        <w:rPr>
          <w:i/>
        </w:rPr>
        <w:t>Pamela</w:t>
      </w:r>
      <w:r>
        <w:t>, p.191.</w:t>
      </w:r>
    </w:p>
  </w:footnote>
  <w:footnote w:id="18">
    <w:p w:rsidR="003C1A37" w:rsidRDefault="003C1A37" w:rsidP="003C1A37">
      <w:pPr>
        <w:pStyle w:val="FootnoteText"/>
      </w:pPr>
      <w:r>
        <w:rPr>
          <w:rStyle w:val="FootnoteReference"/>
        </w:rPr>
        <w:footnoteRef/>
      </w:r>
      <w:r>
        <w:t xml:space="preserve"> Ibid., Richardson, </w:t>
      </w:r>
      <w:r>
        <w:rPr>
          <w:i/>
        </w:rPr>
        <w:t>Pamela</w:t>
      </w:r>
      <w:r>
        <w:t>, p.192.</w:t>
      </w:r>
    </w:p>
  </w:footnote>
  <w:footnote w:id="19">
    <w:p w:rsidR="003C1A37" w:rsidRDefault="003C1A37" w:rsidP="003C1A37">
      <w:pPr>
        <w:pStyle w:val="FootnoteText"/>
      </w:pPr>
      <w:r>
        <w:rPr>
          <w:rStyle w:val="FootnoteReference"/>
        </w:rPr>
        <w:footnoteRef/>
      </w:r>
      <w:r>
        <w:t xml:space="preserve"> Ibid., Jane Austen, </w:t>
      </w:r>
      <w:r>
        <w:rPr>
          <w:i/>
        </w:rPr>
        <w:t>Mansfield Park</w:t>
      </w:r>
      <w:r>
        <w:t>, p.1.</w:t>
      </w:r>
    </w:p>
  </w:footnote>
  <w:footnote w:id="20">
    <w:p w:rsidR="003C1A37" w:rsidRDefault="003C1A37" w:rsidP="003C1A37">
      <w:pPr>
        <w:pStyle w:val="FootnoteText"/>
      </w:pPr>
      <w:r>
        <w:rPr>
          <w:rStyle w:val="FootnoteReference"/>
        </w:rPr>
        <w:footnoteRef/>
      </w:r>
      <w:r>
        <w:t xml:space="preserve"> Ibid., Jane Austen, </w:t>
      </w:r>
      <w:r>
        <w:rPr>
          <w:i/>
        </w:rPr>
        <w:t>Mansfield Park</w:t>
      </w:r>
      <w:r>
        <w:t>, p.1.</w:t>
      </w:r>
    </w:p>
  </w:footnote>
  <w:footnote w:id="21">
    <w:p w:rsidR="003C1A37" w:rsidRDefault="003C1A37" w:rsidP="003C1A37">
      <w:pPr>
        <w:pStyle w:val="FootnoteText"/>
      </w:pPr>
      <w:r>
        <w:rPr>
          <w:rStyle w:val="FootnoteReference"/>
        </w:rPr>
        <w:footnoteRef/>
      </w:r>
      <w:r>
        <w:t xml:space="preserve"> Ibid., Jane Austen, </w:t>
      </w:r>
      <w:r>
        <w:rPr>
          <w:i/>
        </w:rPr>
        <w:t>Mansfield Park</w:t>
      </w:r>
      <w:r>
        <w:t>, p.1.</w:t>
      </w:r>
    </w:p>
  </w:footnote>
  <w:footnote w:id="22">
    <w:p w:rsidR="003C1A37" w:rsidRDefault="003C1A37" w:rsidP="003C1A37">
      <w:pPr>
        <w:pStyle w:val="FootnoteText"/>
      </w:pPr>
      <w:r>
        <w:rPr>
          <w:rStyle w:val="FootnoteReference"/>
        </w:rPr>
        <w:footnoteRef/>
      </w:r>
      <w:r>
        <w:t xml:space="preserve"> Mary Wollstonecraft, </w:t>
      </w:r>
      <w:r>
        <w:rPr>
          <w:i/>
        </w:rPr>
        <w:t>A Vindication of the Rights of Woman</w:t>
      </w:r>
      <w:r>
        <w:t xml:space="preserve">, (1792), </w:t>
      </w:r>
      <w:hyperlink r:id="rId3" w:history="1">
        <w:r>
          <w:rPr>
            <w:rStyle w:val="Hyperlink"/>
          </w:rPr>
          <w:t>http://libarch.nmu.org.ua/handle/GenofondUA/5284</w:t>
        </w:r>
      </w:hyperlink>
      <w:r>
        <w:t>. Accessed 24.03.2017.</w:t>
      </w:r>
    </w:p>
  </w:footnote>
  <w:footnote w:id="23">
    <w:p w:rsidR="003C1A37" w:rsidRDefault="003C1A37" w:rsidP="003C1A37">
      <w:pPr>
        <w:pStyle w:val="FootnoteText"/>
      </w:pPr>
      <w:r>
        <w:rPr>
          <w:rStyle w:val="FootnoteReference"/>
        </w:rPr>
        <w:footnoteRef/>
      </w:r>
      <w:r>
        <w:t xml:space="preserve"> Andrew Mclnnes, </w:t>
      </w:r>
      <w:r>
        <w:rPr>
          <w:i/>
        </w:rPr>
        <w:t>Mary Wollstonecraft’s Ghost: The Fate of a Female Philosopher in the Romantic Period</w:t>
      </w:r>
      <w:r>
        <w:t xml:space="preserve">, (2017), </w:t>
      </w:r>
      <w:hyperlink r:id="rId4" w:anchor="v=onepage&amp;q=echoes%20of%20wollstonecraft%20in%20jane%20austen&amp;f=false" w:history="1">
        <w:r>
          <w:rPr>
            <w:rStyle w:val="Hyperlink"/>
          </w:rPr>
          <w:t>https://books.google.co.uk/books?id=AEfUDAAAQBAJ&amp;pg=PT156&amp;lpg=PT156&amp;dq=echoes+of+wollstonecraft+in+jane+austen&amp;source=bl&amp;ots=KB9D54-8f6&amp;sig=pTrijlDZmLKpgA7MnteubK80Anc&amp;hl=en&amp;sa=X&amp;ved=0ahUKEwiz7Obyuv7SAhVKK8AKHTvBCtgQ6AEILDAD#v=onepage&amp;q=echoes%20of%20wollstonecraft%20in%20jane%20austen&amp;f=false</w:t>
        </w:r>
      </w:hyperlink>
      <w:r>
        <w:t xml:space="preserve">. Accessed 24.03.2017. </w:t>
      </w:r>
    </w:p>
  </w:footnote>
  <w:footnote w:id="24">
    <w:p w:rsidR="003C1A37" w:rsidRDefault="003C1A37" w:rsidP="003C1A37">
      <w:pPr>
        <w:pStyle w:val="FootnoteText"/>
      </w:pPr>
      <w:r>
        <w:rPr>
          <w:rStyle w:val="FootnoteReference"/>
        </w:rPr>
        <w:footnoteRef/>
      </w:r>
      <w:r>
        <w:t xml:space="preserve"> Ibid., Jane Austen, </w:t>
      </w:r>
      <w:r>
        <w:rPr>
          <w:i/>
        </w:rPr>
        <w:t>Mansfield Park</w:t>
      </w:r>
      <w:r>
        <w:t xml:space="preserve">, p.280. </w:t>
      </w:r>
    </w:p>
  </w:footnote>
  <w:footnote w:id="25">
    <w:p w:rsidR="003C1A37" w:rsidRDefault="003C1A37" w:rsidP="003C1A37">
      <w:pPr>
        <w:pStyle w:val="FootnoteText"/>
      </w:pPr>
      <w:r>
        <w:rPr>
          <w:rStyle w:val="FootnoteReference"/>
        </w:rPr>
        <w:footnoteRef/>
      </w:r>
      <w:r>
        <w:t xml:space="preserve"> Ibid., Jane Austen, </w:t>
      </w:r>
      <w:r>
        <w:rPr>
          <w:i/>
        </w:rPr>
        <w:t>Mansfield Park</w:t>
      </w:r>
      <w:r>
        <w:t>, p.281.</w:t>
      </w:r>
    </w:p>
  </w:footnote>
  <w:footnote w:id="26">
    <w:p w:rsidR="003C1A37" w:rsidRDefault="003C1A37" w:rsidP="003C1A37">
      <w:pPr>
        <w:pStyle w:val="FootnoteText"/>
      </w:pPr>
      <w:r>
        <w:rPr>
          <w:rStyle w:val="FootnoteReference"/>
        </w:rPr>
        <w:footnoteRef/>
      </w:r>
      <w:r>
        <w:t xml:space="preserve"> Ibid., Richarson, </w:t>
      </w:r>
      <w:r>
        <w:rPr>
          <w:i/>
        </w:rPr>
        <w:t>Pamela</w:t>
      </w:r>
      <w:r>
        <w:t>, p.125.</w:t>
      </w:r>
    </w:p>
  </w:footnote>
  <w:footnote w:id="27">
    <w:p w:rsidR="003C1A37" w:rsidRDefault="003C1A37" w:rsidP="003C1A37">
      <w:pPr>
        <w:pStyle w:val="FootnoteText"/>
      </w:pPr>
      <w:r>
        <w:rPr>
          <w:rStyle w:val="FootnoteReference"/>
        </w:rPr>
        <w:footnoteRef/>
      </w:r>
      <w:r>
        <w:t xml:space="preserve"> Ibid., Jane Austen, </w:t>
      </w:r>
      <w:r>
        <w:rPr>
          <w:i/>
        </w:rPr>
        <w:t>Mansfield Park</w:t>
      </w:r>
      <w:r>
        <w:t>, p.11.</w:t>
      </w:r>
    </w:p>
  </w:footnote>
  <w:footnote w:id="28">
    <w:p w:rsidR="003C1A37" w:rsidRDefault="003C1A37" w:rsidP="003C1A37">
      <w:pPr>
        <w:pStyle w:val="FootnoteText"/>
        <w:rPr>
          <w:i/>
        </w:rPr>
      </w:pPr>
      <w:r>
        <w:rPr>
          <w:rStyle w:val="FootnoteReference"/>
        </w:rPr>
        <w:footnoteRef/>
      </w:r>
      <w:r>
        <w:t xml:space="preserve"> Larry Wolff, ‘</w:t>
      </w:r>
      <w:r>
        <w:rPr>
          <w:i/>
        </w:rPr>
        <w:t xml:space="preserve">Then I Imagine a Child: The Idea of Childhood and the </w:t>
      </w:r>
    </w:p>
    <w:p w:rsidR="003C1A37" w:rsidRDefault="003C1A37" w:rsidP="003C1A37">
      <w:pPr>
        <w:pStyle w:val="FootnoteText"/>
      </w:pPr>
      <w:r>
        <w:rPr>
          <w:i/>
        </w:rPr>
        <w:t>Philosophy of Memory in the Enlightenment’</w:t>
      </w:r>
      <w:r>
        <w:t xml:space="preserve"> pp. 377-8</w:t>
      </w:r>
    </w:p>
    <w:p w:rsidR="003C1A37" w:rsidRDefault="003C1A37" w:rsidP="003C1A37">
      <w:pPr>
        <w:pStyle w:val="FootnoteText"/>
      </w:pPr>
      <w:hyperlink r:id="rId5" w:history="1">
        <w:r>
          <w:rPr>
            <w:rStyle w:val="Hyperlink"/>
          </w:rPr>
          <w:t>http://muse.jhu.edu/journals/eighteenth-century_studies/v031/31.4wolff.html</w:t>
        </w:r>
      </w:hyperlink>
      <w:r>
        <w:t>. Accessed 25.03.2017.</w:t>
      </w:r>
    </w:p>
  </w:footnote>
  <w:footnote w:id="29">
    <w:p w:rsidR="003C1A37" w:rsidRDefault="003C1A37" w:rsidP="003C1A37">
      <w:pPr>
        <w:pStyle w:val="FootnoteText"/>
      </w:pPr>
      <w:r>
        <w:rPr>
          <w:rStyle w:val="FootnoteReference"/>
        </w:rPr>
        <w:footnoteRef/>
      </w:r>
      <w:r>
        <w:t xml:space="preserve"> John Bender, </w:t>
      </w:r>
      <w:r>
        <w:rPr>
          <w:i/>
        </w:rPr>
        <w:t>‘Enlightenment Fiction and the Scientific Hypothesis’</w:t>
      </w:r>
      <w:r>
        <w:t>, Representations Vol. 60 (Winter 1997), pp1-23.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57D1" w:rsidRDefault="008257D1">
    <w:pPr>
      <w:pStyle w:val="Header"/>
    </w:pPr>
    <w:r>
      <w:t>Study Skills</w:t>
    </w:r>
    <w:r>
      <w:tab/>
    </w:r>
    <w:r>
      <w:tab/>
      <w:t>Sophie Rossiter</w:t>
    </w:r>
  </w:p>
  <w:p w:rsidR="008257D1" w:rsidRDefault="008257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A4A04"/>
    <w:multiLevelType w:val="hybridMultilevel"/>
    <w:tmpl w:val="732239C2"/>
    <w:lvl w:ilvl="0" w:tplc="8CB0BD2A">
      <w:numFmt w:val="bullet"/>
      <w:lvlText w:val="-"/>
      <w:lvlJc w:val="left"/>
      <w:pPr>
        <w:tabs>
          <w:tab w:val="num" w:pos="360"/>
        </w:tabs>
        <w:ind w:left="360" w:hanging="360"/>
      </w:pPr>
      <w:rPr>
        <w:rFonts w:ascii="Times New Roman" w:eastAsia="Times New Roman" w:hAnsi="Times New Roman" w:cs="Times New Roman" w:hint="default"/>
        <w:color w:val="000000"/>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2465E0F"/>
    <w:multiLevelType w:val="hybridMultilevel"/>
    <w:tmpl w:val="232232B6"/>
    <w:lvl w:ilvl="0" w:tplc="01AA4BE0">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57D1"/>
    <w:rsid w:val="00061331"/>
    <w:rsid w:val="00093093"/>
    <w:rsid w:val="000A598B"/>
    <w:rsid w:val="000C7863"/>
    <w:rsid w:val="000E36F4"/>
    <w:rsid w:val="00122F9A"/>
    <w:rsid w:val="001361C2"/>
    <w:rsid w:val="001E76EA"/>
    <w:rsid w:val="00262422"/>
    <w:rsid w:val="002C4A35"/>
    <w:rsid w:val="002E3686"/>
    <w:rsid w:val="002F4CD1"/>
    <w:rsid w:val="00374F58"/>
    <w:rsid w:val="003C1A37"/>
    <w:rsid w:val="00491DEC"/>
    <w:rsid w:val="00497E47"/>
    <w:rsid w:val="005C4005"/>
    <w:rsid w:val="005D6166"/>
    <w:rsid w:val="00640ECE"/>
    <w:rsid w:val="006D1537"/>
    <w:rsid w:val="0075623E"/>
    <w:rsid w:val="00783FDB"/>
    <w:rsid w:val="007D066C"/>
    <w:rsid w:val="008257D1"/>
    <w:rsid w:val="0082689C"/>
    <w:rsid w:val="008A428E"/>
    <w:rsid w:val="00920841"/>
    <w:rsid w:val="00930615"/>
    <w:rsid w:val="009714DB"/>
    <w:rsid w:val="00A11E42"/>
    <w:rsid w:val="00A30AB0"/>
    <w:rsid w:val="00A706C3"/>
    <w:rsid w:val="00AF79B1"/>
    <w:rsid w:val="00C260A0"/>
    <w:rsid w:val="00CA34F5"/>
    <w:rsid w:val="00D04500"/>
    <w:rsid w:val="00D636CF"/>
    <w:rsid w:val="00E63A84"/>
    <w:rsid w:val="00E752E0"/>
    <w:rsid w:val="00FF2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51F0A"/>
  <w15:chartTrackingRefBased/>
  <w15:docId w15:val="{DA291D24-3822-42FB-BCA0-72B6B4340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57D1"/>
    <w:pPr>
      <w:spacing w:line="256" w:lineRule="auto"/>
    </w:pPr>
  </w:style>
  <w:style w:type="paragraph" w:styleId="Heading1">
    <w:name w:val="heading 1"/>
    <w:basedOn w:val="Normal"/>
    <w:next w:val="Normal"/>
    <w:link w:val="Heading1Char"/>
    <w:qFormat/>
    <w:rsid w:val="008257D1"/>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8257D1"/>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5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7D1"/>
  </w:style>
  <w:style w:type="paragraph" w:styleId="Footer">
    <w:name w:val="footer"/>
    <w:basedOn w:val="Normal"/>
    <w:link w:val="FooterChar"/>
    <w:uiPriority w:val="99"/>
    <w:unhideWhenUsed/>
    <w:rsid w:val="00825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7D1"/>
  </w:style>
  <w:style w:type="paragraph" w:styleId="FootnoteText">
    <w:name w:val="footnote text"/>
    <w:basedOn w:val="Normal"/>
    <w:link w:val="FootnoteTextChar"/>
    <w:uiPriority w:val="99"/>
    <w:semiHidden/>
    <w:unhideWhenUsed/>
    <w:rsid w:val="008257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57D1"/>
    <w:rPr>
      <w:sz w:val="20"/>
      <w:szCs w:val="20"/>
    </w:rPr>
  </w:style>
  <w:style w:type="paragraph" w:styleId="ListParagraph">
    <w:name w:val="List Paragraph"/>
    <w:basedOn w:val="Normal"/>
    <w:uiPriority w:val="34"/>
    <w:qFormat/>
    <w:rsid w:val="008257D1"/>
    <w:pPr>
      <w:ind w:left="720"/>
      <w:contextualSpacing/>
    </w:pPr>
  </w:style>
  <w:style w:type="character" w:styleId="FootnoteReference">
    <w:name w:val="footnote reference"/>
    <w:basedOn w:val="DefaultParagraphFont"/>
    <w:uiPriority w:val="99"/>
    <w:semiHidden/>
    <w:unhideWhenUsed/>
    <w:rsid w:val="008257D1"/>
    <w:rPr>
      <w:vertAlign w:val="superscript"/>
    </w:rPr>
  </w:style>
  <w:style w:type="character" w:customStyle="1" w:styleId="Heading1Char">
    <w:name w:val="Heading 1 Char"/>
    <w:basedOn w:val="DefaultParagraphFont"/>
    <w:link w:val="Heading1"/>
    <w:rsid w:val="008257D1"/>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8257D1"/>
    <w:rPr>
      <w:rFonts w:ascii="Tahoma" w:eastAsia="SimSun" w:hAnsi="Tahoma" w:cs="Tahoma"/>
      <w:b/>
      <w:bCs/>
      <w:sz w:val="20"/>
      <w:szCs w:val="20"/>
      <w:lang w:eastAsia="zh-CN"/>
    </w:rPr>
  </w:style>
  <w:style w:type="paragraph" w:styleId="NormalWeb">
    <w:name w:val="Normal (Web)"/>
    <w:basedOn w:val="Normal"/>
    <w:semiHidden/>
    <w:unhideWhenUsed/>
    <w:rsid w:val="008257D1"/>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783FDB"/>
    <w:rPr>
      <w:color w:val="0563C1" w:themeColor="hyperlink"/>
      <w:u w:val="single"/>
    </w:rPr>
  </w:style>
  <w:style w:type="character" w:styleId="UnresolvedMention">
    <w:name w:val="Unresolved Mention"/>
    <w:basedOn w:val="DefaultParagraphFont"/>
    <w:uiPriority w:val="99"/>
    <w:semiHidden/>
    <w:unhideWhenUsed/>
    <w:rsid w:val="00783FDB"/>
    <w:rPr>
      <w:color w:val="808080"/>
      <w:shd w:val="clear" w:color="auto" w:fill="E6E6E6"/>
    </w:rPr>
  </w:style>
  <w:style w:type="paragraph" w:styleId="EndnoteText">
    <w:name w:val="endnote text"/>
    <w:basedOn w:val="Normal"/>
    <w:link w:val="EndnoteTextChar"/>
    <w:uiPriority w:val="99"/>
    <w:semiHidden/>
    <w:unhideWhenUsed/>
    <w:rsid w:val="003C1A37"/>
    <w:pPr>
      <w:spacing w:after="0" w:line="240" w:lineRule="auto"/>
    </w:pPr>
    <w:rPr>
      <w:rFonts w:ascii="Times New Roman" w:eastAsia="SimSun" w:hAnsi="Times New Roman" w:cs="Times New Roman"/>
      <w:sz w:val="20"/>
      <w:szCs w:val="20"/>
      <w:lang w:eastAsia="zh-CN"/>
    </w:rPr>
  </w:style>
  <w:style w:type="character" w:customStyle="1" w:styleId="EndnoteTextChar">
    <w:name w:val="Endnote Text Char"/>
    <w:basedOn w:val="DefaultParagraphFont"/>
    <w:link w:val="EndnoteText"/>
    <w:uiPriority w:val="99"/>
    <w:semiHidden/>
    <w:rsid w:val="003C1A37"/>
    <w:rPr>
      <w:rFonts w:ascii="Times New Roman" w:eastAsia="SimSun" w:hAnsi="Times New Roman" w:cs="Times New Roman"/>
      <w:sz w:val="20"/>
      <w:szCs w:val="20"/>
      <w:lang w:eastAsia="zh-CN"/>
    </w:rPr>
  </w:style>
  <w:style w:type="character" w:styleId="EndnoteReference">
    <w:name w:val="endnote reference"/>
    <w:basedOn w:val="DefaultParagraphFont"/>
    <w:uiPriority w:val="99"/>
    <w:semiHidden/>
    <w:unhideWhenUsed/>
    <w:rsid w:val="003C1A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65563">
      <w:bodyDiv w:val="1"/>
      <w:marLeft w:val="0"/>
      <w:marRight w:val="0"/>
      <w:marTop w:val="0"/>
      <w:marBottom w:val="0"/>
      <w:divBdr>
        <w:top w:val="none" w:sz="0" w:space="0" w:color="auto"/>
        <w:left w:val="none" w:sz="0" w:space="0" w:color="auto"/>
        <w:bottom w:val="none" w:sz="0" w:space="0" w:color="auto"/>
        <w:right w:val="none" w:sz="0" w:space="0" w:color="auto"/>
      </w:divBdr>
    </w:div>
    <w:div w:id="228729430">
      <w:bodyDiv w:val="1"/>
      <w:marLeft w:val="0"/>
      <w:marRight w:val="0"/>
      <w:marTop w:val="0"/>
      <w:marBottom w:val="0"/>
      <w:divBdr>
        <w:top w:val="none" w:sz="0" w:space="0" w:color="auto"/>
        <w:left w:val="none" w:sz="0" w:space="0" w:color="auto"/>
        <w:bottom w:val="none" w:sz="0" w:space="0" w:color="auto"/>
        <w:right w:val="none" w:sz="0" w:space="0" w:color="auto"/>
      </w:divBdr>
    </w:div>
    <w:div w:id="413362346">
      <w:bodyDiv w:val="1"/>
      <w:marLeft w:val="0"/>
      <w:marRight w:val="0"/>
      <w:marTop w:val="0"/>
      <w:marBottom w:val="0"/>
      <w:divBdr>
        <w:top w:val="none" w:sz="0" w:space="0" w:color="auto"/>
        <w:left w:val="none" w:sz="0" w:space="0" w:color="auto"/>
        <w:bottom w:val="none" w:sz="0" w:space="0" w:color="auto"/>
        <w:right w:val="none" w:sz="0" w:space="0" w:color="auto"/>
      </w:divBdr>
    </w:div>
    <w:div w:id="1398673509">
      <w:bodyDiv w:val="1"/>
      <w:marLeft w:val="0"/>
      <w:marRight w:val="0"/>
      <w:marTop w:val="0"/>
      <w:marBottom w:val="0"/>
      <w:divBdr>
        <w:top w:val="none" w:sz="0" w:space="0" w:color="auto"/>
        <w:left w:val="none" w:sz="0" w:space="0" w:color="auto"/>
        <w:bottom w:val="none" w:sz="0" w:space="0" w:color="auto"/>
        <w:right w:val="none" w:sz="0" w:space="0" w:color="auto"/>
      </w:divBdr>
    </w:div>
    <w:div w:id="1652638758">
      <w:bodyDiv w:val="1"/>
      <w:marLeft w:val="0"/>
      <w:marRight w:val="0"/>
      <w:marTop w:val="0"/>
      <w:marBottom w:val="0"/>
      <w:divBdr>
        <w:top w:val="none" w:sz="0" w:space="0" w:color="auto"/>
        <w:left w:val="none" w:sz="0" w:space="0" w:color="auto"/>
        <w:bottom w:val="none" w:sz="0" w:space="0" w:color="auto"/>
        <w:right w:val="none" w:sz="0" w:space="0" w:color="auto"/>
      </w:divBdr>
    </w:div>
    <w:div w:id="203484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libarch.nmu.org.ua/handle/GenofondUA/5284" TargetMode="External"/><Relationship Id="rId2" Type="http://schemas.openxmlformats.org/officeDocument/2006/relationships/hyperlink" Target="http://www.jstor.org/stable/2873051?seq=15" TargetMode="External"/><Relationship Id="rId1" Type="http://schemas.openxmlformats.org/officeDocument/2006/relationships/hyperlink" Target="http://www.english.upenn.edu/~mgamer/Etexts/kant.html" TargetMode="External"/><Relationship Id="rId5" Type="http://schemas.openxmlformats.org/officeDocument/2006/relationships/hyperlink" Target="http://muse.jhu.edu/journals/eighteenth-century_studies/v031/31.4wolff.html" TargetMode="External"/><Relationship Id="rId4" Type="http://schemas.openxmlformats.org/officeDocument/2006/relationships/hyperlink" Target="https://books.google.co.uk/books?id=AEfUDAAAQBAJ&amp;pg=PT156&amp;lpg=PT156&amp;dq=echoes+of+wollstonecraft+in+jane+austen&amp;source=bl&amp;ots=KB9D54-8f6&amp;sig=pTrijlDZmLKpgA7MnteubK80Anc&amp;hl=en&amp;sa=X&amp;ved=0ahUKEwiz7Obyuv7SAhVKK8AKHTvBCtgQ6AEILD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B9CE1-1670-4B3F-98CA-C3B46CFB6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4797</Words>
  <Characters>27347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rossiter</dc:creator>
  <cp:keywords/>
  <dc:description/>
  <cp:lastModifiedBy>sophie rossiter</cp:lastModifiedBy>
  <cp:revision>27</cp:revision>
  <dcterms:created xsi:type="dcterms:W3CDTF">2018-01-22T18:50:00Z</dcterms:created>
  <dcterms:modified xsi:type="dcterms:W3CDTF">2018-01-22T21:52:00Z</dcterms:modified>
</cp:coreProperties>
</file>