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4B77B" w14:textId="77777777" w:rsidR="00943047" w:rsidRDefault="00000000">
      <w:r>
        <w:rPr>
          <w:noProof/>
        </w:rPr>
        <mc:AlternateContent>
          <mc:Choice Requires="wps">
            <w:drawing>
              <wp:anchor distT="0" distB="0" distL="114300" distR="114300" simplePos="0" relativeHeight="251658240" behindDoc="0" locked="0" layoutInCell="1" hidden="0" allowOverlap="1" wp14:anchorId="2A765DE8" wp14:editId="19FD5F08">
                <wp:simplePos x="0" y="0"/>
                <wp:positionH relativeFrom="page">
                  <wp:align>center</wp:align>
                </wp:positionH>
                <wp:positionV relativeFrom="page">
                  <wp:posOffset>245745</wp:posOffset>
                </wp:positionV>
                <wp:extent cx="7315200" cy="1215391"/>
                <wp:effectExtent l="0" t="0" r="1270" b="1905"/>
                <wp:wrapNone/>
                <wp:docPr id="1" name="Group 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2" name="Freeform: Shape 2"/>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align>center</wp:align>
                </wp:positionH>
                <wp:positionV relativeFrom="page">
                  <wp:posOffset>245745</wp:posOffset>
                </wp:positionV>
                <wp:extent cx="7316470" cy="1217296"/>
                <wp:effectExtent b="0" l="0" r="0" t="0"/>
                <wp:wrapNone/>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7316470" cy="1217296"/>
                        </a:xfrm>
                        <a:prstGeom prst="rect"/>
                        <a:ln/>
                      </pic:spPr>
                    </pic:pic>
                  </a:graphicData>
                </a:graphic>
              </wp:anchor>
            </w:drawing>
          </mc:Fallback>
        </mc:AlternateContent>
      </w:r>
    </w:p>
    <w:p w14:paraId="402FCEE9" w14:textId="77777777" w:rsidR="00943047" w:rsidRDefault="00943047">
      <w:pPr>
        <w:spacing w:line="240" w:lineRule="auto"/>
        <w:rPr>
          <w:rFonts w:ascii="Calibri" w:eastAsia="Calibri" w:hAnsi="Calibri" w:cs="Calibri"/>
        </w:rPr>
      </w:pPr>
    </w:p>
    <w:p w14:paraId="0521A9B3" w14:textId="1B273030" w:rsidR="00943047" w:rsidRDefault="00554480">
      <w:pPr>
        <w:spacing w:line="240" w:lineRule="auto"/>
        <w:rPr>
          <w:rFonts w:ascii="Calibri" w:eastAsia="Calibri" w:hAnsi="Calibri" w:cs="Calibri"/>
        </w:rPr>
      </w:pPr>
      <w:r>
        <w:rPr>
          <w:smallCaps/>
          <w:noProof/>
          <w:color w:val="000000"/>
          <w:sz w:val="64"/>
          <w:szCs w:val="64"/>
        </w:rPr>
        <w:drawing>
          <wp:inline distT="0" distB="0" distL="0" distR="0" wp14:anchorId="497067A5" wp14:editId="78450658">
            <wp:extent cx="4145280" cy="1569720"/>
            <wp:effectExtent l="0" t="0" r="762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5280" cy="1569720"/>
                    </a:xfrm>
                    <a:prstGeom prst="rect">
                      <a:avLst/>
                    </a:prstGeom>
                    <a:noFill/>
                    <a:ln>
                      <a:noFill/>
                    </a:ln>
                  </pic:spPr>
                </pic:pic>
              </a:graphicData>
            </a:graphic>
          </wp:inline>
        </w:drawing>
      </w:r>
    </w:p>
    <w:p w14:paraId="1BE62A24" w14:textId="77777777" w:rsidR="00554480" w:rsidRDefault="00554480" w:rsidP="00554480">
      <w:pPr>
        <w:rPr>
          <w:rFonts w:ascii="Calibri" w:eastAsia="Calibri" w:hAnsi="Calibri" w:cs="Calibri"/>
        </w:rPr>
      </w:pPr>
    </w:p>
    <w:p w14:paraId="723DB92E" w14:textId="29F76D41" w:rsidR="00943047" w:rsidRDefault="00554480" w:rsidP="00554480">
      <w:pPr>
        <w:rPr>
          <w:color w:val="000000"/>
        </w:rPr>
      </w:pPr>
      <w:r>
        <w:rPr>
          <w:rFonts w:ascii="Calibri" w:eastAsia="Calibri" w:hAnsi="Calibri" w:cs="Calibri"/>
        </w:rPr>
        <w:t xml:space="preserve">          </w:t>
      </w:r>
      <w:r>
        <w:rPr>
          <w:smallCaps/>
          <w:color w:val="4472C4"/>
          <w:sz w:val="64"/>
          <w:szCs w:val="64"/>
        </w:rPr>
        <w:t xml:space="preserve"> </w:t>
      </w:r>
      <w:r w:rsidR="00000000">
        <w:rPr>
          <w:smallCaps/>
          <w:color w:val="000000"/>
          <w:sz w:val="64"/>
          <w:szCs w:val="64"/>
        </w:rPr>
        <w:t>PROBLEM SOLVING AND DECISION-MAKING - REPORT</w:t>
      </w:r>
    </w:p>
    <w:p w14:paraId="44F619D7" w14:textId="77777777" w:rsidR="00943047" w:rsidRDefault="00943047">
      <w:pPr>
        <w:spacing w:line="240" w:lineRule="auto"/>
        <w:rPr>
          <w:rFonts w:ascii="Calibri" w:eastAsia="Calibri" w:hAnsi="Calibri" w:cs="Calibri"/>
        </w:rPr>
      </w:pPr>
    </w:p>
    <w:p w14:paraId="304A17F6" w14:textId="77777777" w:rsidR="00943047" w:rsidRDefault="00000000">
      <w:pPr>
        <w:jc w:val="right"/>
        <w:rPr>
          <w:rFonts w:ascii="Calibri" w:eastAsia="Calibri" w:hAnsi="Calibri" w:cs="Calibri"/>
          <w:sz w:val="28"/>
          <w:szCs w:val="28"/>
        </w:rPr>
      </w:pPr>
      <w:r>
        <w:rPr>
          <w:rFonts w:ascii="Calibri" w:eastAsia="Calibri" w:hAnsi="Calibri" w:cs="Calibri"/>
          <w:sz w:val="28"/>
          <w:szCs w:val="28"/>
        </w:rPr>
        <w:t>A toxic workplace culture with high levels of stress and burnout, leading to low morale and high employee turnover rates.</w:t>
      </w:r>
    </w:p>
    <w:p w14:paraId="2585FD74" w14:textId="77777777" w:rsidR="00943047" w:rsidRDefault="00943047">
      <w:pPr>
        <w:jc w:val="right"/>
        <w:rPr>
          <w:rFonts w:ascii="Calibri" w:eastAsia="Calibri" w:hAnsi="Calibri" w:cs="Calibri"/>
          <w:sz w:val="28"/>
          <w:szCs w:val="28"/>
        </w:rPr>
      </w:pPr>
    </w:p>
    <w:p w14:paraId="205910C0" w14:textId="77777777" w:rsidR="00943047" w:rsidRDefault="00943047">
      <w:pPr>
        <w:jc w:val="right"/>
        <w:rPr>
          <w:rFonts w:ascii="Calibri" w:eastAsia="Calibri" w:hAnsi="Calibri" w:cs="Calibri"/>
          <w:sz w:val="28"/>
          <w:szCs w:val="28"/>
        </w:rPr>
      </w:pPr>
    </w:p>
    <w:p w14:paraId="13E465C7" w14:textId="77777777" w:rsidR="00943047" w:rsidRDefault="00943047">
      <w:pPr>
        <w:jc w:val="right"/>
        <w:rPr>
          <w:rFonts w:ascii="Calibri" w:eastAsia="Calibri" w:hAnsi="Calibri" w:cs="Calibri"/>
          <w:sz w:val="28"/>
          <w:szCs w:val="28"/>
        </w:rPr>
      </w:pPr>
    </w:p>
    <w:p w14:paraId="3C213678" w14:textId="77777777" w:rsidR="00943047" w:rsidRDefault="00943047">
      <w:pPr>
        <w:jc w:val="right"/>
        <w:rPr>
          <w:rFonts w:ascii="Calibri" w:eastAsia="Calibri" w:hAnsi="Calibri" w:cs="Calibri"/>
          <w:sz w:val="28"/>
          <w:szCs w:val="28"/>
        </w:rPr>
      </w:pPr>
    </w:p>
    <w:p w14:paraId="1CA90983" w14:textId="77777777" w:rsidR="00554480" w:rsidRDefault="00554480">
      <w:pPr>
        <w:jc w:val="right"/>
        <w:rPr>
          <w:rFonts w:ascii="Calibri" w:eastAsia="Calibri" w:hAnsi="Calibri" w:cs="Calibri"/>
          <w:sz w:val="28"/>
          <w:szCs w:val="28"/>
        </w:rPr>
      </w:pPr>
    </w:p>
    <w:p w14:paraId="1F111510" w14:textId="7733E7AE" w:rsidR="00554480" w:rsidRDefault="00554480" w:rsidP="00554480">
      <w:pPr>
        <w:rPr>
          <w:rFonts w:ascii="Calibri" w:eastAsia="Calibri" w:hAnsi="Calibri" w:cs="Calibri"/>
          <w:sz w:val="28"/>
          <w:szCs w:val="28"/>
        </w:rPr>
      </w:pPr>
      <w:r>
        <w:rPr>
          <w:rFonts w:ascii="Calibri" w:eastAsia="Calibri" w:hAnsi="Calibri" w:cs="Calibri"/>
          <w:sz w:val="28"/>
          <w:szCs w:val="28"/>
        </w:rPr>
        <w:t xml:space="preserve">                                                                                           </w:t>
      </w:r>
      <w:proofErr w:type="gramStart"/>
      <w:r>
        <w:rPr>
          <w:rFonts w:ascii="Calibri" w:eastAsia="Calibri" w:hAnsi="Calibri" w:cs="Calibri"/>
          <w:sz w:val="28"/>
          <w:szCs w:val="28"/>
        </w:rPr>
        <w:t>Name :Catalina</w:t>
      </w:r>
      <w:proofErr w:type="gramEnd"/>
      <w:r>
        <w:rPr>
          <w:rFonts w:ascii="Calibri" w:eastAsia="Calibri" w:hAnsi="Calibri" w:cs="Calibri"/>
          <w:sz w:val="28"/>
          <w:szCs w:val="28"/>
        </w:rPr>
        <w:t xml:space="preserve"> Barbuceanu</w:t>
      </w:r>
    </w:p>
    <w:p w14:paraId="6BDF0D8E" w14:textId="20CE6F19" w:rsidR="00554480" w:rsidRDefault="00554480">
      <w:pPr>
        <w:jc w:val="right"/>
        <w:rPr>
          <w:rFonts w:ascii="Calibri" w:eastAsia="Calibri" w:hAnsi="Calibri" w:cs="Calibri"/>
          <w:sz w:val="28"/>
          <w:szCs w:val="28"/>
        </w:rPr>
      </w:pPr>
      <w:r>
        <w:rPr>
          <w:rFonts w:ascii="Calibri" w:eastAsia="Calibri" w:hAnsi="Calibri" w:cs="Calibri"/>
          <w:sz w:val="28"/>
          <w:szCs w:val="28"/>
        </w:rPr>
        <w:t>Student ID:2133638</w:t>
      </w:r>
    </w:p>
    <w:p w14:paraId="09A149C3" w14:textId="74DA0AD9" w:rsidR="00943047" w:rsidRDefault="00000000">
      <w:pPr>
        <w:jc w:val="right"/>
        <w:rPr>
          <w:rFonts w:ascii="Calibri" w:eastAsia="Calibri" w:hAnsi="Calibri" w:cs="Calibri"/>
          <w:sz w:val="28"/>
          <w:szCs w:val="28"/>
        </w:rPr>
      </w:pPr>
      <w:r>
        <w:rPr>
          <w:rFonts w:ascii="Calibri" w:eastAsia="Calibri" w:hAnsi="Calibri" w:cs="Calibri"/>
          <w:sz w:val="28"/>
          <w:szCs w:val="28"/>
        </w:rPr>
        <w:t>Module Name:</w:t>
      </w:r>
      <w:r>
        <w:rPr>
          <w:rFonts w:ascii="Arial" w:eastAsia="Arial" w:hAnsi="Arial" w:cs="Arial"/>
          <w:b/>
          <w:sz w:val="22"/>
          <w:szCs w:val="22"/>
        </w:rPr>
        <w:t xml:space="preserve"> </w:t>
      </w:r>
      <w:r>
        <w:rPr>
          <w:rFonts w:ascii="Calibri" w:eastAsia="Calibri" w:hAnsi="Calibri" w:cs="Calibri"/>
          <w:sz w:val="28"/>
          <w:szCs w:val="28"/>
        </w:rPr>
        <w:t>Problem Solving and Decision Making</w:t>
      </w:r>
      <w:r>
        <w:rPr>
          <w:rFonts w:ascii="Calibri" w:eastAsia="Calibri" w:hAnsi="Calibri" w:cs="Calibri"/>
          <w:b/>
          <w:sz w:val="28"/>
          <w:szCs w:val="28"/>
        </w:rPr>
        <w:t xml:space="preserve"> </w:t>
      </w:r>
    </w:p>
    <w:p w14:paraId="0B9770DF" w14:textId="77777777" w:rsidR="00943047" w:rsidRDefault="00000000">
      <w:pPr>
        <w:jc w:val="right"/>
        <w:rPr>
          <w:rFonts w:ascii="Calibri" w:eastAsia="Calibri" w:hAnsi="Calibri" w:cs="Calibri"/>
          <w:sz w:val="28"/>
          <w:szCs w:val="28"/>
        </w:rPr>
      </w:pPr>
      <w:r>
        <w:rPr>
          <w:rFonts w:ascii="Calibri" w:eastAsia="Calibri" w:hAnsi="Calibri" w:cs="Calibri"/>
          <w:sz w:val="28"/>
          <w:szCs w:val="28"/>
        </w:rPr>
        <w:t>Module Code:</w:t>
      </w:r>
      <w:r>
        <w:rPr>
          <w:rFonts w:ascii="Arial" w:eastAsia="Arial" w:hAnsi="Arial" w:cs="Arial"/>
          <w:b/>
          <w:sz w:val="22"/>
          <w:szCs w:val="22"/>
        </w:rPr>
        <w:t xml:space="preserve"> </w:t>
      </w:r>
      <w:r>
        <w:rPr>
          <w:rFonts w:ascii="Calibri" w:eastAsia="Calibri" w:hAnsi="Calibri" w:cs="Calibri"/>
          <w:sz w:val="28"/>
          <w:szCs w:val="28"/>
        </w:rPr>
        <w:t xml:space="preserve">BMSW4004 </w:t>
      </w:r>
    </w:p>
    <w:p w14:paraId="4BD1C2E0" w14:textId="77777777" w:rsidR="00943047" w:rsidRDefault="00000000">
      <w:pPr>
        <w:jc w:val="right"/>
        <w:rPr>
          <w:rFonts w:ascii="Calibri" w:eastAsia="Calibri" w:hAnsi="Calibri" w:cs="Calibri"/>
          <w:sz w:val="28"/>
          <w:szCs w:val="28"/>
        </w:rPr>
      </w:pPr>
      <w:r>
        <w:rPr>
          <w:rFonts w:ascii="Calibri" w:eastAsia="Calibri" w:hAnsi="Calibri" w:cs="Calibri"/>
          <w:sz w:val="28"/>
          <w:szCs w:val="28"/>
        </w:rPr>
        <w:t>Submission Date: 02/04/2023</w:t>
      </w:r>
    </w:p>
    <w:p w14:paraId="492DD721" w14:textId="77777777" w:rsidR="00943047" w:rsidRDefault="00000000">
      <w:pPr>
        <w:jc w:val="right"/>
        <w:rPr>
          <w:rFonts w:ascii="Calibri" w:eastAsia="Calibri" w:hAnsi="Calibri" w:cs="Calibri"/>
          <w:sz w:val="28"/>
          <w:szCs w:val="28"/>
        </w:rPr>
      </w:pPr>
      <w:r>
        <w:rPr>
          <w:rFonts w:ascii="Calibri" w:eastAsia="Calibri" w:hAnsi="Calibri" w:cs="Calibri"/>
          <w:sz w:val="28"/>
          <w:szCs w:val="28"/>
        </w:rPr>
        <w:t>Word Count: 2130 words</w:t>
      </w:r>
    </w:p>
    <w:p w14:paraId="7EA2D8F6" w14:textId="77777777" w:rsidR="00943047" w:rsidRDefault="00943047">
      <w:pPr>
        <w:rPr>
          <w:rFonts w:ascii="Calibri" w:eastAsia="Calibri" w:hAnsi="Calibri" w:cs="Calibri"/>
        </w:rPr>
      </w:pPr>
    </w:p>
    <w:p w14:paraId="486A5C9D" w14:textId="77777777" w:rsidR="00943047" w:rsidRDefault="00943047">
      <w:pPr>
        <w:rPr>
          <w:rFonts w:ascii="Calibri" w:eastAsia="Calibri" w:hAnsi="Calibri" w:cs="Calibri"/>
        </w:rPr>
      </w:pPr>
    </w:p>
    <w:p w14:paraId="336FC7A1" w14:textId="77777777" w:rsidR="00943047" w:rsidRDefault="00000000">
      <w:pPr>
        <w:rPr>
          <w:rFonts w:ascii="Calibri" w:eastAsia="Calibri" w:hAnsi="Calibri" w:cs="Calibri"/>
          <w:b/>
          <w:sz w:val="28"/>
          <w:szCs w:val="28"/>
        </w:rPr>
      </w:pPr>
      <w:r>
        <w:lastRenderedPageBreak/>
        <w:br w:type="page"/>
      </w:r>
    </w:p>
    <w:p w14:paraId="624A4819" w14:textId="77777777" w:rsidR="00943047" w:rsidRDefault="00000000">
      <w:pPr>
        <w:keepNext/>
        <w:keepLines/>
        <w:pBdr>
          <w:top w:val="nil"/>
          <w:left w:val="nil"/>
          <w:bottom w:val="nil"/>
          <w:right w:val="nil"/>
          <w:between w:val="nil"/>
        </w:pBdr>
        <w:spacing w:before="480"/>
        <w:rPr>
          <w:rFonts w:ascii="Calibri" w:eastAsia="Calibri" w:hAnsi="Calibri" w:cs="Calibri"/>
          <w:b/>
          <w:color w:val="000000"/>
          <w:sz w:val="28"/>
          <w:szCs w:val="28"/>
        </w:rPr>
      </w:pPr>
      <w:bookmarkStart w:id="0" w:name="_gjdgxs" w:colFirst="0" w:colLast="0"/>
      <w:bookmarkEnd w:id="0"/>
      <w:r>
        <w:rPr>
          <w:rFonts w:ascii="Calibri" w:eastAsia="Calibri" w:hAnsi="Calibri" w:cs="Calibri"/>
          <w:b/>
          <w:color w:val="000000"/>
          <w:sz w:val="28"/>
          <w:szCs w:val="28"/>
        </w:rPr>
        <w:lastRenderedPageBreak/>
        <w:t>Table of Contents</w:t>
      </w:r>
    </w:p>
    <w:sdt>
      <w:sdtPr>
        <w:id w:val="1451755104"/>
        <w:docPartObj>
          <w:docPartGallery w:val="Table of Contents"/>
          <w:docPartUnique/>
        </w:docPartObj>
      </w:sdtPr>
      <w:sdtContent>
        <w:p w14:paraId="56BCD467" w14:textId="77777777" w:rsidR="00943047" w:rsidRDefault="00000000">
          <w:pPr>
            <w:pBdr>
              <w:top w:val="nil"/>
              <w:left w:val="nil"/>
              <w:bottom w:val="nil"/>
              <w:right w:val="nil"/>
              <w:between w:val="nil"/>
            </w:pBdr>
            <w:tabs>
              <w:tab w:val="right" w:leader="dot" w:pos="9016"/>
            </w:tabs>
            <w:spacing w:before="240" w:after="120"/>
            <w:rPr>
              <w:rFonts w:ascii="Calibri" w:eastAsia="Calibri" w:hAnsi="Calibri" w:cs="Calibri"/>
              <w:i/>
              <w:color w:val="000000"/>
              <w:sz w:val="20"/>
              <w:szCs w:val="20"/>
            </w:rPr>
          </w:pPr>
          <w:r>
            <w:fldChar w:fldCharType="begin"/>
          </w:r>
          <w:r>
            <w:instrText xml:space="preserve"> TOC \h \u \z \t "Heading 1,1,Heading 2,2,Heading 3,3,"</w:instrText>
          </w:r>
          <w:r>
            <w:fldChar w:fldCharType="separate"/>
          </w:r>
          <w:hyperlink w:anchor="_30j0zll">
            <w:r>
              <w:rPr>
                <w:rFonts w:ascii="Calibri" w:eastAsia="Calibri" w:hAnsi="Calibri" w:cs="Calibri"/>
                <w:b/>
                <w:color w:val="000000"/>
                <w:sz w:val="20"/>
                <w:szCs w:val="20"/>
              </w:rPr>
              <w:t>Introduction</w:t>
            </w:r>
            <w:r>
              <w:rPr>
                <w:rFonts w:ascii="Calibri" w:eastAsia="Calibri" w:hAnsi="Calibri" w:cs="Calibri"/>
                <w:b/>
                <w:color w:val="000000"/>
                <w:sz w:val="20"/>
                <w:szCs w:val="20"/>
              </w:rPr>
              <w:tab/>
              <w:t>2</w:t>
            </w:r>
          </w:hyperlink>
        </w:p>
        <w:p w14:paraId="252D4DC9" w14:textId="77777777" w:rsidR="00943047" w:rsidRDefault="00000000">
          <w:pPr>
            <w:pBdr>
              <w:top w:val="nil"/>
              <w:left w:val="nil"/>
              <w:bottom w:val="nil"/>
              <w:right w:val="nil"/>
              <w:between w:val="nil"/>
            </w:pBdr>
            <w:tabs>
              <w:tab w:val="right" w:leader="dot" w:pos="9016"/>
            </w:tabs>
            <w:ind w:left="480"/>
            <w:rPr>
              <w:rFonts w:ascii="Calibri" w:eastAsia="Calibri" w:hAnsi="Calibri" w:cs="Calibri"/>
              <w:color w:val="000000"/>
            </w:rPr>
          </w:pPr>
          <w:hyperlink w:anchor="_1fob9te">
            <w:r>
              <w:rPr>
                <w:rFonts w:ascii="Calibri" w:eastAsia="Calibri" w:hAnsi="Calibri" w:cs="Calibri"/>
                <w:color w:val="000000"/>
                <w:sz w:val="20"/>
                <w:szCs w:val="20"/>
              </w:rPr>
              <w:t>Overview of the problem of a toxic workplace culture</w:t>
            </w:r>
            <w:r>
              <w:rPr>
                <w:rFonts w:ascii="Calibri" w:eastAsia="Calibri" w:hAnsi="Calibri" w:cs="Calibri"/>
                <w:color w:val="000000"/>
                <w:sz w:val="20"/>
                <w:szCs w:val="20"/>
              </w:rPr>
              <w:tab/>
              <w:t>2</w:t>
            </w:r>
          </w:hyperlink>
        </w:p>
        <w:p w14:paraId="560DCDBE" w14:textId="77777777" w:rsidR="00943047" w:rsidRDefault="00000000">
          <w:pPr>
            <w:pBdr>
              <w:top w:val="nil"/>
              <w:left w:val="nil"/>
              <w:bottom w:val="nil"/>
              <w:right w:val="nil"/>
              <w:between w:val="nil"/>
            </w:pBdr>
            <w:tabs>
              <w:tab w:val="right" w:leader="dot" w:pos="9016"/>
            </w:tabs>
            <w:spacing w:before="120"/>
            <w:ind w:left="240"/>
            <w:rPr>
              <w:rFonts w:ascii="Calibri" w:eastAsia="Calibri" w:hAnsi="Calibri" w:cs="Calibri"/>
              <w:color w:val="000000"/>
            </w:rPr>
          </w:pPr>
          <w:hyperlink w:anchor="_3znysh7">
            <w:r>
              <w:rPr>
                <w:rFonts w:ascii="Calibri" w:eastAsia="Calibri" w:hAnsi="Calibri" w:cs="Calibri"/>
                <w:i/>
                <w:color w:val="000000"/>
                <w:sz w:val="20"/>
                <w:szCs w:val="20"/>
              </w:rPr>
              <w:t>Importance of addressing the issue</w:t>
            </w:r>
            <w:r>
              <w:rPr>
                <w:rFonts w:ascii="Calibri" w:eastAsia="Calibri" w:hAnsi="Calibri" w:cs="Calibri"/>
                <w:i/>
                <w:color w:val="000000"/>
                <w:sz w:val="20"/>
                <w:szCs w:val="20"/>
              </w:rPr>
              <w:tab/>
              <w:t>2</w:t>
            </w:r>
          </w:hyperlink>
        </w:p>
        <w:p w14:paraId="6A9AD4ED" w14:textId="77777777" w:rsidR="00943047" w:rsidRDefault="00000000">
          <w:pPr>
            <w:pBdr>
              <w:top w:val="nil"/>
              <w:left w:val="nil"/>
              <w:bottom w:val="nil"/>
              <w:right w:val="nil"/>
              <w:between w:val="nil"/>
            </w:pBdr>
            <w:tabs>
              <w:tab w:val="right" w:leader="dot" w:pos="9016"/>
            </w:tabs>
            <w:ind w:left="480"/>
            <w:rPr>
              <w:rFonts w:ascii="Calibri" w:eastAsia="Calibri" w:hAnsi="Calibri" w:cs="Calibri"/>
              <w:color w:val="000000"/>
            </w:rPr>
          </w:pPr>
          <w:hyperlink w:anchor="_2et92p0">
            <w:r>
              <w:rPr>
                <w:rFonts w:ascii="Calibri" w:eastAsia="Calibri" w:hAnsi="Calibri" w:cs="Calibri"/>
                <w:color w:val="000000"/>
                <w:sz w:val="20"/>
                <w:szCs w:val="20"/>
              </w:rPr>
              <w:t>Purpose of the report</w:t>
            </w:r>
            <w:r>
              <w:rPr>
                <w:rFonts w:ascii="Calibri" w:eastAsia="Calibri" w:hAnsi="Calibri" w:cs="Calibri"/>
                <w:color w:val="000000"/>
                <w:sz w:val="20"/>
                <w:szCs w:val="20"/>
              </w:rPr>
              <w:tab/>
              <w:t>2</w:t>
            </w:r>
          </w:hyperlink>
        </w:p>
        <w:p w14:paraId="50E77F4F" w14:textId="77777777" w:rsidR="00943047" w:rsidRDefault="00000000">
          <w:pPr>
            <w:pBdr>
              <w:top w:val="nil"/>
              <w:left w:val="nil"/>
              <w:bottom w:val="nil"/>
              <w:right w:val="nil"/>
              <w:between w:val="nil"/>
            </w:pBdr>
            <w:tabs>
              <w:tab w:val="right" w:leader="dot" w:pos="9016"/>
            </w:tabs>
            <w:spacing w:before="240" w:after="120"/>
            <w:rPr>
              <w:rFonts w:ascii="Calibri" w:eastAsia="Calibri" w:hAnsi="Calibri" w:cs="Calibri"/>
              <w:i/>
              <w:color w:val="000000"/>
              <w:sz w:val="20"/>
              <w:szCs w:val="20"/>
            </w:rPr>
          </w:pPr>
          <w:hyperlink w:anchor="_tyjcwt">
            <w:r>
              <w:rPr>
                <w:rFonts w:ascii="Calibri" w:eastAsia="Calibri" w:hAnsi="Calibri" w:cs="Calibri"/>
                <w:b/>
                <w:color w:val="000000"/>
                <w:sz w:val="20"/>
                <w:szCs w:val="20"/>
              </w:rPr>
              <w:t>Defining a Toxic Workplace Culture</w:t>
            </w:r>
            <w:r>
              <w:rPr>
                <w:rFonts w:ascii="Calibri" w:eastAsia="Calibri" w:hAnsi="Calibri" w:cs="Calibri"/>
                <w:b/>
                <w:color w:val="000000"/>
                <w:sz w:val="20"/>
                <w:szCs w:val="20"/>
              </w:rPr>
              <w:tab/>
              <w:t>3</w:t>
            </w:r>
          </w:hyperlink>
        </w:p>
        <w:p w14:paraId="5C0BD32A" w14:textId="77777777" w:rsidR="00943047" w:rsidRDefault="00000000">
          <w:pPr>
            <w:pBdr>
              <w:top w:val="nil"/>
              <w:left w:val="nil"/>
              <w:bottom w:val="nil"/>
              <w:right w:val="nil"/>
              <w:between w:val="nil"/>
            </w:pBdr>
            <w:tabs>
              <w:tab w:val="right" w:leader="dot" w:pos="9016"/>
            </w:tabs>
            <w:spacing w:before="120"/>
            <w:ind w:left="240"/>
            <w:rPr>
              <w:rFonts w:ascii="Calibri" w:eastAsia="Calibri" w:hAnsi="Calibri" w:cs="Calibri"/>
              <w:color w:val="000000"/>
            </w:rPr>
          </w:pPr>
          <w:hyperlink w:anchor="_3dy6vkm">
            <w:r>
              <w:rPr>
                <w:rFonts w:ascii="Calibri" w:eastAsia="Calibri" w:hAnsi="Calibri" w:cs="Calibri"/>
                <w:i/>
                <w:color w:val="000000"/>
                <w:sz w:val="20"/>
                <w:szCs w:val="20"/>
              </w:rPr>
              <w:t>Toxic workplace culture and its impact on employees and the organisation</w:t>
            </w:r>
            <w:r>
              <w:rPr>
                <w:rFonts w:ascii="Calibri" w:eastAsia="Calibri" w:hAnsi="Calibri" w:cs="Calibri"/>
                <w:i/>
                <w:color w:val="000000"/>
                <w:sz w:val="20"/>
                <w:szCs w:val="20"/>
              </w:rPr>
              <w:tab/>
              <w:t>3</w:t>
            </w:r>
          </w:hyperlink>
        </w:p>
        <w:p w14:paraId="4CB0C773" w14:textId="77777777" w:rsidR="00943047" w:rsidRDefault="00000000">
          <w:pPr>
            <w:pBdr>
              <w:top w:val="nil"/>
              <w:left w:val="nil"/>
              <w:bottom w:val="nil"/>
              <w:right w:val="nil"/>
              <w:between w:val="nil"/>
            </w:pBdr>
            <w:tabs>
              <w:tab w:val="right" w:leader="dot" w:pos="9016"/>
            </w:tabs>
            <w:spacing w:before="120"/>
            <w:ind w:left="240"/>
            <w:rPr>
              <w:rFonts w:ascii="Calibri" w:eastAsia="Calibri" w:hAnsi="Calibri" w:cs="Calibri"/>
              <w:color w:val="000000"/>
            </w:rPr>
          </w:pPr>
          <w:hyperlink w:anchor="_1t3h5sf">
            <w:r>
              <w:rPr>
                <w:rFonts w:ascii="Calibri" w:eastAsia="Calibri" w:hAnsi="Calibri" w:cs="Calibri"/>
                <w:i/>
                <w:color w:val="000000"/>
                <w:sz w:val="20"/>
                <w:szCs w:val="20"/>
              </w:rPr>
              <w:t>Key characteristics and symptoms of a toxic workplace culture</w:t>
            </w:r>
            <w:r>
              <w:rPr>
                <w:rFonts w:ascii="Calibri" w:eastAsia="Calibri" w:hAnsi="Calibri" w:cs="Calibri"/>
                <w:i/>
                <w:color w:val="000000"/>
                <w:sz w:val="20"/>
                <w:szCs w:val="20"/>
              </w:rPr>
              <w:tab/>
              <w:t>3</w:t>
            </w:r>
          </w:hyperlink>
        </w:p>
        <w:p w14:paraId="34E074C6" w14:textId="77777777" w:rsidR="00943047" w:rsidRDefault="00000000">
          <w:pPr>
            <w:pBdr>
              <w:top w:val="nil"/>
              <w:left w:val="nil"/>
              <w:bottom w:val="nil"/>
              <w:right w:val="nil"/>
              <w:between w:val="nil"/>
            </w:pBdr>
            <w:tabs>
              <w:tab w:val="right" w:leader="dot" w:pos="9016"/>
            </w:tabs>
            <w:spacing w:before="120"/>
            <w:ind w:left="240"/>
            <w:rPr>
              <w:rFonts w:ascii="Calibri" w:eastAsia="Calibri" w:hAnsi="Calibri" w:cs="Calibri"/>
              <w:color w:val="000000"/>
            </w:rPr>
          </w:pPr>
          <w:hyperlink w:anchor="_4d34og8">
            <w:r>
              <w:rPr>
                <w:rFonts w:ascii="Calibri" w:eastAsia="Calibri" w:hAnsi="Calibri" w:cs="Calibri"/>
                <w:i/>
                <w:color w:val="000000"/>
                <w:sz w:val="20"/>
                <w:szCs w:val="20"/>
              </w:rPr>
              <w:t>Exploring the causes of toxic workplace culture</w:t>
            </w:r>
            <w:r>
              <w:rPr>
                <w:rFonts w:ascii="Calibri" w:eastAsia="Calibri" w:hAnsi="Calibri" w:cs="Calibri"/>
                <w:i/>
                <w:color w:val="000000"/>
                <w:sz w:val="20"/>
                <w:szCs w:val="20"/>
              </w:rPr>
              <w:tab/>
              <w:t>3</w:t>
            </w:r>
          </w:hyperlink>
        </w:p>
        <w:p w14:paraId="21EC9C49" w14:textId="77777777" w:rsidR="00943047" w:rsidRDefault="00000000">
          <w:pPr>
            <w:pBdr>
              <w:top w:val="nil"/>
              <w:left w:val="nil"/>
              <w:bottom w:val="nil"/>
              <w:right w:val="nil"/>
              <w:between w:val="nil"/>
            </w:pBdr>
            <w:tabs>
              <w:tab w:val="right" w:leader="dot" w:pos="9016"/>
            </w:tabs>
            <w:spacing w:before="240" w:after="120"/>
            <w:rPr>
              <w:rFonts w:ascii="Calibri" w:eastAsia="Calibri" w:hAnsi="Calibri" w:cs="Calibri"/>
              <w:i/>
              <w:color w:val="000000"/>
              <w:sz w:val="20"/>
              <w:szCs w:val="20"/>
            </w:rPr>
          </w:pPr>
          <w:hyperlink w:anchor="_2s8eyo1">
            <w:r>
              <w:rPr>
                <w:rFonts w:ascii="Calibri" w:eastAsia="Calibri" w:hAnsi="Calibri" w:cs="Calibri"/>
                <w:b/>
                <w:color w:val="000000"/>
                <w:sz w:val="20"/>
                <w:szCs w:val="20"/>
              </w:rPr>
              <w:t>The Impact of Workplace Stress and Burnout</w:t>
            </w:r>
            <w:r>
              <w:rPr>
                <w:rFonts w:ascii="Calibri" w:eastAsia="Calibri" w:hAnsi="Calibri" w:cs="Calibri"/>
                <w:b/>
                <w:color w:val="000000"/>
                <w:sz w:val="20"/>
                <w:szCs w:val="20"/>
              </w:rPr>
              <w:tab/>
              <w:t>4</w:t>
            </w:r>
          </w:hyperlink>
        </w:p>
        <w:p w14:paraId="0D345385" w14:textId="77777777" w:rsidR="00943047" w:rsidRDefault="00000000">
          <w:pPr>
            <w:pBdr>
              <w:top w:val="nil"/>
              <w:left w:val="nil"/>
              <w:bottom w:val="nil"/>
              <w:right w:val="nil"/>
              <w:between w:val="nil"/>
            </w:pBdr>
            <w:tabs>
              <w:tab w:val="right" w:leader="dot" w:pos="9016"/>
            </w:tabs>
            <w:spacing w:before="120"/>
            <w:ind w:left="240"/>
            <w:rPr>
              <w:rFonts w:ascii="Calibri" w:eastAsia="Calibri" w:hAnsi="Calibri" w:cs="Calibri"/>
              <w:color w:val="000000"/>
            </w:rPr>
          </w:pPr>
          <w:hyperlink w:anchor="_17dp8vu">
            <w:r>
              <w:rPr>
                <w:rFonts w:ascii="Calibri" w:eastAsia="Calibri" w:hAnsi="Calibri" w:cs="Calibri"/>
                <w:i/>
                <w:color w:val="000000"/>
                <w:sz w:val="20"/>
                <w:szCs w:val="20"/>
              </w:rPr>
              <w:t>Relationship between workplace stress and burnout and a toxic workplace culture</w:t>
            </w:r>
            <w:r>
              <w:rPr>
                <w:rFonts w:ascii="Calibri" w:eastAsia="Calibri" w:hAnsi="Calibri" w:cs="Calibri"/>
                <w:i/>
                <w:color w:val="000000"/>
                <w:sz w:val="20"/>
                <w:szCs w:val="20"/>
              </w:rPr>
              <w:tab/>
              <w:t>4</w:t>
            </w:r>
          </w:hyperlink>
        </w:p>
        <w:p w14:paraId="2B74D53B" w14:textId="77777777" w:rsidR="00943047" w:rsidRDefault="00000000">
          <w:pPr>
            <w:pBdr>
              <w:top w:val="nil"/>
              <w:left w:val="nil"/>
              <w:bottom w:val="nil"/>
              <w:right w:val="nil"/>
              <w:between w:val="nil"/>
            </w:pBdr>
            <w:tabs>
              <w:tab w:val="right" w:leader="dot" w:pos="9016"/>
            </w:tabs>
            <w:spacing w:before="120"/>
            <w:ind w:left="240"/>
            <w:rPr>
              <w:rFonts w:ascii="Calibri" w:eastAsia="Calibri" w:hAnsi="Calibri" w:cs="Calibri"/>
              <w:color w:val="000000"/>
            </w:rPr>
          </w:pPr>
          <w:hyperlink w:anchor="_3rdcrjn">
            <w:r>
              <w:rPr>
                <w:rFonts w:ascii="Calibri" w:eastAsia="Calibri" w:hAnsi="Calibri" w:cs="Calibri"/>
                <w:i/>
                <w:color w:val="000000"/>
                <w:sz w:val="20"/>
                <w:szCs w:val="20"/>
              </w:rPr>
              <w:t>Negative impact of workplace stress and burnout</w:t>
            </w:r>
            <w:r>
              <w:rPr>
                <w:rFonts w:ascii="Calibri" w:eastAsia="Calibri" w:hAnsi="Calibri" w:cs="Calibri"/>
                <w:i/>
                <w:color w:val="000000"/>
                <w:sz w:val="20"/>
                <w:szCs w:val="20"/>
              </w:rPr>
              <w:tab/>
              <w:t>4</w:t>
            </w:r>
          </w:hyperlink>
        </w:p>
        <w:p w14:paraId="3C250FF3" w14:textId="77777777" w:rsidR="00943047" w:rsidRDefault="00000000">
          <w:pPr>
            <w:pBdr>
              <w:top w:val="nil"/>
              <w:left w:val="nil"/>
              <w:bottom w:val="nil"/>
              <w:right w:val="nil"/>
              <w:between w:val="nil"/>
            </w:pBdr>
            <w:tabs>
              <w:tab w:val="right" w:leader="dot" w:pos="9016"/>
            </w:tabs>
            <w:spacing w:before="120"/>
            <w:ind w:left="240"/>
            <w:rPr>
              <w:rFonts w:ascii="Calibri" w:eastAsia="Calibri" w:hAnsi="Calibri" w:cs="Calibri"/>
              <w:color w:val="000000"/>
            </w:rPr>
          </w:pPr>
          <w:hyperlink w:anchor="_26in1rg">
            <w:r>
              <w:rPr>
                <w:rFonts w:ascii="Calibri" w:eastAsia="Calibri" w:hAnsi="Calibri" w:cs="Calibri"/>
                <w:i/>
                <w:color w:val="000000"/>
                <w:sz w:val="20"/>
                <w:szCs w:val="20"/>
              </w:rPr>
              <w:t>Potential consequences for the organisation</w:t>
            </w:r>
            <w:r>
              <w:rPr>
                <w:rFonts w:ascii="Calibri" w:eastAsia="Calibri" w:hAnsi="Calibri" w:cs="Calibri"/>
                <w:i/>
                <w:color w:val="000000"/>
                <w:sz w:val="20"/>
                <w:szCs w:val="20"/>
              </w:rPr>
              <w:tab/>
              <w:t>4</w:t>
            </w:r>
          </w:hyperlink>
        </w:p>
        <w:p w14:paraId="74E1BD1C" w14:textId="77777777" w:rsidR="00943047" w:rsidRDefault="00000000">
          <w:pPr>
            <w:pBdr>
              <w:top w:val="nil"/>
              <w:left w:val="nil"/>
              <w:bottom w:val="nil"/>
              <w:right w:val="nil"/>
              <w:between w:val="nil"/>
            </w:pBdr>
            <w:tabs>
              <w:tab w:val="right" w:leader="dot" w:pos="9016"/>
            </w:tabs>
            <w:spacing w:before="240" w:after="120"/>
            <w:rPr>
              <w:rFonts w:ascii="Calibri" w:eastAsia="Calibri" w:hAnsi="Calibri" w:cs="Calibri"/>
              <w:i/>
              <w:color w:val="000000"/>
              <w:sz w:val="20"/>
              <w:szCs w:val="20"/>
            </w:rPr>
          </w:pPr>
          <w:hyperlink w:anchor="_lnxbz9">
            <w:r>
              <w:rPr>
                <w:rFonts w:ascii="Calibri" w:eastAsia="Calibri" w:hAnsi="Calibri" w:cs="Calibri"/>
                <w:b/>
                <w:color w:val="000000"/>
                <w:sz w:val="20"/>
                <w:szCs w:val="20"/>
              </w:rPr>
              <w:t>Addressing a Toxic Workplace Culture</w:t>
            </w:r>
            <w:r>
              <w:rPr>
                <w:rFonts w:ascii="Calibri" w:eastAsia="Calibri" w:hAnsi="Calibri" w:cs="Calibri"/>
                <w:b/>
                <w:color w:val="000000"/>
                <w:sz w:val="20"/>
                <w:szCs w:val="20"/>
              </w:rPr>
              <w:tab/>
              <w:t>6</w:t>
            </w:r>
          </w:hyperlink>
        </w:p>
        <w:p w14:paraId="1320C13A" w14:textId="77777777" w:rsidR="00943047" w:rsidRDefault="00000000">
          <w:pPr>
            <w:pBdr>
              <w:top w:val="nil"/>
              <w:left w:val="nil"/>
              <w:bottom w:val="nil"/>
              <w:right w:val="nil"/>
              <w:between w:val="nil"/>
            </w:pBdr>
            <w:tabs>
              <w:tab w:val="right" w:leader="dot" w:pos="9016"/>
            </w:tabs>
            <w:spacing w:before="120"/>
            <w:ind w:left="240"/>
            <w:rPr>
              <w:rFonts w:ascii="Calibri" w:eastAsia="Calibri" w:hAnsi="Calibri" w:cs="Calibri"/>
              <w:color w:val="000000"/>
            </w:rPr>
          </w:pPr>
          <w:hyperlink w:anchor="_35nkun2">
            <w:r>
              <w:rPr>
                <w:rFonts w:ascii="Calibri" w:eastAsia="Calibri" w:hAnsi="Calibri" w:cs="Calibri"/>
                <w:i/>
                <w:color w:val="000000"/>
                <w:sz w:val="20"/>
                <w:szCs w:val="20"/>
              </w:rPr>
              <w:t>Strategies for addressing a toxic workplace culture.</w:t>
            </w:r>
            <w:r>
              <w:rPr>
                <w:rFonts w:ascii="Calibri" w:eastAsia="Calibri" w:hAnsi="Calibri" w:cs="Calibri"/>
                <w:i/>
                <w:color w:val="000000"/>
                <w:sz w:val="20"/>
                <w:szCs w:val="20"/>
              </w:rPr>
              <w:tab/>
              <w:t>6</w:t>
            </w:r>
          </w:hyperlink>
        </w:p>
        <w:p w14:paraId="6AA190D4" w14:textId="77777777" w:rsidR="00943047" w:rsidRDefault="00000000">
          <w:pPr>
            <w:pBdr>
              <w:top w:val="nil"/>
              <w:left w:val="nil"/>
              <w:bottom w:val="nil"/>
              <w:right w:val="nil"/>
              <w:between w:val="nil"/>
            </w:pBdr>
            <w:tabs>
              <w:tab w:val="right" w:leader="dot" w:pos="9016"/>
            </w:tabs>
            <w:spacing w:before="240" w:after="120"/>
            <w:rPr>
              <w:rFonts w:ascii="Calibri" w:eastAsia="Calibri" w:hAnsi="Calibri" w:cs="Calibri"/>
              <w:i/>
              <w:color w:val="000000"/>
              <w:sz w:val="20"/>
              <w:szCs w:val="20"/>
            </w:rPr>
          </w:pPr>
          <w:hyperlink w:anchor="_1ksv4uv">
            <w:r>
              <w:rPr>
                <w:rFonts w:ascii="Calibri" w:eastAsia="Calibri" w:hAnsi="Calibri" w:cs="Calibri"/>
                <w:b/>
                <w:color w:val="000000"/>
                <w:sz w:val="20"/>
                <w:szCs w:val="20"/>
              </w:rPr>
              <w:t>Preventing Workplace Stress and Burnout</w:t>
            </w:r>
            <w:r>
              <w:rPr>
                <w:rFonts w:ascii="Calibri" w:eastAsia="Calibri" w:hAnsi="Calibri" w:cs="Calibri"/>
                <w:b/>
                <w:color w:val="000000"/>
                <w:sz w:val="20"/>
                <w:szCs w:val="20"/>
              </w:rPr>
              <w:tab/>
              <w:t>7</w:t>
            </w:r>
          </w:hyperlink>
        </w:p>
        <w:p w14:paraId="533E0F26" w14:textId="77777777" w:rsidR="00943047" w:rsidRDefault="00000000">
          <w:pPr>
            <w:pBdr>
              <w:top w:val="nil"/>
              <w:left w:val="nil"/>
              <w:bottom w:val="nil"/>
              <w:right w:val="nil"/>
              <w:between w:val="nil"/>
            </w:pBdr>
            <w:tabs>
              <w:tab w:val="right" w:leader="dot" w:pos="9016"/>
            </w:tabs>
            <w:spacing w:before="120"/>
            <w:ind w:left="240"/>
            <w:rPr>
              <w:rFonts w:ascii="Calibri" w:eastAsia="Calibri" w:hAnsi="Calibri" w:cs="Calibri"/>
              <w:color w:val="000000"/>
            </w:rPr>
          </w:pPr>
          <w:hyperlink w:anchor="_44sinio">
            <w:r>
              <w:rPr>
                <w:rFonts w:ascii="Calibri" w:eastAsia="Calibri" w:hAnsi="Calibri" w:cs="Calibri"/>
                <w:i/>
                <w:color w:val="000000"/>
                <w:sz w:val="20"/>
                <w:szCs w:val="20"/>
              </w:rPr>
              <w:t>Strategies for preventing workplace stress and burnout.</w:t>
            </w:r>
            <w:r>
              <w:rPr>
                <w:rFonts w:ascii="Calibri" w:eastAsia="Calibri" w:hAnsi="Calibri" w:cs="Calibri"/>
                <w:i/>
                <w:color w:val="000000"/>
                <w:sz w:val="20"/>
                <w:szCs w:val="20"/>
              </w:rPr>
              <w:tab/>
              <w:t>7</w:t>
            </w:r>
          </w:hyperlink>
        </w:p>
        <w:p w14:paraId="0ED8017F" w14:textId="77777777" w:rsidR="00943047" w:rsidRDefault="00000000">
          <w:pPr>
            <w:pBdr>
              <w:top w:val="nil"/>
              <w:left w:val="nil"/>
              <w:bottom w:val="nil"/>
              <w:right w:val="nil"/>
              <w:between w:val="nil"/>
            </w:pBdr>
            <w:tabs>
              <w:tab w:val="right" w:leader="dot" w:pos="9016"/>
            </w:tabs>
            <w:spacing w:before="120"/>
            <w:ind w:left="240"/>
            <w:rPr>
              <w:rFonts w:ascii="Calibri" w:eastAsia="Calibri" w:hAnsi="Calibri" w:cs="Calibri"/>
              <w:color w:val="000000"/>
            </w:rPr>
          </w:pPr>
          <w:hyperlink w:anchor="_2jxsxqh">
            <w:r>
              <w:rPr>
                <w:rFonts w:ascii="Calibri" w:eastAsia="Calibri" w:hAnsi="Calibri" w:cs="Calibri"/>
                <w:i/>
                <w:color w:val="000000"/>
                <w:sz w:val="20"/>
                <w:szCs w:val="20"/>
              </w:rPr>
              <w:t>Potential benefits of preventing workplace stress and burnout</w:t>
            </w:r>
            <w:r>
              <w:rPr>
                <w:rFonts w:ascii="Calibri" w:eastAsia="Calibri" w:hAnsi="Calibri" w:cs="Calibri"/>
                <w:i/>
                <w:color w:val="000000"/>
                <w:sz w:val="20"/>
                <w:szCs w:val="20"/>
              </w:rPr>
              <w:tab/>
              <w:t>7</w:t>
            </w:r>
          </w:hyperlink>
        </w:p>
        <w:p w14:paraId="0FBE0CB4" w14:textId="77777777" w:rsidR="00943047" w:rsidRDefault="00000000">
          <w:pPr>
            <w:pBdr>
              <w:top w:val="nil"/>
              <w:left w:val="nil"/>
              <w:bottom w:val="nil"/>
              <w:right w:val="nil"/>
              <w:between w:val="nil"/>
            </w:pBdr>
            <w:tabs>
              <w:tab w:val="right" w:leader="dot" w:pos="9016"/>
            </w:tabs>
            <w:ind w:left="480"/>
            <w:rPr>
              <w:rFonts w:ascii="Calibri" w:eastAsia="Calibri" w:hAnsi="Calibri" w:cs="Calibri"/>
              <w:color w:val="000000"/>
            </w:rPr>
          </w:pPr>
          <w:hyperlink w:anchor="_z337ya">
            <w:r>
              <w:rPr>
                <w:rFonts w:ascii="Calibri" w:eastAsia="Calibri" w:hAnsi="Calibri" w:cs="Calibri"/>
                <w:color w:val="000000"/>
                <w:sz w:val="20"/>
                <w:szCs w:val="20"/>
              </w:rPr>
              <w:t>Employee health and wellbeing improvement</w:t>
            </w:r>
            <w:r>
              <w:rPr>
                <w:rFonts w:ascii="Calibri" w:eastAsia="Calibri" w:hAnsi="Calibri" w:cs="Calibri"/>
                <w:color w:val="000000"/>
                <w:sz w:val="20"/>
                <w:szCs w:val="20"/>
              </w:rPr>
              <w:tab/>
              <w:t>7</w:t>
            </w:r>
          </w:hyperlink>
        </w:p>
        <w:p w14:paraId="08FA0546" w14:textId="77777777" w:rsidR="00943047" w:rsidRDefault="00000000">
          <w:pPr>
            <w:pBdr>
              <w:top w:val="nil"/>
              <w:left w:val="nil"/>
              <w:bottom w:val="nil"/>
              <w:right w:val="nil"/>
              <w:between w:val="nil"/>
            </w:pBdr>
            <w:tabs>
              <w:tab w:val="right" w:leader="dot" w:pos="9016"/>
            </w:tabs>
            <w:ind w:left="480"/>
            <w:rPr>
              <w:rFonts w:ascii="Calibri" w:eastAsia="Calibri" w:hAnsi="Calibri" w:cs="Calibri"/>
              <w:color w:val="000000"/>
            </w:rPr>
          </w:pPr>
          <w:hyperlink w:anchor="_3j2qqm3">
            <w:r>
              <w:rPr>
                <w:rFonts w:ascii="Calibri" w:eastAsia="Calibri" w:hAnsi="Calibri" w:cs="Calibri"/>
                <w:color w:val="000000"/>
                <w:sz w:val="20"/>
                <w:szCs w:val="20"/>
              </w:rPr>
              <w:t>Employee engagement and productivity improvement</w:t>
            </w:r>
            <w:r>
              <w:rPr>
                <w:rFonts w:ascii="Calibri" w:eastAsia="Calibri" w:hAnsi="Calibri" w:cs="Calibri"/>
                <w:color w:val="000000"/>
                <w:sz w:val="20"/>
                <w:szCs w:val="20"/>
              </w:rPr>
              <w:tab/>
              <w:t>7</w:t>
            </w:r>
          </w:hyperlink>
        </w:p>
        <w:p w14:paraId="7AA90486" w14:textId="77777777" w:rsidR="00943047" w:rsidRDefault="00000000">
          <w:pPr>
            <w:pBdr>
              <w:top w:val="nil"/>
              <w:left w:val="nil"/>
              <w:bottom w:val="nil"/>
              <w:right w:val="nil"/>
              <w:between w:val="nil"/>
            </w:pBdr>
            <w:tabs>
              <w:tab w:val="right" w:leader="dot" w:pos="9016"/>
            </w:tabs>
            <w:ind w:left="480"/>
            <w:rPr>
              <w:rFonts w:ascii="Calibri" w:eastAsia="Calibri" w:hAnsi="Calibri" w:cs="Calibri"/>
              <w:color w:val="000000"/>
            </w:rPr>
          </w:pPr>
          <w:hyperlink w:anchor="_1y810tw">
            <w:r>
              <w:rPr>
                <w:rFonts w:ascii="Calibri" w:eastAsia="Calibri" w:hAnsi="Calibri" w:cs="Calibri"/>
                <w:color w:val="000000"/>
                <w:sz w:val="20"/>
                <w:szCs w:val="20"/>
              </w:rPr>
              <w:t>Reduction in employee turnover rates</w:t>
            </w:r>
            <w:r>
              <w:rPr>
                <w:rFonts w:ascii="Calibri" w:eastAsia="Calibri" w:hAnsi="Calibri" w:cs="Calibri"/>
                <w:color w:val="000000"/>
                <w:sz w:val="20"/>
                <w:szCs w:val="20"/>
              </w:rPr>
              <w:tab/>
              <w:t>8</w:t>
            </w:r>
          </w:hyperlink>
        </w:p>
        <w:p w14:paraId="411F8E6D" w14:textId="77777777" w:rsidR="00943047" w:rsidRDefault="00000000">
          <w:pPr>
            <w:pBdr>
              <w:top w:val="nil"/>
              <w:left w:val="nil"/>
              <w:bottom w:val="nil"/>
              <w:right w:val="nil"/>
              <w:between w:val="nil"/>
            </w:pBdr>
            <w:tabs>
              <w:tab w:val="right" w:leader="dot" w:pos="9016"/>
            </w:tabs>
            <w:spacing w:before="240" w:after="120"/>
            <w:rPr>
              <w:rFonts w:ascii="Calibri" w:eastAsia="Calibri" w:hAnsi="Calibri" w:cs="Calibri"/>
              <w:i/>
              <w:color w:val="000000"/>
              <w:sz w:val="20"/>
              <w:szCs w:val="20"/>
            </w:rPr>
          </w:pPr>
          <w:hyperlink w:anchor="_4i7ojhp">
            <w:r>
              <w:rPr>
                <w:rFonts w:ascii="Calibri" w:eastAsia="Calibri" w:hAnsi="Calibri" w:cs="Calibri"/>
                <w:b/>
                <w:color w:val="000000"/>
                <w:sz w:val="20"/>
                <w:szCs w:val="20"/>
              </w:rPr>
              <w:t>Evaluating the Effectiveness of Workplace Culture Interventions</w:t>
            </w:r>
            <w:r>
              <w:rPr>
                <w:rFonts w:ascii="Calibri" w:eastAsia="Calibri" w:hAnsi="Calibri" w:cs="Calibri"/>
                <w:b/>
                <w:color w:val="000000"/>
                <w:sz w:val="20"/>
                <w:szCs w:val="20"/>
              </w:rPr>
              <w:tab/>
              <w:t>9</w:t>
            </w:r>
          </w:hyperlink>
        </w:p>
        <w:p w14:paraId="72A7CE47" w14:textId="77777777" w:rsidR="00943047" w:rsidRDefault="00000000">
          <w:pPr>
            <w:pBdr>
              <w:top w:val="nil"/>
              <w:left w:val="nil"/>
              <w:bottom w:val="nil"/>
              <w:right w:val="nil"/>
              <w:between w:val="nil"/>
            </w:pBdr>
            <w:tabs>
              <w:tab w:val="right" w:leader="dot" w:pos="9016"/>
            </w:tabs>
            <w:spacing w:before="120"/>
            <w:ind w:left="240"/>
            <w:rPr>
              <w:rFonts w:ascii="Calibri" w:eastAsia="Calibri" w:hAnsi="Calibri" w:cs="Calibri"/>
              <w:color w:val="000000"/>
            </w:rPr>
          </w:pPr>
          <w:hyperlink w:anchor="_2xcytpi">
            <w:r>
              <w:rPr>
                <w:rFonts w:ascii="Calibri" w:eastAsia="Calibri" w:hAnsi="Calibri" w:cs="Calibri"/>
                <w:i/>
                <w:color w:val="000000"/>
                <w:sz w:val="20"/>
                <w:szCs w:val="20"/>
              </w:rPr>
              <w:t>Importance of evaluating workplace culture.</w:t>
            </w:r>
            <w:r>
              <w:rPr>
                <w:rFonts w:ascii="Calibri" w:eastAsia="Calibri" w:hAnsi="Calibri" w:cs="Calibri"/>
                <w:i/>
                <w:color w:val="000000"/>
                <w:sz w:val="20"/>
                <w:szCs w:val="20"/>
              </w:rPr>
              <w:tab/>
              <w:t>9</w:t>
            </w:r>
          </w:hyperlink>
        </w:p>
        <w:p w14:paraId="2AA15C1A" w14:textId="77777777" w:rsidR="00943047" w:rsidRDefault="00000000">
          <w:pPr>
            <w:pBdr>
              <w:top w:val="nil"/>
              <w:left w:val="nil"/>
              <w:bottom w:val="nil"/>
              <w:right w:val="nil"/>
              <w:between w:val="nil"/>
            </w:pBdr>
            <w:tabs>
              <w:tab w:val="right" w:leader="dot" w:pos="9016"/>
            </w:tabs>
            <w:spacing w:before="240" w:after="120"/>
            <w:rPr>
              <w:rFonts w:ascii="Calibri" w:eastAsia="Calibri" w:hAnsi="Calibri" w:cs="Calibri"/>
              <w:i/>
              <w:color w:val="000000"/>
              <w:sz w:val="20"/>
              <w:szCs w:val="20"/>
            </w:rPr>
          </w:pPr>
          <w:hyperlink w:anchor="_1ci93xb">
            <w:r>
              <w:rPr>
                <w:rFonts w:ascii="Calibri" w:eastAsia="Calibri" w:hAnsi="Calibri" w:cs="Calibri"/>
                <w:b/>
                <w:color w:val="000000"/>
                <w:sz w:val="20"/>
                <w:szCs w:val="20"/>
              </w:rPr>
              <w:t>Conclusion</w:t>
            </w:r>
            <w:r>
              <w:rPr>
                <w:rFonts w:ascii="Calibri" w:eastAsia="Calibri" w:hAnsi="Calibri" w:cs="Calibri"/>
                <w:b/>
                <w:color w:val="000000"/>
                <w:sz w:val="20"/>
                <w:szCs w:val="20"/>
              </w:rPr>
              <w:tab/>
              <w:t>10</w:t>
            </w:r>
          </w:hyperlink>
        </w:p>
        <w:p w14:paraId="0B5710EA" w14:textId="77777777" w:rsidR="00943047" w:rsidRDefault="00000000">
          <w:pPr>
            <w:pBdr>
              <w:top w:val="nil"/>
              <w:left w:val="nil"/>
              <w:bottom w:val="nil"/>
              <w:right w:val="nil"/>
              <w:between w:val="nil"/>
            </w:pBdr>
            <w:tabs>
              <w:tab w:val="right" w:leader="dot" w:pos="9016"/>
            </w:tabs>
            <w:spacing w:before="240" w:after="120"/>
            <w:rPr>
              <w:rFonts w:ascii="Calibri" w:eastAsia="Calibri" w:hAnsi="Calibri" w:cs="Calibri"/>
              <w:i/>
              <w:color w:val="000000"/>
              <w:sz w:val="20"/>
              <w:szCs w:val="20"/>
            </w:rPr>
          </w:pPr>
          <w:hyperlink w:anchor="_3whwml4">
            <w:r>
              <w:rPr>
                <w:rFonts w:ascii="Calibri" w:eastAsia="Calibri" w:hAnsi="Calibri" w:cs="Calibri"/>
                <w:b/>
                <w:color w:val="000000"/>
                <w:sz w:val="20"/>
                <w:szCs w:val="20"/>
              </w:rPr>
              <w:t>Recommendations</w:t>
            </w:r>
            <w:r>
              <w:rPr>
                <w:rFonts w:ascii="Calibri" w:eastAsia="Calibri" w:hAnsi="Calibri" w:cs="Calibri"/>
                <w:b/>
                <w:color w:val="000000"/>
                <w:sz w:val="20"/>
                <w:szCs w:val="20"/>
              </w:rPr>
              <w:tab/>
              <w:t>10</w:t>
            </w:r>
          </w:hyperlink>
        </w:p>
        <w:p w14:paraId="26308EB7" w14:textId="77777777" w:rsidR="00943047" w:rsidRDefault="00000000">
          <w:pPr>
            <w:pBdr>
              <w:top w:val="nil"/>
              <w:left w:val="nil"/>
              <w:bottom w:val="nil"/>
              <w:right w:val="nil"/>
              <w:between w:val="nil"/>
            </w:pBdr>
            <w:tabs>
              <w:tab w:val="right" w:leader="dot" w:pos="9016"/>
            </w:tabs>
            <w:spacing w:before="240" w:after="120"/>
            <w:rPr>
              <w:rFonts w:ascii="Calibri" w:eastAsia="Calibri" w:hAnsi="Calibri" w:cs="Calibri"/>
              <w:i/>
              <w:color w:val="000000"/>
              <w:sz w:val="20"/>
              <w:szCs w:val="20"/>
            </w:rPr>
          </w:pPr>
          <w:hyperlink w:anchor="_2bn6wsx">
            <w:r>
              <w:rPr>
                <w:rFonts w:ascii="Calibri" w:eastAsia="Calibri" w:hAnsi="Calibri" w:cs="Calibri"/>
                <w:b/>
                <w:color w:val="000000"/>
                <w:sz w:val="20"/>
                <w:szCs w:val="20"/>
              </w:rPr>
              <w:t>Reference List</w:t>
            </w:r>
            <w:r>
              <w:rPr>
                <w:rFonts w:ascii="Calibri" w:eastAsia="Calibri" w:hAnsi="Calibri" w:cs="Calibri"/>
                <w:b/>
                <w:color w:val="000000"/>
                <w:sz w:val="20"/>
                <w:szCs w:val="20"/>
              </w:rPr>
              <w:tab/>
              <w:t>11</w:t>
            </w:r>
          </w:hyperlink>
        </w:p>
        <w:p w14:paraId="2FDFD4AE" w14:textId="77777777" w:rsidR="00943047" w:rsidRDefault="00000000">
          <w:pPr>
            <w:rPr>
              <w:rFonts w:ascii="Calibri" w:eastAsia="Calibri" w:hAnsi="Calibri" w:cs="Calibri"/>
            </w:rPr>
          </w:pPr>
          <w:r>
            <w:fldChar w:fldCharType="end"/>
          </w:r>
        </w:p>
      </w:sdtContent>
    </w:sdt>
    <w:p w14:paraId="38EED4A7" w14:textId="77777777" w:rsidR="00943047" w:rsidRDefault="00000000">
      <w:pPr>
        <w:pStyle w:val="Heading1"/>
      </w:pPr>
      <w:bookmarkStart w:id="1" w:name="_30j0zll" w:colFirst="0" w:colLast="0"/>
      <w:bookmarkEnd w:id="1"/>
      <w:r>
        <w:lastRenderedPageBreak/>
        <w:t>Introduction</w:t>
      </w:r>
    </w:p>
    <w:p w14:paraId="3D60E269" w14:textId="77777777" w:rsidR="00943047" w:rsidRDefault="00000000">
      <w:pPr>
        <w:pStyle w:val="Heading3"/>
      </w:pPr>
      <w:bookmarkStart w:id="2" w:name="_qsh70q" w:colFirst="0" w:colLast="0"/>
      <w:bookmarkEnd w:id="2"/>
      <w:r>
        <w:t>Overview of the problem of a toxic workplace culture</w:t>
      </w:r>
    </w:p>
    <w:p w14:paraId="48DAA485" w14:textId="77777777" w:rsidR="00943047" w:rsidRDefault="00000000">
      <w:pPr>
        <w:rPr>
          <w:rFonts w:ascii="Calibri" w:eastAsia="Calibri" w:hAnsi="Calibri" w:cs="Calibri"/>
        </w:rPr>
      </w:pPr>
      <w:r>
        <w:rPr>
          <w:rFonts w:ascii="Calibri" w:eastAsia="Calibri" w:hAnsi="Calibri" w:cs="Calibri"/>
        </w:rPr>
        <w:t>According to Anjum et al. (2018), toxic workplace cultures characterized by high levels of stress and burnout can lead to decreased job productivity. Such environments may be caused by poor management practices, lack of communication, and unrealistic workload expectations. The negative impact of toxic workplace cultures on employee well-being can also contribute to increased employee turnover rates and decreased morale. Therefore, addressing toxic workplace cultures is crucial to improving job productivity and employee satisfaction.</w:t>
      </w:r>
    </w:p>
    <w:p w14:paraId="06E65C02" w14:textId="77777777" w:rsidR="00943047" w:rsidRDefault="00000000">
      <w:pPr>
        <w:pStyle w:val="Heading2"/>
      </w:pPr>
      <w:bookmarkStart w:id="3" w:name="_3as4poj" w:colFirst="0" w:colLast="0"/>
      <w:bookmarkEnd w:id="3"/>
      <w:r>
        <w:t>Importance of addressing the issue</w:t>
      </w:r>
    </w:p>
    <w:p w14:paraId="4E647C76" w14:textId="77777777" w:rsidR="00943047" w:rsidRDefault="00000000">
      <w:pPr>
        <w:rPr>
          <w:rFonts w:ascii="Calibri" w:eastAsia="Calibri" w:hAnsi="Calibri" w:cs="Calibri"/>
        </w:rPr>
      </w:pPr>
      <w:r>
        <w:rPr>
          <w:rFonts w:ascii="Calibri" w:eastAsia="Calibri" w:hAnsi="Calibri" w:cs="Calibri"/>
        </w:rPr>
        <w:t>Koropets (2019) argues that addressing toxic workplace cultures is crucial for improving employee morale and reducing turnover rates. Toxic workplace environments can lead to decreased employee engagement, productivity, and job satisfaction. Furthermore, high levels of stress and burnout can contribute to increased absenteeism and employee turnover rates, resulting in significant costs for the organisation. Therefore, management solutions that address the root causes of toxic workplace cultures and promote employee well-being are essential for improving employee retention and organisational performance.</w:t>
      </w:r>
    </w:p>
    <w:p w14:paraId="00079C81" w14:textId="77777777" w:rsidR="00943047" w:rsidRDefault="00000000">
      <w:pPr>
        <w:pStyle w:val="Heading3"/>
      </w:pPr>
      <w:bookmarkStart w:id="4" w:name="_1pxezwc" w:colFirst="0" w:colLast="0"/>
      <w:bookmarkEnd w:id="4"/>
      <w:r>
        <w:t>Purpose of the report</w:t>
      </w:r>
    </w:p>
    <w:p w14:paraId="3F0BA7FA" w14:textId="77777777" w:rsidR="00943047" w:rsidRDefault="00000000">
      <w:pPr>
        <w:rPr>
          <w:rFonts w:ascii="Calibri" w:eastAsia="Calibri" w:hAnsi="Calibri" w:cs="Calibri"/>
        </w:rPr>
      </w:pPr>
      <w:r>
        <w:rPr>
          <w:rFonts w:ascii="Calibri" w:eastAsia="Calibri" w:hAnsi="Calibri" w:cs="Calibri"/>
        </w:rPr>
        <w:t>The primary aim of this report is to examine the negative impact of toxic workplace cultures on employee well-being and organisational performance. Additionally, this report seeks to identify effective strategies for addressing toxic workplace cultures, preventing workplace stress and burnout, and evaluating the effectiveness of workplace culture interventions. Through a comprehensive analysis of relevant literature and empirical studies, this report aims to provide evidence-based recommendations for promoting employee well-being and improving organisational outcomes.</w:t>
      </w:r>
    </w:p>
    <w:p w14:paraId="3D37F49E" w14:textId="77777777" w:rsidR="00943047" w:rsidRDefault="00943047">
      <w:pPr>
        <w:rPr>
          <w:rFonts w:ascii="Calibri" w:eastAsia="Calibri" w:hAnsi="Calibri" w:cs="Calibri"/>
        </w:rPr>
      </w:pPr>
    </w:p>
    <w:p w14:paraId="26B02DDD" w14:textId="77777777" w:rsidR="00943047" w:rsidRDefault="00943047">
      <w:pPr>
        <w:rPr>
          <w:rFonts w:ascii="Calibri" w:eastAsia="Calibri" w:hAnsi="Calibri" w:cs="Calibri"/>
        </w:rPr>
      </w:pPr>
    </w:p>
    <w:p w14:paraId="4FDC304E" w14:textId="77777777" w:rsidR="00943047" w:rsidRDefault="00000000">
      <w:pPr>
        <w:rPr>
          <w:rFonts w:ascii="Calibri" w:eastAsia="Calibri" w:hAnsi="Calibri" w:cs="Calibri"/>
          <w:b/>
          <w:sz w:val="28"/>
          <w:szCs w:val="28"/>
        </w:rPr>
      </w:pPr>
      <w:r>
        <w:br w:type="page"/>
      </w:r>
    </w:p>
    <w:p w14:paraId="4D3602F1" w14:textId="77777777" w:rsidR="00943047" w:rsidRDefault="00000000">
      <w:pPr>
        <w:pStyle w:val="Heading1"/>
      </w:pPr>
      <w:bookmarkStart w:id="5" w:name="_49x2ik5" w:colFirst="0" w:colLast="0"/>
      <w:bookmarkEnd w:id="5"/>
      <w:r>
        <w:lastRenderedPageBreak/>
        <w:t>Defining a Toxic Workplace Culture</w:t>
      </w:r>
    </w:p>
    <w:p w14:paraId="2C1BB2E4" w14:textId="77777777" w:rsidR="00943047" w:rsidRDefault="00000000">
      <w:pPr>
        <w:pStyle w:val="Heading2"/>
      </w:pPr>
      <w:bookmarkStart w:id="6" w:name="_2p2csry" w:colFirst="0" w:colLast="0"/>
      <w:bookmarkEnd w:id="6"/>
      <w:r>
        <w:t>Toxic workplace culture and its impact on employees and the organisation</w:t>
      </w:r>
    </w:p>
    <w:p w14:paraId="3DAA986A" w14:textId="77777777" w:rsidR="00943047" w:rsidRDefault="00000000">
      <w:pPr>
        <w:rPr>
          <w:rFonts w:ascii="Calibri" w:eastAsia="Calibri" w:hAnsi="Calibri" w:cs="Calibri"/>
        </w:rPr>
      </w:pPr>
      <w:r>
        <w:rPr>
          <w:rFonts w:ascii="Calibri" w:eastAsia="Calibri" w:hAnsi="Calibri" w:cs="Calibri"/>
        </w:rPr>
        <w:t>Rasool et al. (2021) define toxic workplace culture as a negative work environment that hinders employee well-being and job performance. Toxic workplaces can be characterised by abusive leadership, unclear expectations, lack of support, and poor communication. Such environments can lead to high levels of employee stress and burnout, which can negatively impact job satisfaction, employee engagement, and organisational performance. The negative impact of toxic workplace cultures can also extend beyond individual employees, potentially affecting team dynamics, customer satisfaction, and the organisation's reputation. Therefore, it is essential for organisations to address toxic workplace cultures to promote employee well-being and enhance organisational outcomes.</w:t>
      </w:r>
    </w:p>
    <w:p w14:paraId="54A5EE34" w14:textId="77777777" w:rsidR="00943047" w:rsidRDefault="00943047">
      <w:pPr>
        <w:rPr>
          <w:rFonts w:ascii="Calibri" w:eastAsia="Calibri" w:hAnsi="Calibri" w:cs="Calibri"/>
        </w:rPr>
      </w:pPr>
    </w:p>
    <w:p w14:paraId="7CB0169B" w14:textId="77777777" w:rsidR="00943047" w:rsidRDefault="00000000">
      <w:pPr>
        <w:pStyle w:val="Heading2"/>
      </w:pPr>
      <w:bookmarkStart w:id="7" w:name="_147n2zr" w:colFirst="0" w:colLast="0"/>
      <w:bookmarkEnd w:id="7"/>
      <w:r>
        <w:t>Key characteristics and symptoms of a toxic workplace culture</w:t>
      </w:r>
    </w:p>
    <w:p w14:paraId="0A6030B9" w14:textId="77777777" w:rsidR="00943047" w:rsidRDefault="00000000">
      <w:pPr>
        <w:rPr>
          <w:rFonts w:ascii="Calibri" w:eastAsia="Calibri" w:hAnsi="Calibri" w:cs="Calibri"/>
        </w:rPr>
      </w:pPr>
      <w:r>
        <w:rPr>
          <w:rFonts w:ascii="Calibri" w:eastAsia="Calibri" w:hAnsi="Calibri" w:cs="Calibri"/>
        </w:rPr>
        <w:t>Tavanti (2011) identifies key characteristics and symptoms of a toxic workplace culture in the context of managing toxic leaders. According to the author, toxic leaders often exhibit patterns of behaviour such as bullying, micromanagement, and narcissism, which can create a toxic workplace environment. Symptoms of a toxic workplace culture may include high levels of employee turnover, absenteeism, and low morale. Tavanti suggests that addressing toxic leaders and their behaviours is crucial for mitigating the negative impact of toxic workplace cultures and promoting a healthy work environment.</w:t>
      </w:r>
    </w:p>
    <w:p w14:paraId="2739D8CA" w14:textId="77777777" w:rsidR="00943047" w:rsidRDefault="00943047">
      <w:pPr>
        <w:rPr>
          <w:rFonts w:ascii="Calibri" w:eastAsia="Calibri" w:hAnsi="Calibri" w:cs="Calibri"/>
        </w:rPr>
      </w:pPr>
    </w:p>
    <w:p w14:paraId="713E7DF8" w14:textId="77777777" w:rsidR="00943047" w:rsidRDefault="00000000">
      <w:pPr>
        <w:pStyle w:val="Heading2"/>
      </w:pPr>
      <w:bookmarkStart w:id="8" w:name="_3o7alnk" w:colFirst="0" w:colLast="0"/>
      <w:bookmarkEnd w:id="8"/>
      <w:r>
        <w:t>Exploring the causes of toxic workplace culture</w:t>
      </w:r>
    </w:p>
    <w:p w14:paraId="057382F7" w14:textId="77777777" w:rsidR="00943047" w:rsidRDefault="00000000">
      <w:pPr>
        <w:rPr>
          <w:rFonts w:ascii="Calibri" w:eastAsia="Calibri" w:hAnsi="Calibri" w:cs="Calibri"/>
        </w:rPr>
      </w:pPr>
      <w:r>
        <w:rPr>
          <w:rFonts w:ascii="Calibri" w:eastAsia="Calibri" w:hAnsi="Calibri" w:cs="Calibri"/>
        </w:rPr>
        <w:t xml:space="preserve">Manolchev et al. (2021) argue that poor management practices are a key contributor to toxic workplace cultures. According to the authors, a lack of compassion and empathy on the part of managers can lead to feelings of isolation, burnout, and resentment among employees. Additionally, Garrick and Buck (2022) highlight the role of organizational culture in creating toxic workplaces, noting that cultures that value secrecy, hierarchy, and conformity can foster environments that discourage open communication and create power imbalances between employees and management. Therefore, addressing the root causes of toxic workplace cultures, including poor management practices and cultural norms that </w:t>
      </w:r>
      <w:r>
        <w:rPr>
          <w:rFonts w:ascii="Calibri" w:eastAsia="Calibri" w:hAnsi="Calibri" w:cs="Calibri"/>
        </w:rPr>
        <w:lastRenderedPageBreak/>
        <w:t>promote unhealthy behaviours, is essential for promoting employee well-being and organisational success.</w:t>
      </w:r>
    </w:p>
    <w:p w14:paraId="3B73F88D" w14:textId="77777777" w:rsidR="00943047" w:rsidRDefault="00943047">
      <w:pPr>
        <w:rPr>
          <w:rFonts w:ascii="Calibri" w:eastAsia="Calibri" w:hAnsi="Calibri" w:cs="Calibri"/>
        </w:rPr>
      </w:pPr>
    </w:p>
    <w:p w14:paraId="6B130340" w14:textId="77777777" w:rsidR="00943047" w:rsidRDefault="00943047">
      <w:pPr>
        <w:rPr>
          <w:rFonts w:ascii="Calibri" w:eastAsia="Calibri" w:hAnsi="Calibri" w:cs="Calibri"/>
          <w:sz w:val="28"/>
          <w:szCs w:val="28"/>
        </w:rPr>
      </w:pPr>
    </w:p>
    <w:p w14:paraId="537099C5" w14:textId="77777777" w:rsidR="00943047" w:rsidRDefault="00000000">
      <w:pPr>
        <w:pStyle w:val="Heading1"/>
      </w:pPr>
      <w:bookmarkStart w:id="9" w:name="_23ckvvd" w:colFirst="0" w:colLast="0"/>
      <w:bookmarkEnd w:id="9"/>
      <w:r>
        <w:t xml:space="preserve">The Impact of Workplace Stress and Burnout </w:t>
      </w:r>
    </w:p>
    <w:p w14:paraId="21C80D95" w14:textId="77777777" w:rsidR="00943047" w:rsidRDefault="00000000">
      <w:pPr>
        <w:pStyle w:val="Heading2"/>
      </w:pPr>
      <w:bookmarkStart w:id="10" w:name="_ihv636" w:colFirst="0" w:colLast="0"/>
      <w:bookmarkEnd w:id="10"/>
      <w:r>
        <w:t>Relationship between workplace stress and burnout and a toxic workplace culture</w:t>
      </w:r>
    </w:p>
    <w:p w14:paraId="12BDE001" w14:textId="77777777" w:rsidR="00943047" w:rsidRDefault="00000000">
      <w:pPr>
        <w:rPr>
          <w:rFonts w:ascii="Calibri" w:eastAsia="Calibri" w:hAnsi="Calibri" w:cs="Calibri"/>
        </w:rPr>
      </w:pPr>
      <w:r>
        <w:rPr>
          <w:rFonts w:ascii="Calibri" w:eastAsia="Calibri" w:hAnsi="Calibri" w:cs="Calibri"/>
        </w:rPr>
        <w:t>Wang et al. (2020) examined the relationships between a toxic workplace environment, workplace stress, and project success, with the moderating effect of organizational support. The authors found that a toxic workplace environment and workplace stress were negatively related to project success, while organizational support had a positive moderating effect on these relationships. Specifically, higher levels of organizational support were found to mitigate the negative impact of workplace stress and toxic workplace cultures on project success. The findings suggest that promoting a positive work environment that values employee well-being and provides adequate organizational support can help to mitigate the negative effects of workplace stress and toxic workplace cultures on project success.</w:t>
      </w:r>
    </w:p>
    <w:p w14:paraId="194735CC" w14:textId="77777777" w:rsidR="00943047" w:rsidRDefault="00943047">
      <w:pPr>
        <w:rPr>
          <w:rFonts w:ascii="Calibri" w:eastAsia="Calibri" w:hAnsi="Calibri" w:cs="Calibri"/>
        </w:rPr>
      </w:pPr>
    </w:p>
    <w:p w14:paraId="5BE785C2" w14:textId="77777777" w:rsidR="00943047" w:rsidRDefault="00000000">
      <w:pPr>
        <w:pStyle w:val="Heading2"/>
      </w:pPr>
      <w:bookmarkStart w:id="11" w:name="_32hioqz" w:colFirst="0" w:colLast="0"/>
      <w:bookmarkEnd w:id="11"/>
      <w:r>
        <w:t>Negative impact of workplace stress and burnout</w:t>
      </w:r>
    </w:p>
    <w:p w14:paraId="5C035B96" w14:textId="77777777" w:rsidR="00943047" w:rsidRDefault="00000000">
      <w:pPr>
        <w:rPr>
          <w:rFonts w:ascii="Calibri" w:eastAsia="Calibri" w:hAnsi="Calibri" w:cs="Calibri"/>
        </w:rPr>
      </w:pPr>
      <w:r>
        <w:rPr>
          <w:rFonts w:ascii="Calibri" w:eastAsia="Calibri" w:hAnsi="Calibri" w:cs="Calibri"/>
        </w:rPr>
        <w:t>Ferreira et al. (2019) conducted a study to analyse the negative impact of workplace stress and burnout on employee health, productivity, and engagement. The authors found that daily negative affect and emotional exhaustion were negatively associated with work engagement and productivity, while also increasing the likelihood of presenteeism. Presenteeism, or being physically present at work but not fully functioning due to illness or stress, can lead to decreased productivity, increased errors, and higher risk of accidents. Moreover, the study found that workplace stress and burnout can negatively impact employee health, leading to physical and mental health problems. The findings emphasise the importance of addressing workplace stress and burnout to improve employee health, engagement, and productivity.</w:t>
      </w:r>
    </w:p>
    <w:p w14:paraId="07DD69DB" w14:textId="77777777" w:rsidR="00943047" w:rsidRDefault="00943047">
      <w:pPr>
        <w:rPr>
          <w:rFonts w:ascii="Calibri" w:eastAsia="Calibri" w:hAnsi="Calibri" w:cs="Calibri"/>
        </w:rPr>
      </w:pPr>
    </w:p>
    <w:p w14:paraId="54329A4C" w14:textId="77777777" w:rsidR="00943047" w:rsidRDefault="00000000">
      <w:pPr>
        <w:pStyle w:val="Heading2"/>
      </w:pPr>
      <w:bookmarkStart w:id="12" w:name="_1hmsyys" w:colFirst="0" w:colLast="0"/>
      <w:bookmarkEnd w:id="12"/>
      <w:r>
        <w:t>Potential consequences for the organisation</w:t>
      </w:r>
    </w:p>
    <w:p w14:paraId="3456481A" w14:textId="77777777" w:rsidR="00943047" w:rsidRDefault="00000000">
      <w:pPr>
        <w:rPr>
          <w:rFonts w:ascii="Calibri" w:eastAsia="Calibri" w:hAnsi="Calibri" w:cs="Calibri"/>
        </w:rPr>
      </w:pPr>
      <w:r>
        <w:rPr>
          <w:rFonts w:ascii="Calibri" w:eastAsia="Calibri" w:hAnsi="Calibri" w:cs="Calibri"/>
        </w:rPr>
        <w:lastRenderedPageBreak/>
        <w:t>A toxic workplace environment can contribute to the development of depression among employees, leading to decreased job satisfaction, motivation, and productivity. Furthermore, employees who experience high levels of workplace stress and burnout may be more likely to leave the organisation, resulting in higher employee turnover rates and increased recruitment and training costs for the organisation. Therefore, addressing the root causes of toxic workplace cultures, such as poor management practices and unhealthy work environments, is essential for promoting employee well-being and organisational success, according to Rasool et al. (2019).</w:t>
      </w:r>
    </w:p>
    <w:p w14:paraId="6D18D5E6" w14:textId="77777777" w:rsidR="00943047" w:rsidRDefault="00943047">
      <w:pPr>
        <w:rPr>
          <w:rFonts w:ascii="Calibri" w:eastAsia="Calibri" w:hAnsi="Calibri" w:cs="Calibri"/>
        </w:rPr>
      </w:pPr>
    </w:p>
    <w:p w14:paraId="6CD2CB31" w14:textId="77777777" w:rsidR="00943047" w:rsidRDefault="00943047">
      <w:pPr>
        <w:rPr>
          <w:rFonts w:ascii="Calibri" w:eastAsia="Calibri" w:hAnsi="Calibri" w:cs="Calibri"/>
        </w:rPr>
      </w:pPr>
    </w:p>
    <w:p w14:paraId="6DCA13B4" w14:textId="77777777" w:rsidR="00943047" w:rsidRDefault="00000000">
      <w:pPr>
        <w:rPr>
          <w:rFonts w:ascii="Calibri" w:eastAsia="Calibri" w:hAnsi="Calibri" w:cs="Calibri"/>
          <w:sz w:val="28"/>
          <w:szCs w:val="28"/>
        </w:rPr>
      </w:pPr>
      <w:r>
        <w:br w:type="page"/>
      </w:r>
    </w:p>
    <w:p w14:paraId="7C62D8CC" w14:textId="77777777" w:rsidR="00943047" w:rsidRDefault="00000000">
      <w:pPr>
        <w:pStyle w:val="Heading1"/>
      </w:pPr>
      <w:bookmarkStart w:id="13" w:name="_41mghml" w:colFirst="0" w:colLast="0"/>
      <w:bookmarkEnd w:id="13"/>
      <w:r>
        <w:lastRenderedPageBreak/>
        <w:t xml:space="preserve">Addressing a Toxic Workplace Culture </w:t>
      </w:r>
    </w:p>
    <w:p w14:paraId="7724066A" w14:textId="77777777" w:rsidR="00943047" w:rsidRDefault="00000000">
      <w:pPr>
        <w:pStyle w:val="Heading2"/>
      </w:pPr>
      <w:bookmarkStart w:id="14" w:name="_2grqrue" w:colFirst="0" w:colLast="0"/>
      <w:bookmarkEnd w:id="14"/>
      <w:r>
        <w:t>Strategies for addressing a toxic workplace culture.</w:t>
      </w:r>
    </w:p>
    <w:p w14:paraId="3C16F789" w14:textId="77777777" w:rsidR="00943047" w:rsidRDefault="00000000">
      <w:pPr>
        <w:rPr>
          <w:rFonts w:ascii="Calibri" w:eastAsia="Calibri" w:hAnsi="Calibri" w:cs="Calibri"/>
        </w:rPr>
      </w:pPr>
      <w:r>
        <w:rPr>
          <w:rFonts w:ascii="Calibri" w:eastAsia="Calibri" w:hAnsi="Calibri" w:cs="Calibri"/>
        </w:rPr>
        <w:t>Toxic workplace cultures are damaging to employee health, morale, and organisational success. Addressing these cultures requires a multifaceted approach that includes managing toxic personalities, promoting positive workplace behaviours, and addressing the underlying causes of the culture.</w:t>
      </w:r>
    </w:p>
    <w:p w14:paraId="58231351" w14:textId="77777777" w:rsidR="00943047" w:rsidRDefault="00000000">
      <w:pPr>
        <w:rPr>
          <w:rFonts w:ascii="Calibri" w:eastAsia="Calibri" w:hAnsi="Calibri" w:cs="Calibri"/>
        </w:rPr>
      </w:pPr>
      <w:r>
        <w:rPr>
          <w:rFonts w:ascii="Calibri" w:eastAsia="Calibri" w:hAnsi="Calibri" w:cs="Calibri"/>
        </w:rPr>
        <w:t>Clear code of conduct</w:t>
      </w:r>
    </w:p>
    <w:p w14:paraId="54A8EE61" w14:textId="77777777" w:rsidR="00943047" w:rsidRDefault="00000000">
      <w:pPr>
        <w:rPr>
          <w:rFonts w:ascii="Calibri" w:eastAsia="Calibri" w:hAnsi="Calibri" w:cs="Calibri"/>
        </w:rPr>
      </w:pPr>
      <w:r>
        <w:rPr>
          <w:rFonts w:ascii="Calibri" w:eastAsia="Calibri" w:hAnsi="Calibri" w:cs="Calibri"/>
        </w:rPr>
        <w:t>Kusy and Holloway (2009) propose several strategies for managing toxic personalities and their systems of power. One such strategy is to develop a clear code of conduct that explicitly prohibits toxic behaviour and to provide regular conflict resolution training to employees. Managers and supervisors should also receive training on how to recognise and address toxic behaviours and should be held accountable for addressing these behaviours promptly. It is also important to ensure that communication is open and transparent, expectations are clear, and employee well-being is prioritised.</w:t>
      </w:r>
    </w:p>
    <w:p w14:paraId="6FCDE4EA" w14:textId="77777777" w:rsidR="00943047" w:rsidRDefault="00000000">
      <w:pPr>
        <w:rPr>
          <w:rFonts w:ascii="Calibri" w:eastAsia="Calibri" w:hAnsi="Calibri" w:cs="Calibri"/>
        </w:rPr>
      </w:pPr>
      <w:r>
        <w:rPr>
          <w:rFonts w:ascii="Calibri" w:eastAsia="Calibri" w:hAnsi="Calibri" w:cs="Calibri"/>
        </w:rPr>
        <w:t>Positive workplace behaviours and Positive Behaviour</w:t>
      </w:r>
    </w:p>
    <w:p w14:paraId="48D3D181" w14:textId="77777777" w:rsidR="00943047" w:rsidRDefault="00000000">
      <w:pPr>
        <w:rPr>
          <w:rFonts w:ascii="Calibri" w:eastAsia="Calibri" w:hAnsi="Calibri" w:cs="Calibri"/>
        </w:rPr>
      </w:pPr>
      <w:r>
        <w:rPr>
          <w:rFonts w:ascii="Calibri" w:eastAsia="Calibri" w:hAnsi="Calibri" w:cs="Calibri"/>
        </w:rPr>
        <w:t>Promoting positive workplace behaviours is another key strategy for combating toxic workplace environments. Anjum and Ming (2018) suggest that organisations can achieve this by fostering a culture of respect, collaboration, and open communication. Providing employees with training and support can also help to promote positive behaviours and reduce stress and burnout. For example, providing employees with the tools and resources they need to manage their workloads effectively can reduce stress and promote productivity.</w:t>
      </w:r>
    </w:p>
    <w:p w14:paraId="01191C4E" w14:textId="77777777" w:rsidR="00943047" w:rsidRDefault="00000000">
      <w:pPr>
        <w:rPr>
          <w:rFonts w:ascii="Calibri" w:eastAsia="Calibri" w:hAnsi="Calibri" w:cs="Calibri"/>
        </w:rPr>
      </w:pPr>
      <w:r>
        <w:rPr>
          <w:rFonts w:ascii="Calibri" w:eastAsia="Calibri" w:hAnsi="Calibri" w:cs="Calibri"/>
        </w:rPr>
        <w:t>Finally, it is essential to address the root causes of toxic workplace cultures. This may include poor management practices, cultural norms that promote unhealthy behaviours, and inadequate support for employees. A comprehensive approach that addresses both the symptoms and underlying causes of toxic workplace cultures is essential for promoting employee well-being and organisational success.</w:t>
      </w:r>
    </w:p>
    <w:p w14:paraId="3B5F9907" w14:textId="77777777" w:rsidR="00943047" w:rsidRDefault="00943047">
      <w:pPr>
        <w:rPr>
          <w:rFonts w:ascii="Calibri" w:eastAsia="Calibri" w:hAnsi="Calibri" w:cs="Calibri"/>
        </w:rPr>
      </w:pPr>
    </w:p>
    <w:p w14:paraId="5D7E8054" w14:textId="77777777" w:rsidR="00943047" w:rsidRDefault="00000000">
      <w:pPr>
        <w:rPr>
          <w:rFonts w:ascii="Calibri" w:eastAsia="Calibri" w:hAnsi="Calibri" w:cs="Calibri"/>
          <w:sz w:val="28"/>
          <w:szCs w:val="28"/>
        </w:rPr>
      </w:pPr>
      <w:r>
        <w:br w:type="page"/>
      </w:r>
    </w:p>
    <w:p w14:paraId="590DF333" w14:textId="77777777" w:rsidR="00943047" w:rsidRDefault="00000000">
      <w:pPr>
        <w:pStyle w:val="Heading1"/>
      </w:pPr>
      <w:bookmarkStart w:id="15" w:name="_vx1227" w:colFirst="0" w:colLast="0"/>
      <w:bookmarkEnd w:id="15"/>
      <w:r>
        <w:lastRenderedPageBreak/>
        <w:t xml:space="preserve">Preventing Workplace Stress and Burnout </w:t>
      </w:r>
    </w:p>
    <w:p w14:paraId="0737DFD2" w14:textId="77777777" w:rsidR="00943047" w:rsidRDefault="00000000">
      <w:pPr>
        <w:pStyle w:val="Heading2"/>
      </w:pPr>
      <w:bookmarkStart w:id="16" w:name="_3fwokq0" w:colFirst="0" w:colLast="0"/>
      <w:bookmarkEnd w:id="16"/>
      <w:r>
        <w:t>Strategies for preventing workplace stress and burnout.</w:t>
      </w:r>
    </w:p>
    <w:p w14:paraId="05922B2C" w14:textId="77777777" w:rsidR="00943047" w:rsidRDefault="00000000">
      <w:pPr>
        <w:rPr>
          <w:rFonts w:ascii="Calibri" w:eastAsia="Calibri" w:hAnsi="Calibri" w:cs="Calibri"/>
        </w:rPr>
      </w:pPr>
      <w:r>
        <w:rPr>
          <w:rFonts w:ascii="Calibri" w:eastAsia="Calibri" w:hAnsi="Calibri" w:cs="Calibri"/>
        </w:rPr>
        <w:t>Preventing workplace stress and burnout is critical for promoting employee well-being and maintaining a healthy work environment. The sources "Prevention of burnout: New perspectives" by Maslach and Goldberg (1998) and "Management Strategies to Avoid Professional Burnout" by Grebski and Mazur (2022) offer valuable insights into strategies for preventing workplace stress and burnout.</w:t>
      </w:r>
    </w:p>
    <w:p w14:paraId="538EED15" w14:textId="77777777" w:rsidR="00943047" w:rsidRDefault="00000000">
      <w:pPr>
        <w:rPr>
          <w:rFonts w:ascii="Calibri" w:eastAsia="Calibri" w:hAnsi="Calibri" w:cs="Calibri"/>
        </w:rPr>
      </w:pPr>
      <w:r>
        <w:rPr>
          <w:rFonts w:ascii="Calibri" w:eastAsia="Calibri" w:hAnsi="Calibri" w:cs="Calibri"/>
        </w:rPr>
        <w:t>Maslach and Goldberg (1998) identify several strategies for preventing burnout, including individual-level strategies such as stress management and self-care, and organizational-level strategies such as promoting job autonomy and social support. The authors also emphasize the importance of addressing the root causes of burnout, including work overload, role ambiguity, and lack of control, rather than simply focusing on individual coping strategies.</w:t>
      </w:r>
    </w:p>
    <w:p w14:paraId="2D2A1E04" w14:textId="77777777" w:rsidR="00943047" w:rsidRDefault="00000000">
      <w:pPr>
        <w:rPr>
          <w:rFonts w:ascii="Calibri" w:eastAsia="Calibri" w:hAnsi="Calibri" w:cs="Calibri"/>
        </w:rPr>
      </w:pPr>
      <w:r>
        <w:rPr>
          <w:rFonts w:ascii="Calibri" w:eastAsia="Calibri" w:hAnsi="Calibri" w:cs="Calibri"/>
        </w:rPr>
        <w:t>Similarly, Grebski and Mazur (2022) identify several key management strategies for preventing burnout, including providing employees with job autonomy and control, ensuring that job demands are reasonable and achievable, offering social support and recognition, and promoting work-life balance. The authors also suggest that organizations can reduce the risk of burnout by creating a positive workplace culture that values employee well-being and promotes communication and collaboration.</w:t>
      </w:r>
    </w:p>
    <w:p w14:paraId="43CE3BB2" w14:textId="77777777" w:rsidR="00943047" w:rsidRDefault="00943047">
      <w:pPr>
        <w:rPr>
          <w:rFonts w:ascii="Calibri" w:eastAsia="Calibri" w:hAnsi="Calibri" w:cs="Calibri"/>
        </w:rPr>
      </w:pPr>
    </w:p>
    <w:p w14:paraId="59D4F700" w14:textId="77777777" w:rsidR="00943047" w:rsidRDefault="00000000">
      <w:pPr>
        <w:rPr>
          <w:rFonts w:ascii="Calibri" w:eastAsia="Calibri" w:hAnsi="Calibri" w:cs="Calibri"/>
        </w:rPr>
      </w:pPr>
      <w:bookmarkStart w:id="17" w:name="_1v1yuxt" w:colFirst="0" w:colLast="0"/>
      <w:bookmarkEnd w:id="17"/>
      <w:r>
        <w:rPr>
          <w:rFonts w:ascii="Calibri" w:eastAsia="Calibri" w:hAnsi="Calibri" w:cs="Calibri"/>
          <w:b/>
        </w:rPr>
        <w:t>Potential benefits of preventing workplace stress and burnout</w:t>
      </w:r>
    </w:p>
    <w:p w14:paraId="5A14A4F3" w14:textId="77777777" w:rsidR="00943047" w:rsidRDefault="00000000">
      <w:pPr>
        <w:rPr>
          <w:rFonts w:ascii="Calibri" w:eastAsia="Calibri" w:hAnsi="Calibri" w:cs="Calibri"/>
        </w:rPr>
      </w:pPr>
      <w:r>
        <w:rPr>
          <w:rFonts w:ascii="Calibri" w:eastAsia="Calibri" w:hAnsi="Calibri" w:cs="Calibri"/>
        </w:rPr>
        <w:t>Preventing workplace stress and burnout can have numerous benefits for both employees and organizations. Two sources, Bretland and Thorsteinsson (2015) and McCormack (2014), discuss some of the benefits of preventing workplace stress and burnout.</w:t>
      </w:r>
    </w:p>
    <w:p w14:paraId="6508D1F8" w14:textId="77777777" w:rsidR="00943047" w:rsidRDefault="00000000">
      <w:pPr>
        <w:pStyle w:val="Heading3"/>
      </w:pPr>
      <w:bookmarkStart w:id="18" w:name="_4f1mdlm" w:colFirst="0" w:colLast="0"/>
      <w:bookmarkEnd w:id="18"/>
      <w:r>
        <w:t>Employee health and wellbeing improvement</w:t>
      </w:r>
    </w:p>
    <w:p w14:paraId="1E6C132D" w14:textId="77777777" w:rsidR="00943047" w:rsidRDefault="00000000">
      <w:pPr>
        <w:rPr>
          <w:rFonts w:ascii="Calibri" w:eastAsia="Calibri" w:hAnsi="Calibri" w:cs="Calibri"/>
        </w:rPr>
      </w:pPr>
      <w:r>
        <w:rPr>
          <w:rFonts w:ascii="Calibri" w:eastAsia="Calibri" w:hAnsi="Calibri" w:cs="Calibri"/>
        </w:rPr>
        <w:t>Firstly, preventing workplace stress and burnout can improve employee health and wellbeing. Bretland and Thorsteinsson (2015) found that both cardiovascular and resistance exercise reduced burnout levels in employees. Regular exercise can also reduce the risk of developing health problems such as heart disease, diabetes, and obesity, which can result from chronic stress and burnout.</w:t>
      </w:r>
    </w:p>
    <w:p w14:paraId="33287765" w14:textId="77777777" w:rsidR="00943047" w:rsidRDefault="00000000">
      <w:pPr>
        <w:pStyle w:val="Heading3"/>
      </w:pPr>
      <w:bookmarkStart w:id="19" w:name="_2u6wntf" w:colFirst="0" w:colLast="0"/>
      <w:bookmarkEnd w:id="19"/>
      <w:r>
        <w:t>Employee engagement and productivity improvement</w:t>
      </w:r>
    </w:p>
    <w:p w14:paraId="3279338F" w14:textId="77777777" w:rsidR="00943047" w:rsidRDefault="00000000">
      <w:pPr>
        <w:rPr>
          <w:rFonts w:ascii="Calibri" w:eastAsia="Calibri" w:hAnsi="Calibri" w:cs="Calibri"/>
        </w:rPr>
      </w:pPr>
      <w:r>
        <w:rPr>
          <w:rFonts w:ascii="Calibri" w:eastAsia="Calibri" w:hAnsi="Calibri" w:cs="Calibri"/>
        </w:rPr>
        <w:lastRenderedPageBreak/>
        <w:t>Secondly, preventing workplace stress and burnout can improve employee engagement and productivity. When employees feel overwhelmed and stressed, they are more likely to disengage from their work and become less productive. McCormack (2014) found that when managers take steps to prevent burnout in their employees, they can improve employee morale, job satisfaction, and productivity.</w:t>
      </w:r>
    </w:p>
    <w:p w14:paraId="6EBBD4EE" w14:textId="77777777" w:rsidR="00943047" w:rsidRDefault="00000000">
      <w:pPr>
        <w:pStyle w:val="Heading3"/>
      </w:pPr>
      <w:bookmarkStart w:id="20" w:name="_19c6y18" w:colFirst="0" w:colLast="0"/>
      <w:bookmarkEnd w:id="20"/>
      <w:r>
        <w:t>Reduction in employee turnover rates</w:t>
      </w:r>
    </w:p>
    <w:p w14:paraId="36E4A273" w14:textId="77777777" w:rsidR="00943047" w:rsidRDefault="00000000">
      <w:pPr>
        <w:rPr>
          <w:rFonts w:ascii="Calibri" w:eastAsia="Calibri" w:hAnsi="Calibri" w:cs="Calibri"/>
        </w:rPr>
      </w:pPr>
      <w:r>
        <w:rPr>
          <w:rFonts w:ascii="Calibri" w:eastAsia="Calibri" w:hAnsi="Calibri" w:cs="Calibri"/>
        </w:rPr>
        <w:t>Thirdly, preventing workplace stress and burnout can lead to a reduction in employee turnover rates. When employees experience high levels of stress and burnout, they may become dissatisfied with their jobs and look for work elsewhere. This can result in a high turnover rate, which can be costly for organizations. McCormack (2014) suggests that by preventing burnout, organizations can retain their most valuable employees and reduce the costs associated with turnover.</w:t>
      </w:r>
    </w:p>
    <w:p w14:paraId="7C38F682" w14:textId="77777777" w:rsidR="00943047" w:rsidRDefault="00000000">
      <w:pPr>
        <w:rPr>
          <w:rFonts w:ascii="Calibri" w:eastAsia="Calibri" w:hAnsi="Calibri" w:cs="Calibri"/>
        </w:rPr>
      </w:pPr>
      <w:r>
        <w:rPr>
          <w:rFonts w:ascii="Calibri" w:eastAsia="Calibri" w:hAnsi="Calibri" w:cs="Calibri"/>
        </w:rPr>
        <w:t>Preventing workplace stress and burnout can have numerous benefits for both employees and organizations. By improving employee health and wellbeing, increasing employee engagement and productivity, and reducing employee turnover rates, organizations can create a more positive and productive work environment.</w:t>
      </w:r>
    </w:p>
    <w:p w14:paraId="3055C62C" w14:textId="77777777" w:rsidR="00943047" w:rsidRDefault="00943047">
      <w:pPr>
        <w:rPr>
          <w:rFonts w:ascii="Calibri" w:eastAsia="Calibri" w:hAnsi="Calibri" w:cs="Calibri"/>
        </w:rPr>
      </w:pPr>
    </w:p>
    <w:p w14:paraId="65A06404" w14:textId="77777777" w:rsidR="00943047" w:rsidRDefault="00000000">
      <w:pPr>
        <w:rPr>
          <w:rFonts w:ascii="Calibri" w:eastAsia="Calibri" w:hAnsi="Calibri" w:cs="Calibri"/>
          <w:sz w:val="28"/>
          <w:szCs w:val="28"/>
        </w:rPr>
      </w:pPr>
      <w:r>
        <w:br w:type="page"/>
      </w:r>
    </w:p>
    <w:p w14:paraId="5529EC15" w14:textId="77777777" w:rsidR="00943047" w:rsidRDefault="00000000">
      <w:pPr>
        <w:pStyle w:val="Heading1"/>
      </w:pPr>
      <w:bookmarkStart w:id="21" w:name="_3tbugp1" w:colFirst="0" w:colLast="0"/>
      <w:bookmarkEnd w:id="21"/>
      <w:r>
        <w:lastRenderedPageBreak/>
        <w:t>Evaluating the Effectiveness of Workplace Culture Interventions</w:t>
      </w:r>
    </w:p>
    <w:p w14:paraId="4452BA6B" w14:textId="77777777" w:rsidR="00943047" w:rsidRDefault="00000000">
      <w:pPr>
        <w:pStyle w:val="Heading2"/>
      </w:pPr>
      <w:bookmarkStart w:id="22" w:name="_28h4qwu" w:colFirst="0" w:colLast="0"/>
      <w:bookmarkEnd w:id="22"/>
      <w:r>
        <w:t>Importance of evaluating workplace culture.</w:t>
      </w:r>
    </w:p>
    <w:p w14:paraId="34C67E14" w14:textId="77777777" w:rsidR="00943047" w:rsidRDefault="00000000">
      <w:pPr>
        <w:rPr>
          <w:rFonts w:ascii="Calibri" w:eastAsia="Calibri" w:hAnsi="Calibri" w:cs="Calibri"/>
        </w:rPr>
      </w:pPr>
      <w:r>
        <w:rPr>
          <w:rFonts w:ascii="Calibri" w:eastAsia="Calibri" w:hAnsi="Calibri" w:cs="Calibri"/>
        </w:rPr>
        <w:t>Preventing workplace stress and burnout has numerous benefits for both employees and organizations. Two studies suggest that evaluating workplace culture interventions to determine their effectiveness is essential. Aburumman et al. (2019) conducted a systematic review of workplace interventions that aimed to improve safety culture. They found that interventions focusing on leadership and communication were effective in improving safety culture, and they recommended that organizations evaluate their interventions regularly to ensure their continued effectiveness.</w:t>
      </w:r>
    </w:p>
    <w:p w14:paraId="3DDF8BA0" w14:textId="77777777" w:rsidR="00943047" w:rsidRDefault="00000000">
      <w:pPr>
        <w:rPr>
          <w:rFonts w:ascii="Calibri" w:eastAsia="Calibri" w:hAnsi="Calibri" w:cs="Calibri"/>
        </w:rPr>
      </w:pPr>
      <w:r>
        <w:rPr>
          <w:rFonts w:ascii="Calibri" w:eastAsia="Calibri" w:hAnsi="Calibri" w:cs="Calibri"/>
        </w:rPr>
        <w:t>Similarly, Harden et al. (1999) conducted a systematic review of the effectiveness of health promotion interventions in the workplace. They found that interventions aimed at reducing stress and promoting mental well-being were effective in improving employee health and well-being. The study recommended that organizations should evaluate their interventions regularly to ensure their effectiveness.</w:t>
      </w:r>
    </w:p>
    <w:p w14:paraId="43FC421B" w14:textId="77777777" w:rsidR="00943047" w:rsidRDefault="00000000">
      <w:pPr>
        <w:rPr>
          <w:rFonts w:ascii="Calibri" w:eastAsia="Calibri" w:hAnsi="Calibri" w:cs="Calibri"/>
        </w:rPr>
      </w:pPr>
      <w:r>
        <w:rPr>
          <w:rFonts w:ascii="Calibri" w:eastAsia="Calibri" w:hAnsi="Calibri" w:cs="Calibri"/>
        </w:rPr>
        <w:t>Preventing workplace stress and burnout can lead to numerous benefits for organizations, including increased productivity, improved morale, and decreased absenteeism. Moreover, it can reduce staff turnover rates, recruitment and training costs, and increase employee retention. For employees, preventing stress and burnout can lead to improved mental and physical health, increased job satisfaction, and better work-life balance.</w:t>
      </w:r>
    </w:p>
    <w:p w14:paraId="3F80DC80" w14:textId="77777777" w:rsidR="00943047" w:rsidRDefault="00943047">
      <w:pPr>
        <w:rPr>
          <w:rFonts w:ascii="Calibri" w:eastAsia="Calibri" w:hAnsi="Calibri" w:cs="Calibri"/>
        </w:rPr>
      </w:pPr>
    </w:p>
    <w:p w14:paraId="4D97FA68" w14:textId="77777777" w:rsidR="00943047" w:rsidRDefault="00943047">
      <w:pPr>
        <w:rPr>
          <w:rFonts w:ascii="Calibri" w:eastAsia="Calibri" w:hAnsi="Calibri" w:cs="Calibri"/>
        </w:rPr>
      </w:pPr>
    </w:p>
    <w:p w14:paraId="5A6E54CD" w14:textId="77777777" w:rsidR="00943047" w:rsidRDefault="00943047">
      <w:pPr>
        <w:rPr>
          <w:rFonts w:ascii="Calibri" w:eastAsia="Calibri" w:hAnsi="Calibri" w:cs="Calibri"/>
        </w:rPr>
      </w:pPr>
    </w:p>
    <w:p w14:paraId="55B82153" w14:textId="77777777" w:rsidR="00943047" w:rsidRDefault="00943047">
      <w:pPr>
        <w:rPr>
          <w:rFonts w:ascii="Calibri" w:eastAsia="Calibri" w:hAnsi="Calibri" w:cs="Calibri"/>
        </w:rPr>
      </w:pPr>
    </w:p>
    <w:p w14:paraId="13E359BA" w14:textId="77777777" w:rsidR="00943047" w:rsidRDefault="00000000">
      <w:pPr>
        <w:rPr>
          <w:rFonts w:ascii="Calibri" w:eastAsia="Calibri" w:hAnsi="Calibri" w:cs="Calibri"/>
          <w:b/>
          <w:sz w:val="28"/>
          <w:szCs w:val="28"/>
        </w:rPr>
      </w:pPr>
      <w:r>
        <w:br w:type="page"/>
      </w:r>
    </w:p>
    <w:p w14:paraId="13F5EF9E" w14:textId="77777777" w:rsidR="00943047" w:rsidRDefault="00000000">
      <w:pPr>
        <w:rPr>
          <w:rFonts w:ascii="Calibri" w:eastAsia="Calibri" w:hAnsi="Calibri" w:cs="Calibri"/>
          <w:b/>
          <w:sz w:val="28"/>
          <w:szCs w:val="28"/>
        </w:rPr>
      </w:pPr>
      <w:bookmarkStart w:id="23" w:name="_nmf14n" w:colFirst="0" w:colLast="0"/>
      <w:bookmarkEnd w:id="23"/>
      <w:r>
        <w:rPr>
          <w:rFonts w:ascii="Calibri" w:eastAsia="Calibri" w:hAnsi="Calibri" w:cs="Calibri"/>
          <w:b/>
          <w:sz w:val="28"/>
          <w:szCs w:val="28"/>
        </w:rPr>
        <w:lastRenderedPageBreak/>
        <w:t>Conclusion</w:t>
      </w:r>
    </w:p>
    <w:p w14:paraId="5CF638F8" w14:textId="77777777" w:rsidR="00943047" w:rsidRDefault="00000000">
      <w:pPr>
        <w:rPr>
          <w:rFonts w:ascii="Calibri" w:eastAsia="Calibri" w:hAnsi="Calibri" w:cs="Calibri"/>
        </w:rPr>
      </w:pPr>
      <w:r>
        <w:rPr>
          <w:rFonts w:ascii="Calibri" w:eastAsia="Calibri" w:hAnsi="Calibri" w:cs="Calibri"/>
        </w:rPr>
        <w:t>In conclusion, a toxic workplace culture can have detrimental effects on employee well-being, engagement, and organizational success. It is characterized by abusive leadership, unclear expectations, lack of support, and poor communication. Toxic leaders exhibit patterns of behaviour such as bullying, micromanagement, and narcissism, which can create a toxic workplace environment. Poor management practices and cultural norms that promote unhealthy behaviours are key contributors to toxic workplace cultures. Workplace stress and burnout can negatively impact employee health, productivity, and engagement, as well as increase the likelihood of presenteeism. Preventing workplace stress and burnout can improve employee health and wellbeing, engagement, and productivity while reducing staff turnover rates, recruitment, and training costs, and increasing employee retention. Strategies for preventing workplace stress and burnout include providing employees with job autonomy and control, offering social support and recognition, and promoting work-life balance. It is also essential to address the root causes of toxic workplace cultures, such as poor management practices and unhealthy work environments. Evaluating workplace culture interventions is necessary to ensure their effectiveness in promoting employee well-being and organizational success.</w:t>
      </w:r>
    </w:p>
    <w:p w14:paraId="6CF46140" w14:textId="77777777" w:rsidR="00943047" w:rsidRDefault="00943047">
      <w:pPr>
        <w:rPr>
          <w:rFonts w:ascii="Calibri" w:eastAsia="Calibri" w:hAnsi="Calibri" w:cs="Calibri"/>
        </w:rPr>
      </w:pPr>
    </w:p>
    <w:p w14:paraId="7643C850" w14:textId="77777777" w:rsidR="00943047" w:rsidRDefault="00000000">
      <w:pPr>
        <w:pStyle w:val="Heading1"/>
      </w:pPr>
      <w:bookmarkStart w:id="24" w:name="_37m2jsg" w:colFirst="0" w:colLast="0"/>
      <w:bookmarkEnd w:id="24"/>
      <w:r>
        <w:t>Recommendations</w:t>
      </w:r>
    </w:p>
    <w:p w14:paraId="21688CD7" w14:textId="77777777" w:rsidR="00943047" w:rsidRDefault="00000000">
      <w:pPr>
        <w:rPr>
          <w:rFonts w:ascii="Calibri" w:eastAsia="Calibri" w:hAnsi="Calibri" w:cs="Calibri"/>
        </w:rPr>
      </w:pPr>
      <w:r>
        <w:rPr>
          <w:rFonts w:ascii="Calibri" w:eastAsia="Calibri" w:hAnsi="Calibri" w:cs="Calibri"/>
        </w:rPr>
        <w:t>Reducing stress and burnout and promoting a positive work environment is crucial for promoting employee well-being and organizational success, as established by previous research in this assignment. The research has identified various strategies that organizations can implement to reduce stress and burnout and promote a positive work environment.</w:t>
      </w:r>
    </w:p>
    <w:p w14:paraId="42EFDD9C" w14:textId="77777777" w:rsidR="00943047" w:rsidRDefault="00000000">
      <w:pPr>
        <w:rPr>
          <w:rFonts w:ascii="Calibri" w:eastAsia="Calibri" w:hAnsi="Calibri" w:cs="Calibri"/>
        </w:rPr>
      </w:pPr>
      <w:r>
        <w:rPr>
          <w:rFonts w:ascii="Calibri" w:eastAsia="Calibri" w:hAnsi="Calibri" w:cs="Calibri"/>
        </w:rPr>
        <w:t>One of the most effective strategies is to promote a culture of open communication, collaboration, and respect, as highlighted by Anjum and Ming (2018). This includes providing employees with regular feedback, recognizing their contributions, and ensuring that their workload is manageable. Providing opportunities for professional growth and development can also boost employee morale and motivation.</w:t>
      </w:r>
    </w:p>
    <w:p w14:paraId="07158AC8" w14:textId="77777777" w:rsidR="00943047" w:rsidRDefault="00943047">
      <w:pPr>
        <w:rPr>
          <w:rFonts w:ascii="Calibri" w:eastAsia="Calibri" w:hAnsi="Calibri" w:cs="Calibri"/>
        </w:rPr>
      </w:pPr>
    </w:p>
    <w:p w14:paraId="6079DDB7" w14:textId="77777777" w:rsidR="00943047" w:rsidRDefault="00943047">
      <w:pPr>
        <w:rPr>
          <w:rFonts w:ascii="Calibri" w:eastAsia="Calibri" w:hAnsi="Calibri" w:cs="Calibri"/>
        </w:rPr>
      </w:pPr>
    </w:p>
    <w:p w14:paraId="3E3BA520" w14:textId="77777777" w:rsidR="00943047" w:rsidRDefault="00943047">
      <w:pPr>
        <w:rPr>
          <w:rFonts w:ascii="Calibri" w:eastAsia="Calibri" w:hAnsi="Calibri" w:cs="Calibri"/>
          <w:b/>
          <w:sz w:val="28"/>
          <w:szCs w:val="28"/>
        </w:rPr>
      </w:pPr>
    </w:p>
    <w:p w14:paraId="113A88D5" w14:textId="77777777" w:rsidR="00943047" w:rsidRDefault="00000000">
      <w:pPr>
        <w:pStyle w:val="Heading1"/>
      </w:pPr>
      <w:bookmarkStart w:id="25" w:name="_1mrcu09" w:colFirst="0" w:colLast="0"/>
      <w:bookmarkEnd w:id="25"/>
      <w:r>
        <w:lastRenderedPageBreak/>
        <w:t>Reference List</w:t>
      </w:r>
    </w:p>
    <w:p w14:paraId="0D9FFC71" w14:textId="77777777" w:rsidR="00943047" w:rsidRDefault="00943047">
      <w:pPr>
        <w:rPr>
          <w:rFonts w:ascii="Calibri" w:eastAsia="Calibri" w:hAnsi="Calibri" w:cs="Calibri"/>
        </w:rPr>
      </w:pPr>
    </w:p>
    <w:p w14:paraId="4DA44335" w14:textId="77777777" w:rsidR="00943047" w:rsidRDefault="00000000">
      <w:pPr>
        <w:rPr>
          <w:rFonts w:ascii="Calibri" w:eastAsia="Calibri" w:hAnsi="Calibri" w:cs="Calibri"/>
        </w:rPr>
      </w:pPr>
      <w:r>
        <w:rPr>
          <w:rFonts w:ascii="Calibri" w:eastAsia="Calibri" w:hAnsi="Calibri" w:cs="Calibri"/>
        </w:rPr>
        <w:t xml:space="preserve">Aburumman, M., Newnam, S., &amp; Fildes, B. (2019). Evaluating the effectiveness of workplace interventions in improving safety culture: A systematic review. </w:t>
      </w:r>
    </w:p>
    <w:p w14:paraId="31B31F06" w14:textId="77777777" w:rsidR="00943047" w:rsidRDefault="00943047">
      <w:pPr>
        <w:rPr>
          <w:rFonts w:ascii="Calibri" w:eastAsia="Calibri" w:hAnsi="Calibri" w:cs="Calibri"/>
        </w:rPr>
      </w:pPr>
    </w:p>
    <w:p w14:paraId="3FB9E9B1" w14:textId="77777777" w:rsidR="00943047" w:rsidRDefault="00000000">
      <w:pPr>
        <w:rPr>
          <w:rFonts w:ascii="Calibri" w:eastAsia="Calibri" w:hAnsi="Calibri" w:cs="Calibri"/>
        </w:rPr>
      </w:pPr>
      <w:r>
        <w:rPr>
          <w:rFonts w:ascii="Calibri" w:eastAsia="Calibri" w:hAnsi="Calibri" w:cs="Calibri"/>
        </w:rPr>
        <w:t>Anjum, A., Ming, X., Siddiqi, A. F., &amp; Rasool, S. F. (2018). An empirical study analyzing job productivity in toxic workplace environments. International journal of environmental research and public health.</w:t>
      </w:r>
    </w:p>
    <w:p w14:paraId="5A471433" w14:textId="77777777" w:rsidR="00943047" w:rsidRDefault="00943047">
      <w:pPr>
        <w:rPr>
          <w:rFonts w:ascii="Calibri" w:eastAsia="Calibri" w:hAnsi="Calibri" w:cs="Calibri"/>
        </w:rPr>
      </w:pPr>
    </w:p>
    <w:p w14:paraId="73DECDC1" w14:textId="77777777" w:rsidR="00943047" w:rsidRDefault="00000000">
      <w:pPr>
        <w:rPr>
          <w:rFonts w:ascii="Calibri" w:eastAsia="Calibri" w:hAnsi="Calibri" w:cs="Calibri"/>
        </w:rPr>
      </w:pPr>
      <w:r>
        <w:rPr>
          <w:rFonts w:ascii="Calibri" w:eastAsia="Calibri" w:hAnsi="Calibri" w:cs="Calibri"/>
        </w:rPr>
        <w:t>Anjum, A., &amp; Ming, X. (2018). Combating toxic workplace environment: An empirical study in the context of Pakistan. Journal of Modelling in Management.</w:t>
      </w:r>
    </w:p>
    <w:p w14:paraId="45884E2A" w14:textId="77777777" w:rsidR="00943047" w:rsidRDefault="00943047">
      <w:pPr>
        <w:rPr>
          <w:rFonts w:ascii="Calibri" w:eastAsia="Calibri" w:hAnsi="Calibri" w:cs="Calibri"/>
        </w:rPr>
      </w:pPr>
    </w:p>
    <w:p w14:paraId="192B6E36" w14:textId="77777777" w:rsidR="00943047" w:rsidRDefault="00000000">
      <w:pPr>
        <w:rPr>
          <w:rFonts w:ascii="Calibri" w:eastAsia="Calibri" w:hAnsi="Calibri" w:cs="Calibri"/>
        </w:rPr>
      </w:pPr>
      <w:r>
        <w:rPr>
          <w:rFonts w:ascii="Calibri" w:eastAsia="Calibri" w:hAnsi="Calibri" w:cs="Calibri"/>
        </w:rPr>
        <w:t xml:space="preserve">Bretland, R. J., &amp; Thorsteinsson, E. B. (2015). Reducing workplace burnout: The relative benefits of cardiovascular and resistance exercise. </w:t>
      </w:r>
    </w:p>
    <w:p w14:paraId="322FD600" w14:textId="77777777" w:rsidR="00943047" w:rsidRDefault="00943047">
      <w:pPr>
        <w:rPr>
          <w:rFonts w:ascii="Calibri" w:eastAsia="Calibri" w:hAnsi="Calibri" w:cs="Calibri"/>
        </w:rPr>
      </w:pPr>
    </w:p>
    <w:p w14:paraId="7031834E" w14:textId="77777777" w:rsidR="00943047" w:rsidRDefault="00000000">
      <w:pPr>
        <w:rPr>
          <w:rFonts w:ascii="Calibri" w:eastAsia="Calibri" w:hAnsi="Calibri" w:cs="Calibri"/>
        </w:rPr>
      </w:pPr>
      <w:r>
        <w:rPr>
          <w:rFonts w:ascii="Calibri" w:eastAsia="Calibri" w:hAnsi="Calibri" w:cs="Calibri"/>
        </w:rPr>
        <w:t>Ferreira, A. I., da Costa Ferreira, P., Cooper, C. L., &amp; Oliveira, D. (2019). How daily negative affect and emotional exhaustion correlates with work engagement and presenteeism-constrained productivity. International Journal of Stress Management.</w:t>
      </w:r>
    </w:p>
    <w:p w14:paraId="36874837" w14:textId="77777777" w:rsidR="00943047" w:rsidRDefault="00943047">
      <w:pPr>
        <w:rPr>
          <w:rFonts w:ascii="Calibri" w:eastAsia="Calibri" w:hAnsi="Calibri" w:cs="Calibri"/>
        </w:rPr>
      </w:pPr>
    </w:p>
    <w:p w14:paraId="7EEA29A3" w14:textId="77777777" w:rsidR="00943047" w:rsidRDefault="00000000">
      <w:pPr>
        <w:rPr>
          <w:rFonts w:ascii="Calibri" w:eastAsia="Calibri" w:hAnsi="Calibri" w:cs="Calibri"/>
        </w:rPr>
      </w:pPr>
      <w:r>
        <w:rPr>
          <w:rFonts w:ascii="Calibri" w:eastAsia="Calibri" w:hAnsi="Calibri" w:cs="Calibri"/>
        </w:rPr>
        <w:t>Garrick, J., &amp; Buck, M. (2022). Psychosocial and Cultural Implications. In The Psychosocial Impacts of Whistleblower Retaliation: Shattering Employee Resilience and the Workplace Promise.</w:t>
      </w:r>
    </w:p>
    <w:p w14:paraId="784C533D" w14:textId="77777777" w:rsidR="00943047" w:rsidRDefault="00943047">
      <w:pPr>
        <w:rPr>
          <w:rFonts w:ascii="Calibri" w:eastAsia="Calibri" w:hAnsi="Calibri" w:cs="Calibri"/>
        </w:rPr>
      </w:pPr>
    </w:p>
    <w:p w14:paraId="23224346" w14:textId="77777777" w:rsidR="00943047" w:rsidRDefault="00000000">
      <w:pPr>
        <w:rPr>
          <w:rFonts w:ascii="Calibri" w:eastAsia="Calibri" w:hAnsi="Calibri" w:cs="Calibri"/>
        </w:rPr>
      </w:pPr>
      <w:r>
        <w:rPr>
          <w:rFonts w:ascii="Calibri" w:eastAsia="Calibri" w:hAnsi="Calibri" w:cs="Calibri"/>
        </w:rPr>
        <w:t>Grebski, M., &amp; Mazur, M. (2022). MANAGEMENT STRATEGIES TO AVOID PROFESSIONAL BURNOUT. Polish Journal of Management Studies.</w:t>
      </w:r>
    </w:p>
    <w:p w14:paraId="747B8E7F" w14:textId="77777777" w:rsidR="00943047" w:rsidRDefault="00943047">
      <w:pPr>
        <w:rPr>
          <w:rFonts w:ascii="Calibri" w:eastAsia="Calibri" w:hAnsi="Calibri" w:cs="Calibri"/>
        </w:rPr>
      </w:pPr>
    </w:p>
    <w:p w14:paraId="43169593" w14:textId="77777777" w:rsidR="00943047" w:rsidRDefault="00000000">
      <w:pPr>
        <w:rPr>
          <w:rFonts w:ascii="Calibri" w:eastAsia="Calibri" w:hAnsi="Calibri" w:cs="Calibri"/>
        </w:rPr>
      </w:pPr>
      <w:r>
        <w:rPr>
          <w:rFonts w:ascii="Calibri" w:eastAsia="Calibri" w:hAnsi="Calibri" w:cs="Calibri"/>
        </w:rPr>
        <w:t>Harden, A., Peersman, G., Oliver, S., Mauthner, M., &amp; Oakley, A. (1999). A systematic review of the effectiveness of health promotion interventions in the workplace. Occupational medicine.</w:t>
      </w:r>
    </w:p>
    <w:p w14:paraId="5474F08F" w14:textId="77777777" w:rsidR="00943047" w:rsidRDefault="00943047">
      <w:pPr>
        <w:rPr>
          <w:rFonts w:ascii="Calibri" w:eastAsia="Calibri" w:hAnsi="Calibri" w:cs="Calibri"/>
        </w:rPr>
      </w:pPr>
    </w:p>
    <w:p w14:paraId="253D74B8" w14:textId="77777777" w:rsidR="00943047" w:rsidRDefault="00000000">
      <w:pPr>
        <w:rPr>
          <w:rFonts w:ascii="Calibri" w:eastAsia="Calibri" w:hAnsi="Calibri" w:cs="Calibri"/>
        </w:rPr>
      </w:pPr>
      <w:r>
        <w:rPr>
          <w:rFonts w:ascii="Calibri" w:eastAsia="Calibri" w:hAnsi="Calibri" w:cs="Calibri"/>
        </w:rPr>
        <w:lastRenderedPageBreak/>
        <w:t>Koropets, O. (2019). Toxic workplace: Problem description and search for management solutions. Academic Conferences and Publishing International Limited.</w:t>
      </w:r>
    </w:p>
    <w:p w14:paraId="41B3775B" w14:textId="77777777" w:rsidR="00943047" w:rsidRDefault="00943047">
      <w:pPr>
        <w:rPr>
          <w:rFonts w:ascii="Calibri" w:eastAsia="Calibri" w:hAnsi="Calibri" w:cs="Calibri"/>
        </w:rPr>
      </w:pPr>
    </w:p>
    <w:p w14:paraId="1CF6C6F6" w14:textId="77777777" w:rsidR="00943047" w:rsidRDefault="00000000">
      <w:pPr>
        <w:rPr>
          <w:rFonts w:ascii="Calibri" w:eastAsia="Calibri" w:hAnsi="Calibri" w:cs="Calibri"/>
        </w:rPr>
      </w:pPr>
      <w:r>
        <w:rPr>
          <w:rFonts w:ascii="Calibri" w:eastAsia="Calibri" w:hAnsi="Calibri" w:cs="Calibri"/>
        </w:rPr>
        <w:t>Kusy, M., &amp; Holloway, E. (2009). Toxic workplace!: Managing toxic personalities and their systems of power. John Wiley &amp; Sons.</w:t>
      </w:r>
    </w:p>
    <w:p w14:paraId="423B8A3B" w14:textId="77777777" w:rsidR="00943047" w:rsidRDefault="00943047">
      <w:pPr>
        <w:rPr>
          <w:rFonts w:ascii="Calibri" w:eastAsia="Calibri" w:hAnsi="Calibri" w:cs="Calibri"/>
        </w:rPr>
      </w:pPr>
    </w:p>
    <w:p w14:paraId="0132E27D" w14:textId="77777777" w:rsidR="00943047" w:rsidRDefault="00000000">
      <w:pPr>
        <w:rPr>
          <w:rFonts w:ascii="Calibri" w:eastAsia="Calibri" w:hAnsi="Calibri" w:cs="Calibri"/>
        </w:rPr>
      </w:pPr>
      <w:r>
        <w:rPr>
          <w:rFonts w:ascii="Calibri" w:eastAsia="Calibri" w:hAnsi="Calibri" w:cs="Calibri"/>
        </w:rPr>
        <w:t>Managers, stress, and the prevention of burnout in the library workplace. In Advances in librarianship. Emerald Group Publishing Limited.</w:t>
      </w:r>
    </w:p>
    <w:p w14:paraId="18277BDA" w14:textId="77777777" w:rsidR="00943047" w:rsidRDefault="00943047">
      <w:pPr>
        <w:rPr>
          <w:rFonts w:ascii="Calibri" w:eastAsia="Calibri" w:hAnsi="Calibri" w:cs="Calibri"/>
        </w:rPr>
      </w:pPr>
    </w:p>
    <w:p w14:paraId="3DC714A4" w14:textId="77777777" w:rsidR="00943047" w:rsidRDefault="00000000">
      <w:pPr>
        <w:rPr>
          <w:rFonts w:ascii="Calibri" w:eastAsia="Calibri" w:hAnsi="Calibri" w:cs="Calibri"/>
        </w:rPr>
      </w:pPr>
      <w:r>
        <w:rPr>
          <w:rFonts w:ascii="Calibri" w:eastAsia="Calibri" w:hAnsi="Calibri" w:cs="Calibri"/>
        </w:rPr>
        <w:t>Manolchev, C., Lewis, D., &amp; Pascucci, S. (2021). From Insult to Injury: The Case for Organizational Compassion in Modern Workplaces.</w:t>
      </w:r>
    </w:p>
    <w:p w14:paraId="196FB0A2" w14:textId="77777777" w:rsidR="00943047" w:rsidRDefault="00943047">
      <w:pPr>
        <w:rPr>
          <w:rFonts w:ascii="Calibri" w:eastAsia="Calibri" w:hAnsi="Calibri" w:cs="Calibri"/>
        </w:rPr>
      </w:pPr>
    </w:p>
    <w:p w14:paraId="6CD7F8F0" w14:textId="77777777" w:rsidR="00943047" w:rsidRDefault="00000000">
      <w:pPr>
        <w:rPr>
          <w:rFonts w:ascii="Calibri" w:eastAsia="Calibri" w:hAnsi="Calibri" w:cs="Calibri"/>
        </w:rPr>
      </w:pPr>
      <w:r>
        <w:rPr>
          <w:rFonts w:ascii="Calibri" w:eastAsia="Calibri" w:hAnsi="Calibri" w:cs="Calibri"/>
        </w:rPr>
        <w:t>Maslach, C., &amp; Goldberg, J. (1998). Prevention of burnout: New perspectives. Applied and preventive psychology.</w:t>
      </w:r>
    </w:p>
    <w:p w14:paraId="3475F0F8" w14:textId="77777777" w:rsidR="00943047" w:rsidRDefault="00943047">
      <w:pPr>
        <w:rPr>
          <w:rFonts w:ascii="Calibri" w:eastAsia="Calibri" w:hAnsi="Calibri" w:cs="Calibri"/>
        </w:rPr>
      </w:pPr>
    </w:p>
    <w:p w14:paraId="2BAA3595" w14:textId="77777777" w:rsidR="00943047" w:rsidRDefault="00000000">
      <w:pPr>
        <w:rPr>
          <w:rFonts w:ascii="Calibri" w:eastAsia="Calibri" w:hAnsi="Calibri" w:cs="Calibri"/>
        </w:rPr>
      </w:pPr>
      <w:r>
        <w:rPr>
          <w:rFonts w:ascii="Calibri" w:eastAsia="Calibri" w:hAnsi="Calibri" w:cs="Calibri"/>
        </w:rPr>
        <w:t>McCormack, N. (2014). Managers, stress, and the prevention of burnout in the library workplace. In Advances in librarianship. Emerald Group Publishing Limited.</w:t>
      </w:r>
    </w:p>
    <w:p w14:paraId="3BD666A7" w14:textId="77777777" w:rsidR="00943047" w:rsidRDefault="00943047">
      <w:pPr>
        <w:rPr>
          <w:rFonts w:ascii="Calibri" w:eastAsia="Calibri" w:hAnsi="Calibri" w:cs="Calibri"/>
        </w:rPr>
      </w:pPr>
    </w:p>
    <w:p w14:paraId="2B2CE01F" w14:textId="77777777" w:rsidR="00943047" w:rsidRDefault="00000000">
      <w:pPr>
        <w:rPr>
          <w:rFonts w:ascii="Calibri" w:eastAsia="Calibri" w:hAnsi="Calibri" w:cs="Calibri"/>
        </w:rPr>
      </w:pPr>
      <w:r>
        <w:rPr>
          <w:rFonts w:ascii="Calibri" w:eastAsia="Calibri" w:hAnsi="Calibri" w:cs="Calibri"/>
        </w:rPr>
        <w:t xml:space="preserve">Rasool, S. F., Maqbool, R., Samma, M., Zhao, Y., &amp; Anjum, A. (2019). Positioning depression as a critical factor in creating a toxic workplace environment for diminishing worker productivity. </w:t>
      </w:r>
    </w:p>
    <w:p w14:paraId="739EDBBA" w14:textId="77777777" w:rsidR="00943047" w:rsidRDefault="00943047">
      <w:pPr>
        <w:rPr>
          <w:rFonts w:ascii="Calibri" w:eastAsia="Calibri" w:hAnsi="Calibri" w:cs="Calibri"/>
        </w:rPr>
      </w:pPr>
    </w:p>
    <w:p w14:paraId="30605FF0" w14:textId="77777777" w:rsidR="00943047" w:rsidRDefault="00000000">
      <w:pPr>
        <w:rPr>
          <w:rFonts w:ascii="Calibri" w:eastAsia="Calibri" w:hAnsi="Calibri" w:cs="Calibri"/>
        </w:rPr>
      </w:pPr>
      <w:r>
        <w:rPr>
          <w:rFonts w:ascii="Calibri" w:eastAsia="Calibri" w:hAnsi="Calibri" w:cs="Calibri"/>
        </w:rPr>
        <w:t>Rasool, S. F., Wang, M., Tang, M., Saeed, A., &amp; Iqbal, J. (2021). How toxic workplace environment effects the employee engagement: The mediating role of organizational support and employee wellbeing. International journal of environmental research and public health.</w:t>
      </w:r>
    </w:p>
    <w:p w14:paraId="7C4D4D48" w14:textId="77777777" w:rsidR="00943047" w:rsidRDefault="00943047">
      <w:pPr>
        <w:rPr>
          <w:rFonts w:ascii="Calibri" w:eastAsia="Calibri" w:hAnsi="Calibri" w:cs="Calibri"/>
        </w:rPr>
      </w:pPr>
    </w:p>
    <w:p w14:paraId="3C9AADDB" w14:textId="77777777" w:rsidR="00943047" w:rsidRDefault="00000000">
      <w:pPr>
        <w:rPr>
          <w:rFonts w:ascii="Calibri" w:eastAsia="Calibri" w:hAnsi="Calibri" w:cs="Calibri"/>
        </w:rPr>
      </w:pPr>
      <w:r>
        <w:rPr>
          <w:rFonts w:ascii="Calibri" w:eastAsia="Calibri" w:hAnsi="Calibri" w:cs="Calibri"/>
        </w:rPr>
        <w:t>Tavanti, M. (2011). Managing toxic leaders: Dysfunctional patterns in organizational leadership and how to deal with them. Human Resource Management.</w:t>
      </w:r>
    </w:p>
    <w:p w14:paraId="150C7737" w14:textId="77777777" w:rsidR="00943047" w:rsidRDefault="00943047">
      <w:pPr>
        <w:rPr>
          <w:rFonts w:ascii="Calibri" w:eastAsia="Calibri" w:hAnsi="Calibri" w:cs="Calibri"/>
        </w:rPr>
      </w:pPr>
    </w:p>
    <w:p w14:paraId="1A46257E" w14:textId="77777777" w:rsidR="00943047" w:rsidRDefault="00000000">
      <w:pPr>
        <w:rPr>
          <w:rFonts w:ascii="Calibri" w:eastAsia="Calibri" w:hAnsi="Calibri" w:cs="Calibri"/>
        </w:rPr>
      </w:pPr>
      <w:r>
        <w:rPr>
          <w:rFonts w:ascii="Calibri" w:eastAsia="Calibri" w:hAnsi="Calibri" w:cs="Calibri"/>
        </w:rPr>
        <w:t xml:space="preserve">Wang, Z., Zaman, S., Rasool, S. F., Zaman, Q. U., &amp; Amin, A. (2020). Exploring the relationships between a toxic workplace environment, workplace stress, and project success </w:t>
      </w:r>
      <w:r>
        <w:rPr>
          <w:rFonts w:ascii="Calibri" w:eastAsia="Calibri" w:hAnsi="Calibri" w:cs="Calibri"/>
        </w:rPr>
        <w:lastRenderedPageBreak/>
        <w:t>with the moderating effect of organizational support: Empirical evidence from Pakistan. Risk management and healthcare policy.</w:t>
      </w:r>
    </w:p>
    <w:p w14:paraId="10190235" w14:textId="77777777" w:rsidR="00943047" w:rsidRDefault="00943047">
      <w:pPr>
        <w:rPr>
          <w:rFonts w:ascii="Calibri" w:eastAsia="Calibri" w:hAnsi="Calibri" w:cs="Calibri"/>
        </w:rPr>
      </w:pPr>
    </w:p>
    <w:sectPr w:rsidR="00943047">
      <w:footerReference w:type="even" r:id="rId9"/>
      <w:footerReference w:type="default" r:id="rId10"/>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A57C8" w14:textId="77777777" w:rsidR="00521F74" w:rsidRDefault="00521F74">
      <w:pPr>
        <w:spacing w:line="240" w:lineRule="auto"/>
      </w:pPr>
      <w:r>
        <w:separator/>
      </w:r>
    </w:p>
  </w:endnote>
  <w:endnote w:type="continuationSeparator" w:id="0">
    <w:p w14:paraId="77C51FC1" w14:textId="77777777" w:rsidR="00521F74" w:rsidRDefault="00521F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81D3B" w14:textId="77777777" w:rsidR="00943047" w:rsidRDefault="00943047">
    <w:pPr>
      <w:pBdr>
        <w:top w:val="nil"/>
        <w:left w:val="nil"/>
        <w:bottom w:val="nil"/>
        <w:right w:val="nil"/>
        <w:between w:val="nil"/>
      </w:pBdr>
      <w:tabs>
        <w:tab w:val="center" w:pos="4513"/>
        <w:tab w:val="right" w:pos="9026"/>
      </w:tabs>
      <w:spacing w:line="240" w:lineRule="auto"/>
      <w:jc w:val="right"/>
      <w:rPr>
        <w:color w:val="000000"/>
      </w:rPr>
    </w:pPr>
  </w:p>
  <w:p w14:paraId="59C630FB" w14:textId="77777777" w:rsidR="00943047" w:rsidRDefault="00000000">
    <w:pPr>
      <w:pBdr>
        <w:top w:val="nil"/>
        <w:left w:val="nil"/>
        <w:bottom w:val="nil"/>
        <w:right w:val="nil"/>
        <w:between w:val="nil"/>
      </w:pBdr>
      <w:tabs>
        <w:tab w:val="center" w:pos="4513"/>
        <w:tab w:val="right" w:pos="9026"/>
      </w:tabs>
      <w:spacing w:line="240" w:lineRule="auto"/>
      <w:ind w:right="360"/>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CB165" w14:textId="77777777" w:rsidR="00943047"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F25F9">
      <w:rPr>
        <w:noProof/>
        <w:color w:val="000000"/>
      </w:rPr>
      <w:t>1</w:t>
    </w:r>
    <w:r>
      <w:rPr>
        <w:color w:val="000000"/>
      </w:rPr>
      <w:fldChar w:fldCharType="end"/>
    </w:r>
  </w:p>
  <w:p w14:paraId="2B4E35D3" w14:textId="77777777" w:rsidR="00943047" w:rsidRDefault="00943047">
    <w:pPr>
      <w:pBdr>
        <w:top w:val="nil"/>
        <w:left w:val="nil"/>
        <w:bottom w:val="nil"/>
        <w:right w:val="nil"/>
        <w:between w:val="nil"/>
      </w:pBdr>
      <w:tabs>
        <w:tab w:val="center" w:pos="4513"/>
        <w:tab w:val="right" w:pos="9026"/>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6BA00" w14:textId="77777777" w:rsidR="00521F74" w:rsidRDefault="00521F74">
      <w:pPr>
        <w:spacing w:line="240" w:lineRule="auto"/>
      </w:pPr>
      <w:r>
        <w:separator/>
      </w:r>
    </w:p>
  </w:footnote>
  <w:footnote w:type="continuationSeparator" w:id="0">
    <w:p w14:paraId="152FA471" w14:textId="77777777" w:rsidR="00521F74" w:rsidRDefault="00521F7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047"/>
    <w:rsid w:val="000F25F9"/>
    <w:rsid w:val="00521F74"/>
    <w:rsid w:val="00554480"/>
    <w:rsid w:val="00943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C8C6C"/>
  <w15:docId w15:val="{FF32B7B4-C0AC-4DD5-A82C-D66A7371F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rFonts w:ascii="Calibri" w:eastAsia="Calibri" w:hAnsi="Calibri" w:cs="Calibri"/>
      <w:b/>
      <w:sz w:val="28"/>
      <w:szCs w:val="28"/>
    </w:rPr>
  </w:style>
  <w:style w:type="paragraph" w:styleId="Heading2">
    <w:name w:val="heading 2"/>
    <w:basedOn w:val="Normal"/>
    <w:next w:val="Normal"/>
    <w:uiPriority w:val="9"/>
    <w:unhideWhenUsed/>
    <w:qFormat/>
    <w:pPr>
      <w:outlineLvl w:val="1"/>
    </w:pPr>
    <w:rPr>
      <w:rFonts w:ascii="Calibri" w:eastAsia="Calibri" w:hAnsi="Calibri" w:cs="Calibri"/>
      <w:b/>
    </w:rPr>
  </w:style>
  <w:style w:type="paragraph" w:styleId="Heading3">
    <w:name w:val="heading 3"/>
    <w:basedOn w:val="Normal"/>
    <w:next w:val="Normal"/>
    <w:uiPriority w:val="9"/>
    <w:unhideWhenUsed/>
    <w:qFormat/>
    <w:pPr>
      <w:outlineLvl w:val="2"/>
    </w:pPr>
    <w:rPr>
      <w:rFonts w:ascii="Calibri" w:eastAsia="Calibri" w:hAnsi="Calibri" w:cs="Calibri"/>
      <w:i/>
      <w:u w:val="single"/>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15</Pages>
  <Words>3189</Words>
  <Characters>18180</Characters>
  <Application>Microsoft Office Word</Application>
  <DocSecurity>0</DocSecurity>
  <Lines>151</Lines>
  <Paragraphs>42</Paragraphs>
  <ScaleCrop>false</ScaleCrop>
  <Company/>
  <LinksUpToDate>false</LinksUpToDate>
  <CharactersWithSpaces>21327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Corina Crap</dc:creator>
  <cp:lastModifiedBy>Corina Crap</cp:lastModifiedBy>
  <cp:revision>3</cp:revision>
  <dcterms:created xsi:type="dcterms:W3CDTF">2023-05-01T04:45:00Z</dcterms:created>
  <dcterms:modified xsi:type="dcterms:W3CDTF">2023-05-01T04:51:00Z</dcterms:modified>
</cp:coreProperties>
</file>