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EF712" w14:textId="77777777" w:rsidR="00402E93" w:rsidRPr="00402E93" w:rsidRDefault="00402E93" w:rsidP="00402E93">
      <w:pPr>
        <w:rPr>
          <w:rFonts w:cs="Arial"/>
          <w:color w:val="000000"/>
          <w:sz w:val="24"/>
          <w:szCs w:val="24"/>
        </w:rPr>
      </w:pPr>
    </w:p>
    <w:p w14:paraId="72191F83" w14:textId="77777777" w:rsidR="00402E93" w:rsidRPr="00402E93" w:rsidRDefault="00402E93" w:rsidP="00402E93">
      <w:pPr>
        <w:rPr>
          <w:rFonts w:cs="Arial"/>
          <w:color w:val="000000"/>
          <w:sz w:val="24"/>
          <w:szCs w:val="24"/>
        </w:rPr>
      </w:pPr>
    </w:p>
    <w:p w14:paraId="48DAEAB6" w14:textId="77777777" w:rsidR="00402E93" w:rsidRPr="00402E93" w:rsidRDefault="00402E93" w:rsidP="00402E93">
      <w:pPr>
        <w:rPr>
          <w:rFonts w:cs="Arial"/>
          <w:color w:val="000000"/>
          <w:sz w:val="24"/>
          <w:szCs w:val="24"/>
        </w:rPr>
      </w:pPr>
    </w:p>
    <w:p w14:paraId="116B275B" w14:textId="77777777" w:rsidR="00402E93" w:rsidRPr="00402E93" w:rsidRDefault="00402E93" w:rsidP="00402E93">
      <w:pPr>
        <w:rPr>
          <w:rFonts w:cs="Arial"/>
          <w:color w:val="000000"/>
          <w:sz w:val="24"/>
          <w:szCs w:val="24"/>
        </w:rPr>
      </w:pPr>
    </w:p>
    <w:p w14:paraId="56D17C5D" w14:textId="77777777" w:rsidR="00402E93" w:rsidRPr="00402E93" w:rsidRDefault="00402E93" w:rsidP="00402E93">
      <w:pPr>
        <w:rPr>
          <w:rFonts w:cs="Arial"/>
          <w:color w:val="000000"/>
          <w:sz w:val="24"/>
          <w:szCs w:val="24"/>
        </w:rPr>
      </w:pPr>
    </w:p>
    <w:p w14:paraId="3D9CDF5E" w14:textId="77777777" w:rsidR="00402E93" w:rsidRPr="00402E93" w:rsidRDefault="00402E93" w:rsidP="00402E93">
      <w:pPr>
        <w:rPr>
          <w:rFonts w:cs="Arial"/>
          <w:color w:val="000000"/>
          <w:sz w:val="24"/>
          <w:szCs w:val="24"/>
        </w:rPr>
      </w:pPr>
    </w:p>
    <w:p w14:paraId="4631DBFC" w14:textId="77777777" w:rsidR="00402E93" w:rsidRPr="00402E93" w:rsidRDefault="00402E93" w:rsidP="00402E93">
      <w:pPr>
        <w:rPr>
          <w:rFonts w:cs="Arial"/>
          <w:color w:val="000000"/>
          <w:sz w:val="24"/>
          <w:szCs w:val="24"/>
        </w:rPr>
      </w:pPr>
    </w:p>
    <w:p w14:paraId="01D12D4A" w14:textId="77777777" w:rsidR="00402E93" w:rsidRPr="00402E93" w:rsidRDefault="00402E93" w:rsidP="00402E93">
      <w:pPr>
        <w:jc w:val="center"/>
        <w:rPr>
          <w:rFonts w:cs="Arial"/>
          <w:b/>
          <w:bCs/>
          <w:color w:val="000000"/>
          <w:sz w:val="24"/>
          <w:szCs w:val="24"/>
        </w:rPr>
      </w:pPr>
      <w:r w:rsidRPr="00402E93">
        <w:rPr>
          <w:rFonts w:cs="Arial"/>
          <w:b/>
          <w:bCs/>
          <w:color w:val="000000"/>
          <w:sz w:val="24"/>
          <w:szCs w:val="24"/>
        </w:rPr>
        <w:t>Component 1 - Individual Report</w:t>
      </w:r>
    </w:p>
    <w:p w14:paraId="50C32216" w14:textId="36944A15" w:rsidR="00402E93" w:rsidRPr="00402E93" w:rsidRDefault="00402E93" w:rsidP="00402E93">
      <w:pPr>
        <w:jc w:val="center"/>
        <w:rPr>
          <w:rFonts w:cs="Arial"/>
          <w:color w:val="000000"/>
          <w:sz w:val="24"/>
          <w:szCs w:val="24"/>
        </w:rPr>
      </w:pPr>
      <w:r w:rsidRPr="00402E93">
        <w:rPr>
          <w:rFonts w:cs="Arial"/>
          <w:color w:val="000000"/>
          <w:sz w:val="24"/>
          <w:szCs w:val="24"/>
        </w:rPr>
        <w:t>Student Name:</w:t>
      </w:r>
      <w:r w:rsidR="00751427">
        <w:rPr>
          <w:rFonts w:cs="Arial"/>
          <w:color w:val="000000"/>
          <w:sz w:val="24"/>
          <w:szCs w:val="24"/>
        </w:rPr>
        <w:t xml:space="preserve"> </w:t>
      </w:r>
      <w:r w:rsidR="003877A0">
        <w:rPr>
          <w:rFonts w:cs="Arial"/>
          <w:color w:val="000000"/>
          <w:sz w:val="24"/>
          <w:szCs w:val="24"/>
        </w:rPr>
        <w:t>Silvia</w:t>
      </w:r>
      <w:r w:rsidR="00751427">
        <w:rPr>
          <w:rFonts w:cs="Arial"/>
          <w:color w:val="000000"/>
          <w:sz w:val="24"/>
          <w:szCs w:val="24"/>
        </w:rPr>
        <w:t xml:space="preserve"> </w:t>
      </w:r>
      <w:r w:rsidR="003877A0">
        <w:rPr>
          <w:rFonts w:cs="Arial"/>
          <w:color w:val="000000"/>
          <w:sz w:val="24"/>
          <w:szCs w:val="24"/>
        </w:rPr>
        <w:t xml:space="preserve">Borcila </w:t>
      </w:r>
    </w:p>
    <w:p w14:paraId="68FF744B" w14:textId="5E9981E3" w:rsidR="00402E93" w:rsidRPr="00402E93" w:rsidRDefault="00402E93" w:rsidP="00402E93">
      <w:pPr>
        <w:jc w:val="center"/>
        <w:rPr>
          <w:rFonts w:cs="Arial"/>
          <w:color w:val="000000"/>
          <w:sz w:val="24"/>
          <w:szCs w:val="24"/>
        </w:rPr>
      </w:pPr>
      <w:r w:rsidRPr="00402E93">
        <w:rPr>
          <w:rFonts w:cs="Arial"/>
          <w:color w:val="000000"/>
          <w:sz w:val="24"/>
          <w:szCs w:val="24"/>
        </w:rPr>
        <w:t>Student Number:</w:t>
      </w:r>
      <w:r w:rsidR="003877A0">
        <w:rPr>
          <w:rFonts w:cs="Arial"/>
          <w:color w:val="000000"/>
          <w:sz w:val="24"/>
          <w:szCs w:val="24"/>
        </w:rPr>
        <w:t>2118502</w:t>
      </w:r>
    </w:p>
    <w:p w14:paraId="2B1D4AF9" w14:textId="4F3453F0" w:rsidR="00402E93" w:rsidRPr="00402E93" w:rsidRDefault="00402E93" w:rsidP="00402E93">
      <w:pPr>
        <w:jc w:val="center"/>
        <w:rPr>
          <w:rFonts w:cs="Arial"/>
          <w:color w:val="000000"/>
          <w:sz w:val="24"/>
          <w:szCs w:val="24"/>
        </w:rPr>
      </w:pPr>
      <w:r w:rsidRPr="00402E93">
        <w:rPr>
          <w:rFonts w:cs="Arial"/>
          <w:color w:val="000000"/>
          <w:sz w:val="24"/>
          <w:szCs w:val="24"/>
        </w:rPr>
        <w:t>Lecturer Name:</w:t>
      </w:r>
      <w:r w:rsidR="00751427">
        <w:rPr>
          <w:rFonts w:cs="Arial"/>
          <w:color w:val="000000"/>
          <w:sz w:val="24"/>
          <w:szCs w:val="24"/>
        </w:rPr>
        <w:t xml:space="preserve"> Muno </w:t>
      </w:r>
      <w:proofErr w:type="spellStart"/>
      <w:r w:rsidR="00751427">
        <w:rPr>
          <w:rFonts w:cs="Arial"/>
          <w:color w:val="000000"/>
          <w:sz w:val="24"/>
          <w:szCs w:val="24"/>
        </w:rPr>
        <w:t>Zuwirai</w:t>
      </w:r>
      <w:proofErr w:type="spellEnd"/>
    </w:p>
    <w:p w14:paraId="1DD1F140" w14:textId="77777777" w:rsidR="00402E93" w:rsidRPr="00402E93" w:rsidRDefault="00402E93" w:rsidP="00402E93">
      <w:pPr>
        <w:jc w:val="center"/>
        <w:rPr>
          <w:rFonts w:cs="Arial"/>
          <w:b/>
          <w:bCs/>
          <w:color w:val="000000"/>
          <w:sz w:val="24"/>
          <w:szCs w:val="24"/>
        </w:rPr>
      </w:pPr>
      <w:r w:rsidRPr="00402E93">
        <w:rPr>
          <w:rFonts w:cs="Arial"/>
          <w:b/>
          <w:bCs/>
          <w:color w:val="000000"/>
          <w:sz w:val="24"/>
          <w:szCs w:val="24"/>
        </w:rPr>
        <w:t>LCBB5002_BIRM</w:t>
      </w:r>
    </w:p>
    <w:p w14:paraId="1A20DFF8" w14:textId="77777777" w:rsidR="00402E93" w:rsidRPr="00402E93" w:rsidRDefault="00402E93" w:rsidP="00402E93">
      <w:pPr>
        <w:jc w:val="center"/>
        <w:rPr>
          <w:rFonts w:cs="Arial"/>
          <w:b/>
          <w:bCs/>
          <w:color w:val="000000"/>
          <w:sz w:val="24"/>
          <w:szCs w:val="24"/>
        </w:rPr>
      </w:pPr>
      <w:r w:rsidRPr="00402E93">
        <w:rPr>
          <w:rFonts w:cs="Arial"/>
          <w:b/>
          <w:bCs/>
          <w:color w:val="000000"/>
          <w:sz w:val="24"/>
          <w:szCs w:val="24"/>
        </w:rPr>
        <w:t>Management Accounting</w:t>
      </w:r>
    </w:p>
    <w:p w14:paraId="7A3CFE03" w14:textId="77777777" w:rsidR="00402E93" w:rsidRPr="00402E93" w:rsidRDefault="00402E93" w:rsidP="00402E93">
      <w:pPr>
        <w:rPr>
          <w:rFonts w:cs="Arial"/>
          <w:color w:val="000000"/>
          <w:sz w:val="24"/>
          <w:szCs w:val="24"/>
        </w:rPr>
      </w:pPr>
    </w:p>
    <w:p w14:paraId="10E9BFE4" w14:textId="77777777" w:rsidR="00402E93" w:rsidRPr="00402E93" w:rsidRDefault="00402E93" w:rsidP="00402E93">
      <w:pPr>
        <w:rPr>
          <w:rFonts w:cs="Arial"/>
          <w:color w:val="000000"/>
          <w:sz w:val="24"/>
          <w:szCs w:val="24"/>
        </w:rPr>
      </w:pPr>
    </w:p>
    <w:p w14:paraId="7273389C" w14:textId="77777777" w:rsidR="00402E93" w:rsidRPr="00402E93" w:rsidRDefault="00402E93" w:rsidP="00402E93">
      <w:pPr>
        <w:rPr>
          <w:rFonts w:cs="Arial"/>
          <w:color w:val="000000"/>
          <w:sz w:val="24"/>
          <w:szCs w:val="24"/>
        </w:rPr>
      </w:pPr>
    </w:p>
    <w:p w14:paraId="494FAE02" w14:textId="77777777" w:rsidR="00402E93" w:rsidRPr="00402E93" w:rsidRDefault="00402E93" w:rsidP="00402E93">
      <w:pPr>
        <w:rPr>
          <w:rFonts w:cs="Arial"/>
          <w:color w:val="000000"/>
          <w:sz w:val="24"/>
          <w:szCs w:val="24"/>
        </w:rPr>
      </w:pPr>
    </w:p>
    <w:p w14:paraId="10D36DF4" w14:textId="77777777" w:rsidR="00402E93" w:rsidRPr="00402E93" w:rsidRDefault="00402E93" w:rsidP="00402E93">
      <w:pPr>
        <w:rPr>
          <w:rFonts w:cs="Arial"/>
          <w:color w:val="000000"/>
          <w:sz w:val="24"/>
          <w:szCs w:val="24"/>
        </w:rPr>
      </w:pPr>
    </w:p>
    <w:p w14:paraId="1A2DDA59" w14:textId="77777777" w:rsidR="00402E93" w:rsidRPr="00402E93" w:rsidRDefault="00402E93" w:rsidP="00402E93">
      <w:pPr>
        <w:rPr>
          <w:rFonts w:cs="Arial"/>
          <w:color w:val="000000"/>
          <w:sz w:val="24"/>
          <w:szCs w:val="24"/>
        </w:rPr>
      </w:pPr>
    </w:p>
    <w:p w14:paraId="6C1E3E5A" w14:textId="77777777" w:rsidR="00402E93" w:rsidRPr="00402E93" w:rsidRDefault="00402E93" w:rsidP="00402E93">
      <w:pPr>
        <w:rPr>
          <w:rFonts w:cs="Arial"/>
          <w:color w:val="000000"/>
          <w:sz w:val="24"/>
          <w:szCs w:val="24"/>
        </w:rPr>
      </w:pPr>
    </w:p>
    <w:p w14:paraId="5F4B0179" w14:textId="77777777" w:rsidR="00402E93" w:rsidRPr="00402E93" w:rsidRDefault="00402E93" w:rsidP="00402E93">
      <w:pPr>
        <w:rPr>
          <w:rFonts w:cs="Arial"/>
          <w:color w:val="000000"/>
          <w:sz w:val="24"/>
          <w:szCs w:val="24"/>
        </w:rPr>
      </w:pPr>
    </w:p>
    <w:p w14:paraId="5B8465AF" w14:textId="77777777" w:rsidR="00402E93" w:rsidRPr="00402E93" w:rsidRDefault="00402E93" w:rsidP="00402E93">
      <w:pPr>
        <w:rPr>
          <w:rFonts w:cs="Arial"/>
          <w:color w:val="000000"/>
          <w:sz w:val="24"/>
          <w:szCs w:val="24"/>
        </w:rPr>
      </w:pPr>
    </w:p>
    <w:p w14:paraId="013DC58B" w14:textId="77777777" w:rsidR="00402E93" w:rsidRPr="00402E93" w:rsidRDefault="00402E93" w:rsidP="00402E93">
      <w:pPr>
        <w:rPr>
          <w:rFonts w:cs="Arial"/>
          <w:color w:val="000000"/>
          <w:sz w:val="24"/>
          <w:szCs w:val="24"/>
        </w:rPr>
      </w:pPr>
    </w:p>
    <w:p w14:paraId="39D0063E" w14:textId="77777777" w:rsidR="00402E93" w:rsidRPr="00402E93" w:rsidRDefault="00402E93" w:rsidP="00402E93">
      <w:pPr>
        <w:rPr>
          <w:rFonts w:cs="Arial"/>
          <w:color w:val="000000"/>
          <w:sz w:val="24"/>
          <w:szCs w:val="24"/>
        </w:rPr>
      </w:pPr>
    </w:p>
    <w:sdt>
      <w:sdtPr>
        <w:rPr>
          <w:rFonts w:cs="Arial"/>
          <w:color w:val="000000"/>
          <w:sz w:val="24"/>
          <w:szCs w:val="24"/>
        </w:rPr>
        <w:id w:val="-2141098255"/>
        <w:docPartObj>
          <w:docPartGallery w:val="Table of Contents"/>
          <w:docPartUnique/>
        </w:docPartObj>
      </w:sdtPr>
      <w:sdtEndPr/>
      <w:sdtContent>
        <w:p w14:paraId="645EE8AA" w14:textId="77777777" w:rsidR="00402E93" w:rsidRPr="00402E93" w:rsidRDefault="00402E93" w:rsidP="00402E93">
          <w:pPr>
            <w:rPr>
              <w:rFonts w:cs="Arial"/>
              <w:b/>
              <w:bCs/>
              <w:color w:val="000000"/>
              <w:sz w:val="24"/>
              <w:szCs w:val="24"/>
              <w:lang w:val="en-US"/>
            </w:rPr>
          </w:pPr>
          <w:r w:rsidRPr="00402E93">
            <w:rPr>
              <w:rFonts w:cs="Arial"/>
              <w:b/>
              <w:bCs/>
              <w:color w:val="000000"/>
              <w:sz w:val="24"/>
              <w:szCs w:val="24"/>
            </w:rPr>
            <w:t>Table of con</w:t>
          </w:r>
          <w:r w:rsidRPr="00402E93">
            <w:rPr>
              <w:rFonts w:cs="Arial"/>
              <w:b/>
              <w:bCs/>
              <w:color w:val="000000"/>
              <w:sz w:val="24"/>
              <w:szCs w:val="24"/>
              <w:lang w:val="en-US"/>
            </w:rPr>
            <w:t>tents</w:t>
          </w:r>
        </w:p>
        <w:p w14:paraId="4F10D1CF" w14:textId="0CE89ADE" w:rsidR="005547E6" w:rsidRDefault="00402E93">
          <w:pPr>
            <w:pStyle w:val="TOC1"/>
            <w:tabs>
              <w:tab w:val="left" w:pos="440"/>
              <w:tab w:val="right" w:leader="dot" w:pos="9016"/>
            </w:tabs>
            <w:rPr>
              <w:rFonts w:asciiTheme="minorHAnsi" w:eastAsiaTheme="minorEastAsia" w:hAnsiTheme="minorHAnsi"/>
              <w:noProof/>
            </w:rPr>
          </w:pPr>
          <w:r w:rsidRPr="00402E93">
            <w:rPr>
              <w:rFonts w:ascii="Times New Roman" w:hAnsi="Times New Roman" w:cs="Times New Roman"/>
              <w:b/>
              <w:bCs/>
              <w:color w:val="000000"/>
              <w:sz w:val="24"/>
              <w:szCs w:val="24"/>
            </w:rPr>
            <w:fldChar w:fldCharType="begin"/>
          </w:r>
          <w:r w:rsidRPr="00402E93">
            <w:rPr>
              <w:rFonts w:ascii="Times New Roman" w:hAnsi="Times New Roman" w:cs="Times New Roman"/>
              <w:b/>
              <w:bCs/>
              <w:color w:val="000000"/>
              <w:sz w:val="24"/>
              <w:szCs w:val="24"/>
            </w:rPr>
            <w:instrText xml:space="preserve"> TOC \o "1-3" \h \z \u </w:instrText>
          </w:r>
          <w:r w:rsidRPr="00402E93">
            <w:rPr>
              <w:rFonts w:ascii="Times New Roman" w:hAnsi="Times New Roman" w:cs="Times New Roman"/>
              <w:b/>
              <w:bCs/>
              <w:color w:val="000000"/>
              <w:sz w:val="24"/>
              <w:szCs w:val="24"/>
            </w:rPr>
            <w:fldChar w:fldCharType="separate"/>
          </w:r>
          <w:hyperlink w:anchor="_Toc126957763" w:history="1">
            <w:r w:rsidR="005547E6" w:rsidRPr="00E64195">
              <w:rPr>
                <w:rStyle w:val="Hyperlink"/>
                <w:noProof/>
              </w:rPr>
              <w:t>1.</w:t>
            </w:r>
            <w:r w:rsidR="005547E6">
              <w:rPr>
                <w:rFonts w:asciiTheme="minorHAnsi" w:eastAsiaTheme="minorEastAsia" w:hAnsiTheme="minorHAnsi"/>
                <w:noProof/>
              </w:rPr>
              <w:tab/>
            </w:r>
            <w:r w:rsidR="005547E6" w:rsidRPr="00E64195">
              <w:rPr>
                <w:rStyle w:val="Hyperlink"/>
                <w:noProof/>
              </w:rPr>
              <w:t>Introduction</w:t>
            </w:r>
            <w:r w:rsidR="005547E6">
              <w:rPr>
                <w:noProof/>
                <w:webHidden/>
              </w:rPr>
              <w:tab/>
            </w:r>
            <w:r w:rsidR="005547E6">
              <w:rPr>
                <w:noProof/>
                <w:webHidden/>
              </w:rPr>
              <w:fldChar w:fldCharType="begin"/>
            </w:r>
            <w:r w:rsidR="005547E6">
              <w:rPr>
                <w:noProof/>
                <w:webHidden/>
              </w:rPr>
              <w:instrText xml:space="preserve"> PAGEREF _Toc126957763 \h </w:instrText>
            </w:r>
            <w:r w:rsidR="005547E6">
              <w:rPr>
                <w:noProof/>
                <w:webHidden/>
              </w:rPr>
            </w:r>
            <w:r w:rsidR="005547E6">
              <w:rPr>
                <w:noProof/>
                <w:webHidden/>
              </w:rPr>
              <w:fldChar w:fldCharType="separate"/>
            </w:r>
            <w:r w:rsidR="005547E6">
              <w:rPr>
                <w:noProof/>
                <w:webHidden/>
              </w:rPr>
              <w:t>3</w:t>
            </w:r>
            <w:r w:rsidR="005547E6">
              <w:rPr>
                <w:noProof/>
                <w:webHidden/>
              </w:rPr>
              <w:fldChar w:fldCharType="end"/>
            </w:r>
          </w:hyperlink>
        </w:p>
        <w:p w14:paraId="534DDA93" w14:textId="1DE15E2F" w:rsidR="005547E6" w:rsidRDefault="00943057">
          <w:pPr>
            <w:pStyle w:val="TOC1"/>
            <w:tabs>
              <w:tab w:val="left" w:pos="440"/>
              <w:tab w:val="right" w:leader="dot" w:pos="9016"/>
            </w:tabs>
            <w:rPr>
              <w:rFonts w:asciiTheme="minorHAnsi" w:eastAsiaTheme="minorEastAsia" w:hAnsiTheme="minorHAnsi"/>
              <w:noProof/>
            </w:rPr>
          </w:pPr>
          <w:hyperlink w:anchor="_Toc126957764" w:history="1">
            <w:r w:rsidR="005547E6" w:rsidRPr="00E64195">
              <w:rPr>
                <w:rStyle w:val="Hyperlink"/>
                <w:noProof/>
              </w:rPr>
              <w:t>2.</w:t>
            </w:r>
            <w:r w:rsidR="005547E6">
              <w:rPr>
                <w:rFonts w:asciiTheme="minorHAnsi" w:eastAsiaTheme="minorEastAsia" w:hAnsiTheme="minorHAnsi"/>
                <w:noProof/>
              </w:rPr>
              <w:tab/>
            </w:r>
            <w:r w:rsidR="005547E6" w:rsidRPr="00E64195">
              <w:rPr>
                <w:rStyle w:val="Hyperlink"/>
                <w:noProof/>
              </w:rPr>
              <w:t>Subheadings</w:t>
            </w:r>
            <w:r w:rsidR="005547E6">
              <w:rPr>
                <w:noProof/>
                <w:webHidden/>
              </w:rPr>
              <w:tab/>
            </w:r>
            <w:r w:rsidR="005547E6">
              <w:rPr>
                <w:noProof/>
                <w:webHidden/>
              </w:rPr>
              <w:fldChar w:fldCharType="begin"/>
            </w:r>
            <w:r w:rsidR="005547E6">
              <w:rPr>
                <w:noProof/>
                <w:webHidden/>
              </w:rPr>
              <w:instrText xml:space="preserve"> PAGEREF _Toc126957764 \h </w:instrText>
            </w:r>
            <w:r w:rsidR="005547E6">
              <w:rPr>
                <w:noProof/>
                <w:webHidden/>
              </w:rPr>
            </w:r>
            <w:r w:rsidR="005547E6">
              <w:rPr>
                <w:noProof/>
                <w:webHidden/>
              </w:rPr>
              <w:fldChar w:fldCharType="separate"/>
            </w:r>
            <w:r w:rsidR="005547E6">
              <w:rPr>
                <w:noProof/>
                <w:webHidden/>
              </w:rPr>
              <w:t>3</w:t>
            </w:r>
            <w:r w:rsidR="005547E6">
              <w:rPr>
                <w:noProof/>
                <w:webHidden/>
              </w:rPr>
              <w:fldChar w:fldCharType="end"/>
            </w:r>
          </w:hyperlink>
        </w:p>
        <w:p w14:paraId="6CC71437" w14:textId="1CF74268" w:rsidR="005547E6" w:rsidRDefault="00943057">
          <w:pPr>
            <w:pStyle w:val="TOC3"/>
            <w:tabs>
              <w:tab w:val="left" w:pos="880"/>
              <w:tab w:val="right" w:leader="dot" w:pos="9016"/>
            </w:tabs>
            <w:rPr>
              <w:rFonts w:asciiTheme="minorHAnsi" w:eastAsiaTheme="minorEastAsia" w:hAnsiTheme="minorHAnsi"/>
              <w:noProof/>
            </w:rPr>
          </w:pPr>
          <w:hyperlink w:anchor="_Toc126957765" w:history="1">
            <w:r w:rsidR="005547E6" w:rsidRPr="00E64195">
              <w:rPr>
                <w:rStyle w:val="Hyperlink"/>
                <w:noProof/>
              </w:rPr>
              <w:t>a)</w:t>
            </w:r>
            <w:r w:rsidR="005547E6">
              <w:rPr>
                <w:rFonts w:asciiTheme="minorHAnsi" w:eastAsiaTheme="minorEastAsia" w:hAnsiTheme="minorHAnsi"/>
                <w:noProof/>
              </w:rPr>
              <w:tab/>
            </w:r>
            <w:r w:rsidR="005547E6" w:rsidRPr="00E64195">
              <w:rPr>
                <w:rStyle w:val="Hyperlink"/>
                <w:noProof/>
              </w:rPr>
              <w:t>Differences between marginal costing and absorption costing techniques c</w:t>
            </w:r>
            <w:r w:rsidR="005547E6" w:rsidRPr="00E64195">
              <w:rPr>
                <w:rStyle w:val="Hyperlink"/>
                <w:bCs/>
                <w:noProof/>
              </w:rPr>
              <w:t>onsidering their applicability and benefits</w:t>
            </w:r>
            <w:r w:rsidR="005547E6">
              <w:rPr>
                <w:noProof/>
                <w:webHidden/>
              </w:rPr>
              <w:tab/>
            </w:r>
            <w:r w:rsidR="005547E6">
              <w:rPr>
                <w:noProof/>
                <w:webHidden/>
              </w:rPr>
              <w:fldChar w:fldCharType="begin"/>
            </w:r>
            <w:r w:rsidR="005547E6">
              <w:rPr>
                <w:noProof/>
                <w:webHidden/>
              </w:rPr>
              <w:instrText xml:space="preserve"> PAGEREF _Toc126957765 \h </w:instrText>
            </w:r>
            <w:r w:rsidR="005547E6">
              <w:rPr>
                <w:noProof/>
                <w:webHidden/>
              </w:rPr>
            </w:r>
            <w:r w:rsidR="005547E6">
              <w:rPr>
                <w:noProof/>
                <w:webHidden/>
              </w:rPr>
              <w:fldChar w:fldCharType="separate"/>
            </w:r>
            <w:r w:rsidR="005547E6">
              <w:rPr>
                <w:noProof/>
                <w:webHidden/>
              </w:rPr>
              <w:t>3</w:t>
            </w:r>
            <w:r w:rsidR="005547E6">
              <w:rPr>
                <w:noProof/>
                <w:webHidden/>
              </w:rPr>
              <w:fldChar w:fldCharType="end"/>
            </w:r>
          </w:hyperlink>
        </w:p>
        <w:p w14:paraId="2C5F6184" w14:textId="2B0B39B8" w:rsidR="005547E6" w:rsidRDefault="00943057">
          <w:pPr>
            <w:pStyle w:val="TOC3"/>
            <w:tabs>
              <w:tab w:val="left" w:pos="880"/>
              <w:tab w:val="right" w:leader="dot" w:pos="9016"/>
            </w:tabs>
            <w:rPr>
              <w:rFonts w:asciiTheme="minorHAnsi" w:eastAsiaTheme="minorEastAsia" w:hAnsiTheme="minorHAnsi"/>
              <w:noProof/>
            </w:rPr>
          </w:pPr>
          <w:hyperlink w:anchor="_Toc126957766" w:history="1">
            <w:r w:rsidR="005547E6" w:rsidRPr="00E64195">
              <w:rPr>
                <w:rStyle w:val="Hyperlink"/>
                <w:noProof/>
              </w:rPr>
              <w:t>b)</w:t>
            </w:r>
            <w:r w:rsidR="005547E6">
              <w:rPr>
                <w:rFonts w:asciiTheme="minorHAnsi" w:eastAsiaTheme="minorEastAsia" w:hAnsiTheme="minorHAnsi"/>
                <w:noProof/>
              </w:rPr>
              <w:tab/>
            </w:r>
            <w:r w:rsidR="005547E6" w:rsidRPr="00E64195">
              <w:rPr>
                <w:rStyle w:val="Hyperlink"/>
                <w:noProof/>
              </w:rPr>
              <w:t xml:space="preserve">Preparing a Marginal Costing Statement </w:t>
            </w:r>
            <w:r w:rsidR="005547E6" w:rsidRPr="00E64195">
              <w:rPr>
                <w:rStyle w:val="Hyperlink"/>
                <w:b/>
                <w:noProof/>
              </w:rPr>
              <w:t xml:space="preserve">for each product and total </w:t>
            </w:r>
            <w:r w:rsidR="005547E6" w:rsidRPr="00E64195">
              <w:rPr>
                <w:rStyle w:val="Hyperlink"/>
                <w:noProof/>
              </w:rPr>
              <w:t>for the month of December 2022</w:t>
            </w:r>
            <w:r w:rsidR="005547E6">
              <w:rPr>
                <w:noProof/>
                <w:webHidden/>
              </w:rPr>
              <w:tab/>
            </w:r>
            <w:r w:rsidR="005547E6">
              <w:rPr>
                <w:noProof/>
                <w:webHidden/>
              </w:rPr>
              <w:fldChar w:fldCharType="begin"/>
            </w:r>
            <w:r w:rsidR="005547E6">
              <w:rPr>
                <w:noProof/>
                <w:webHidden/>
              </w:rPr>
              <w:instrText xml:space="preserve"> PAGEREF _Toc126957766 \h </w:instrText>
            </w:r>
            <w:r w:rsidR="005547E6">
              <w:rPr>
                <w:noProof/>
                <w:webHidden/>
              </w:rPr>
            </w:r>
            <w:r w:rsidR="005547E6">
              <w:rPr>
                <w:noProof/>
                <w:webHidden/>
              </w:rPr>
              <w:fldChar w:fldCharType="separate"/>
            </w:r>
            <w:r w:rsidR="005547E6">
              <w:rPr>
                <w:noProof/>
                <w:webHidden/>
              </w:rPr>
              <w:t>4</w:t>
            </w:r>
            <w:r w:rsidR="005547E6">
              <w:rPr>
                <w:noProof/>
                <w:webHidden/>
              </w:rPr>
              <w:fldChar w:fldCharType="end"/>
            </w:r>
          </w:hyperlink>
        </w:p>
        <w:p w14:paraId="622CCF35" w14:textId="2544394E" w:rsidR="005547E6" w:rsidRDefault="00943057">
          <w:pPr>
            <w:pStyle w:val="TOC3"/>
            <w:tabs>
              <w:tab w:val="left" w:pos="880"/>
              <w:tab w:val="right" w:leader="dot" w:pos="9016"/>
            </w:tabs>
            <w:rPr>
              <w:rFonts w:asciiTheme="minorHAnsi" w:eastAsiaTheme="minorEastAsia" w:hAnsiTheme="minorHAnsi"/>
              <w:noProof/>
            </w:rPr>
          </w:pPr>
          <w:hyperlink w:anchor="_Toc126957767" w:history="1">
            <w:r w:rsidR="005547E6" w:rsidRPr="00E64195">
              <w:rPr>
                <w:rStyle w:val="Hyperlink"/>
                <w:noProof/>
              </w:rPr>
              <w:t>c)</w:t>
            </w:r>
            <w:r w:rsidR="005547E6">
              <w:rPr>
                <w:rFonts w:asciiTheme="minorHAnsi" w:eastAsiaTheme="minorEastAsia" w:hAnsiTheme="minorHAnsi"/>
                <w:noProof/>
              </w:rPr>
              <w:tab/>
            </w:r>
            <w:r w:rsidR="005547E6" w:rsidRPr="00E64195">
              <w:rPr>
                <w:rStyle w:val="Hyperlink"/>
                <w:noProof/>
              </w:rPr>
              <w:t xml:space="preserve">Based on the calculation of part (b) above, advising if MSG </w:t>
            </w:r>
            <w:r w:rsidR="005547E6" w:rsidRPr="00E64195">
              <w:rPr>
                <w:rStyle w:val="Hyperlink"/>
                <w:b/>
                <w:bCs/>
                <w:noProof/>
              </w:rPr>
              <w:t>should stop the production of Hoists</w:t>
            </w:r>
            <w:r w:rsidR="005547E6">
              <w:rPr>
                <w:noProof/>
                <w:webHidden/>
              </w:rPr>
              <w:tab/>
            </w:r>
            <w:r w:rsidR="005547E6">
              <w:rPr>
                <w:noProof/>
                <w:webHidden/>
              </w:rPr>
              <w:fldChar w:fldCharType="begin"/>
            </w:r>
            <w:r w:rsidR="005547E6">
              <w:rPr>
                <w:noProof/>
                <w:webHidden/>
              </w:rPr>
              <w:instrText xml:space="preserve"> PAGEREF _Toc126957767 \h </w:instrText>
            </w:r>
            <w:r w:rsidR="005547E6">
              <w:rPr>
                <w:noProof/>
                <w:webHidden/>
              </w:rPr>
            </w:r>
            <w:r w:rsidR="005547E6">
              <w:rPr>
                <w:noProof/>
                <w:webHidden/>
              </w:rPr>
              <w:fldChar w:fldCharType="separate"/>
            </w:r>
            <w:r w:rsidR="005547E6">
              <w:rPr>
                <w:noProof/>
                <w:webHidden/>
              </w:rPr>
              <w:t>5</w:t>
            </w:r>
            <w:r w:rsidR="005547E6">
              <w:rPr>
                <w:noProof/>
                <w:webHidden/>
              </w:rPr>
              <w:fldChar w:fldCharType="end"/>
            </w:r>
          </w:hyperlink>
        </w:p>
        <w:p w14:paraId="6C15FE51" w14:textId="39722E4C" w:rsidR="005547E6" w:rsidRDefault="00943057">
          <w:pPr>
            <w:pStyle w:val="TOC3"/>
            <w:tabs>
              <w:tab w:val="left" w:pos="880"/>
              <w:tab w:val="right" w:leader="dot" w:pos="9016"/>
            </w:tabs>
            <w:rPr>
              <w:rFonts w:asciiTheme="minorHAnsi" w:eastAsiaTheme="minorEastAsia" w:hAnsiTheme="minorHAnsi"/>
              <w:noProof/>
            </w:rPr>
          </w:pPr>
          <w:hyperlink w:anchor="_Toc126957768" w:history="1">
            <w:r w:rsidR="005547E6" w:rsidRPr="00E64195">
              <w:rPr>
                <w:rStyle w:val="Hyperlink"/>
                <w:noProof/>
              </w:rPr>
              <w:t>d)</w:t>
            </w:r>
            <w:r w:rsidR="005547E6">
              <w:rPr>
                <w:rFonts w:asciiTheme="minorHAnsi" w:eastAsiaTheme="minorEastAsia" w:hAnsiTheme="minorHAnsi"/>
                <w:noProof/>
              </w:rPr>
              <w:tab/>
            </w:r>
            <w:r w:rsidR="005547E6" w:rsidRPr="00E64195">
              <w:rPr>
                <w:rStyle w:val="Hyperlink"/>
                <w:noProof/>
              </w:rPr>
              <w:t>Based on the calculation of part (b) above, advising if MSG should stop the production of Mobile Beds</w:t>
            </w:r>
            <w:r w:rsidR="005547E6">
              <w:rPr>
                <w:noProof/>
                <w:webHidden/>
              </w:rPr>
              <w:tab/>
            </w:r>
            <w:r w:rsidR="005547E6">
              <w:rPr>
                <w:noProof/>
                <w:webHidden/>
              </w:rPr>
              <w:fldChar w:fldCharType="begin"/>
            </w:r>
            <w:r w:rsidR="005547E6">
              <w:rPr>
                <w:noProof/>
                <w:webHidden/>
              </w:rPr>
              <w:instrText xml:space="preserve"> PAGEREF _Toc126957768 \h </w:instrText>
            </w:r>
            <w:r w:rsidR="005547E6">
              <w:rPr>
                <w:noProof/>
                <w:webHidden/>
              </w:rPr>
            </w:r>
            <w:r w:rsidR="005547E6">
              <w:rPr>
                <w:noProof/>
                <w:webHidden/>
              </w:rPr>
              <w:fldChar w:fldCharType="separate"/>
            </w:r>
            <w:r w:rsidR="005547E6">
              <w:rPr>
                <w:noProof/>
                <w:webHidden/>
              </w:rPr>
              <w:t>6</w:t>
            </w:r>
            <w:r w:rsidR="005547E6">
              <w:rPr>
                <w:noProof/>
                <w:webHidden/>
              </w:rPr>
              <w:fldChar w:fldCharType="end"/>
            </w:r>
          </w:hyperlink>
        </w:p>
        <w:p w14:paraId="22CA5001" w14:textId="6A306ACF" w:rsidR="005547E6" w:rsidRDefault="00943057">
          <w:pPr>
            <w:pStyle w:val="TOC3"/>
            <w:tabs>
              <w:tab w:val="left" w:pos="880"/>
              <w:tab w:val="right" w:leader="dot" w:pos="9016"/>
            </w:tabs>
            <w:rPr>
              <w:rFonts w:asciiTheme="minorHAnsi" w:eastAsiaTheme="minorEastAsia" w:hAnsiTheme="minorHAnsi"/>
              <w:noProof/>
            </w:rPr>
          </w:pPr>
          <w:hyperlink w:anchor="_Toc126957769" w:history="1">
            <w:r w:rsidR="005547E6" w:rsidRPr="00E64195">
              <w:rPr>
                <w:rStyle w:val="Hyperlink"/>
                <w:noProof/>
              </w:rPr>
              <w:t>e)</w:t>
            </w:r>
            <w:r w:rsidR="005547E6">
              <w:rPr>
                <w:rFonts w:asciiTheme="minorHAnsi" w:eastAsiaTheme="minorEastAsia" w:hAnsiTheme="minorHAnsi"/>
                <w:noProof/>
              </w:rPr>
              <w:tab/>
            </w:r>
            <w:r w:rsidR="005547E6" w:rsidRPr="00E64195">
              <w:rPr>
                <w:rStyle w:val="Hyperlink"/>
                <w:noProof/>
              </w:rPr>
              <w:t>Qualitative issues that Mobility Group should consider in making the decision to cease production of Hoists and Mobile Beds</w:t>
            </w:r>
            <w:r w:rsidR="005547E6">
              <w:rPr>
                <w:noProof/>
                <w:webHidden/>
              </w:rPr>
              <w:tab/>
            </w:r>
            <w:r w:rsidR="005547E6">
              <w:rPr>
                <w:noProof/>
                <w:webHidden/>
              </w:rPr>
              <w:fldChar w:fldCharType="begin"/>
            </w:r>
            <w:r w:rsidR="005547E6">
              <w:rPr>
                <w:noProof/>
                <w:webHidden/>
              </w:rPr>
              <w:instrText xml:space="preserve"> PAGEREF _Toc126957769 \h </w:instrText>
            </w:r>
            <w:r w:rsidR="005547E6">
              <w:rPr>
                <w:noProof/>
                <w:webHidden/>
              </w:rPr>
            </w:r>
            <w:r w:rsidR="005547E6">
              <w:rPr>
                <w:noProof/>
                <w:webHidden/>
              </w:rPr>
              <w:fldChar w:fldCharType="separate"/>
            </w:r>
            <w:r w:rsidR="005547E6">
              <w:rPr>
                <w:noProof/>
                <w:webHidden/>
              </w:rPr>
              <w:t>7</w:t>
            </w:r>
            <w:r w:rsidR="005547E6">
              <w:rPr>
                <w:noProof/>
                <w:webHidden/>
              </w:rPr>
              <w:fldChar w:fldCharType="end"/>
            </w:r>
          </w:hyperlink>
        </w:p>
        <w:p w14:paraId="466C0377" w14:textId="454C99D8" w:rsidR="005547E6" w:rsidRDefault="00943057">
          <w:pPr>
            <w:pStyle w:val="TOC2"/>
            <w:tabs>
              <w:tab w:val="right" w:leader="dot" w:pos="9016"/>
            </w:tabs>
            <w:rPr>
              <w:rFonts w:asciiTheme="minorHAnsi" w:eastAsiaTheme="minorEastAsia" w:hAnsiTheme="minorHAnsi"/>
              <w:noProof/>
            </w:rPr>
          </w:pPr>
          <w:hyperlink w:anchor="_Toc126957770" w:history="1">
            <w:r w:rsidR="005547E6" w:rsidRPr="00E64195">
              <w:rPr>
                <w:rStyle w:val="Hyperlink"/>
                <w:noProof/>
              </w:rPr>
              <w:t>2.1 Conclusion</w:t>
            </w:r>
            <w:r w:rsidR="005547E6">
              <w:rPr>
                <w:noProof/>
                <w:webHidden/>
              </w:rPr>
              <w:tab/>
            </w:r>
            <w:r w:rsidR="005547E6">
              <w:rPr>
                <w:noProof/>
                <w:webHidden/>
              </w:rPr>
              <w:fldChar w:fldCharType="begin"/>
            </w:r>
            <w:r w:rsidR="005547E6">
              <w:rPr>
                <w:noProof/>
                <w:webHidden/>
              </w:rPr>
              <w:instrText xml:space="preserve"> PAGEREF _Toc126957770 \h </w:instrText>
            </w:r>
            <w:r w:rsidR="005547E6">
              <w:rPr>
                <w:noProof/>
                <w:webHidden/>
              </w:rPr>
            </w:r>
            <w:r w:rsidR="005547E6">
              <w:rPr>
                <w:noProof/>
                <w:webHidden/>
              </w:rPr>
              <w:fldChar w:fldCharType="separate"/>
            </w:r>
            <w:r w:rsidR="005547E6">
              <w:rPr>
                <w:noProof/>
                <w:webHidden/>
              </w:rPr>
              <w:t>8</w:t>
            </w:r>
            <w:r w:rsidR="005547E6">
              <w:rPr>
                <w:noProof/>
                <w:webHidden/>
              </w:rPr>
              <w:fldChar w:fldCharType="end"/>
            </w:r>
          </w:hyperlink>
        </w:p>
        <w:p w14:paraId="38CDC28C" w14:textId="4447C868" w:rsidR="005547E6" w:rsidRDefault="00943057">
          <w:pPr>
            <w:pStyle w:val="TOC2"/>
            <w:tabs>
              <w:tab w:val="right" w:leader="dot" w:pos="9016"/>
            </w:tabs>
            <w:rPr>
              <w:rFonts w:asciiTheme="minorHAnsi" w:eastAsiaTheme="minorEastAsia" w:hAnsiTheme="minorHAnsi"/>
              <w:noProof/>
            </w:rPr>
          </w:pPr>
          <w:hyperlink w:anchor="_Toc126957771" w:history="1">
            <w:r w:rsidR="005547E6" w:rsidRPr="00E64195">
              <w:rPr>
                <w:rStyle w:val="Hyperlink"/>
                <w:noProof/>
              </w:rPr>
              <w:t>2.2 Recommendations</w:t>
            </w:r>
            <w:r w:rsidR="005547E6">
              <w:rPr>
                <w:noProof/>
                <w:webHidden/>
              </w:rPr>
              <w:tab/>
            </w:r>
            <w:r w:rsidR="005547E6">
              <w:rPr>
                <w:noProof/>
                <w:webHidden/>
              </w:rPr>
              <w:fldChar w:fldCharType="begin"/>
            </w:r>
            <w:r w:rsidR="005547E6">
              <w:rPr>
                <w:noProof/>
                <w:webHidden/>
              </w:rPr>
              <w:instrText xml:space="preserve"> PAGEREF _Toc126957771 \h </w:instrText>
            </w:r>
            <w:r w:rsidR="005547E6">
              <w:rPr>
                <w:noProof/>
                <w:webHidden/>
              </w:rPr>
            </w:r>
            <w:r w:rsidR="005547E6">
              <w:rPr>
                <w:noProof/>
                <w:webHidden/>
              </w:rPr>
              <w:fldChar w:fldCharType="separate"/>
            </w:r>
            <w:r w:rsidR="005547E6">
              <w:rPr>
                <w:noProof/>
                <w:webHidden/>
              </w:rPr>
              <w:t>8</w:t>
            </w:r>
            <w:r w:rsidR="005547E6">
              <w:rPr>
                <w:noProof/>
                <w:webHidden/>
              </w:rPr>
              <w:fldChar w:fldCharType="end"/>
            </w:r>
          </w:hyperlink>
        </w:p>
        <w:p w14:paraId="48AD584A" w14:textId="34692229" w:rsidR="005547E6" w:rsidRDefault="00943057">
          <w:pPr>
            <w:pStyle w:val="TOC2"/>
            <w:tabs>
              <w:tab w:val="right" w:leader="dot" w:pos="9016"/>
            </w:tabs>
            <w:rPr>
              <w:rFonts w:asciiTheme="minorHAnsi" w:eastAsiaTheme="minorEastAsia" w:hAnsiTheme="minorHAnsi"/>
              <w:noProof/>
            </w:rPr>
          </w:pPr>
          <w:hyperlink w:anchor="_Toc126957772" w:history="1">
            <w:r w:rsidR="005547E6" w:rsidRPr="00E64195">
              <w:rPr>
                <w:rStyle w:val="Hyperlink"/>
                <w:noProof/>
              </w:rPr>
              <w:t>2.3 Reference List</w:t>
            </w:r>
            <w:r w:rsidR="005547E6">
              <w:rPr>
                <w:noProof/>
                <w:webHidden/>
              </w:rPr>
              <w:tab/>
            </w:r>
            <w:r w:rsidR="005547E6">
              <w:rPr>
                <w:noProof/>
                <w:webHidden/>
              </w:rPr>
              <w:fldChar w:fldCharType="begin"/>
            </w:r>
            <w:r w:rsidR="005547E6">
              <w:rPr>
                <w:noProof/>
                <w:webHidden/>
              </w:rPr>
              <w:instrText xml:space="preserve"> PAGEREF _Toc126957772 \h </w:instrText>
            </w:r>
            <w:r w:rsidR="005547E6">
              <w:rPr>
                <w:noProof/>
                <w:webHidden/>
              </w:rPr>
            </w:r>
            <w:r w:rsidR="005547E6">
              <w:rPr>
                <w:noProof/>
                <w:webHidden/>
              </w:rPr>
              <w:fldChar w:fldCharType="separate"/>
            </w:r>
            <w:r w:rsidR="005547E6">
              <w:rPr>
                <w:noProof/>
                <w:webHidden/>
              </w:rPr>
              <w:t>9</w:t>
            </w:r>
            <w:r w:rsidR="005547E6">
              <w:rPr>
                <w:noProof/>
                <w:webHidden/>
              </w:rPr>
              <w:fldChar w:fldCharType="end"/>
            </w:r>
          </w:hyperlink>
        </w:p>
        <w:p w14:paraId="3D20EA25" w14:textId="75168B7A" w:rsidR="005547E6" w:rsidRDefault="00943057">
          <w:pPr>
            <w:pStyle w:val="TOC1"/>
            <w:tabs>
              <w:tab w:val="left" w:pos="440"/>
              <w:tab w:val="right" w:leader="dot" w:pos="9016"/>
            </w:tabs>
            <w:rPr>
              <w:rFonts w:asciiTheme="minorHAnsi" w:eastAsiaTheme="minorEastAsia" w:hAnsiTheme="minorHAnsi"/>
              <w:noProof/>
            </w:rPr>
          </w:pPr>
          <w:hyperlink w:anchor="_Toc126957773" w:history="1">
            <w:r w:rsidR="005547E6" w:rsidRPr="00E64195">
              <w:rPr>
                <w:rStyle w:val="Hyperlink"/>
                <w:noProof/>
              </w:rPr>
              <w:t>3.</w:t>
            </w:r>
            <w:r w:rsidR="005547E6">
              <w:rPr>
                <w:rFonts w:asciiTheme="minorHAnsi" w:eastAsiaTheme="minorEastAsia" w:hAnsiTheme="minorHAnsi"/>
                <w:noProof/>
              </w:rPr>
              <w:tab/>
            </w:r>
            <w:r w:rsidR="005547E6" w:rsidRPr="00E64195">
              <w:rPr>
                <w:rStyle w:val="Hyperlink"/>
                <w:noProof/>
              </w:rPr>
              <w:t>Appendix A</w:t>
            </w:r>
            <w:r w:rsidR="005547E6">
              <w:rPr>
                <w:noProof/>
                <w:webHidden/>
              </w:rPr>
              <w:tab/>
            </w:r>
            <w:r w:rsidR="005547E6">
              <w:rPr>
                <w:noProof/>
                <w:webHidden/>
              </w:rPr>
              <w:fldChar w:fldCharType="begin"/>
            </w:r>
            <w:r w:rsidR="005547E6">
              <w:rPr>
                <w:noProof/>
                <w:webHidden/>
              </w:rPr>
              <w:instrText xml:space="preserve"> PAGEREF _Toc126957773 \h </w:instrText>
            </w:r>
            <w:r w:rsidR="005547E6">
              <w:rPr>
                <w:noProof/>
                <w:webHidden/>
              </w:rPr>
            </w:r>
            <w:r w:rsidR="005547E6">
              <w:rPr>
                <w:noProof/>
                <w:webHidden/>
              </w:rPr>
              <w:fldChar w:fldCharType="separate"/>
            </w:r>
            <w:r w:rsidR="005547E6">
              <w:rPr>
                <w:noProof/>
                <w:webHidden/>
              </w:rPr>
              <w:t>10</w:t>
            </w:r>
            <w:r w:rsidR="005547E6">
              <w:rPr>
                <w:noProof/>
                <w:webHidden/>
              </w:rPr>
              <w:fldChar w:fldCharType="end"/>
            </w:r>
          </w:hyperlink>
        </w:p>
        <w:p w14:paraId="30179374" w14:textId="32C3706C" w:rsidR="00402E93" w:rsidRPr="00402E93" w:rsidRDefault="00402E93" w:rsidP="00402E93">
          <w:pPr>
            <w:rPr>
              <w:rFonts w:cs="Arial"/>
              <w:color w:val="000000"/>
              <w:sz w:val="24"/>
              <w:szCs w:val="24"/>
            </w:rPr>
          </w:pPr>
          <w:r w:rsidRPr="00402E93">
            <w:rPr>
              <w:rFonts w:ascii="Times New Roman" w:hAnsi="Times New Roman" w:cs="Times New Roman"/>
              <w:color w:val="000000"/>
              <w:sz w:val="24"/>
              <w:szCs w:val="24"/>
            </w:rPr>
            <w:fldChar w:fldCharType="end"/>
          </w:r>
        </w:p>
      </w:sdtContent>
    </w:sdt>
    <w:p w14:paraId="1380993E" w14:textId="77777777" w:rsidR="00402E93" w:rsidRPr="00402E93" w:rsidRDefault="00402E93" w:rsidP="00402E93">
      <w:pPr>
        <w:rPr>
          <w:rFonts w:cs="Arial"/>
          <w:color w:val="000000"/>
          <w:sz w:val="24"/>
          <w:szCs w:val="24"/>
        </w:rPr>
      </w:pPr>
    </w:p>
    <w:p w14:paraId="478399AB" w14:textId="77777777" w:rsidR="00402E93" w:rsidRPr="00402E93" w:rsidRDefault="00402E93" w:rsidP="00402E93">
      <w:pPr>
        <w:rPr>
          <w:rFonts w:cs="Arial"/>
          <w:color w:val="000000"/>
          <w:sz w:val="24"/>
          <w:szCs w:val="24"/>
        </w:rPr>
      </w:pPr>
    </w:p>
    <w:p w14:paraId="1EAB0D2A" w14:textId="77777777" w:rsidR="00402E93" w:rsidRPr="00402E93" w:rsidRDefault="00402E93" w:rsidP="00402E93">
      <w:pPr>
        <w:rPr>
          <w:rFonts w:cs="Arial"/>
          <w:color w:val="000000"/>
          <w:sz w:val="24"/>
          <w:szCs w:val="24"/>
        </w:rPr>
      </w:pPr>
    </w:p>
    <w:p w14:paraId="2324C825" w14:textId="77777777" w:rsidR="00402E93" w:rsidRPr="00402E93" w:rsidRDefault="00402E93" w:rsidP="00402E93">
      <w:pPr>
        <w:rPr>
          <w:rFonts w:cs="Arial"/>
          <w:color w:val="000000"/>
          <w:sz w:val="24"/>
          <w:szCs w:val="24"/>
        </w:rPr>
      </w:pPr>
    </w:p>
    <w:p w14:paraId="551EFCA5" w14:textId="77777777" w:rsidR="00402E93" w:rsidRPr="00402E93" w:rsidRDefault="00402E93" w:rsidP="00402E93">
      <w:pPr>
        <w:rPr>
          <w:rFonts w:cs="Arial"/>
          <w:color w:val="000000"/>
          <w:sz w:val="24"/>
          <w:szCs w:val="24"/>
        </w:rPr>
      </w:pPr>
    </w:p>
    <w:p w14:paraId="20CF318A" w14:textId="77777777" w:rsidR="00402E93" w:rsidRPr="00402E93" w:rsidRDefault="00402E93" w:rsidP="00402E93">
      <w:pPr>
        <w:rPr>
          <w:rFonts w:cs="Arial"/>
          <w:color w:val="000000"/>
          <w:sz w:val="24"/>
          <w:szCs w:val="24"/>
        </w:rPr>
      </w:pPr>
    </w:p>
    <w:p w14:paraId="47AC4EAD" w14:textId="77777777" w:rsidR="00402E93" w:rsidRPr="00402E93" w:rsidRDefault="00402E93" w:rsidP="00402E93">
      <w:pPr>
        <w:rPr>
          <w:rFonts w:cs="Arial"/>
          <w:color w:val="000000"/>
          <w:sz w:val="24"/>
          <w:szCs w:val="24"/>
        </w:rPr>
      </w:pPr>
    </w:p>
    <w:p w14:paraId="385330FE" w14:textId="77777777" w:rsidR="00402E93" w:rsidRPr="00402E93" w:rsidRDefault="00402E93" w:rsidP="00402E93">
      <w:pPr>
        <w:rPr>
          <w:rFonts w:cs="Arial"/>
          <w:color w:val="000000"/>
          <w:sz w:val="24"/>
          <w:szCs w:val="24"/>
        </w:rPr>
      </w:pPr>
    </w:p>
    <w:p w14:paraId="6A8B5A8F" w14:textId="77777777" w:rsidR="00402E93" w:rsidRPr="00402E93" w:rsidRDefault="00402E93" w:rsidP="00402E93">
      <w:pPr>
        <w:rPr>
          <w:rFonts w:cs="Arial"/>
          <w:color w:val="000000"/>
          <w:sz w:val="24"/>
          <w:szCs w:val="24"/>
        </w:rPr>
      </w:pPr>
    </w:p>
    <w:p w14:paraId="4BE6A90D" w14:textId="77777777" w:rsidR="009C16D2" w:rsidRDefault="009C16D2">
      <w:pPr>
        <w:spacing w:line="259" w:lineRule="auto"/>
        <w:jc w:val="left"/>
        <w:rPr>
          <w:rFonts w:cs="Arial"/>
          <w:color w:val="000000"/>
          <w:sz w:val="24"/>
          <w:szCs w:val="24"/>
        </w:rPr>
      </w:pPr>
      <w:r>
        <w:rPr>
          <w:rFonts w:cs="Arial"/>
          <w:color w:val="000000"/>
          <w:sz w:val="24"/>
          <w:szCs w:val="24"/>
        </w:rPr>
        <w:br w:type="page"/>
      </w:r>
    </w:p>
    <w:p w14:paraId="44B834C9" w14:textId="318912F3" w:rsidR="00402E93" w:rsidRDefault="00402E93" w:rsidP="00402E93">
      <w:pPr>
        <w:rPr>
          <w:rFonts w:cs="Arial"/>
          <w:b/>
          <w:bCs/>
          <w:color w:val="000000"/>
          <w:sz w:val="24"/>
          <w:szCs w:val="24"/>
        </w:rPr>
      </w:pPr>
      <w:commentRangeStart w:id="0"/>
      <w:r w:rsidRPr="00402E93">
        <w:rPr>
          <w:rFonts w:cs="Arial"/>
          <w:b/>
          <w:bCs/>
          <w:color w:val="000000"/>
          <w:sz w:val="24"/>
          <w:szCs w:val="24"/>
        </w:rPr>
        <w:lastRenderedPageBreak/>
        <w:t>REPORT</w:t>
      </w:r>
      <w:commentRangeEnd w:id="0"/>
      <w:r w:rsidR="004511D8">
        <w:rPr>
          <w:rStyle w:val="CommentReference"/>
        </w:rPr>
        <w:commentReference w:id="0"/>
      </w:r>
    </w:p>
    <w:p w14:paraId="1997EB4F" w14:textId="3579AFE2" w:rsidR="001A3A9A" w:rsidRPr="001A3A9A" w:rsidRDefault="001A3A9A" w:rsidP="001A3A9A">
      <w:pPr>
        <w:rPr>
          <w:rFonts w:cs="Arial"/>
          <w:b/>
          <w:bCs/>
          <w:color w:val="000000"/>
          <w:sz w:val="24"/>
          <w:szCs w:val="24"/>
        </w:rPr>
      </w:pPr>
      <w:r w:rsidRPr="001A3A9A">
        <w:rPr>
          <w:rFonts w:cs="Arial"/>
          <w:b/>
          <w:bCs/>
          <w:color w:val="000000"/>
          <w:sz w:val="24"/>
          <w:szCs w:val="24"/>
        </w:rPr>
        <w:t>To:</w:t>
      </w:r>
      <w:r>
        <w:rPr>
          <w:rFonts w:cs="Arial"/>
          <w:b/>
          <w:bCs/>
          <w:color w:val="000000"/>
          <w:sz w:val="24"/>
          <w:szCs w:val="24"/>
        </w:rPr>
        <w:t xml:space="preserve"> Director of MG</w:t>
      </w:r>
    </w:p>
    <w:p w14:paraId="742AE74D" w14:textId="0D2611D2" w:rsidR="001A3A9A" w:rsidRPr="001A3A9A" w:rsidRDefault="001A3A9A" w:rsidP="001A3A9A">
      <w:pPr>
        <w:rPr>
          <w:rFonts w:cs="Arial"/>
          <w:b/>
          <w:bCs/>
          <w:color w:val="000000"/>
          <w:sz w:val="24"/>
          <w:szCs w:val="24"/>
        </w:rPr>
      </w:pPr>
      <w:r w:rsidRPr="001A3A9A">
        <w:rPr>
          <w:rFonts w:cs="Arial"/>
          <w:b/>
          <w:bCs/>
          <w:color w:val="000000"/>
          <w:sz w:val="24"/>
          <w:szCs w:val="24"/>
        </w:rPr>
        <w:t>From:</w:t>
      </w:r>
      <w:r>
        <w:rPr>
          <w:rFonts w:cs="Arial"/>
          <w:b/>
          <w:bCs/>
          <w:color w:val="000000"/>
          <w:sz w:val="24"/>
          <w:szCs w:val="24"/>
        </w:rPr>
        <w:t xml:space="preserve"> Silvia Borcila</w:t>
      </w:r>
    </w:p>
    <w:p w14:paraId="2CF85841" w14:textId="3A56C537" w:rsidR="001A3A9A" w:rsidRPr="001A3A9A" w:rsidRDefault="001A3A9A" w:rsidP="001A3A9A">
      <w:pPr>
        <w:rPr>
          <w:rFonts w:cs="Arial"/>
          <w:b/>
          <w:bCs/>
          <w:color w:val="000000"/>
          <w:sz w:val="24"/>
          <w:szCs w:val="24"/>
        </w:rPr>
      </w:pPr>
      <w:r w:rsidRPr="001A3A9A">
        <w:rPr>
          <w:rFonts w:cs="Arial"/>
          <w:b/>
          <w:bCs/>
          <w:color w:val="000000"/>
          <w:sz w:val="24"/>
          <w:szCs w:val="24"/>
        </w:rPr>
        <w:t>Date:</w:t>
      </w:r>
      <w:r>
        <w:rPr>
          <w:rFonts w:cs="Arial"/>
          <w:b/>
          <w:bCs/>
          <w:color w:val="000000"/>
          <w:sz w:val="24"/>
          <w:szCs w:val="24"/>
        </w:rPr>
        <w:t xml:space="preserve"> March 04, 2023</w:t>
      </w:r>
    </w:p>
    <w:p w14:paraId="72A8C798" w14:textId="426B7E21" w:rsidR="001A3A9A" w:rsidRPr="00402E93" w:rsidRDefault="001A3A9A" w:rsidP="001A3A9A">
      <w:pPr>
        <w:rPr>
          <w:rFonts w:cs="Arial"/>
          <w:b/>
          <w:bCs/>
          <w:color w:val="000000"/>
          <w:sz w:val="24"/>
          <w:szCs w:val="24"/>
        </w:rPr>
      </w:pPr>
      <w:r w:rsidRPr="001A3A9A">
        <w:rPr>
          <w:rFonts w:cs="Arial"/>
          <w:b/>
          <w:bCs/>
          <w:color w:val="000000"/>
          <w:sz w:val="24"/>
          <w:szCs w:val="24"/>
        </w:rPr>
        <w:t>Subject:</w:t>
      </w:r>
      <w:r>
        <w:rPr>
          <w:rFonts w:cs="Arial"/>
          <w:b/>
          <w:bCs/>
          <w:color w:val="000000"/>
          <w:sz w:val="24"/>
          <w:szCs w:val="24"/>
        </w:rPr>
        <w:t xml:space="preserve"> </w:t>
      </w:r>
      <w:r w:rsidRPr="001A3A9A">
        <w:rPr>
          <w:rFonts w:cs="Arial"/>
          <w:b/>
          <w:bCs/>
          <w:color w:val="000000"/>
          <w:sz w:val="24"/>
          <w:szCs w:val="24"/>
        </w:rPr>
        <w:t>A Study on Marginal Costing and Absorption Costing</w:t>
      </w:r>
      <w:r>
        <w:rPr>
          <w:rFonts w:cs="Arial"/>
          <w:b/>
          <w:bCs/>
          <w:color w:val="000000"/>
          <w:sz w:val="24"/>
          <w:szCs w:val="24"/>
        </w:rPr>
        <w:t xml:space="preserve"> on MG’s Product</w:t>
      </w:r>
    </w:p>
    <w:p w14:paraId="40A05AB4" w14:textId="77777777" w:rsidR="00487DC6" w:rsidRDefault="00487DC6" w:rsidP="0060619F">
      <w:pPr>
        <w:rPr>
          <w:rFonts w:cs="Arial"/>
          <w:b/>
          <w:bCs/>
          <w:color w:val="000000"/>
          <w:sz w:val="24"/>
          <w:szCs w:val="24"/>
        </w:rPr>
      </w:pPr>
    </w:p>
    <w:p w14:paraId="579799A6" w14:textId="79979420" w:rsidR="00402E93" w:rsidRPr="00402E93" w:rsidRDefault="00402E93" w:rsidP="00402E93">
      <w:pPr>
        <w:pStyle w:val="Heading1"/>
        <w:numPr>
          <w:ilvl w:val="0"/>
          <w:numId w:val="2"/>
        </w:numPr>
      </w:pPr>
      <w:bookmarkStart w:id="1" w:name="_Toc126957763"/>
      <w:r w:rsidRPr="00402E93">
        <w:t>Introduction</w:t>
      </w:r>
      <w:bookmarkEnd w:id="1"/>
      <w:commentRangeStart w:id="2"/>
    </w:p>
    <w:p w14:paraId="6262C15A" w14:textId="2A1FA126" w:rsidR="00487DC6" w:rsidRPr="00402E93" w:rsidRDefault="001A3A9A" w:rsidP="00796BC1">
      <w:r w:rsidRPr="001A3A9A">
        <w:t>This report uses marginal costing and absorption costing to assess a company's financial standing and profitability. The report will go through the key distinctions between the two approaches, as well as the advantages and disadvantages of each. In addition, it will provide guidance on how to balance quantitative and qualitative considerations when making choices regarding production, price, resource allocation, and product discontinuance. Financial statements, costing methods, and financial ratios will all play a role in gathering and analysing the necessary data and funds for the study. In its conclusion, the report will provide a high-level overview of the research's main findings and suggestions for the firm to strengthen its financial position and achieve long-term development</w:t>
      </w:r>
      <w:r w:rsidR="00E90892" w:rsidRPr="00E90892">
        <w:t>.</w:t>
      </w:r>
      <w:commentRangeEnd w:id="2"/>
      <w:r w:rsidR="004511D8">
        <w:rPr>
          <w:rStyle w:val="CommentReference"/>
        </w:rPr>
        <w:commentReference w:id="2"/>
      </w:r>
    </w:p>
    <w:p w14:paraId="469C4E7F" w14:textId="73BD41CC" w:rsidR="00402E93" w:rsidRPr="00402E93" w:rsidRDefault="00402E93" w:rsidP="00402E93">
      <w:pPr>
        <w:pStyle w:val="Heading1"/>
        <w:numPr>
          <w:ilvl w:val="0"/>
          <w:numId w:val="2"/>
        </w:numPr>
      </w:pPr>
      <w:bookmarkStart w:id="3" w:name="_Toc126957764"/>
      <w:r w:rsidRPr="00402E93">
        <w:t>Subheadings</w:t>
      </w:r>
      <w:bookmarkEnd w:id="3"/>
    </w:p>
    <w:p w14:paraId="65BC6339" w14:textId="34B88CCF" w:rsidR="001A3A9A" w:rsidRDefault="001A3A9A" w:rsidP="00774E17">
      <w:pPr>
        <w:pStyle w:val="Heading3"/>
        <w:numPr>
          <w:ilvl w:val="0"/>
          <w:numId w:val="13"/>
        </w:numPr>
      </w:pPr>
      <w:r>
        <w:t>Contrast between marginal and absorption costing</w:t>
      </w:r>
    </w:p>
    <w:p w14:paraId="76D41620" w14:textId="40EB26C4" w:rsidR="00340415" w:rsidRDefault="00340415" w:rsidP="00340415">
      <w:r w:rsidRPr="00340415">
        <w:t>M</w:t>
      </w:r>
      <w:commentRangeStart w:id="4"/>
      <w:r w:rsidRPr="00340415">
        <w:t>arginal costing and absorption costing are two commonly used cost accounting methods for determining the cost of goods sold (COGS) and, ultimately, the profitability of a business</w:t>
      </w:r>
      <w:r w:rsidR="00F21407">
        <w:t xml:space="preserve"> </w:t>
      </w:r>
      <w:r w:rsidR="00F21407" w:rsidRPr="00F21407">
        <w:t>(Seal et al., 2019)</w:t>
      </w:r>
      <w:r w:rsidRPr="00340415">
        <w:t>.</w:t>
      </w:r>
      <w:r w:rsidR="002340F6">
        <w:t xml:space="preserve"> </w:t>
      </w:r>
      <w:r w:rsidRPr="00340415">
        <w:t xml:space="preserve">Marginal costing only considers the direct or variable costs associated with producing a product, such as raw materials and direct </w:t>
      </w:r>
      <w:proofErr w:type="spellStart"/>
      <w:r w:rsidRPr="00340415">
        <w:t>labor</w:t>
      </w:r>
      <w:proofErr w:type="spellEnd"/>
      <w:r w:rsidRPr="00340415">
        <w:t>. These costs are fully absorbed into the cost of goods sold, so the only costs included in the product cost are the variable costs. This approach gives a more accurate picture of the true cost of producing a product, as it doesn't include any fixed costs</w:t>
      </w:r>
      <w:r w:rsidR="00F21407">
        <w:t xml:space="preserve"> </w:t>
      </w:r>
      <w:r w:rsidR="00F21407" w:rsidRPr="00F21407">
        <w:t>(Bragg, 2022)</w:t>
      </w:r>
      <w:r w:rsidRPr="00340415">
        <w:t>.</w:t>
      </w:r>
      <w:r w:rsidR="002340F6">
        <w:t xml:space="preserve"> </w:t>
      </w:r>
      <w:r w:rsidRPr="00340415">
        <w:t>On the other hand, absorption costing considers both the variable costs and the fixed costs associated with producing a product. The fixed costs are spread over the number of units produced, and therefore, the cost of goods sold includes a portion of the fixed costs. This approach is more comprehensive and provides a better picture of the company's overall financial health, as it includes both variable and fixed costs</w:t>
      </w:r>
      <w:r w:rsidR="00F21407">
        <w:t xml:space="preserve"> </w:t>
      </w:r>
      <w:r w:rsidR="00F21407" w:rsidRPr="00F21407">
        <w:t>(Absorption costing 2022)</w:t>
      </w:r>
      <w:r w:rsidRPr="00340415">
        <w:t>.</w:t>
      </w:r>
      <w:r w:rsidR="002340F6">
        <w:t xml:space="preserve"> </w:t>
      </w:r>
      <w:r w:rsidRPr="00340415">
        <w:t xml:space="preserve">The applicability of each method depends on the type of </w:t>
      </w:r>
      <w:r w:rsidRPr="00340415">
        <w:lastRenderedPageBreak/>
        <w:t>business and the information that is required. For example, businesses with high levels of fixed costs may find that absorption costing provides a more accurate picture of the true cost of producing a product. On the other hand, businesses with low fixed costs and high levels of variable costs may find that marginal costing provides a clearer picture of the costs involved in producing a product.</w:t>
      </w:r>
      <w:r w:rsidR="002340F6">
        <w:t xml:space="preserve"> </w:t>
      </w:r>
      <w:r w:rsidRPr="00340415">
        <w:t>The benefits of marginal costing include a clearer understanding of the contribution margin, which is the amount of revenue that is left over after all variable costs have been covered. This information is useful for making decisions about pricing, production and resource allocation</w:t>
      </w:r>
      <w:r w:rsidR="00F21407">
        <w:t xml:space="preserve"> </w:t>
      </w:r>
      <w:r w:rsidR="00F21407" w:rsidRPr="00F21407">
        <w:t>(</w:t>
      </w:r>
      <w:proofErr w:type="spellStart"/>
      <w:r w:rsidR="00F21407" w:rsidRPr="00F21407">
        <w:t>Röller</w:t>
      </w:r>
      <w:proofErr w:type="spellEnd"/>
      <w:r w:rsidR="00F21407" w:rsidRPr="00F21407">
        <w:t>, 2020)</w:t>
      </w:r>
      <w:r w:rsidRPr="00340415">
        <w:t>.</w:t>
      </w:r>
      <w:r w:rsidR="002340F6">
        <w:t xml:space="preserve"> </w:t>
      </w:r>
      <w:r w:rsidRPr="00340415">
        <w:t>Absorption costing, on the other hand, provides a better understanding of the company's overall financial health, as it includes both variable and fixed costs. This information is useful for making decisions about investments, such as expanding production or investing in new equipment</w:t>
      </w:r>
      <w:r w:rsidR="00F21407">
        <w:t xml:space="preserve"> </w:t>
      </w:r>
      <w:r w:rsidR="00F21407" w:rsidRPr="00F21407">
        <w:t>(Absorption costing: Definition, tips and examples | indeed.com 2023)</w:t>
      </w:r>
      <w:r w:rsidRPr="00340415">
        <w:t>.</w:t>
      </w:r>
    </w:p>
    <w:p w14:paraId="183B0180" w14:textId="580EEB32" w:rsidR="002340F6" w:rsidRPr="00340415" w:rsidRDefault="002340F6" w:rsidP="00340415">
      <w:r w:rsidRPr="002340F6">
        <w:t xml:space="preserve">Marginal costing and absorption costing are two commonly used cost accounting methods for determining the cost of goods sold (COGS) and profitability. Marginal costing only considers variable costs associated with producing a product, providing a clearer understanding of the contribution margin. In contrast, absorption costing considers both variable and fixed costs, providing a better understanding of a company's overall financial health. The choice between the two methods depends on the type of business and the required information. Businesses with high fixed costs may find absorption costing more useful, while businesses with low fixed costs may find marginal costing more helpful. Decision-making implications also differ between the two methods. Marginal costing is useful for decisions about pricing, production, and resource allocation, while absorption costing is useful for decisions about investments, such as expanding production or investing in new equipment. However, it is important to use both methods in conjunction with each other to provide a more complete picture of a company's financial health and profitability. When </w:t>
      </w:r>
      <w:proofErr w:type="gramStart"/>
      <w:r w:rsidRPr="002340F6">
        <w:t>making a decision</w:t>
      </w:r>
      <w:proofErr w:type="gramEnd"/>
      <w:r w:rsidRPr="002340F6">
        <w:t xml:space="preserve"> about which method to use, it is essential to consider the specific needs of the business and the information required to make informed decisions. For Mobility Group, absorption costing may provide a better understanding of the overall financial health of the company, making it easier to make informed decisions about future investments and expansions.</w:t>
      </w:r>
    </w:p>
    <w:p w14:paraId="5F80E159" w14:textId="1C6DAA31" w:rsidR="00D76C14" w:rsidRPr="00340415" w:rsidRDefault="00340415" w:rsidP="00340415">
      <w:r w:rsidRPr="00340415">
        <w:t>In conclusion, both marginal costing and absorption costing have their own benefits and drawbacks, and the choice between the two methods will depend on the type of business and the information that is required. However, it is important to keep in mind that both methods should be used in conjunction with each other to provide a more complete picture of the company's financial health and profitability.</w:t>
      </w:r>
      <w:commentRangeEnd w:id="4"/>
      <w:r w:rsidR="004511D8">
        <w:rPr>
          <w:rStyle w:val="CommentReference"/>
        </w:rPr>
        <w:commentReference w:id="4"/>
      </w:r>
    </w:p>
    <w:p w14:paraId="6B2DB6F7" w14:textId="4DB5E4EB" w:rsidR="00150B19" w:rsidRDefault="00150B19" w:rsidP="00480D86">
      <w:pPr>
        <w:pStyle w:val="Heading3"/>
        <w:numPr>
          <w:ilvl w:val="0"/>
          <w:numId w:val="13"/>
        </w:numPr>
      </w:pPr>
      <w:bookmarkStart w:id="5" w:name="_Toc126957766"/>
      <w:r>
        <w:lastRenderedPageBreak/>
        <w:t>Prepar</w:t>
      </w:r>
      <w:r w:rsidR="00FF5402">
        <w:t>ing</w:t>
      </w:r>
      <w:r>
        <w:t xml:space="preserve"> a Marginal Costing Statement </w:t>
      </w:r>
      <w:r>
        <w:rPr>
          <w:b/>
        </w:rPr>
        <w:t xml:space="preserve">for each product and total </w:t>
      </w:r>
      <w:r>
        <w:t>for the month of December 2022</w:t>
      </w:r>
      <w:bookmarkEnd w:id="5"/>
    </w:p>
    <w:p w14:paraId="14C717EA" w14:textId="4F61D247" w:rsidR="009F32A0" w:rsidRPr="009F32A0" w:rsidRDefault="009F32A0" w:rsidP="009F32A0">
      <w:r>
        <w:t xml:space="preserve">Marginal costing is a cost </w:t>
      </w:r>
      <w:commentRangeStart w:id="6"/>
      <w:r>
        <w:t>accounting technique that involves considering only the change in the cost of producing an additional unit of a product when making decisions about pricing and production</w:t>
      </w:r>
      <w:r w:rsidR="00F21407">
        <w:t xml:space="preserve"> </w:t>
      </w:r>
      <w:r w:rsidR="00F21407" w:rsidRPr="00F21407">
        <w:t>(Seal et al., 2019)</w:t>
      </w:r>
      <w:r>
        <w:t>. This approach is often used in short-term decision-making, such as pricing decisions, as it provides a quicker and simpler method of evaluating the impact of changes in production volume on the overall cost structure</w:t>
      </w:r>
      <w:r w:rsidR="00F21407">
        <w:t xml:space="preserve"> </w:t>
      </w:r>
      <w:r w:rsidR="00F21407" w:rsidRPr="00F21407">
        <w:t xml:space="preserve">(What is managerial accounting </w:t>
      </w:r>
      <w:commentRangeEnd w:id="6"/>
      <w:r w:rsidR="004511D8">
        <w:rPr>
          <w:rStyle w:val="CommentReference"/>
        </w:rPr>
        <w:commentReference w:id="6"/>
      </w:r>
      <w:r w:rsidR="00F21407" w:rsidRPr="00F21407">
        <w:t>and how it helps managers? 2023)</w:t>
      </w:r>
      <w:r>
        <w:t>.</w:t>
      </w:r>
    </w:p>
    <w:tbl>
      <w:tblPr>
        <w:tblW w:w="9480" w:type="dxa"/>
        <w:tblLook w:val="04A0" w:firstRow="1" w:lastRow="0" w:firstColumn="1" w:lastColumn="0" w:noHBand="0" w:noVBand="1"/>
      </w:tblPr>
      <w:tblGrid>
        <w:gridCol w:w="2958"/>
        <w:gridCol w:w="1734"/>
        <w:gridCol w:w="1480"/>
        <w:gridCol w:w="1733"/>
        <w:gridCol w:w="1575"/>
      </w:tblGrid>
      <w:tr w:rsidR="00FF5402" w:rsidRPr="00FF5402" w14:paraId="69B8A02A" w14:textId="77777777" w:rsidTr="00FF5402">
        <w:trPr>
          <w:trHeight w:val="360"/>
        </w:trPr>
        <w:tc>
          <w:tcPr>
            <w:tcW w:w="9480" w:type="dxa"/>
            <w:gridSpan w:val="5"/>
            <w:tcBorders>
              <w:top w:val="single" w:sz="8" w:space="0" w:color="auto"/>
              <w:left w:val="single" w:sz="8" w:space="0" w:color="auto"/>
              <w:bottom w:val="nil"/>
              <w:right w:val="single" w:sz="8" w:space="0" w:color="000000"/>
            </w:tcBorders>
            <w:shd w:val="clear" w:color="auto" w:fill="auto"/>
            <w:noWrap/>
            <w:vAlign w:val="bottom"/>
            <w:hideMark/>
          </w:tcPr>
          <w:p w14:paraId="3708DAA4" w14:textId="77777777" w:rsidR="00FF5402" w:rsidRPr="00FF5402" w:rsidRDefault="00FF5402" w:rsidP="00FF5402">
            <w:pPr>
              <w:spacing w:after="0" w:line="240" w:lineRule="auto"/>
              <w:jc w:val="center"/>
              <w:rPr>
                <w:rFonts w:eastAsia="Times New Roman" w:cs="Arial"/>
                <w:b/>
                <w:bCs/>
                <w:color w:val="000000"/>
                <w:sz w:val="28"/>
              </w:rPr>
            </w:pPr>
            <w:r w:rsidRPr="00FF5402">
              <w:rPr>
                <w:rFonts w:eastAsia="Times New Roman" w:cs="Arial"/>
                <w:b/>
                <w:bCs/>
                <w:color w:val="000000"/>
                <w:sz w:val="28"/>
              </w:rPr>
              <w:t>Marginal Costing Statement (For the month of December 2022)</w:t>
            </w:r>
          </w:p>
        </w:tc>
      </w:tr>
      <w:tr w:rsidR="00FF5402" w:rsidRPr="00FF5402" w14:paraId="575AC555" w14:textId="77777777" w:rsidTr="00FF5402">
        <w:trPr>
          <w:trHeight w:val="360"/>
        </w:trPr>
        <w:tc>
          <w:tcPr>
            <w:tcW w:w="2958" w:type="dxa"/>
            <w:tcBorders>
              <w:top w:val="nil"/>
              <w:left w:val="single" w:sz="8" w:space="0" w:color="auto"/>
              <w:bottom w:val="nil"/>
              <w:right w:val="nil"/>
            </w:tcBorders>
            <w:shd w:val="clear" w:color="auto" w:fill="auto"/>
            <w:noWrap/>
            <w:vAlign w:val="bottom"/>
            <w:hideMark/>
          </w:tcPr>
          <w:p w14:paraId="6AE55C3F" w14:textId="77777777" w:rsidR="00FF5402" w:rsidRPr="00FF5402" w:rsidRDefault="00FF5402" w:rsidP="00FF5402">
            <w:pPr>
              <w:spacing w:after="0" w:line="240" w:lineRule="auto"/>
              <w:jc w:val="center"/>
              <w:rPr>
                <w:rFonts w:eastAsia="Times New Roman" w:cs="Arial"/>
                <w:b/>
                <w:bCs/>
                <w:color w:val="000000"/>
                <w:sz w:val="28"/>
              </w:rPr>
            </w:pPr>
            <w:r w:rsidRPr="00FF5402">
              <w:rPr>
                <w:rFonts w:eastAsia="Times New Roman" w:cs="Arial"/>
                <w:b/>
                <w:bCs/>
                <w:color w:val="000000"/>
                <w:sz w:val="28"/>
              </w:rPr>
              <w:t> </w:t>
            </w:r>
          </w:p>
        </w:tc>
        <w:tc>
          <w:tcPr>
            <w:tcW w:w="1734" w:type="dxa"/>
            <w:tcBorders>
              <w:top w:val="nil"/>
              <w:left w:val="nil"/>
              <w:bottom w:val="nil"/>
              <w:right w:val="nil"/>
            </w:tcBorders>
            <w:shd w:val="clear" w:color="auto" w:fill="auto"/>
            <w:noWrap/>
            <w:vAlign w:val="bottom"/>
            <w:hideMark/>
          </w:tcPr>
          <w:p w14:paraId="7C10D9CA" w14:textId="77777777" w:rsidR="00FF5402" w:rsidRPr="00FF5402" w:rsidRDefault="00FF5402" w:rsidP="00FF5402">
            <w:pPr>
              <w:spacing w:after="0" w:line="240" w:lineRule="auto"/>
              <w:jc w:val="center"/>
              <w:rPr>
                <w:rFonts w:eastAsia="Times New Roman" w:cs="Arial"/>
                <w:b/>
                <w:bCs/>
                <w:color w:val="000000"/>
                <w:sz w:val="28"/>
              </w:rPr>
            </w:pPr>
          </w:p>
        </w:tc>
        <w:tc>
          <w:tcPr>
            <w:tcW w:w="1480" w:type="dxa"/>
            <w:tcBorders>
              <w:top w:val="nil"/>
              <w:left w:val="nil"/>
              <w:bottom w:val="nil"/>
              <w:right w:val="nil"/>
            </w:tcBorders>
            <w:shd w:val="clear" w:color="auto" w:fill="auto"/>
            <w:noWrap/>
            <w:vAlign w:val="bottom"/>
            <w:hideMark/>
          </w:tcPr>
          <w:p w14:paraId="2D8012CB" w14:textId="77777777" w:rsidR="00FF5402" w:rsidRPr="00FF5402" w:rsidRDefault="00FF5402" w:rsidP="00FF5402">
            <w:pPr>
              <w:spacing w:after="0" w:line="240" w:lineRule="auto"/>
              <w:jc w:val="center"/>
              <w:rPr>
                <w:rFonts w:ascii="Times New Roman" w:eastAsia="Times New Roman" w:hAnsi="Times New Roman" w:cs="Times New Roman"/>
                <w:sz w:val="20"/>
                <w:szCs w:val="20"/>
              </w:rPr>
            </w:pPr>
          </w:p>
        </w:tc>
        <w:tc>
          <w:tcPr>
            <w:tcW w:w="1733" w:type="dxa"/>
            <w:tcBorders>
              <w:top w:val="nil"/>
              <w:left w:val="nil"/>
              <w:bottom w:val="nil"/>
              <w:right w:val="nil"/>
            </w:tcBorders>
            <w:shd w:val="clear" w:color="auto" w:fill="auto"/>
            <w:noWrap/>
            <w:vAlign w:val="bottom"/>
            <w:hideMark/>
          </w:tcPr>
          <w:p w14:paraId="255DCBB1" w14:textId="77777777" w:rsidR="00FF5402" w:rsidRPr="00FF5402" w:rsidRDefault="00FF5402" w:rsidP="00FF5402">
            <w:pPr>
              <w:spacing w:after="0" w:line="240" w:lineRule="auto"/>
              <w:jc w:val="center"/>
              <w:rPr>
                <w:rFonts w:ascii="Times New Roman" w:eastAsia="Times New Roman" w:hAnsi="Times New Roman" w:cs="Times New Roman"/>
                <w:sz w:val="20"/>
                <w:szCs w:val="20"/>
              </w:rPr>
            </w:pPr>
          </w:p>
        </w:tc>
        <w:tc>
          <w:tcPr>
            <w:tcW w:w="1575" w:type="dxa"/>
            <w:tcBorders>
              <w:top w:val="nil"/>
              <w:left w:val="nil"/>
              <w:bottom w:val="nil"/>
              <w:right w:val="single" w:sz="8" w:space="0" w:color="auto"/>
            </w:tcBorders>
            <w:shd w:val="clear" w:color="auto" w:fill="auto"/>
            <w:noWrap/>
            <w:vAlign w:val="bottom"/>
            <w:hideMark/>
          </w:tcPr>
          <w:p w14:paraId="1A5C05E4" w14:textId="77777777" w:rsidR="00FF5402" w:rsidRPr="00FF5402" w:rsidRDefault="00FF5402" w:rsidP="00FF5402">
            <w:pPr>
              <w:spacing w:after="0" w:line="240" w:lineRule="auto"/>
              <w:jc w:val="center"/>
              <w:rPr>
                <w:rFonts w:eastAsia="Times New Roman" w:cs="Arial"/>
                <w:b/>
                <w:bCs/>
                <w:color w:val="000000"/>
                <w:sz w:val="28"/>
              </w:rPr>
            </w:pPr>
            <w:r w:rsidRPr="00FF5402">
              <w:rPr>
                <w:rFonts w:eastAsia="Times New Roman" w:cs="Arial"/>
                <w:b/>
                <w:bCs/>
                <w:color w:val="000000"/>
                <w:sz w:val="28"/>
              </w:rPr>
              <w:t> </w:t>
            </w:r>
          </w:p>
        </w:tc>
      </w:tr>
      <w:tr w:rsidR="00FF5402" w:rsidRPr="00FF5402" w14:paraId="52D5B3BC" w14:textId="77777777" w:rsidTr="00FF5402">
        <w:trPr>
          <w:trHeight w:val="290"/>
        </w:trPr>
        <w:tc>
          <w:tcPr>
            <w:tcW w:w="2958" w:type="dxa"/>
            <w:tcBorders>
              <w:top w:val="nil"/>
              <w:left w:val="single" w:sz="8" w:space="0" w:color="auto"/>
              <w:bottom w:val="nil"/>
              <w:right w:val="nil"/>
            </w:tcBorders>
            <w:shd w:val="clear" w:color="auto" w:fill="auto"/>
            <w:noWrap/>
            <w:vAlign w:val="bottom"/>
            <w:hideMark/>
          </w:tcPr>
          <w:p w14:paraId="50512EFC"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c>
          <w:tcPr>
            <w:tcW w:w="6522" w:type="dxa"/>
            <w:gridSpan w:val="4"/>
            <w:tcBorders>
              <w:top w:val="nil"/>
              <w:left w:val="nil"/>
              <w:bottom w:val="nil"/>
              <w:right w:val="single" w:sz="8" w:space="0" w:color="000000"/>
            </w:tcBorders>
            <w:shd w:val="clear" w:color="auto" w:fill="auto"/>
            <w:noWrap/>
            <w:vAlign w:val="bottom"/>
            <w:hideMark/>
          </w:tcPr>
          <w:p w14:paraId="558462F8" w14:textId="77777777" w:rsidR="00FF5402" w:rsidRPr="00FF5402" w:rsidRDefault="00FF5402" w:rsidP="00FF5402">
            <w:pPr>
              <w:spacing w:after="0" w:line="240" w:lineRule="auto"/>
              <w:jc w:val="center"/>
              <w:rPr>
                <w:rFonts w:eastAsia="Times New Roman" w:cs="Arial"/>
                <w:b/>
                <w:bCs/>
                <w:color w:val="000000"/>
                <w:szCs w:val="22"/>
              </w:rPr>
            </w:pPr>
            <w:r w:rsidRPr="00FF5402">
              <w:rPr>
                <w:rFonts w:eastAsia="Times New Roman" w:cs="Arial"/>
                <w:b/>
                <w:bCs/>
                <w:color w:val="000000"/>
                <w:szCs w:val="22"/>
              </w:rPr>
              <w:t>in Pounds</w:t>
            </w:r>
          </w:p>
        </w:tc>
      </w:tr>
      <w:tr w:rsidR="00FF5402" w:rsidRPr="00FF5402" w14:paraId="2B0C5B4C" w14:textId="77777777" w:rsidTr="00FF5402">
        <w:trPr>
          <w:trHeight w:val="290"/>
        </w:trPr>
        <w:tc>
          <w:tcPr>
            <w:tcW w:w="2958" w:type="dxa"/>
            <w:tcBorders>
              <w:top w:val="nil"/>
              <w:left w:val="single" w:sz="8" w:space="0" w:color="auto"/>
              <w:bottom w:val="nil"/>
              <w:right w:val="nil"/>
            </w:tcBorders>
            <w:shd w:val="clear" w:color="auto" w:fill="auto"/>
            <w:noWrap/>
            <w:vAlign w:val="bottom"/>
            <w:hideMark/>
          </w:tcPr>
          <w:p w14:paraId="6B5D25DC"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c>
          <w:tcPr>
            <w:tcW w:w="1734" w:type="dxa"/>
            <w:tcBorders>
              <w:top w:val="nil"/>
              <w:left w:val="nil"/>
              <w:bottom w:val="nil"/>
              <w:right w:val="nil"/>
            </w:tcBorders>
            <w:shd w:val="clear" w:color="auto" w:fill="auto"/>
            <w:noWrap/>
            <w:vAlign w:val="center"/>
            <w:hideMark/>
          </w:tcPr>
          <w:p w14:paraId="6F825EB5" w14:textId="77777777" w:rsidR="00FF5402" w:rsidRPr="00FF5402" w:rsidRDefault="00FF5402" w:rsidP="00FF5402">
            <w:pPr>
              <w:spacing w:after="0" w:line="240" w:lineRule="auto"/>
              <w:jc w:val="center"/>
              <w:rPr>
                <w:rFonts w:eastAsia="Times New Roman" w:cs="Arial"/>
                <w:b/>
                <w:bCs/>
                <w:color w:val="000000"/>
                <w:szCs w:val="22"/>
              </w:rPr>
            </w:pPr>
            <w:r w:rsidRPr="00FF5402">
              <w:rPr>
                <w:rFonts w:eastAsia="Times New Roman" w:cs="Arial"/>
                <w:b/>
                <w:bCs/>
                <w:color w:val="000000"/>
                <w:szCs w:val="22"/>
              </w:rPr>
              <w:t>Wheelchairs</w:t>
            </w:r>
          </w:p>
        </w:tc>
        <w:tc>
          <w:tcPr>
            <w:tcW w:w="1480" w:type="dxa"/>
            <w:tcBorders>
              <w:top w:val="nil"/>
              <w:left w:val="nil"/>
              <w:bottom w:val="nil"/>
              <w:right w:val="nil"/>
            </w:tcBorders>
            <w:shd w:val="clear" w:color="auto" w:fill="auto"/>
            <w:noWrap/>
            <w:vAlign w:val="center"/>
            <w:hideMark/>
          </w:tcPr>
          <w:p w14:paraId="77783445" w14:textId="77777777" w:rsidR="00FF5402" w:rsidRPr="00FF5402" w:rsidRDefault="00FF5402" w:rsidP="00FF5402">
            <w:pPr>
              <w:spacing w:after="0" w:line="240" w:lineRule="auto"/>
              <w:jc w:val="center"/>
              <w:rPr>
                <w:rFonts w:eastAsia="Times New Roman" w:cs="Arial"/>
                <w:b/>
                <w:bCs/>
                <w:color w:val="000000"/>
                <w:szCs w:val="22"/>
              </w:rPr>
            </w:pPr>
            <w:r w:rsidRPr="00FF5402">
              <w:rPr>
                <w:rFonts w:eastAsia="Times New Roman" w:cs="Arial"/>
                <w:b/>
                <w:bCs/>
                <w:color w:val="000000"/>
                <w:szCs w:val="22"/>
              </w:rPr>
              <w:t>Hoists</w:t>
            </w:r>
          </w:p>
        </w:tc>
        <w:tc>
          <w:tcPr>
            <w:tcW w:w="1733" w:type="dxa"/>
            <w:tcBorders>
              <w:top w:val="nil"/>
              <w:left w:val="nil"/>
              <w:bottom w:val="nil"/>
              <w:right w:val="nil"/>
            </w:tcBorders>
            <w:shd w:val="clear" w:color="auto" w:fill="auto"/>
            <w:noWrap/>
            <w:vAlign w:val="center"/>
            <w:hideMark/>
          </w:tcPr>
          <w:p w14:paraId="597A3845" w14:textId="77777777" w:rsidR="00FF5402" w:rsidRPr="00FF5402" w:rsidRDefault="00FF5402" w:rsidP="00FF5402">
            <w:pPr>
              <w:spacing w:after="0" w:line="240" w:lineRule="auto"/>
              <w:jc w:val="center"/>
              <w:rPr>
                <w:rFonts w:eastAsia="Times New Roman" w:cs="Arial"/>
                <w:b/>
                <w:bCs/>
                <w:color w:val="000000"/>
                <w:szCs w:val="22"/>
              </w:rPr>
            </w:pPr>
            <w:r w:rsidRPr="00FF5402">
              <w:rPr>
                <w:rFonts w:eastAsia="Times New Roman" w:cs="Arial"/>
                <w:b/>
                <w:bCs/>
                <w:color w:val="000000"/>
                <w:szCs w:val="22"/>
              </w:rPr>
              <w:t>Mobile Beds</w:t>
            </w:r>
          </w:p>
        </w:tc>
        <w:tc>
          <w:tcPr>
            <w:tcW w:w="1575" w:type="dxa"/>
            <w:tcBorders>
              <w:top w:val="nil"/>
              <w:left w:val="nil"/>
              <w:bottom w:val="nil"/>
              <w:right w:val="single" w:sz="8" w:space="0" w:color="auto"/>
            </w:tcBorders>
            <w:shd w:val="clear" w:color="auto" w:fill="auto"/>
            <w:noWrap/>
            <w:vAlign w:val="center"/>
            <w:hideMark/>
          </w:tcPr>
          <w:p w14:paraId="40CD9CFD" w14:textId="77777777" w:rsidR="00FF5402" w:rsidRPr="00FF5402" w:rsidRDefault="00FF5402" w:rsidP="00FF5402">
            <w:pPr>
              <w:spacing w:after="0" w:line="240" w:lineRule="auto"/>
              <w:jc w:val="center"/>
              <w:rPr>
                <w:rFonts w:eastAsia="Times New Roman" w:cs="Arial"/>
                <w:b/>
                <w:bCs/>
                <w:color w:val="000000"/>
                <w:szCs w:val="22"/>
              </w:rPr>
            </w:pPr>
            <w:r w:rsidRPr="00FF5402">
              <w:rPr>
                <w:rFonts w:eastAsia="Times New Roman" w:cs="Arial"/>
                <w:b/>
                <w:bCs/>
                <w:color w:val="000000"/>
                <w:szCs w:val="22"/>
              </w:rPr>
              <w:t>Total</w:t>
            </w:r>
          </w:p>
        </w:tc>
      </w:tr>
      <w:tr w:rsidR="00FF5402" w:rsidRPr="00FF5402" w14:paraId="487AC792" w14:textId="77777777" w:rsidTr="00FF5402">
        <w:trPr>
          <w:trHeight w:val="290"/>
        </w:trPr>
        <w:tc>
          <w:tcPr>
            <w:tcW w:w="2958" w:type="dxa"/>
            <w:tcBorders>
              <w:top w:val="nil"/>
              <w:left w:val="single" w:sz="8" w:space="0" w:color="auto"/>
              <w:bottom w:val="nil"/>
              <w:right w:val="nil"/>
            </w:tcBorders>
            <w:shd w:val="clear" w:color="auto" w:fill="auto"/>
            <w:vAlign w:val="bottom"/>
            <w:hideMark/>
          </w:tcPr>
          <w:p w14:paraId="14172DBB" w14:textId="77777777" w:rsidR="00FF5402" w:rsidRPr="00FF5402" w:rsidRDefault="00FF5402" w:rsidP="00FF5402">
            <w:pPr>
              <w:spacing w:after="0" w:line="240" w:lineRule="auto"/>
              <w:jc w:val="right"/>
              <w:rPr>
                <w:rFonts w:eastAsia="Times New Roman" w:cs="Arial"/>
                <w:b/>
                <w:bCs/>
                <w:color w:val="000000"/>
                <w:szCs w:val="22"/>
              </w:rPr>
            </w:pPr>
            <w:r w:rsidRPr="00FF5402">
              <w:rPr>
                <w:rFonts w:eastAsia="Times New Roman" w:cs="Arial"/>
                <w:b/>
                <w:bCs/>
                <w:color w:val="000000"/>
                <w:szCs w:val="22"/>
              </w:rPr>
              <w:t>Sales revenue</w:t>
            </w:r>
          </w:p>
        </w:tc>
        <w:tc>
          <w:tcPr>
            <w:tcW w:w="1734" w:type="dxa"/>
            <w:tcBorders>
              <w:top w:val="nil"/>
              <w:left w:val="nil"/>
              <w:bottom w:val="nil"/>
              <w:right w:val="nil"/>
            </w:tcBorders>
            <w:shd w:val="clear" w:color="auto" w:fill="auto"/>
            <w:noWrap/>
            <w:vAlign w:val="bottom"/>
            <w:hideMark/>
          </w:tcPr>
          <w:p w14:paraId="58421E79"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£20,100.00</w:t>
            </w:r>
          </w:p>
        </w:tc>
        <w:tc>
          <w:tcPr>
            <w:tcW w:w="1480" w:type="dxa"/>
            <w:tcBorders>
              <w:top w:val="nil"/>
              <w:left w:val="nil"/>
              <w:bottom w:val="nil"/>
              <w:right w:val="nil"/>
            </w:tcBorders>
            <w:shd w:val="clear" w:color="auto" w:fill="auto"/>
            <w:noWrap/>
            <w:vAlign w:val="bottom"/>
            <w:hideMark/>
          </w:tcPr>
          <w:p w14:paraId="7B97E2FE"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£18,630.00</w:t>
            </w:r>
          </w:p>
        </w:tc>
        <w:tc>
          <w:tcPr>
            <w:tcW w:w="1733" w:type="dxa"/>
            <w:tcBorders>
              <w:top w:val="nil"/>
              <w:left w:val="nil"/>
              <w:bottom w:val="nil"/>
              <w:right w:val="nil"/>
            </w:tcBorders>
            <w:shd w:val="clear" w:color="auto" w:fill="auto"/>
            <w:noWrap/>
            <w:vAlign w:val="bottom"/>
            <w:hideMark/>
          </w:tcPr>
          <w:p w14:paraId="0CEC1EB7"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£19,302.00</w:t>
            </w:r>
          </w:p>
        </w:tc>
        <w:tc>
          <w:tcPr>
            <w:tcW w:w="1575" w:type="dxa"/>
            <w:tcBorders>
              <w:top w:val="nil"/>
              <w:left w:val="nil"/>
              <w:bottom w:val="nil"/>
              <w:right w:val="single" w:sz="8" w:space="0" w:color="auto"/>
            </w:tcBorders>
            <w:shd w:val="clear" w:color="auto" w:fill="auto"/>
            <w:noWrap/>
            <w:vAlign w:val="bottom"/>
            <w:hideMark/>
          </w:tcPr>
          <w:p w14:paraId="59631072"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£58,032.00</w:t>
            </w:r>
          </w:p>
        </w:tc>
      </w:tr>
      <w:tr w:rsidR="00FF5402" w:rsidRPr="00FF5402" w14:paraId="01F8D6BE" w14:textId="77777777" w:rsidTr="00FF5402">
        <w:trPr>
          <w:trHeight w:val="290"/>
        </w:trPr>
        <w:tc>
          <w:tcPr>
            <w:tcW w:w="2958" w:type="dxa"/>
            <w:tcBorders>
              <w:top w:val="nil"/>
              <w:left w:val="single" w:sz="8" w:space="0" w:color="auto"/>
              <w:bottom w:val="nil"/>
              <w:right w:val="nil"/>
            </w:tcBorders>
            <w:shd w:val="clear" w:color="auto" w:fill="auto"/>
            <w:vAlign w:val="bottom"/>
            <w:hideMark/>
          </w:tcPr>
          <w:p w14:paraId="294703EF" w14:textId="77777777" w:rsidR="00FF5402" w:rsidRPr="00FF5402" w:rsidRDefault="00FF5402" w:rsidP="00FF5402">
            <w:pPr>
              <w:spacing w:after="0" w:line="240" w:lineRule="auto"/>
              <w:jc w:val="right"/>
              <w:rPr>
                <w:rFonts w:eastAsia="Times New Roman" w:cs="Arial"/>
                <w:b/>
                <w:bCs/>
                <w:color w:val="000000"/>
                <w:szCs w:val="22"/>
              </w:rPr>
            </w:pPr>
            <w:r w:rsidRPr="00FF5402">
              <w:rPr>
                <w:rFonts w:eastAsia="Times New Roman" w:cs="Arial"/>
                <w:b/>
                <w:bCs/>
                <w:color w:val="000000"/>
                <w:szCs w:val="22"/>
              </w:rPr>
              <w:t> </w:t>
            </w:r>
          </w:p>
        </w:tc>
        <w:tc>
          <w:tcPr>
            <w:tcW w:w="1734" w:type="dxa"/>
            <w:tcBorders>
              <w:top w:val="nil"/>
              <w:left w:val="nil"/>
              <w:bottom w:val="nil"/>
              <w:right w:val="nil"/>
            </w:tcBorders>
            <w:shd w:val="clear" w:color="auto" w:fill="auto"/>
            <w:noWrap/>
            <w:vAlign w:val="bottom"/>
            <w:hideMark/>
          </w:tcPr>
          <w:p w14:paraId="246E9DC6" w14:textId="77777777" w:rsidR="00FF5402" w:rsidRPr="00FF5402" w:rsidRDefault="00FF5402" w:rsidP="00FF5402">
            <w:pPr>
              <w:spacing w:after="0" w:line="240" w:lineRule="auto"/>
              <w:jc w:val="right"/>
              <w:rPr>
                <w:rFonts w:eastAsia="Times New Roman" w:cs="Arial"/>
                <w:b/>
                <w:bCs/>
                <w:color w:val="000000"/>
                <w:szCs w:val="22"/>
              </w:rPr>
            </w:pPr>
          </w:p>
        </w:tc>
        <w:tc>
          <w:tcPr>
            <w:tcW w:w="1480" w:type="dxa"/>
            <w:tcBorders>
              <w:top w:val="nil"/>
              <w:left w:val="nil"/>
              <w:bottom w:val="nil"/>
              <w:right w:val="nil"/>
            </w:tcBorders>
            <w:shd w:val="clear" w:color="auto" w:fill="auto"/>
            <w:noWrap/>
            <w:vAlign w:val="bottom"/>
            <w:hideMark/>
          </w:tcPr>
          <w:p w14:paraId="42A78660"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733" w:type="dxa"/>
            <w:tcBorders>
              <w:top w:val="nil"/>
              <w:left w:val="nil"/>
              <w:bottom w:val="nil"/>
              <w:right w:val="nil"/>
            </w:tcBorders>
            <w:shd w:val="clear" w:color="auto" w:fill="auto"/>
            <w:noWrap/>
            <w:vAlign w:val="bottom"/>
            <w:hideMark/>
          </w:tcPr>
          <w:p w14:paraId="2FDAFBB9"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575" w:type="dxa"/>
            <w:tcBorders>
              <w:top w:val="nil"/>
              <w:left w:val="nil"/>
              <w:bottom w:val="nil"/>
              <w:right w:val="single" w:sz="8" w:space="0" w:color="auto"/>
            </w:tcBorders>
            <w:shd w:val="clear" w:color="auto" w:fill="auto"/>
            <w:noWrap/>
            <w:vAlign w:val="bottom"/>
            <w:hideMark/>
          </w:tcPr>
          <w:p w14:paraId="7EF7C2CB"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r>
      <w:tr w:rsidR="00FF5402" w:rsidRPr="00FF5402" w14:paraId="0FFEF806" w14:textId="77777777" w:rsidTr="00FF5402">
        <w:trPr>
          <w:trHeight w:val="290"/>
        </w:trPr>
        <w:tc>
          <w:tcPr>
            <w:tcW w:w="2958" w:type="dxa"/>
            <w:tcBorders>
              <w:top w:val="nil"/>
              <w:left w:val="single" w:sz="8" w:space="0" w:color="auto"/>
              <w:bottom w:val="nil"/>
              <w:right w:val="nil"/>
            </w:tcBorders>
            <w:shd w:val="clear" w:color="auto" w:fill="auto"/>
            <w:noWrap/>
            <w:vAlign w:val="bottom"/>
            <w:hideMark/>
          </w:tcPr>
          <w:p w14:paraId="4252E734"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Production Cost:</w:t>
            </w:r>
          </w:p>
        </w:tc>
        <w:tc>
          <w:tcPr>
            <w:tcW w:w="1734" w:type="dxa"/>
            <w:tcBorders>
              <w:top w:val="nil"/>
              <w:left w:val="nil"/>
              <w:bottom w:val="nil"/>
              <w:right w:val="nil"/>
            </w:tcBorders>
            <w:shd w:val="clear" w:color="auto" w:fill="auto"/>
            <w:noWrap/>
            <w:vAlign w:val="bottom"/>
            <w:hideMark/>
          </w:tcPr>
          <w:p w14:paraId="017C87DE" w14:textId="77777777" w:rsidR="00FF5402" w:rsidRPr="00FF5402" w:rsidRDefault="00FF5402" w:rsidP="00FF5402">
            <w:pPr>
              <w:spacing w:after="0" w:line="240" w:lineRule="auto"/>
              <w:jc w:val="left"/>
              <w:rPr>
                <w:rFonts w:eastAsia="Times New Roman" w:cs="Arial"/>
                <w:color w:val="000000"/>
                <w:szCs w:val="22"/>
              </w:rPr>
            </w:pPr>
          </w:p>
        </w:tc>
        <w:tc>
          <w:tcPr>
            <w:tcW w:w="1480" w:type="dxa"/>
            <w:tcBorders>
              <w:top w:val="nil"/>
              <w:left w:val="nil"/>
              <w:bottom w:val="nil"/>
              <w:right w:val="nil"/>
            </w:tcBorders>
            <w:shd w:val="clear" w:color="auto" w:fill="auto"/>
            <w:noWrap/>
            <w:vAlign w:val="bottom"/>
            <w:hideMark/>
          </w:tcPr>
          <w:p w14:paraId="21750F31"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733" w:type="dxa"/>
            <w:tcBorders>
              <w:top w:val="nil"/>
              <w:left w:val="nil"/>
              <w:bottom w:val="nil"/>
              <w:right w:val="nil"/>
            </w:tcBorders>
            <w:shd w:val="clear" w:color="auto" w:fill="auto"/>
            <w:noWrap/>
            <w:vAlign w:val="bottom"/>
            <w:hideMark/>
          </w:tcPr>
          <w:p w14:paraId="22D47F7B"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575" w:type="dxa"/>
            <w:tcBorders>
              <w:top w:val="nil"/>
              <w:left w:val="nil"/>
              <w:bottom w:val="nil"/>
              <w:right w:val="single" w:sz="8" w:space="0" w:color="auto"/>
            </w:tcBorders>
            <w:shd w:val="clear" w:color="auto" w:fill="auto"/>
            <w:noWrap/>
            <w:vAlign w:val="bottom"/>
            <w:hideMark/>
          </w:tcPr>
          <w:p w14:paraId="4D2B44E6"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r>
      <w:tr w:rsidR="00FF5402" w:rsidRPr="00FF5402" w14:paraId="0BD0C4FF" w14:textId="77777777" w:rsidTr="00FF5402">
        <w:trPr>
          <w:trHeight w:val="290"/>
        </w:trPr>
        <w:tc>
          <w:tcPr>
            <w:tcW w:w="2958" w:type="dxa"/>
            <w:tcBorders>
              <w:top w:val="nil"/>
              <w:left w:val="single" w:sz="8" w:space="0" w:color="auto"/>
              <w:bottom w:val="nil"/>
              <w:right w:val="nil"/>
            </w:tcBorders>
            <w:shd w:val="clear" w:color="auto" w:fill="auto"/>
            <w:vAlign w:val="bottom"/>
            <w:hideMark/>
          </w:tcPr>
          <w:p w14:paraId="437DAC7C"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Direct Material</w:t>
            </w:r>
          </w:p>
        </w:tc>
        <w:tc>
          <w:tcPr>
            <w:tcW w:w="1734" w:type="dxa"/>
            <w:tcBorders>
              <w:top w:val="nil"/>
              <w:left w:val="nil"/>
              <w:bottom w:val="nil"/>
              <w:right w:val="nil"/>
            </w:tcBorders>
            <w:shd w:val="clear" w:color="auto" w:fill="auto"/>
            <w:noWrap/>
            <w:vAlign w:val="bottom"/>
            <w:hideMark/>
          </w:tcPr>
          <w:p w14:paraId="474EF4A0"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-£4,623.00</w:t>
            </w:r>
          </w:p>
        </w:tc>
        <w:tc>
          <w:tcPr>
            <w:tcW w:w="1480" w:type="dxa"/>
            <w:tcBorders>
              <w:top w:val="nil"/>
              <w:left w:val="nil"/>
              <w:bottom w:val="nil"/>
              <w:right w:val="nil"/>
            </w:tcBorders>
            <w:shd w:val="clear" w:color="auto" w:fill="auto"/>
            <w:noWrap/>
            <w:vAlign w:val="bottom"/>
            <w:hideMark/>
          </w:tcPr>
          <w:p w14:paraId="3B0B8753"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-£6,893.10</w:t>
            </w:r>
          </w:p>
        </w:tc>
        <w:tc>
          <w:tcPr>
            <w:tcW w:w="1733" w:type="dxa"/>
            <w:tcBorders>
              <w:top w:val="nil"/>
              <w:left w:val="nil"/>
              <w:bottom w:val="nil"/>
              <w:right w:val="nil"/>
            </w:tcBorders>
            <w:shd w:val="clear" w:color="auto" w:fill="auto"/>
            <w:noWrap/>
            <w:vAlign w:val="bottom"/>
            <w:hideMark/>
          </w:tcPr>
          <w:p w14:paraId="445355E4"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-£9,264.96</w:t>
            </w:r>
          </w:p>
        </w:tc>
        <w:tc>
          <w:tcPr>
            <w:tcW w:w="1575" w:type="dxa"/>
            <w:tcBorders>
              <w:top w:val="nil"/>
              <w:left w:val="nil"/>
              <w:bottom w:val="nil"/>
              <w:right w:val="single" w:sz="8" w:space="0" w:color="auto"/>
            </w:tcBorders>
            <w:shd w:val="clear" w:color="auto" w:fill="auto"/>
            <w:noWrap/>
            <w:vAlign w:val="bottom"/>
            <w:hideMark/>
          </w:tcPr>
          <w:p w14:paraId="4C12E465"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-£20,781.06</w:t>
            </w:r>
          </w:p>
        </w:tc>
      </w:tr>
      <w:tr w:rsidR="00FF5402" w:rsidRPr="00FF5402" w14:paraId="28D52D9D" w14:textId="77777777" w:rsidTr="00FF5402">
        <w:trPr>
          <w:trHeight w:val="290"/>
        </w:trPr>
        <w:tc>
          <w:tcPr>
            <w:tcW w:w="2958" w:type="dxa"/>
            <w:tcBorders>
              <w:top w:val="nil"/>
              <w:left w:val="single" w:sz="8" w:space="0" w:color="auto"/>
              <w:bottom w:val="nil"/>
              <w:right w:val="nil"/>
            </w:tcBorders>
            <w:shd w:val="clear" w:color="auto" w:fill="auto"/>
            <w:vAlign w:val="bottom"/>
            <w:hideMark/>
          </w:tcPr>
          <w:p w14:paraId="632216FE"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Direct Labour</w:t>
            </w:r>
          </w:p>
        </w:tc>
        <w:tc>
          <w:tcPr>
            <w:tcW w:w="1734" w:type="dxa"/>
            <w:tcBorders>
              <w:top w:val="nil"/>
              <w:left w:val="nil"/>
              <w:bottom w:val="nil"/>
              <w:right w:val="nil"/>
            </w:tcBorders>
            <w:shd w:val="clear" w:color="auto" w:fill="auto"/>
            <w:noWrap/>
            <w:vAlign w:val="bottom"/>
            <w:hideMark/>
          </w:tcPr>
          <w:p w14:paraId="2DD8FC7F"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-£6,231.00</w:t>
            </w:r>
          </w:p>
        </w:tc>
        <w:tc>
          <w:tcPr>
            <w:tcW w:w="1480" w:type="dxa"/>
            <w:tcBorders>
              <w:top w:val="nil"/>
              <w:left w:val="nil"/>
              <w:bottom w:val="nil"/>
              <w:right w:val="nil"/>
            </w:tcBorders>
            <w:shd w:val="clear" w:color="auto" w:fill="auto"/>
            <w:noWrap/>
            <w:vAlign w:val="bottom"/>
            <w:hideMark/>
          </w:tcPr>
          <w:p w14:paraId="785B4F07"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-£7,824.60</w:t>
            </w:r>
          </w:p>
        </w:tc>
        <w:tc>
          <w:tcPr>
            <w:tcW w:w="1733" w:type="dxa"/>
            <w:tcBorders>
              <w:top w:val="nil"/>
              <w:left w:val="nil"/>
              <w:bottom w:val="nil"/>
              <w:right w:val="nil"/>
            </w:tcBorders>
            <w:shd w:val="clear" w:color="auto" w:fill="auto"/>
            <w:noWrap/>
            <w:vAlign w:val="bottom"/>
            <w:hideMark/>
          </w:tcPr>
          <w:p w14:paraId="61F3B6E7"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-£6,755.70</w:t>
            </w:r>
          </w:p>
        </w:tc>
        <w:tc>
          <w:tcPr>
            <w:tcW w:w="1575" w:type="dxa"/>
            <w:tcBorders>
              <w:top w:val="nil"/>
              <w:left w:val="nil"/>
              <w:bottom w:val="nil"/>
              <w:right w:val="single" w:sz="8" w:space="0" w:color="auto"/>
            </w:tcBorders>
            <w:shd w:val="clear" w:color="auto" w:fill="auto"/>
            <w:noWrap/>
            <w:vAlign w:val="bottom"/>
            <w:hideMark/>
          </w:tcPr>
          <w:p w14:paraId="5DBCA364"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FF0000"/>
                <w:szCs w:val="22"/>
              </w:rPr>
              <w:t>-£20,811.30</w:t>
            </w:r>
          </w:p>
        </w:tc>
      </w:tr>
      <w:tr w:rsidR="00FF5402" w:rsidRPr="00FF5402" w14:paraId="0CC44454" w14:textId="77777777" w:rsidTr="00FF5402">
        <w:trPr>
          <w:trHeight w:val="290"/>
        </w:trPr>
        <w:tc>
          <w:tcPr>
            <w:tcW w:w="2958" w:type="dxa"/>
            <w:tcBorders>
              <w:top w:val="nil"/>
              <w:left w:val="single" w:sz="8" w:space="0" w:color="auto"/>
              <w:bottom w:val="nil"/>
              <w:right w:val="nil"/>
            </w:tcBorders>
            <w:shd w:val="clear" w:color="auto" w:fill="auto"/>
            <w:vAlign w:val="bottom"/>
            <w:hideMark/>
          </w:tcPr>
          <w:p w14:paraId="1543A44C"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Other Variable Expenses</w:t>
            </w:r>
          </w:p>
        </w:tc>
        <w:tc>
          <w:tcPr>
            <w:tcW w:w="1734" w:type="dxa"/>
            <w:tcBorders>
              <w:top w:val="nil"/>
              <w:left w:val="nil"/>
              <w:bottom w:val="nil"/>
              <w:right w:val="nil"/>
            </w:tcBorders>
            <w:shd w:val="clear" w:color="auto" w:fill="auto"/>
            <w:noWrap/>
            <w:vAlign w:val="bottom"/>
            <w:hideMark/>
          </w:tcPr>
          <w:p w14:paraId="5F02BD4B"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-£2,211.00</w:t>
            </w:r>
          </w:p>
        </w:tc>
        <w:tc>
          <w:tcPr>
            <w:tcW w:w="1480" w:type="dxa"/>
            <w:tcBorders>
              <w:top w:val="nil"/>
              <w:left w:val="nil"/>
              <w:bottom w:val="nil"/>
              <w:right w:val="nil"/>
            </w:tcBorders>
            <w:shd w:val="clear" w:color="auto" w:fill="auto"/>
            <w:noWrap/>
            <w:vAlign w:val="bottom"/>
            <w:hideMark/>
          </w:tcPr>
          <w:p w14:paraId="0724BD3E"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-£4,657.50</w:t>
            </w:r>
          </w:p>
        </w:tc>
        <w:tc>
          <w:tcPr>
            <w:tcW w:w="1733" w:type="dxa"/>
            <w:tcBorders>
              <w:top w:val="nil"/>
              <w:left w:val="nil"/>
              <w:bottom w:val="nil"/>
              <w:right w:val="nil"/>
            </w:tcBorders>
            <w:shd w:val="clear" w:color="auto" w:fill="auto"/>
            <w:noWrap/>
            <w:vAlign w:val="bottom"/>
            <w:hideMark/>
          </w:tcPr>
          <w:p w14:paraId="277CA295"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-£3,088.32</w:t>
            </w:r>
          </w:p>
        </w:tc>
        <w:tc>
          <w:tcPr>
            <w:tcW w:w="1575" w:type="dxa"/>
            <w:tcBorders>
              <w:top w:val="nil"/>
              <w:left w:val="nil"/>
              <w:bottom w:val="nil"/>
              <w:right w:val="single" w:sz="8" w:space="0" w:color="auto"/>
            </w:tcBorders>
            <w:shd w:val="clear" w:color="auto" w:fill="auto"/>
            <w:noWrap/>
            <w:vAlign w:val="bottom"/>
            <w:hideMark/>
          </w:tcPr>
          <w:p w14:paraId="7375E44D"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-£9,956.82</w:t>
            </w:r>
          </w:p>
        </w:tc>
      </w:tr>
      <w:tr w:rsidR="00FF5402" w:rsidRPr="00FF5402" w14:paraId="72BB5B2A" w14:textId="77777777" w:rsidTr="00FF5402">
        <w:trPr>
          <w:trHeight w:val="290"/>
        </w:trPr>
        <w:tc>
          <w:tcPr>
            <w:tcW w:w="2958" w:type="dxa"/>
            <w:tcBorders>
              <w:top w:val="nil"/>
              <w:left w:val="single" w:sz="8" w:space="0" w:color="auto"/>
              <w:bottom w:val="nil"/>
              <w:right w:val="nil"/>
            </w:tcBorders>
            <w:shd w:val="clear" w:color="auto" w:fill="auto"/>
            <w:vAlign w:val="bottom"/>
            <w:hideMark/>
          </w:tcPr>
          <w:p w14:paraId="607E02C9" w14:textId="77777777" w:rsidR="00FF5402" w:rsidRPr="00FF5402" w:rsidRDefault="00FF5402" w:rsidP="00FF5402">
            <w:pPr>
              <w:spacing w:after="0" w:line="240" w:lineRule="auto"/>
              <w:jc w:val="right"/>
              <w:rPr>
                <w:rFonts w:eastAsia="Times New Roman" w:cs="Arial"/>
                <w:b/>
                <w:bCs/>
                <w:color w:val="000000"/>
                <w:szCs w:val="22"/>
              </w:rPr>
            </w:pPr>
            <w:r w:rsidRPr="00FF5402">
              <w:rPr>
                <w:rFonts w:eastAsia="Times New Roman" w:cs="Arial"/>
                <w:b/>
                <w:bCs/>
                <w:color w:val="000000"/>
                <w:szCs w:val="22"/>
              </w:rPr>
              <w:t>Contribution Margin</w:t>
            </w:r>
          </w:p>
        </w:tc>
        <w:tc>
          <w:tcPr>
            <w:tcW w:w="1734" w:type="dxa"/>
            <w:tcBorders>
              <w:top w:val="nil"/>
              <w:left w:val="nil"/>
              <w:bottom w:val="nil"/>
              <w:right w:val="nil"/>
            </w:tcBorders>
            <w:shd w:val="clear" w:color="auto" w:fill="auto"/>
            <w:noWrap/>
            <w:vAlign w:val="bottom"/>
            <w:hideMark/>
          </w:tcPr>
          <w:p w14:paraId="5D3DC2AB"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000000"/>
                <w:szCs w:val="22"/>
                <w:u w:val="double"/>
              </w:rPr>
              <w:t>£7,035.00</w:t>
            </w:r>
          </w:p>
        </w:tc>
        <w:tc>
          <w:tcPr>
            <w:tcW w:w="1480" w:type="dxa"/>
            <w:tcBorders>
              <w:top w:val="nil"/>
              <w:left w:val="nil"/>
              <w:bottom w:val="nil"/>
              <w:right w:val="nil"/>
            </w:tcBorders>
            <w:shd w:val="clear" w:color="auto" w:fill="auto"/>
            <w:noWrap/>
            <w:vAlign w:val="bottom"/>
            <w:hideMark/>
          </w:tcPr>
          <w:p w14:paraId="2561F84F"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FF0000"/>
                <w:szCs w:val="22"/>
                <w:u w:val="double"/>
              </w:rPr>
              <w:t>-£745.20</w:t>
            </w:r>
          </w:p>
        </w:tc>
        <w:tc>
          <w:tcPr>
            <w:tcW w:w="1733" w:type="dxa"/>
            <w:tcBorders>
              <w:top w:val="nil"/>
              <w:left w:val="nil"/>
              <w:bottom w:val="nil"/>
              <w:right w:val="nil"/>
            </w:tcBorders>
            <w:shd w:val="clear" w:color="auto" w:fill="auto"/>
            <w:noWrap/>
            <w:vAlign w:val="bottom"/>
            <w:hideMark/>
          </w:tcPr>
          <w:p w14:paraId="3A7FAE8A"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000000"/>
                <w:szCs w:val="22"/>
                <w:u w:val="double"/>
              </w:rPr>
              <w:t>£193.02</w:t>
            </w:r>
          </w:p>
        </w:tc>
        <w:tc>
          <w:tcPr>
            <w:tcW w:w="1575" w:type="dxa"/>
            <w:tcBorders>
              <w:top w:val="nil"/>
              <w:left w:val="nil"/>
              <w:bottom w:val="nil"/>
              <w:right w:val="single" w:sz="8" w:space="0" w:color="auto"/>
            </w:tcBorders>
            <w:shd w:val="clear" w:color="auto" w:fill="auto"/>
            <w:noWrap/>
            <w:vAlign w:val="bottom"/>
            <w:hideMark/>
          </w:tcPr>
          <w:p w14:paraId="4F57B4AE"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000000"/>
                <w:szCs w:val="22"/>
                <w:u w:val="double"/>
              </w:rPr>
              <w:t>£6,482.82</w:t>
            </w:r>
          </w:p>
        </w:tc>
      </w:tr>
      <w:tr w:rsidR="00FF5402" w:rsidRPr="00FF5402" w14:paraId="784BAEE2" w14:textId="77777777" w:rsidTr="00FF5402">
        <w:trPr>
          <w:trHeight w:val="290"/>
        </w:trPr>
        <w:tc>
          <w:tcPr>
            <w:tcW w:w="2958" w:type="dxa"/>
            <w:tcBorders>
              <w:top w:val="nil"/>
              <w:left w:val="single" w:sz="8" w:space="0" w:color="auto"/>
              <w:bottom w:val="nil"/>
              <w:right w:val="nil"/>
            </w:tcBorders>
            <w:shd w:val="clear" w:color="auto" w:fill="auto"/>
            <w:noWrap/>
            <w:vAlign w:val="bottom"/>
            <w:hideMark/>
          </w:tcPr>
          <w:p w14:paraId="18A53FF0"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c>
          <w:tcPr>
            <w:tcW w:w="1734" w:type="dxa"/>
            <w:tcBorders>
              <w:top w:val="nil"/>
              <w:left w:val="nil"/>
              <w:bottom w:val="nil"/>
              <w:right w:val="nil"/>
            </w:tcBorders>
            <w:shd w:val="clear" w:color="auto" w:fill="auto"/>
            <w:noWrap/>
            <w:vAlign w:val="bottom"/>
            <w:hideMark/>
          </w:tcPr>
          <w:p w14:paraId="1692A066" w14:textId="77777777" w:rsidR="00FF5402" w:rsidRPr="00FF5402" w:rsidRDefault="00FF5402" w:rsidP="00FF5402">
            <w:pPr>
              <w:spacing w:after="0" w:line="240" w:lineRule="auto"/>
              <w:jc w:val="left"/>
              <w:rPr>
                <w:rFonts w:eastAsia="Times New Roman" w:cs="Arial"/>
                <w:color w:val="000000"/>
                <w:szCs w:val="22"/>
              </w:rPr>
            </w:pPr>
          </w:p>
        </w:tc>
        <w:tc>
          <w:tcPr>
            <w:tcW w:w="1480" w:type="dxa"/>
            <w:tcBorders>
              <w:top w:val="nil"/>
              <w:left w:val="nil"/>
              <w:bottom w:val="nil"/>
              <w:right w:val="nil"/>
            </w:tcBorders>
            <w:shd w:val="clear" w:color="auto" w:fill="auto"/>
            <w:noWrap/>
            <w:vAlign w:val="bottom"/>
            <w:hideMark/>
          </w:tcPr>
          <w:p w14:paraId="1220241A"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733" w:type="dxa"/>
            <w:tcBorders>
              <w:top w:val="nil"/>
              <w:left w:val="nil"/>
              <w:bottom w:val="nil"/>
              <w:right w:val="nil"/>
            </w:tcBorders>
            <w:shd w:val="clear" w:color="auto" w:fill="auto"/>
            <w:noWrap/>
            <w:vAlign w:val="bottom"/>
            <w:hideMark/>
          </w:tcPr>
          <w:p w14:paraId="7615B203"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575" w:type="dxa"/>
            <w:tcBorders>
              <w:top w:val="nil"/>
              <w:left w:val="nil"/>
              <w:bottom w:val="nil"/>
              <w:right w:val="single" w:sz="8" w:space="0" w:color="auto"/>
            </w:tcBorders>
            <w:shd w:val="clear" w:color="auto" w:fill="auto"/>
            <w:noWrap/>
            <w:vAlign w:val="bottom"/>
            <w:hideMark/>
          </w:tcPr>
          <w:p w14:paraId="395B229D"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r>
      <w:tr w:rsidR="00FF5402" w:rsidRPr="00FF5402" w14:paraId="29B7DE26" w14:textId="77777777" w:rsidTr="00FF5402">
        <w:trPr>
          <w:trHeight w:val="290"/>
        </w:trPr>
        <w:tc>
          <w:tcPr>
            <w:tcW w:w="2958" w:type="dxa"/>
            <w:tcBorders>
              <w:top w:val="nil"/>
              <w:left w:val="single" w:sz="8" w:space="0" w:color="auto"/>
              <w:bottom w:val="nil"/>
              <w:right w:val="nil"/>
            </w:tcBorders>
            <w:shd w:val="clear" w:color="auto" w:fill="auto"/>
            <w:noWrap/>
            <w:vAlign w:val="bottom"/>
            <w:hideMark/>
          </w:tcPr>
          <w:p w14:paraId="0A8109BE"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Fixed Costs:</w:t>
            </w:r>
          </w:p>
        </w:tc>
        <w:tc>
          <w:tcPr>
            <w:tcW w:w="1734" w:type="dxa"/>
            <w:tcBorders>
              <w:top w:val="nil"/>
              <w:left w:val="nil"/>
              <w:bottom w:val="nil"/>
              <w:right w:val="nil"/>
            </w:tcBorders>
            <w:shd w:val="clear" w:color="auto" w:fill="auto"/>
            <w:noWrap/>
            <w:vAlign w:val="bottom"/>
            <w:hideMark/>
          </w:tcPr>
          <w:p w14:paraId="135F7865" w14:textId="77777777" w:rsidR="00FF5402" w:rsidRPr="00FF5402" w:rsidRDefault="00FF5402" w:rsidP="00FF5402">
            <w:pPr>
              <w:spacing w:after="0" w:line="240" w:lineRule="auto"/>
              <w:jc w:val="left"/>
              <w:rPr>
                <w:rFonts w:eastAsia="Times New Roman" w:cs="Arial"/>
                <w:color w:val="000000"/>
                <w:szCs w:val="22"/>
              </w:rPr>
            </w:pPr>
          </w:p>
        </w:tc>
        <w:tc>
          <w:tcPr>
            <w:tcW w:w="1480" w:type="dxa"/>
            <w:tcBorders>
              <w:top w:val="nil"/>
              <w:left w:val="nil"/>
              <w:bottom w:val="nil"/>
              <w:right w:val="nil"/>
            </w:tcBorders>
            <w:shd w:val="clear" w:color="auto" w:fill="auto"/>
            <w:noWrap/>
            <w:vAlign w:val="bottom"/>
            <w:hideMark/>
          </w:tcPr>
          <w:p w14:paraId="509A8146"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733" w:type="dxa"/>
            <w:tcBorders>
              <w:top w:val="nil"/>
              <w:left w:val="nil"/>
              <w:bottom w:val="nil"/>
              <w:right w:val="nil"/>
            </w:tcBorders>
            <w:shd w:val="clear" w:color="auto" w:fill="auto"/>
            <w:noWrap/>
            <w:vAlign w:val="bottom"/>
            <w:hideMark/>
          </w:tcPr>
          <w:p w14:paraId="525E3850" w14:textId="77777777" w:rsidR="00FF5402" w:rsidRPr="00FF5402" w:rsidRDefault="00FF5402" w:rsidP="00FF5402">
            <w:pPr>
              <w:spacing w:after="0" w:line="240" w:lineRule="auto"/>
              <w:jc w:val="left"/>
              <w:rPr>
                <w:rFonts w:ascii="Times New Roman" w:eastAsia="Times New Roman" w:hAnsi="Times New Roman" w:cs="Times New Roman"/>
                <w:sz w:val="20"/>
                <w:szCs w:val="20"/>
              </w:rPr>
            </w:pPr>
          </w:p>
        </w:tc>
        <w:tc>
          <w:tcPr>
            <w:tcW w:w="1575" w:type="dxa"/>
            <w:tcBorders>
              <w:top w:val="nil"/>
              <w:left w:val="nil"/>
              <w:bottom w:val="nil"/>
              <w:right w:val="single" w:sz="8" w:space="0" w:color="auto"/>
            </w:tcBorders>
            <w:shd w:val="clear" w:color="auto" w:fill="auto"/>
            <w:noWrap/>
            <w:vAlign w:val="bottom"/>
            <w:hideMark/>
          </w:tcPr>
          <w:p w14:paraId="03A345C2" w14:textId="77777777" w:rsidR="00FF5402" w:rsidRPr="00FF5402" w:rsidRDefault="00FF5402" w:rsidP="00FF5402">
            <w:pPr>
              <w:spacing w:after="0" w:line="240" w:lineRule="auto"/>
              <w:jc w:val="left"/>
              <w:rPr>
                <w:rFonts w:eastAsia="Times New Roman" w:cs="Arial"/>
                <w:color w:val="000000"/>
                <w:szCs w:val="22"/>
              </w:rPr>
            </w:pPr>
            <w:r w:rsidRPr="00FF5402">
              <w:rPr>
                <w:rFonts w:eastAsia="Times New Roman" w:cs="Arial"/>
                <w:color w:val="000000"/>
                <w:szCs w:val="22"/>
              </w:rPr>
              <w:t> </w:t>
            </w:r>
          </w:p>
        </w:tc>
      </w:tr>
      <w:tr w:rsidR="00FF5402" w:rsidRPr="00FF5402" w14:paraId="61F954E6" w14:textId="77777777" w:rsidTr="00FF5402">
        <w:trPr>
          <w:trHeight w:val="290"/>
        </w:trPr>
        <w:tc>
          <w:tcPr>
            <w:tcW w:w="2958" w:type="dxa"/>
            <w:tcBorders>
              <w:top w:val="nil"/>
              <w:left w:val="single" w:sz="8" w:space="0" w:color="auto"/>
              <w:bottom w:val="nil"/>
              <w:right w:val="nil"/>
            </w:tcBorders>
            <w:shd w:val="clear" w:color="auto" w:fill="auto"/>
            <w:noWrap/>
            <w:vAlign w:val="bottom"/>
            <w:hideMark/>
          </w:tcPr>
          <w:p w14:paraId="0DD213E7" w14:textId="77777777" w:rsidR="00FF5402" w:rsidRPr="00FF5402" w:rsidRDefault="00FF5402" w:rsidP="00FF5402">
            <w:pPr>
              <w:spacing w:after="0" w:line="240" w:lineRule="auto"/>
              <w:jc w:val="right"/>
              <w:rPr>
                <w:rFonts w:eastAsia="Times New Roman" w:cs="Arial"/>
                <w:color w:val="000000"/>
                <w:szCs w:val="22"/>
              </w:rPr>
            </w:pPr>
            <w:r w:rsidRPr="00FF5402">
              <w:rPr>
                <w:rFonts w:eastAsia="Times New Roman" w:cs="Arial"/>
                <w:color w:val="000000"/>
                <w:szCs w:val="22"/>
              </w:rPr>
              <w:t>Fixed Overheads</w:t>
            </w:r>
          </w:p>
        </w:tc>
        <w:tc>
          <w:tcPr>
            <w:tcW w:w="1734" w:type="dxa"/>
            <w:tcBorders>
              <w:top w:val="nil"/>
              <w:left w:val="nil"/>
              <w:bottom w:val="nil"/>
              <w:right w:val="nil"/>
            </w:tcBorders>
            <w:shd w:val="clear" w:color="auto" w:fill="auto"/>
            <w:noWrap/>
            <w:vAlign w:val="bottom"/>
            <w:hideMark/>
          </w:tcPr>
          <w:p w14:paraId="4F522BF4"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-£6,030.00</w:t>
            </w:r>
          </w:p>
        </w:tc>
        <w:tc>
          <w:tcPr>
            <w:tcW w:w="1480" w:type="dxa"/>
            <w:tcBorders>
              <w:top w:val="nil"/>
              <w:left w:val="nil"/>
              <w:bottom w:val="nil"/>
              <w:right w:val="nil"/>
            </w:tcBorders>
            <w:shd w:val="clear" w:color="auto" w:fill="auto"/>
            <w:noWrap/>
            <w:vAlign w:val="bottom"/>
            <w:hideMark/>
          </w:tcPr>
          <w:p w14:paraId="1E6D21D5"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-£5,961.60</w:t>
            </w:r>
          </w:p>
        </w:tc>
        <w:tc>
          <w:tcPr>
            <w:tcW w:w="1733" w:type="dxa"/>
            <w:tcBorders>
              <w:top w:val="nil"/>
              <w:left w:val="nil"/>
              <w:bottom w:val="nil"/>
              <w:right w:val="nil"/>
            </w:tcBorders>
            <w:shd w:val="clear" w:color="auto" w:fill="auto"/>
            <w:noWrap/>
            <w:vAlign w:val="bottom"/>
            <w:hideMark/>
          </w:tcPr>
          <w:p w14:paraId="5BB7BB53"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-£7,334.76</w:t>
            </w:r>
          </w:p>
        </w:tc>
        <w:tc>
          <w:tcPr>
            <w:tcW w:w="1575" w:type="dxa"/>
            <w:tcBorders>
              <w:top w:val="nil"/>
              <w:left w:val="nil"/>
              <w:bottom w:val="nil"/>
              <w:right w:val="single" w:sz="8" w:space="0" w:color="auto"/>
            </w:tcBorders>
            <w:shd w:val="clear" w:color="auto" w:fill="auto"/>
            <w:noWrap/>
            <w:vAlign w:val="bottom"/>
            <w:hideMark/>
          </w:tcPr>
          <w:p w14:paraId="329A3BEA" w14:textId="77777777" w:rsidR="00FF5402" w:rsidRPr="00FF5402" w:rsidRDefault="00FF5402" w:rsidP="00FF5402">
            <w:pPr>
              <w:spacing w:after="0" w:line="240" w:lineRule="auto"/>
              <w:jc w:val="right"/>
              <w:rPr>
                <w:rFonts w:eastAsia="Times New Roman" w:cs="Arial"/>
                <w:color w:val="000000"/>
                <w:szCs w:val="22"/>
                <w:u w:val="single"/>
              </w:rPr>
            </w:pPr>
            <w:r w:rsidRPr="00FF5402">
              <w:rPr>
                <w:rFonts w:eastAsia="Times New Roman" w:cs="Arial"/>
                <w:color w:val="FF0000"/>
                <w:szCs w:val="22"/>
                <w:u w:val="single"/>
              </w:rPr>
              <w:t>-£19,326.36</w:t>
            </w:r>
          </w:p>
        </w:tc>
      </w:tr>
      <w:tr w:rsidR="00FF5402" w:rsidRPr="00FF5402" w14:paraId="3493741D" w14:textId="77777777" w:rsidTr="00FF5402">
        <w:trPr>
          <w:trHeight w:val="300"/>
        </w:trPr>
        <w:tc>
          <w:tcPr>
            <w:tcW w:w="2958" w:type="dxa"/>
            <w:tcBorders>
              <w:top w:val="nil"/>
              <w:left w:val="single" w:sz="8" w:space="0" w:color="auto"/>
              <w:bottom w:val="single" w:sz="8" w:space="0" w:color="auto"/>
              <w:right w:val="nil"/>
            </w:tcBorders>
            <w:shd w:val="clear" w:color="auto" w:fill="auto"/>
            <w:noWrap/>
            <w:vAlign w:val="bottom"/>
            <w:hideMark/>
          </w:tcPr>
          <w:p w14:paraId="353AF40A" w14:textId="77777777" w:rsidR="00FF5402" w:rsidRPr="00FF5402" w:rsidRDefault="00FF5402" w:rsidP="00FF5402">
            <w:pPr>
              <w:spacing w:after="0" w:line="240" w:lineRule="auto"/>
              <w:jc w:val="right"/>
              <w:rPr>
                <w:rFonts w:eastAsia="Times New Roman" w:cs="Arial"/>
                <w:b/>
                <w:bCs/>
                <w:color w:val="000000"/>
                <w:szCs w:val="22"/>
              </w:rPr>
            </w:pPr>
            <w:r w:rsidRPr="00FF5402">
              <w:rPr>
                <w:rFonts w:eastAsia="Times New Roman" w:cs="Arial"/>
                <w:b/>
                <w:bCs/>
                <w:color w:val="000000"/>
                <w:szCs w:val="22"/>
              </w:rPr>
              <w:t>Profit</w:t>
            </w:r>
          </w:p>
        </w:tc>
        <w:tc>
          <w:tcPr>
            <w:tcW w:w="1734" w:type="dxa"/>
            <w:tcBorders>
              <w:top w:val="nil"/>
              <w:left w:val="nil"/>
              <w:bottom w:val="single" w:sz="8" w:space="0" w:color="auto"/>
              <w:right w:val="nil"/>
            </w:tcBorders>
            <w:shd w:val="clear" w:color="auto" w:fill="auto"/>
            <w:noWrap/>
            <w:vAlign w:val="bottom"/>
            <w:hideMark/>
          </w:tcPr>
          <w:p w14:paraId="31B10078"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000000"/>
                <w:szCs w:val="22"/>
                <w:u w:val="double"/>
              </w:rPr>
              <w:t>£1,005.00</w:t>
            </w:r>
          </w:p>
        </w:tc>
        <w:tc>
          <w:tcPr>
            <w:tcW w:w="1480" w:type="dxa"/>
            <w:tcBorders>
              <w:top w:val="nil"/>
              <w:left w:val="nil"/>
              <w:bottom w:val="single" w:sz="8" w:space="0" w:color="auto"/>
              <w:right w:val="nil"/>
            </w:tcBorders>
            <w:shd w:val="clear" w:color="auto" w:fill="auto"/>
            <w:noWrap/>
            <w:vAlign w:val="bottom"/>
            <w:hideMark/>
          </w:tcPr>
          <w:p w14:paraId="6E6BD774"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FF0000"/>
                <w:szCs w:val="22"/>
                <w:u w:val="double"/>
              </w:rPr>
              <w:t>-£6,706.80</w:t>
            </w:r>
          </w:p>
        </w:tc>
        <w:tc>
          <w:tcPr>
            <w:tcW w:w="1733" w:type="dxa"/>
            <w:tcBorders>
              <w:top w:val="nil"/>
              <w:left w:val="nil"/>
              <w:bottom w:val="single" w:sz="8" w:space="0" w:color="auto"/>
              <w:right w:val="nil"/>
            </w:tcBorders>
            <w:shd w:val="clear" w:color="auto" w:fill="auto"/>
            <w:noWrap/>
            <w:vAlign w:val="bottom"/>
            <w:hideMark/>
          </w:tcPr>
          <w:p w14:paraId="3A357181"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FF0000"/>
                <w:szCs w:val="22"/>
                <w:u w:val="double"/>
              </w:rPr>
              <w:t>-£7,141.74</w:t>
            </w:r>
          </w:p>
        </w:tc>
        <w:tc>
          <w:tcPr>
            <w:tcW w:w="1575" w:type="dxa"/>
            <w:tcBorders>
              <w:top w:val="nil"/>
              <w:left w:val="nil"/>
              <w:bottom w:val="single" w:sz="8" w:space="0" w:color="auto"/>
              <w:right w:val="single" w:sz="8" w:space="0" w:color="auto"/>
            </w:tcBorders>
            <w:shd w:val="clear" w:color="auto" w:fill="auto"/>
            <w:noWrap/>
            <w:vAlign w:val="bottom"/>
            <w:hideMark/>
          </w:tcPr>
          <w:p w14:paraId="2F503F26" w14:textId="77777777" w:rsidR="00FF5402" w:rsidRPr="00FF5402" w:rsidRDefault="00FF5402" w:rsidP="00FF5402">
            <w:pPr>
              <w:spacing w:after="0" w:line="240" w:lineRule="auto"/>
              <w:jc w:val="right"/>
              <w:rPr>
                <w:rFonts w:eastAsia="Times New Roman" w:cs="Arial"/>
                <w:b/>
                <w:bCs/>
                <w:color w:val="000000"/>
                <w:szCs w:val="22"/>
                <w:u w:val="double"/>
              </w:rPr>
            </w:pPr>
            <w:r w:rsidRPr="00FF5402">
              <w:rPr>
                <w:rFonts w:eastAsia="Times New Roman" w:cs="Arial"/>
                <w:b/>
                <w:bCs/>
                <w:color w:val="FF0000"/>
                <w:szCs w:val="22"/>
                <w:u w:val="double"/>
              </w:rPr>
              <w:t>-£12,843.54</w:t>
            </w:r>
          </w:p>
        </w:tc>
      </w:tr>
    </w:tbl>
    <w:p w14:paraId="79F76CFF" w14:textId="4B8B70DA" w:rsidR="009F32A0" w:rsidRPr="009F32A0" w:rsidRDefault="00150B19" w:rsidP="00480D86">
      <w:pPr>
        <w:pStyle w:val="Heading3"/>
        <w:numPr>
          <w:ilvl w:val="0"/>
          <w:numId w:val="13"/>
        </w:numPr>
        <w:rPr>
          <w:b/>
          <w:bCs/>
        </w:rPr>
      </w:pPr>
      <w:bookmarkStart w:id="7" w:name="_Toc126957767"/>
      <w:r>
        <w:t xml:space="preserve">Based on the </w:t>
      </w:r>
      <w:r w:rsidR="009F32A0">
        <w:t>calculation of</w:t>
      </w:r>
      <w:r>
        <w:t xml:space="preserve"> part (</w:t>
      </w:r>
      <w:r w:rsidR="009F32A0">
        <w:t>b</w:t>
      </w:r>
      <w:r>
        <w:t>) above, advis</w:t>
      </w:r>
      <w:r w:rsidR="009F32A0">
        <w:t>ing</w:t>
      </w:r>
      <w:r>
        <w:t xml:space="preserve"> if MSG </w:t>
      </w:r>
      <w:r>
        <w:rPr>
          <w:b/>
          <w:bCs/>
        </w:rPr>
        <w:t>should stop the production of Hoists</w:t>
      </w:r>
      <w:bookmarkEnd w:id="7"/>
    </w:p>
    <w:p w14:paraId="7DAF823B" w14:textId="31C7B0B6" w:rsidR="009F32A0" w:rsidRPr="009F32A0" w:rsidRDefault="009F32A0" w:rsidP="009F32A0">
      <w:r>
        <w:t xml:space="preserve">From the above calculation that was done in part b, </w:t>
      </w:r>
      <w:commentRangeStart w:id="8"/>
      <w:r>
        <w:t>one can see that</w:t>
      </w:r>
      <w:r w:rsidRPr="009F32A0">
        <w:t xml:space="preserve"> the production of Hoists has a -£745.20 contribution margin and a -£6,706.80 loss</w:t>
      </w:r>
      <w:r>
        <w:t xml:space="preserve">. </w:t>
      </w:r>
      <w:r w:rsidRPr="009F32A0">
        <w:t xml:space="preserve">From the perspective of a marginal costing statement, it means that the variable costs of producing Hoists are higher than the revenue generated from selling them. This suggests that the company is losing money on the production of Hoists and </w:t>
      </w:r>
      <w:r>
        <w:t>should</w:t>
      </w:r>
      <w:r w:rsidRPr="009F32A0">
        <w:t xml:space="preserve"> consider stopping the production of </w:t>
      </w:r>
      <w:commentRangeEnd w:id="8"/>
      <w:r w:rsidR="004511D8">
        <w:rPr>
          <w:rStyle w:val="CommentReference"/>
        </w:rPr>
        <w:commentReference w:id="8"/>
      </w:r>
      <w:r w:rsidRPr="009F32A0">
        <w:t>this product.</w:t>
      </w:r>
    </w:p>
    <w:p w14:paraId="53D10CA7" w14:textId="26F427D9" w:rsidR="00150B19" w:rsidRDefault="00680CDC" w:rsidP="00680CDC">
      <w:r>
        <w:t xml:space="preserve">Now, </w:t>
      </w:r>
      <w:r w:rsidR="00150B19">
        <w:t>a Marginal Costing Statement showing the results if MSG stops making Hoists</w:t>
      </w:r>
      <w:r>
        <w:t>-</w:t>
      </w:r>
    </w:p>
    <w:tbl>
      <w:tblPr>
        <w:tblW w:w="8920" w:type="dxa"/>
        <w:tblLook w:val="04A0" w:firstRow="1" w:lastRow="0" w:firstColumn="1" w:lastColumn="0" w:noHBand="0" w:noVBand="1"/>
      </w:tblPr>
      <w:tblGrid>
        <w:gridCol w:w="3769"/>
        <w:gridCol w:w="1772"/>
        <w:gridCol w:w="1770"/>
        <w:gridCol w:w="1609"/>
      </w:tblGrid>
      <w:tr w:rsidR="002340F6" w:rsidRPr="002340F6" w14:paraId="4763BA5F" w14:textId="77777777" w:rsidTr="002340F6">
        <w:trPr>
          <w:trHeight w:val="360"/>
        </w:trPr>
        <w:tc>
          <w:tcPr>
            <w:tcW w:w="8920" w:type="dxa"/>
            <w:gridSpan w:val="4"/>
            <w:tcBorders>
              <w:top w:val="single" w:sz="8" w:space="0" w:color="auto"/>
              <w:left w:val="single" w:sz="8" w:space="0" w:color="auto"/>
              <w:bottom w:val="nil"/>
              <w:right w:val="single" w:sz="8" w:space="0" w:color="000000"/>
            </w:tcBorders>
            <w:shd w:val="clear" w:color="auto" w:fill="auto"/>
            <w:noWrap/>
            <w:vAlign w:val="bottom"/>
            <w:hideMark/>
          </w:tcPr>
          <w:p w14:paraId="195AB1CD" w14:textId="77777777" w:rsidR="002340F6" w:rsidRPr="002340F6" w:rsidRDefault="002340F6" w:rsidP="002340F6">
            <w:pPr>
              <w:spacing w:after="0" w:line="240" w:lineRule="auto"/>
              <w:jc w:val="center"/>
              <w:rPr>
                <w:rFonts w:eastAsia="Times New Roman" w:cs="Arial"/>
                <w:b/>
                <w:bCs/>
                <w:color w:val="000000"/>
                <w:sz w:val="28"/>
              </w:rPr>
            </w:pPr>
            <w:r w:rsidRPr="002340F6">
              <w:rPr>
                <w:rFonts w:eastAsia="Times New Roman" w:cs="Arial"/>
                <w:b/>
                <w:bCs/>
                <w:color w:val="000000"/>
                <w:sz w:val="28"/>
              </w:rPr>
              <w:t>Marginal Costing Statement (For the month of December 2022)</w:t>
            </w:r>
          </w:p>
        </w:tc>
      </w:tr>
      <w:tr w:rsidR="002340F6" w:rsidRPr="002340F6" w14:paraId="7844790F" w14:textId="77777777" w:rsidTr="002340F6">
        <w:trPr>
          <w:trHeight w:val="360"/>
        </w:trPr>
        <w:tc>
          <w:tcPr>
            <w:tcW w:w="3769" w:type="dxa"/>
            <w:tcBorders>
              <w:top w:val="nil"/>
              <w:left w:val="single" w:sz="8" w:space="0" w:color="auto"/>
              <w:bottom w:val="nil"/>
              <w:right w:val="nil"/>
            </w:tcBorders>
            <w:shd w:val="clear" w:color="auto" w:fill="auto"/>
            <w:noWrap/>
            <w:vAlign w:val="bottom"/>
            <w:hideMark/>
          </w:tcPr>
          <w:p w14:paraId="57F1B17E" w14:textId="77777777" w:rsidR="002340F6" w:rsidRPr="002340F6" w:rsidRDefault="002340F6" w:rsidP="002340F6">
            <w:pPr>
              <w:spacing w:after="0" w:line="240" w:lineRule="auto"/>
              <w:jc w:val="center"/>
              <w:rPr>
                <w:rFonts w:eastAsia="Times New Roman" w:cs="Arial"/>
                <w:b/>
                <w:bCs/>
                <w:color w:val="000000"/>
                <w:sz w:val="28"/>
              </w:rPr>
            </w:pPr>
            <w:r w:rsidRPr="002340F6">
              <w:rPr>
                <w:rFonts w:eastAsia="Times New Roman" w:cs="Arial"/>
                <w:b/>
                <w:bCs/>
                <w:color w:val="000000"/>
                <w:sz w:val="28"/>
              </w:rPr>
              <w:t> </w:t>
            </w:r>
          </w:p>
        </w:tc>
        <w:tc>
          <w:tcPr>
            <w:tcW w:w="1772" w:type="dxa"/>
            <w:tcBorders>
              <w:top w:val="nil"/>
              <w:left w:val="nil"/>
              <w:bottom w:val="nil"/>
              <w:right w:val="nil"/>
            </w:tcBorders>
            <w:shd w:val="clear" w:color="auto" w:fill="auto"/>
            <w:noWrap/>
            <w:vAlign w:val="bottom"/>
            <w:hideMark/>
          </w:tcPr>
          <w:p w14:paraId="6E330696" w14:textId="77777777" w:rsidR="002340F6" w:rsidRPr="002340F6" w:rsidRDefault="002340F6" w:rsidP="002340F6">
            <w:pPr>
              <w:spacing w:after="0" w:line="240" w:lineRule="auto"/>
              <w:jc w:val="center"/>
              <w:rPr>
                <w:rFonts w:eastAsia="Times New Roman" w:cs="Arial"/>
                <w:b/>
                <w:bCs/>
                <w:color w:val="000000"/>
                <w:sz w:val="28"/>
              </w:rPr>
            </w:pPr>
          </w:p>
        </w:tc>
        <w:tc>
          <w:tcPr>
            <w:tcW w:w="1770" w:type="dxa"/>
            <w:tcBorders>
              <w:top w:val="nil"/>
              <w:left w:val="nil"/>
              <w:bottom w:val="nil"/>
              <w:right w:val="nil"/>
            </w:tcBorders>
            <w:shd w:val="clear" w:color="auto" w:fill="auto"/>
            <w:noWrap/>
            <w:vAlign w:val="bottom"/>
            <w:hideMark/>
          </w:tcPr>
          <w:p w14:paraId="3690A433" w14:textId="77777777" w:rsidR="002340F6" w:rsidRPr="002340F6" w:rsidRDefault="002340F6" w:rsidP="002340F6">
            <w:pPr>
              <w:spacing w:after="0" w:line="240" w:lineRule="auto"/>
              <w:jc w:val="center"/>
              <w:rPr>
                <w:rFonts w:ascii="Times New Roman" w:eastAsia="Times New Roman" w:hAnsi="Times New Roman" w:cs="Times New Roman"/>
                <w:sz w:val="20"/>
                <w:szCs w:val="20"/>
              </w:rPr>
            </w:pPr>
          </w:p>
        </w:tc>
        <w:tc>
          <w:tcPr>
            <w:tcW w:w="1609" w:type="dxa"/>
            <w:tcBorders>
              <w:top w:val="nil"/>
              <w:left w:val="nil"/>
              <w:bottom w:val="nil"/>
              <w:right w:val="single" w:sz="8" w:space="0" w:color="auto"/>
            </w:tcBorders>
            <w:shd w:val="clear" w:color="auto" w:fill="auto"/>
            <w:noWrap/>
            <w:vAlign w:val="bottom"/>
            <w:hideMark/>
          </w:tcPr>
          <w:p w14:paraId="65F80E2B" w14:textId="77777777" w:rsidR="002340F6" w:rsidRPr="002340F6" w:rsidRDefault="002340F6" w:rsidP="002340F6">
            <w:pPr>
              <w:spacing w:after="0" w:line="240" w:lineRule="auto"/>
              <w:jc w:val="center"/>
              <w:rPr>
                <w:rFonts w:eastAsia="Times New Roman" w:cs="Arial"/>
                <w:b/>
                <w:bCs/>
                <w:color w:val="000000"/>
                <w:sz w:val="28"/>
              </w:rPr>
            </w:pPr>
            <w:r w:rsidRPr="002340F6">
              <w:rPr>
                <w:rFonts w:eastAsia="Times New Roman" w:cs="Arial"/>
                <w:b/>
                <w:bCs/>
                <w:color w:val="000000"/>
                <w:sz w:val="28"/>
              </w:rPr>
              <w:t> </w:t>
            </w:r>
          </w:p>
        </w:tc>
      </w:tr>
      <w:tr w:rsidR="002340F6" w:rsidRPr="002340F6" w14:paraId="06D2E2BA" w14:textId="77777777" w:rsidTr="002340F6">
        <w:trPr>
          <w:trHeight w:val="290"/>
        </w:trPr>
        <w:tc>
          <w:tcPr>
            <w:tcW w:w="3769" w:type="dxa"/>
            <w:tcBorders>
              <w:top w:val="nil"/>
              <w:left w:val="single" w:sz="8" w:space="0" w:color="auto"/>
              <w:bottom w:val="nil"/>
              <w:right w:val="nil"/>
            </w:tcBorders>
            <w:shd w:val="clear" w:color="auto" w:fill="auto"/>
            <w:noWrap/>
            <w:vAlign w:val="bottom"/>
            <w:hideMark/>
          </w:tcPr>
          <w:p w14:paraId="75E534CC"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c>
          <w:tcPr>
            <w:tcW w:w="5151" w:type="dxa"/>
            <w:gridSpan w:val="3"/>
            <w:tcBorders>
              <w:top w:val="nil"/>
              <w:left w:val="nil"/>
              <w:bottom w:val="nil"/>
              <w:right w:val="single" w:sz="8" w:space="0" w:color="000000"/>
            </w:tcBorders>
            <w:shd w:val="clear" w:color="auto" w:fill="auto"/>
            <w:noWrap/>
            <w:vAlign w:val="bottom"/>
            <w:hideMark/>
          </w:tcPr>
          <w:p w14:paraId="75277C27"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in Pounds</w:t>
            </w:r>
          </w:p>
        </w:tc>
      </w:tr>
      <w:tr w:rsidR="002340F6" w:rsidRPr="002340F6" w14:paraId="33B83C62" w14:textId="77777777" w:rsidTr="002340F6">
        <w:trPr>
          <w:trHeight w:val="290"/>
        </w:trPr>
        <w:tc>
          <w:tcPr>
            <w:tcW w:w="3769" w:type="dxa"/>
            <w:tcBorders>
              <w:top w:val="nil"/>
              <w:left w:val="single" w:sz="8" w:space="0" w:color="auto"/>
              <w:bottom w:val="nil"/>
              <w:right w:val="nil"/>
            </w:tcBorders>
            <w:shd w:val="clear" w:color="auto" w:fill="auto"/>
            <w:noWrap/>
            <w:vAlign w:val="bottom"/>
            <w:hideMark/>
          </w:tcPr>
          <w:p w14:paraId="6350A51A"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c>
          <w:tcPr>
            <w:tcW w:w="1772" w:type="dxa"/>
            <w:tcBorders>
              <w:top w:val="nil"/>
              <w:left w:val="nil"/>
              <w:bottom w:val="nil"/>
              <w:right w:val="nil"/>
            </w:tcBorders>
            <w:shd w:val="clear" w:color="auto" w:fill="auto"/>
            <w:noWrap/>
            <w:vAlign w:val="center"/>
            <w:hideMark/>
          </w:tcPr>
          <w:p w14:paraId="27DAC4BE"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Wheelchairs</w:t>
            </w:r>
          </w:p>
        </w:tc>
        <w:tc>
          <w:tcPr>
            <w:tcW w:w="1770" w:type="dxa"/>
            <w:tcBorders>
              <w:top w:val="nil"/>
              <w:left w:val="nil"/>
              <w:bottom w:val="nil"/>
              <w:right w:val="nil"/>
            </w:tcBorders>
            <w:shd w:val="clear" w:color="auto" w:fill="auto"/>
            <w:noWrap/>
            <w:vAlign w:val="center"/>
            <w:hideMark/>
          </w:tcPr>
          <w:p w14:paraId="0EBA6EE4"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Mobile Beds</w:t>
            </w:r>
          </w:p>
        </w:tc>
        <w:tc>
          <w:tcPr>
            <w:tcW w:w="1609" w:type="dxa"/>
            <w:tcBorders>
              <w:top w:val="nil"/>
              <w:left w:val="nil"/>
              <w:bottom w:val="nil"/>
              <w:right w:val="single" w:sz="8" w:space="0" w:color="auto"/>
            </w:tcBorders>
            <w:shd w:val="clear" w:color="auto" w:fill="auto"/>
            <w:noWrap/>
            <w:vAlign w:val="center"/>
            <w:hideMark/>
          </w:tcPr>
          <w:p w14:paraId="213CC758"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Total</w:t>
            </w:r>
          </w:p>
        </w:tc>
      </w:tr>
      <w:tr w:rsidR="002340F6" w:rsidRPr="002340F6" w14:paraId="1EC908E3" w14:textId="77777777" w:rsidTr="002340F6">
        <w:trPr>
          <w:trHeight w:val="290"/>
        </w:trPr>
        <w:tc>
          <w:tcPr>
            <w:tcW w:w="3769" w:type="dxa"/>
            <w:tcBorders>
              <w:top w:val="nil"/>
              <w:left w:val="single" w:sz="8" w:space="0" w:color="auto"/>
              <w:bottom w:val="nil"/>
              <w:right w:val="nil"/>
            </w:tcBorders>
            <w:shd w:val="clear" w:color="auto" w:fill="auto"/>
            <w:vAlign w:val="bottom"/>
            <w:hideMark/>
          </w:tcPr>
          <w:p w14:paraId="3DF14508"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Sales revenue</w:t>
            </w:r>
          </w:p>
        </w:tc>
        <w:tc>
          <w:tcPr>
            <w:tcW w:w="1772" w:type="dxa"/>
            <w:tcBorders>
              <w:top w:val="nil"/>
              <w:left w:val="nil"/>
              <w:bottom w:val="nil"/>
              <w:right w:val="nil"/>
            </w:tcBorders>
            <w:shd w:val="clear" w:color="auto" w:fill="auto"/>
            <w:noWrap/>
            <w:vAlign w:val="bottom"/>
            <w:hideMark/>
          </w:tcPr>
          <w:p w14:paraId="6BF21E0B"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£20,100.00</w:t>
            </w:r>
          </w:p>
        </w:tc>
        <w:tc>
          <w:tcPr>
            <w:tcW w:w="1770" w:type="dxa"/>
            <w:tcBorders>
              <w:top w:val="nil"/>
              <w:left w:val="nil"/>
              <w:bottom w:val="nil"/>
              <w:right w:val="nil"/>
            </w:tcBorders>
            <w:shd w:val="clear" w:color="auto" w:fill="auto"/>
            <w:noWrap/>
            <w:vAlign w:val="bottom"/>
            <w:hideMark/>
          </w:tcPr>
          <w:p w14:paraId="4277798B"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£19,302.00</w:t>
            </w:r>
          </w:p>
        </w:tc>
        <w:tc>
          <w:tcPr>
            <w:tcW w:w="1609" w:type="dxa"/>
            <w:tcBorders>
              <w:top w:val="nil"/>
              <w:left w:val="nil"/>
              <w:bottom w:val="nil"/>
              <w:right w:val="single" w:sz="8" w:space="0" w:color="auto"/>
            </w:tcBorders>
            <w:shd w:val="clear" w:color="auto" w:fill="auto"/>
            <w:noWrap/>
            <w:vAlign w:val="bottom"/>
            <w:hideMark/>
          </w:tcPr>
          <w:p w14:paraId="7C7E928C"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£39,402.00</w:t>
            </w:r>
          </w:p>
        </w:tc>
      </w:tr>
      <w:tr w:rsidR="002340F6" w:rsidRPr="002340F6" w14:paraId="77B147BA" w14:textId="77777777" w:rsidTr="002340F6">
        <w:trPr>
          <w:trHeight w:val="290"/>
        </w:trPr>
        <w:tc>
          <w:tcPr>
            <w:tcW w:w="3769" w:type="dxa"/>
            <w:tcBorders>
              <w:top w:val="nil"/>
              <w:left w:val="single" w:sz="8" w:space="0" w:color="auto"/>
              <w:bottom w:val="nil"/>
              <w:right w:val="nil"/>
            </w:tcBorders>
            <w:shd w:val="clear" w:color="auto" w:fill="auto"/>
            <w:vAlign w:val="bottom"/>
            <w:hideMark/>
          </w:tcPr>
          <w:p w14:paraId="2166A20A"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 </w:t>
            </w:r>
          </w:p>
        </w:tc>
        <w:tc>
          <w:tcPr>
            <w:tcW w:w="1772" w:type="dxa"/>
            <w:tcBorders>
              <w:top w:val="nil"/>
              <w:left w:val="nil"/>
              <w:bottom w:val="nil"/>
              <w:right w:val="nil"/>
            </w:tcBorders>
            <w:shd w:val="clear" w:color="auto" w:fill="auto"/>
            <w:noWrap/>
            <w:vAlign w:val="bottom"/>
            <w:hideMark/>
          </w:tcPr>
          <w:p w14:paraId="79632E99" w14:textId="77777777" w:rsidR="002340F6" w:rsidRPr="002340F6" w:rsidRDefault="002340F6" w:rsidP="002340F6">
            <w:pPr>
              <w:spacing w:after="0" w:line="240" w:lineRule="auto"/>
              <w:jc w:val="right"/>
              <w:rPr>
                <w:rFonts w:eastAsia="Times New Roman" w:cs="Arial"/>
                <w:b/>
                <w:bCs/>
                <w:color w:val="000000"/>
                <w:szCs w:val="22"/>
              </w:rPr>
            </w:pPr>
          </w:p>
        </w:tc>
        <w:tc>
          <w:tcPr>
            <w:tcW w:w="1770" w:type="dxa"/>
            <w:tcBorders>
              <w:top w:val="nil"/>
              <w:left w:val="nil"/>
              <w:bottom w:val="nil"/>
              <w:right w:val="nil"/>
            </w:tcBorders>
            <w:shd w:val="clear" w:color="auto" w:fill="auto"/>
            <w:noWrap/>
            <w:vAlign w:val="bottom"/>
            <w:hideMark/>
          </w:tcPr>
          <w:p w14:paraId="6CFFA308"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09" w:type="dxa"/>
            <w:tcBorders>
              <w:top w:val="nil"/>
              <w:left w:val="nil"/>
              <w:bottom w:val="nil"/>
              <w:right w:val="single" w:sz="8" w:space="0" w:color="auto"/>
            </w:tcBorders>
            <w:shd w:val="clear" w:color="auto" w:fill="auto"/>
            <w:noWrap/>
            <w:vAlign w:val="bottom"/>
            <w:hideMark/>
          </w:tcPr>
          <w:p w14:paraId="261E6910"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18D1E5BA" w14:textId="77777777" w:rsidTr="002340F6">
        <w:trPr>
          <w:trHeight w:val="290"/>
        </w:trPr>
        <w:tc>
          <w:tcPr>
            <w:tcW w:w="3769" w:type="dxa"/>
            <w:tcBorders>
              <w:top w:val="nil"/>
              <w:left w:val="single" w:sz="8" w:space="0" w:color="auto"/>
              <w:bottom w:val="nil"/>
              <w:right w:val="nil"/>
            </w:tcBorders>
            <w:shd w:val="clear" w:color="auto" w:fill="auto"/>
            <w:noWrap/>
            <w:vAlign w:val="bottom"/>
            <w:hideMark/>
          </w:tcPr>
          <w:p w14:paraId="67199E42"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lastRenderedPageBreak/>
              <w:t>Production Cost:</w:t>
            </w:r>
          </w:p>
        </w:tc>
        <w:tc>
          <w:tcPr>
            <w:tcW w:w="1772" w:type="dxa"/>
            <w:tcBorders>
              <w:top w:val="nil"/>
              <w:left w:val="nil"/>
              <w:bottom w:val="nil"/>
              <w:right w:val="nil"/>
            </w:tcBorders>
            <w:shd w:val="clear" w:color="auto" w:fill="auto"/>
            <w:noWrap/>
            <w:vAlign w:val="bottom"/>
            <w:hideMark/>
          </w:tcPr>
          <w:p w14:paraId="5CD93533" w14:textId="77777777" w:rsidR="002340F6" w:rsidRPr="002340F6" w:rsidRDefault="002340F6" w:rsidP="002340F6">
            <w:pPr>
              <w:spacing w:after="0" w:line="240" w:lineRule="auto"/>
              <w:jc w:val="left"/>
              <w:rPr>
                <w:rFonts w:eastAsia="Times New Roman" w:cs="Arial"/>
                <w:color w:val="000000"/>
                <w:szCs w:val="22"/>
              </w:rPr>
            </w:pPr>
          </w:p>
        </w:tc>
        <w:tc>
          <w:tcPr>
            <w:tcW w:w="1770" w:type="dxa"/>
            <w:tcBorders>
              <w:top w:val="nil"/>
              <w:left w:val="nil"/>
              <w:bottom w:val="nil"/>
              <w:right w:val="nil"/>
            </w:tcBorders>
            <w:shd w:val="clear" w:color="auto" w:fill="auto"/>
            <w:noWrap/>
            <w:vAlign w:val="bottom"/>
            <w:hideMark/>
          </w:tcPr>
          <w:p w14:paraId="13DABC99"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09" w:type="dxa"/>
            <w:tcBorders>
              <w:top w:val="nil"/>
              <w:left w:val="nil"/>
              <w:bottom w:val="nil"/>
              <w:right w:val="single" w:sz="8" w:space="0" w:color="auto"/>
            </w:tcBorders>
            <w:shd w:val="clear" w:color="auto" w:fill="auto"/>
            <w:noWrap/>
            <w:vAlign w:val="bottom"/>
            <w:hideMark/>
          </w:tcPr>
          <w:p w14:paraId="4981EF9B"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5FABE3F6" w14:textId="77777777" w:rsidTr="002340F6">
        <w:trPr>
          <w:trHeight w:val="290"/>
        </w:trPr>
        <w:tc>
          <w:tcPr>
            <w:tcW w:w="3769" w:type="dxa"/>
            <w:tcBorders>
              <w:top w:val="nil"/>
              <w:left w:val="single" w:sz="8" w:space="0" w:color="auto"/>
              <w:bottom w:val="nil"/>
              <w:right w:val="nil"/>
            </w:tcBorders>
            <w:shd w:val="clear" w:color="auto" w:fill="auto"/>
            <w:vAlign w:val="bottom"/>
            <w:hideMark/>
          </w:tcPr>
          <w:p w14:paraId="4766D0EF"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Direct Material</w:t>
            </w:r>
          </w:p>
        </w:tc>
        <w:tc>
          <w:tcPr>
            <w:tcW w:w="1772" w:type="dxa"/>
            <w:tcBorders>
              <w:top w:val="nil"/>
              <w:left w:val="nil"/>
              <w:bottom w:val="nil"/>
              <w:right w:val="nil"/>
            </w:tcBorders>
            <w:shd w:val="clear" w:color="auto" w:fill="auto"/>
            <w:noWrap/>
            <w:vAlign w:val="bottom"/>
            <w:hideMark/>
          </w:tcPr>
          <w:p w14:paraId="4E6A3BC9"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-£4,623.00</w:t>
            </w:r>
          </w:p>
        </w:tc>
        <w:tc>
          <w:tcPr>
            <w:tcW w:w="1770" w:type="dxa"/>
            <w:tcBorders>
              <w:top w:val="nil"/>
              <w:left w:val="nil"/>
              <w:bottom w:val="nil"/>
              <w:right w:val="nil"/>
            </w:tcBorders>
            <w:shd w:val="clear" w:color="auto" w:fill="auto"/>
            <w:noWrap/>
            <w:vAlign w:val="bottom"/>
            <w:hideMark/>
          </w:tcPr>
          <w:p w14:paraId="5C847B7D"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-£9,264.96</w:t>
            </w:r>
          </w:p>
        </w:tc>
        <w:tc>
          <w:tcPr>
            <w:tcW w:w="1609" w:type="dxa"/>
            <w:tcBorders>
              <w:top w:val="nil"/>
              <w:left w:val="nil"/>
              <w:bottom w:val="nil"/>
              <w:right w:val="single" w:sz="8" w:space="0" w:color="auto"/>
            </w:tcBorders>
            <w:shd w:val="clear" w:color="auto" w:fill="auto"/>
            <w:noWrap/>
            <w:vAlign w:val="bottom"/>
            <w:hideMark/>
          </w:tcPr>
          <w:p w14:paraId="618252B5"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-£13,887.96</w:t>
            </w:r>
          </w:p>
        </w:tc>
      </w:tr>
      <w:tr w:rsidR="002340F6" w:rsidRPr="002340F6" w14:paraId="48E4904E" w14:textId="77777777" w:rsidTr="002340F6">
        <w:trPr>
          <w:trHeight w:val="290"/>
        </w:trPr>
        <w:tc>
          <w:tcPr>
            <w:tcW w:w="3769" w:type="dxa"/>
            <w:tcBorders>
              <w:top w:val="nil"/>
              <w:left w:val="single" w:sz="8" w:space="0" w:color="auto"/>
              <w:bottom w:val="nil"/>
              <w:right w:val="nil"/>
            </w:tcBorders>
            <w:shd w:val="clear" w:color="auto" w:fill="auto"/>
            <w:vAlign w:val="bottom"/>
            <w:hideMark/>
          </w:tcPr>
          <w:p w14:paraId="60553805"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Direct Labour</w:t>
            </w:r>
          </w:p>
        </w:tc>
        <w:tc>
          <w:tcPr>
            <w:tcW w:w="1772" w:type="dxa"/>
            <w:tcBorders>
              <w:top w:val="nil"/>
              <w:left w:val="nil"/>
              <w:bottom w:val="nil"/>
              <w:right w:val="nil"/>
            </w:tcBorders>
            <w:shd w:val="clear" w:color="auto" w:fill="auto"/>
            <w:noWrap/>
            <w:vAlign w:val="bottom"/>
            <w:hideMark/>
          </w:tcPr>
          <w:p w14:paraId="405307FC"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-£6,231.00</w:t>
            </w:r>
          </w:p>
        </w:tc>
        <w:tc>
          <w:tcPr>
            <w:tcW w:w="1770" w:type="dxa"/>
            <w:tcBorders>
              <w:top w:val="nil"/>
              <w:left w:val="nil"/>
              <w:bottom w:val="nil"/>
              <w:right w:val="nil"/>
            </w:tcBorders>
            <w:shd w:val="clear" w:color="auto" w:fill="auto"/>
            <w:noWrap/>
            <w:vAlign w:val="bottom"/>
            <w:hideMark/>
          </w:tcPr>
          <w:p w14:paraId="4C66252A"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-£6,755.70</w:t>
            </w:r>
          </w:p>
        </w:tc>
        <w:tc>
          <w:tcPr>
            <w:tcW w:w="1609" w:type="dxa"/>
            <w:tcBorders>
              <w:top w:val="nil"/>
              <w:left w:val="nil"/>
              <w:bottom w:val="nil"/>
              <w:right w:val="single" w:sz="8" w:space="0" w:color="auto"/>
            </w:tcBorders>
            <w:shd w:val="clear" w:color="auto" w:fill="auto"/>
            <w:noWrap/>
            <w:vAlign w:val="bottom"/>
            <w:hideMark/>
          </w:tcPr>
          <w:p w14:paraId="05AC9534"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-£12,986.70</w:t>
            </w:r>
          </w:p>
        </w:tc>
      </w:tr>
      <w:tr w:rsidR="002340F6" w:rsidRPr="002340F6" w14:paraId="15A615D4" w14:textId="77777777" w:rsidTr="002340F6">
        <w:trPr>
          <w:trHeight w:val="290"/>
        </w:trPr>
        <w:tc>
          <w:tcPr>
            <w:tcW w:w="3769" w:type="dxa"/>
            <w:tcBorders>
              <w:top w:val="nil"/>
              <w:left w:val="single" w:sz="8" w:space="0" w:color="auto"/>
              <w:bottom w:val="nil"/>
              <w:right w:val="nil"/>
            </w:tcBorders>
            <w:shd w:val="clear" w:color="auto" w:fill="auto"/>
            <w:vAlign w:val="bottom"/>
            <w:hideMark/>
          </w:tcPr>
          <w:p w14:paraId="0380E4D2"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Other Variable Expenses</w:t>
            </w:r>
          </w:p>
        </w:tc>
        <w:tc>
          <w:tcPr>
            <w:tcW w:w="1772" w:type="dxa"/>
            <w:tcBorders>
              <w:top w:val="nil"/>
              <w:left w:val="nil"/>
              <w:bottom w:val="nil"/>
              <w:right w:val="nil"/>
            </w:tcBorders>
            <w:shd w:val="clear" w:color="auto" w:fill="auto"/>
            <w:noWrap/>
            <w:vAlign w:val="bottom"/>
            <w:hideMark/>
          </w:tcPr>
          <w:p w14:paraId="02D6EFA9"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-£2,211.00</w:t>
            </w:r>
          </w:p>
        </w:tc>
        <w:tc>
          <w:tcPr>
            <w:tcW w:w="1770" w:type="dxa"/>
            <w:tcBorders>
              <w:top w:val="nil"/>
              <w:left w:val="nil"/>
              <w:bottom w:val="nil"/>
              <w:right w:val="nil"/>
            </w:tcBorders>
            <w:shd w:val="clear" w:color="auto" w:fill="auto"/>
            <w:noWrap/>
            <w:vAlign w:val="bottom"/>
            <w:hideMark/>
          </w:tcPr>
          <w:p w14:paraId="0AB4CFAF"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-£3,088.32</w:t>
            </w:r>
          </w:p>
        </w:tc>
        <w:tc>
          <w:tcPr>
            <w:tcW w:w="1609" w:type="dxa"/>
            <w:tcBorders>
              <w:top w:val="nil"/>
              <w:left w:val="nil"/>
              <w:bottom w:val="nil"/>
              <w:right w:val="single" w:sz="8" w:space="0" w:color="auto"/>
            </w:tcBorders>
            <w:shd w:val="clear" w:color="auto" w:fill="auto"/>
            <w:noWrap/>
            <w:vAlign w:val="bottom"/>
            <w:hideMark/>
          </w:tcPr>
          <w:p w14:paraId="55902346"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-£5,299.32</w:t>
            </w:r>
          </w:p>
        </w:tc>
      </w:tr>
      <w:tr w:rsidR="002340F6" w:rsidRPr="002340F6" w14:paraId="5747234E" w14:textId="77777777" w:rsidTr="002340F6">
        <w:trPr>
          <w:trHeight w:val="290"/>
        </w:trPr>
        <w:tc>
          <w:tcPr>
            <w:tcW w:w="3769" w:type="dxa"/>
            <w:tcBorders>
              <w:top w:val="nil"/>
              <w:left w:val="single" w:sz="8" w:space="0" w:color="auto"/>
              <w:bottom w:val="nil"/>
              <w:right w:val="nil"/>
            </w:tcBorders>
            <w:shd w:val="clear" w:color="auto" w:fill="auto"/>
            <w:vAlign w:val="bottom"/>
            <w:hideMark/>
          </w:tcPr>
          <w:p w14:paraId="1FA035AB"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Contribution Margin</w:t>
            </w:r>
          </w:p>
        </w:tc>
        <w:tc>
          <w:tcPr>
            <w:tcW w:w="1772" w:type="dxa"/>
            <w:tcBorders>
              <w:top w:val="nil"/>
              <w:left w:val="nil"/>
              <w:bottom w:val="nil"/>
              <w:right w:val="nil"/>
            </w:tcBorders>
            <w:shd w:val="clear" w:color="auto" w:fill="auto"/>
            <w:noWrap/>
            <w:vAlign w:val="bottom"/>
            <w:hideMark/>
          </w:tcPr>
          <w:p w14:paraId="603797D1"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£7,035.00</w:t>
            </w:r>
          </w:p>
        </w:tc>
        <w:tc>
          <w:tcPr>
            <w:tcW w:w="1770" w:type="dxa"/>
            <w:tcBorders>
              <w:top w:val="nil"/>
              <w:left w:val="nil"/>
              <w:bottom w:val="nil"/>
              <w:right w:val="nil"/>
            </w:tcBorders>
            <w:shd w:val="clear" w:color="auto" w:fill="auto"/>
            <w:noWrap/>
            <w:vAlign w:val="bottom"/>
            <w:hideMark/>
          </w:tcPr>
          <w:p w14:paraId="4FC81DB1"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£193.02</w:t>
            </w:r>
          </w:p>
        </w:tc>
        <w:tc>
          <w:tcPr>
            <w:tcW w:w="1609" w:type="dxa"/>
            <w:tcBorders>
              <w:top w:val="nil"/>
              <w:left w:val="nil"/>
              <w:bottom w:val="nil"/>
              <w:right w:val="single" w:sz="8" w:space="0" w:color="auto"/>
            </w:tcBorders>
            <w:shd w:val="clear" w:color="auto" w:fill="auto"/>
            <w:noWrap/>
            <w:vAlign w:val="bottom"/>
            <w:hideMark/>
          </w:tcPr>
          <w:p w14:paraId="4B27F74D"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£7,228.02</w:t>
            </w:r>
          </w:p>
        </w:tc>
      </w:tr>
      <w:tr w:rsidR="002340F6" w:rsidRPr="002340F6" w14:paraId="1E2BE9F5" w14:textId="77777777" w:rsidTr="002340F6">
        <w:trPr>
          <w:trHeight w:val="290"/>
        </w:trPr>
        <w:tc>
          <w:tcPr>
            <w:tcW w:w="3769" w:type="dxa"/>
            <w:tcBorders>
              <w:top w:val="nil"/>
              <w:left w:val="single" w:sz="8" w:space="0" w:color="auto"/>
              <w:bottom w:val="nil"/>
              <w:right w:val="nil"/>
            </w:tcBorders>
            <w:shd w:val="clear" w:color="auto" w:fill="auto"/>
            <w:noWrap/>
            <w:vAlign w:val="bottom"/>
            <w:hideMark/>
          </w:tcPr>
          <w:p w14:paraId="5F225B79"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c>
          <w:tcPr>
            <w:tcW w:w="1772" w:type="dxa"/>
            <w:tcBorders>
              <w:top w:val="nil"/>
              <w:left w:val="nil"/>
              <w:bottom w:val="nil"/>
              <w:right w:val="nil"/>
            </w:tcBorders>
            <w:shd w:val="clear" w:color="auto" w:fill="auto"/>
            <w:noWrap/>
            <w:vAlign w:val="bottom"/>
            <w:hideMark/>
          </w:tcPr>
          <w:p w14:paraId="441C1FA0" w14:textId="77777777" w:rsidR="002340F6" w:rsidRPr="002340F6" w:rsidRDefault="002340F6" w:rsidP="002340F6">
            <w:pPr>
              <w:spacing w:after="0" w:line="240" w:lineRule="auto"/>
              <w:jc w:val="left"/>
              <w:rPr>
                <w:rFonts w:eastAsia="Times New Roman" w:cs="Arial"/>
                <w:color w:val="000000"/>
                <w:szCs w:val="22"/>
              </w:rPr>
            </w:pPr>
          </w:p>
        </w:tc>
        <w:tc>
          <w:tcPr>
            <w:tcW w:w="1770" w:type="dxa"/>
            <w:tcBorders>
              <w:top w:val="nil"/>
              <w:left w:val="nil"/>
              <w:bottom w:val="nil"/>
              <w:right w:val="nil"/>
            </w:tcBorders>
            <w:shd w:val="clear" w:color="auto" w:fill="auto"/>
            <w:noWrap/>
            <w:vAlign w:val="bottom"/>
            <w:hideMark/>
          </w:tcPr>
          <w:p w14:paraId="05F621D5"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09" w:type="dxa"/>
            <w:tcBorders>
              <w:top w:val="nil"/>
              <w:left w:val="nil"/>
              <w:bottom w:val="nil"/>
              <w:right w:val="single" w:sz="8" w:space="0" w:color="auto"/>
            </w:tcBorders>
            <w:shd w:val="clear" w:color="auto" w:fill="auto"/>
            <w:noWrap/>
            <w:vAlign w:val="bottom"/>
            <w:hideMark/>
          </w:tcPr>
          <w:p w14:paraId="4E7CA0A6"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56973AAB" w14:textId="77777777" w:rsidTr="002340F6">
        <w:trPr>
          <w:trHeight w:val="290"/>
        </w:trPr>
        <w:tc>
          <w:tcPr>
            <w:tcW w:w="3769" w:type="dxa"/>
            <w:tcBorders>
              <w:top w:val="nil"/>
              <w:left w:val="single" w:sz="8" w:space="0" w:color="auto"/>
              <w:bottom w:val="nil"/>
              <w:right w:val="nil"/>
            </w:tcBorders>
            <w:shd w:val="clear" w:color="auto" w:fill="auto"/>
            <w:noWrap/>
            <w:vAlign w:val="bottom"/>
            <w:hideMark/>
          </w:tcPr>
          <w:p w14:paraId="15BB13D4"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Fixed Costs:</w:t>
            </w:r>
          </w:p>
        </w:tc>
        <w:tc>
          <w:tcPr>
            <w:tcW w:w="1772" w:type="dxa"/>
            <w:tcBorders>
              <w:top w:val="nil"/>
              <w:left w:val="nil"/>
              <w:bottom w:val="nil"/>
              <w:right w:val="nil"/>
            </w:tcBorders>
            <w:shd w:val="clear" w:color="auto" w:fill="auto"/>
            <w:noWrap/>
            <w:vAlign w:val="bottom"/>
            <w:hideMark/>
          </w:tcPr>
          <w:p w14:paraId="44F46BDB" w14:textId="77777777" w:rsidR="002340F6" w:rsidRPr="002340F6" w:rsidRDefault="002340F6" w:rsidP="002340F6">
            <w:pPr>
              <w:spacing w:after="0" w:line="240" w:lineRule="auto"/>
              <w:jc w:val="left"/>
              <w:rPr>
                <w:rFonts w:eastAsia="Times New Roman" w:cs="Arial"/>
                <w:color w:val="000000"/>
                <w:szCs w:val="22"/>
              </w:rPr>
            </w:pPr>
          </w:p>
        </w:tc>
        <w:tc>
          <w:tcPr>
            <w:tcW w:w="1770" w:type="dxa"/>
            <w:tcBorders>
              <w:top w:val="nil"/>
              <w:left w:val="nil"/>
              <w:bottom w:val="nil"/>
              <w:right w:val="nil"/>
            </w:tcBorders>
            <w:shd w:val="clear" w:color="auto" w:fill="auto"/>
            <w:noWrap/>
            <w:vAlign w:val="bottom"/>
            <w:hideMark/>
          </w:tcPr>
          <w:p w14:paraId="6FDA811B"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09" w:type="dxa"/>
            <w:tcBorders>
              <w:top w:val="nil"/>
              <w:left w:val="nil"/>
              <w:bottom w:val="nil"/>
              <w:right w:val="single" w:sz="8" w:space="0" w:color="auto"/>
            </w:tcBorders>
            <w:shd w:val="clear" w:color="auto" w:fill="auto"/>
            <w:noWrap/>
            <w:vAlign w:val="bottom"/>
            <w:hideMark/>
          </w:tcPr>
          <w:p w14:paraId="2C97CCC4"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393A3D6B" w14:textId="77777777" w:rsidTr="002340F6">
        <w:trPr>
          <w:trHeight w:val="290"/>
        </w:trPr>
        <w:tc>
          <w:tcPr>
            <w:tcW w:w="3769" w:type="dxa"/>
            <w:tcBorders>
              <w:top w:val="nil"/>
              <w:left w:val="single" w:sz="8" w:space="0" w:color="auto"/>
              <w:bottom w:val="nil"/>
              <w:right w:val="nil"/>
            </w:tcBorders>
            <w:shd w:val="clear" w:color="auto" w:fill="auto"/>
            <w:noWrap/>
            <w:vAlign w:val="bottom"/>
            <w:hideMark/>
          </w:tcPr>
          <w:p w14:paraId="02B28632"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Fixed Overheads</w:t>
            </w:r>
          </w:p>
        </w:tc>
        <w:tc>
          <w:tcPr>
            <w:tcW w:w="1772" w:type="dxa"/>
            <w:tcBorders>
              <w:top w:val="nil"/>
              <w:left w:val="nil"/>
              <w:bottom w:val="nil"/>
              <w:right w:val="nil"/>
            </w:tcBorders>
            <w:shd w:val="clear" w:color="auto" w:fill="auto"/>
            <w:noWrap/>
            <w:vAlign w:val="bottom"/>
            <w:hideMark/>
          </w:tcPr>
          <w:p w14:paraId="15D2D800"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-£6,030.00</w:t>
            </w:r>
          </w:p>
        </w:tc>
        <w:tc>
          <w:tcPr>
            <w:tcW w:w="1770" w:type="dxa"/>
            <w:tcBorders>
              <w:top w:val="nil"/>
              <w:left w:val="nil"/>
              <w:bottom w:val="nil"/>
              <w:right w:val="nil"/>
            </w:tcBorders>
            <w:shd w:val="clear" w:color="auto" w:fill="auto"/>
            <w:noWrap/>
            <w:vAlign w:val="bottom"/>
            <w:hideMark/>
          </w:tcPr>
          <w:p w14:paraId="54B53571"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-£7,334.76</w:t>
            </w:r>
          </w:p>
        </w:tc>
        <w:tc>
          <w:tcPr>
            <w:tcW w:w="1609" w:type="dxa"/>
            <w:tcBorders>
              <w:top w:val="nil"/>
              <w:left w:val="nil"/>
              <w:bottom w:val="nil"/>
              <w:right w:val="single" w:sz="8" w:space="0" w:color="auto"/>
            </w:tcBorders>
            <w:shd w:val="clear" w:color="auto" w:fill="auto"/>
            <w:noWrap/>
            <w:vAlign w:val="bottom"/>
            <w:hideMark/>
          </w:tcPr>
          <w:p w14:paraId="46D01ECB"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-£19,326.36</w:t>
            </w:r>
          </w:p>
        </w:tc>
      </w:tr>
      <w:tr w:rsidR="002340F6" w:rsidRPr="002340F6" w14:paraId="153EAAAF" w14:textId="77777777" w:rsidTr="002340F6">
        <w:trPr>
          <w:trHeight w:val="300"/>
        </w:trPr>
        <w:tc>
          <w:tcPr>
            <w:tcW w:w="3769" w:type="dxa"/>
            <w:tcBorders>
              <w:top w:val="nil"/>
              <w:left w:val="single" w:sz="8" w:space="0" w:color="auto"/>
              <w:bottom w:val="single" w:sz="8" w:space="0" w:color="auto"/>
              <w:right w:val="nil"/>
            </w:tcBorders>
            <w:shd w:val="clear" w:color="auto" w:fill="auto"/>
            <w:noWrap/>
            <w:vAlign w:val="bottom"/>
            <w:hideMark/>
          </w:tcPr>
          <w:p w14:paraId="0A530C63"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Profit</w:t>
            </w:r>
          </w:p>
        </w:tc>
        <w:tc>
          <w:tcPr>
            <w:tcW w:w="1772" w:type="dxa"/>
            <w:tcBorders>
              <w:top w:val="nil"/>
              <w:left w:val="nil"/>
              <w:bottom w:val="single" w:sz="8" w:space="0" w:color="auto"/>
              <w:right w:val="nil"/>
            </w:tcBorders>
            <w:shd w:val="clear" w:color="auto" w:fill="auto"/>
            <w:noWrap/>
            <w:vAlign w:val="bottom"/>
            <w:hideMark/>
          </w:tcPr>
          <w:p w14:paraId="2F0EF5A0"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£1,005.00</w:t>
            </w:r>
          </w:p>
        </w:tc>
        <w:tc>
          <w:tcPr>
            <w:tcW w:w="1770" w:type="dxa"/>
            <w:tcBorders>
              <w:top w:val="nil"/>
              <w:left w:val="nil"/>
              <w:bottom w:val="single" w:sz="8" w:space="0" w:color="auto"/>
              <w:right w:val="nil"/>
            </w:tcBorders>
            <w:shd w:val="clear" w:color="auto" w:fill="auto"/>
            <w:noWrap/>
            <w:vAlign w:val="bottom"/>
            <w:hideMark/>
          </w:tcPr>
          <w:p w14:paraId="6BF1D5C9"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FF0000"/>
                <w:szCs w:val="22"/>
                <w:u w:val="double"/>
              </w:rPr>
              <w:t>-£7,141.74</w:t>
            </w:r>
          </w:p>
        </w:tc>
        <w:tc>
          <w:tcPr>
            <w:tcW w:w="1609" w:type="dxa"/>
            <w:tcBorders>
              <w:top w:val="nil"/>
              <w:left w:val="nil"/>
              <w:bottom w:val="single" w:sz="8" w:space="0" w:color="auto"/>
              <w:right w:val="single" w:sz="8" w:space="0" w:color="auto"/>
            </w:tcBorders>
            <w:shd w:val="clear" w:color="auto" w:fill="auto"/>
            <w:noWrap/>
            <w:vAlign w:val="bottom"/>
            <w:hideMark/>
          </w:tcPr>
          <w:p w14:paraId="37A377FB"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FF0000"/>
                <w:szCs w:val="22"/>
                <w:u w:val="double"/>
              </w:rPr>
              <w:t>-£12,098.34</w:t>
            </w:r>
          </w:p>
        </w:tc>
      </w:tr>
    </w:tbl>
    <w:p w14:paraId="1AE78EB1" w14:textId="77777777" w:rsidR="00923D31" w:rsidRDefault="00923D31" w:rsidP="00923D31">
      <w:pPr>
        <w:spacing w:after="0" w:line="240" w:lineRule="auto"/>
        <w:rPr>
          <w:rFonts w:eastAsia="Times New Roman" w:cs="Arial"/>
          <w:color w:val="000000"/>
          <w:szCs w:val="22"/>
        </w:rPr>
      </w:pPr>
    </w:p>
    <w:p w14:paraId="7D488B8D" w14:textId="6AF036A8" w:rsidR="00D76C14" w:rsidRPr="00C859A6" w:rsidRDefault="00923D31" w:rsidP="00C859A6">
      <w:pPr>
        <w:spacing w:after="0"/>
        <w:rPr>
          <w:rFonts w:eastAsia="Times New Roman" w:cs="Arial"/>
          <w:color w:val="000000"/>
          <w:szCs w:val="22"/>
        </w:rPr>
      </w:pPr>
      <w:r w:rsidRPr="00C859A6">
        <w:rPr>
          <w:rFonts w:eastAsia="Times New Roman" w:cs="Arial"/>
          <w:color w:val="000000"/>
          <w:szCs w:val="22"/>
        </w:rPr>
        <w:t xml:space="preserve">Here, one can see that after ceasing the production of Hoists, the </w:t>
      </w:r>
      <w:r w:rsidR="00C859A6" w:rsidRPr="00C859A6">
        <w:rPr>
          <w:rFonts w:eastAsia="Times New Roman" w:cs="Arial"/>
          <w:i/>
          <w:iCs/>
          <w:color w:val="000000"/>
          <w:szCs w:val="22"/>
        </w:rPr>
        <w:t xml:space="preserve">total </w:t>
      </w:r>
      <w:r w:rsidRPr="00C859A6">
        <w:rPr>
          <w:rFonts w:eastAsia="Times New Roman" w:cs="Arial"/>
          <w:i/>
          <w:iCs/>
          <w:color w:val="000000"/>
          <w:szCs w:val="22"/>
        </w:rPr>
        <w:t>contribution margin increases</w:t>
      </w:r>
      <w:r w:rsidRPr="00C859A6">
        <w:rPr>
          <w:rFonts w:eastAsia="Times New Roman" w:cs="Arial"/>
          <w:color w:val="000000"/>
          <w:szCs w:val="22"/>
        </w:rPr>
        <w:t xml:space="preserve"> to </w:t>
      </w:r>
      <w:r w:rsidRPr="00923D31">
        <w:rPr>
          <w:rFonts w:eastAsia="Times New Roman" w:cs="Arial"/>
          <w:color w:val="000000"/>
          <w:szCs w:val="22"/>
        </w:rPr>
        <w:t>£7,228.02</w:t>
      </w:r>
      <w:r w:rsidRPr="00C859A6">
        <w:rPr>
          <w:rFonts w:eastAsia="Times New Roman" w:cs="Arial"/>
          <w:color w:val="000000"/>
          <w:szCs w:val="22"/>
        </w:rPr>
        <w:t xml:space="preserve"> from </w:t>
      </w:r>
      <w:r w:rsidRPr="00923D31">
        <w:rPr>
          <w:rFonts w:eastAsia="Times New Roman" w:cs="Arial"/>
          <w:color w:val="000000"/>
          <w:szCs w:val="22"/>
        </w:rPr>
        <w:t>£6482.82</w:t>
      </w:r>
      <w:r w:rsidRPr="00C859A6">
        <w:rPr>
          <w:rFonts w:eastAsia="Times New Roman" w:cs="Arial"/>
          <w:color w:val="000000"/>
          <w:szCs w:val="22"/>
        </w:rPr>
        <w:t xml:space="preserve"> and the </w:t>
      </w:r>
      <w:r w:rsidR="00C859A6" w:rsidRPr="00C859A6">
        <w:rPr>
          <w:rFonts w:eastAsia="Times New Roman" w:cs="Arial"/>
          <w:i/>
          <w:iCs/>
          <w:color w:val="000000"/>
          <w:szCs w:val="22"/>
        </w:rPr>
        <w:t xml:space="preserve">total </w:t>
      </w:r>
      <w:r w:rsidRPr="00C859A6">
        <w:rPr>
          <w:rFonts w:eastAsia="Times New Roman" w:cs="Arial"/>
          <w:i/>
          <w:iCs/>
          <w:color w:val="000000"/>
          <w:szCs w:val="22"/>
        </w:rPr>
        <w:t>profit also got better</w:t>
      </w:r>
      <w:r w:rsidRPr="00C859A6">
        <w:rPr>
          <w:rFonts w:eastAsia="Times New Roman" w:cs="Arial"/>
          <w:color w:val="000000"/>
          <w:szCs w:val="22"/>
        </w:rPr>
        <w:t xml:space="preserve"> from </w:t>
      </w:r>
      <w:r w:rsidRPr="00923D31">
        <w:rPr>
          <w:rFonts w:eastAsia="Times New Roman" w:cs="Arial"/>
          <w:color w:val="000000"/>
          <w:szCs w:val="22"/>
        </w:rPr>
        <w:t>£-12843.54</w:t>
      </w:r>
      <w:r w:rsidRPr="00C859A6">
        <w:rPr>
          <w:rFonts w:eastAsia="Times New Roman" w:cs="Arial"/>
          <w:color w:val="000000"/>
          <w:szCs w:val="22"/>
        </w:rPr>
        <w:t xml:space="preserve"> to £-6,136.74.</w:t>
      </w:r>
    </w:p>
    <w:p w14:paraId="23EBB247" w14:textId="4284CC6B" w:rsidR="00C859A6" w:rsidRPr="00C859A6" w:rsidRDefault="00C859A6" w:rsidP="00480D86">
      <w:pPr>
        <w:pStyle w:val="Heading3"/>
        <w:numPr>
          <w:ilvl w:val="0"/>
          <w:numId w:val="13"/>
        </w:numPr>
        <w:rPr>
          <w:b/>
          <w:bCs/>
        </w:rPr>
      </w:pPr>
      <w:bookmarkStart w:id="9" w:name="_Toc126957768"/>
      <w:r>
        <w:t xml:space="preserve">Based on the calculation of part (b) above, advising if MSG should stop the production of </w:t>
      </w:r>
      <w:bookmarkStart w:id="10" w:name="_Hlk126951870"/>
      <w:r>
        <w:t>Mobile Beds</w:t>
      </w:r>
      <w:bookmarkEnd w:id="9"/>
      <w:bookmarkEnd w:id="10"/>
    </w:p>
    <w:p w14:paraId="2423052B" w14:textId="0A987B58" w:rsidR="00C859A6" w:rsidRDefault="006B24B4" w:rsidP="006B24B4">
      <w:r>
        <w:t xml:space="preserve">From the perspective of a marginal costing statement, if the production of Mobile Beds has a £193.02 contribution margin and a -£7,141.74 loss, and if it has a high fixed cost, it means that the company is still not generating </w:t>
      </w:r>
      <w:commentRangeStart w:id="11"/>
      <w:r>
        <w:t>a profit even though the variable costs of producing Mobile Beds are less than the revenue generated from selling them. In such a scenario, the high fixed costs may be making it difficult for the company to generate a profit from the production of Mobile Beds. If the fixed costs are not being offset by other products or operations, it may be more appropriate to discontinue the production of Mobile Beds</w:t>
      </w:r>
      <w:r w:rsidR="00C859A6">
        <w:t xml:space="preserve">. </w:t>
      </w:r>
    </w:p>
    <w:p w14:paraId="7C183150" w14:textId="1EC6CDB4" w:rsidR="00C94D40" w:rsidRDefault="00C859A6" w:rsidP="00C859A6">
      <w:r>
        <w:t xml:space="preserve">Now, a Marginal Costing Statement showing the results </w:t>
      </w:r>
      <w:commentRangeEnd w:id="11"/>
      <w:r w:rsidR="004511D8">
        <w:rPr>
          <w:rStyle w:val="CommentReference"/>
        </w:rPr>
        <w:commentReference w:id="11"/>
      </w:r>
      <w:r>
        <w:t xml:space="preserve">if MSG stops making </w:t>
      </w:r>
      <w:r w:rsidR="00BC6C47" w:rsidRPr="00BC6C47">
        <w:t>Mobile Beds</w:t>
      </w:r>
      <w:r w:rsidR="00512D5C">
        <w:t xml:space="preserve"> </w:t>
      </w:r>
      <w:r w:rsidR="00512D5C" w:rsidRPr="00512D5C">
        <w:t>(</w:t>
      </w:r>
      <w:proofErr w:type="spellStart"/>
      <w:r w:rsidR="00512D5C" w:rsidRPr="00512D5C">
        <w:t>Garikaib</w:t>
      </w:r>
      <w:proofErr w:type="spellEnd"/>
      <w:r w:rsidR="00512D5C" w:rsidRPr="00512D5C">
        <w:t>, 2022)</w:t>
      </w:r>
      <w:r>
        <w:t>-</w:t>
      </w:r>
    </w:p>
    <w:tbl>
      <w:tblPr>
        <w:tblW w:w="8860" w:type="dxa"/>
        <w:tblLook w:val="04A0" w:firstRow="1" w:lastRow="0" w:firstColumn="1" w:lastColumn="0" w:noHBand="0" w:noVBand="1"/>
      </w:tblPr>
      <w:tblGrid>
        <w:gridCol w:w="3856"/>
        <w:gridCol w:w="1812"/>
        <w:gridCol w:w="1546"/>
        <w:gridCol w:w="1646"/>
      </w:tblGrid>
      <w:tr w:rsidR="002340F6" w:rsidRPr="002340F6" w14:paraId="7FBDB05A" w14:textId="77777777" w:rsidTr="002340F6">
        <w:trPr>
          <w:trHeight w:val="360"/>
        </w:trPr>
        <w:tc>
          <w:tcPr>
            <w:tcW w:w="8860" w:type="dxa"/>
            <w:gridSpan w:val="4"/>
            <w:tcBorders>
              <w:top w:val="single" w:sz="8" w:space="0" w:color="auto"/>
              <w:left w:val="single" w:sz="8" w:space="0" w:color="auto"/>
              <w:bottom w:val="nil"/>
              <w:right w:val="single" w:sz="8" w:space="0" w:color="000000"/>
            </w:tcBorders>
            <w:shd w:val="clear" w:color="auto" w:fill="auto"/>
            <w:noWrap/>
            <w:vAlign w:val="bottom"/>
            <w:hideMark/>
          </w:tcPr>
          <w:p w14:paraId="254C6B50" w14:textId="77777777" w:rsidR="002340F6" w:rsidRPr="002340F6" w:rsidRDefault="002340F6" w:rsidP="002340F6">
            <w:pPr>
              <w:spacing w:after="0" w:line="240" w:lineRule="auto"/>
              <w:jc w:val="center"/>
              <w:rPr>
                <w:rFonts w:eastAsia="Times New Roman" w:cs="Arial"/>
                <w:b/>
                <w:bCs/>
                <w:color w:val="000000"/>
                <w:sz w:val="28"/>
              </w:rPr>
            </w:pPr>
            <w:r w:rsidRPr="002340F6">
              <w:rPr>
                <w:rFonts w:eastAsia="Times New Roman" w:cs="Arial"/>
                <w:b/>
                <w:bCs/>
                <w:color w:val="000000"/>
                <w:sz w:val="28"/>
              </w:rPr>
              <w:t>Marginal Costing Statement (For the month of December 2022)</w:t>
            </w:r>
          </w:p>
        </w:tc>
      </w:tr>
      <w:tr w:rsidR="002340F6" w:rsidRPr="002340F6" w14:paraId="4E05A8C8" w14:textId="77777777" w:rsidTr="002340F6">
        <w:trPr>
          <w:trHeight w:val="360"/>
        </w:trPr>
        <w:tc>
          <w:tcPr>
            <w:tcW w:w="3856" w:type="dxa"/>
            <w:tcBorders>
              <w:top w:val="nil"/>
              <w:left w:val="single" w:sz="8" w:space="0" w:color="auto"/>
              <w:bottom w:val="nil"/>
              <w:right w:val="nil"/>
            </w:tcBorders>
            <w:shd w:val="clear" w:color="auto" w:fill="auto"/>
            <w:noWrap/>
            <w:vAlign w:val="bottom"/>
            <w:hideMark/>
          </w:tcPr>
          <w:p w14:paraId="2B237A29" w14:textId="77777777" w:rsidR="002340F6" w:rsidRPr="002340F6" w:rsidRDefault="002340F6" w:rsidP="002340F6">
            <w:pPr>
              <w:spacing w:after="0" w:line="240" w:lineRule="auto"/>
              <w:jc w:val="center"/>
              <w:rPr>
                <w:rFonts w:eastAsia="Times New Roman" w:cs="Arial"/>
                <w:b/>
                <w:bCs/>
                <w:color w:val="000000"/>
                <w:sz w:val="28"/>
              </w:rPr>
            </w:pPr>
            <w:r w:rsidRPr="002340F6">
              <w:rPr>
                <w:rFonts w:eastAsia="Times New Roman" w:cs="Arial"/>
                <w:b/>
                <w:bCs/>
                <w:color w:val="000000"/>
                <w:sz w:val="28"/>
              </w:rPr>
              <w:t> </w:t>
            </w:r>
          </w:p>
        </w:tc>
        <w:tc>
          <w:tcPr>
            <w:tcW w:w="1812" w:type="dxa"/>
            <w:tcBorders>
              <w:top w:val="nil"/>
              <w:left w:val="nil"/>
              <w:bottom w:val="nil"/>
              <w:right w:val="nil"/>
            </w:tcBorders>
            <w:shd w:val="clear" w:color="auto" w:fill="auto"/>
            <w:noWrap/>
            <w:vAlign w:val="bottom"/>
            <w:hideMark/>
          </w:tcPr>
          <w:p w14:paraId="0B124E57" w14:textId="77777777" w:rsidR="002340F6" w:rsidRPr="002340F6" w:rsidRDefault="002340F6" w:rsidP="002340F6">
            <w:pPr>
              <w:spacing w:after="0" w:line="240" w:lineRule="auto"/>
              <w:jc w:val="center"/>
              <w:rPr>
                <w:rFonts w:eastAsia="Times New Roman" w:cs="Arial"/>
                <w:b/>
                <w:bCs/>
                <w:color w:val="000000"/>
                <w:sz w:val="28"/>
              </w:rPr>
            </w:pPr>
          </w:p>
        </w:tc>
        <w:tc>
          <w:tcPr>
            <w:tcW w:w="1546" w:type="dxa"/>
            <w:tcBorders>
              <w:top w:val="nil"/>
              <w:left w:val="nil"/>
              <w:bottom w:val="nil"/>
              <w:right w:val="nil"/>
            </w:tcBorders>
            <w:shd w:val="clear" w:color="auto" w:fill="auto"/>
            <w:noWrap/>
            <w:vAlign w:val="bottom"/>
            <w:hideMark/>
          </w:tcPr>
          <w:p w14:paraId="5854121B" w14:textId="77777777" w:rsidR="002340F6" w:rsidRPr="002340F6" w:rsidRDefault="002340F6" w:rsidP="002340F6">
            <w:pPr>
              <w:spacing w:after="0" w:line="240" w:lineRule="auto"/>
              <w:jc w:val="center"/>
              <w:rPr>
                <w:rFonts w:ascii="Times New Roman" w:eastAsia="Times New Roman" w:hAnsi="Times New Roman" w:cs="Times New Roman"/>
                <w:sz w:val="20"/>
                <w:szCs w:val="20"/>
              </w:rPr>
            </w:pPr>
          </w:p>
        </w:tc>
        <w:tc>
          <w:tcPr>
            <w:tcW w:w="1646" w:type="dxa"/>
            <w:tcBorders>
              <w:top w:val="nil"/>
              <w:left w:val="nil"/>
              <w:bottom w:val="nil"/>
              <w:right w:val="single" w:sz="8" w:space="0" w:color="auto"/>
            </w:tcBorders>
            <w:shd w:val="clear" w:color="auto" w:fill="auto"/>
            <w:noWrap/>
            <w:vAlign w:val="bottom"/>
            <w:hideMark/>
          </w:tcPr>
          <w:p w14:paraId="2C477FFC" w14:textId="77777777" w:rsidR="002340F6" w:rsidRPr="002340F6" w:rsidRDefault="002340F6" w:rsidP="002340F6">
            <w:pPr>
              <w:spacing w:after="0" w:line="240" w:lineRule="auto"/>
              <w:jc w:val="center"/>
              <w:rPr>
                <w:rFonts w:eastAsia="Times New Roman" w:cs="Arial"/>
                <w:b/>
                <w:bCs/>
                <w:color w:val="000000"/>
                <w:sz w:val="28"/>
              </w:rPr>
            </w:pPr>
            <w:r w:rsidRPr="002340F6">
              <w:rPr>
                <w:rFonts w:eastAsia="Times New Roman" w:cs="Arial"/>
                <w:b/>
                <w:bCs/>
                <w:color w:val="000000"/>
                <w:sz w:val="28"/>
              </w:rPr>
              <w:t> </w:t>
            </w:r>
          </w:p>
        </w:tc>
      </w:tr>
      <w:tr w:rsidR="002340F6" w:rsidRPr="002340F6" w14:paraId="0149A5AB" w14:textId="77777777" w:rsidTr="002340F6">
        <w:trPr>
          <w:trHeight w:val="290"/>
        </w:trPr>
        <w:tc>
          <w:tcPr>
            <w:tcW w:w="3856" w:type="dxa"/>
            <w:tcBorders>
              <w:top w:val="nil"/>
              <w:left w:val="single" w:sz="8" w:space="0" w:color="auto"/>
              <w:bottom w:val="nil"/>
              <w:right w:val="nil"/>
            </w:tcBorders>
            <w:shd w:val="clear" w:color="auto" w:fill="auto"/>
            <w:noWrap/>
            <w:vAlign w:val="bottom"/>
            <w:hideMark/>
          </w:tcPr>
          <w:p w14:paraId="4A28F060"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c>
          <w:tcPr>
            <w:tcW w:w="5004" w:type="dxa"/>
            <w:gridSpan w:val="3"/>
            <w:tcBorders>
              <w:top w:val="nil"/>
              <w:left w:val="nil"/>
              <w:bottom w:val="nil"/>
              <w:right w:val="single" w:sz="8" w:space="0" w:color="000000"/>
            </w:tcBorders>
            <w:shd w:val="clear" w:color="auto" w:fill="auto"/>
            <w:noWrap/>
            <w:vAlign w:val="bottom"/>
            <w:hideMark/>
          </w:tcPr>
          <w:p w14:paraId="1F9A660C"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in Pounds</w:t>
            </w:r>
          </w:p>
        </w:tc>
      </w:tr>
      <w:tr w:rsidR="002340F6" w:rsidRPr="002340F6" w14:paraId="5ADE8E40" w14:textId="77777777" w:rsidTr="002340F6">
        <w:trPr>
          <w:trHeight w:val="290"/>
        </w:trPr>
        <w:tc>
          <w:tcPr>
            <w:tcW w:w="3856" w:type="dxa"/>
            <w:tcBorders>
              <w:top w:val="nil"/>
              <w:left w:val="single" w:sz="8" w:space="0" w:color="auto"/>
              <w:bottom w:val="nil"/>
              <w:right w:val="nil"/>
            </w:tcBorders>
            <w:shd w:val="clear" w:color="auto" w:fill="auto"/>
            <w:noWrap/>
            <w:vAlign w:val="bottom"/>
            <w:hideMark/>
          </w:tcPr>
          <w:p w14:paraId="0165334B"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c>
          <w:tcPr>
            <w:tcW w:w="1812" w:type="dxa"/>
            <w:tcBorders>
              <w:top w:val="nil"/>
              <w:left w:val="nil"/>
              <w:bottom w:val="nil"/>
              <w:right w:val="nil"/>
            </w:tcBorders>
            <w:shd w:val="clear" w:color="auto" w:fill="auto"/>
            <w:noWrap/>
            <w:vAlign w:val="center"/>
            <w:hideMark/>
          </w:tcPr>
          <w:p w14:paraId="226D7122"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Wheelchairs</w:t>
            </w:r>
          </w:p>
        </w:tc>
        <w:tc>
          <w:tcPr>
            <w:tcW w:w="1546" w:type="dxa"/>
            <w:tcBorders>
              <w:top w:val="nil"/>
              <w:left w:val="nil"/>
              <w:bottom w:val="nil"/>
              <w:right w:val="nil"/>
            </w:tcBorders>
            <w:shd w:val="clear" w:color="auto" w:fill="auto"/>
            <w:noWrap/>
            <w:vAlign w:val="center"/>
            <w:hideMark/>
          </w:tcPr>
          <w:p w14:paraId="5B99DCC2"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Hoists</w:t>
            </w:r>
          </w:p>
        </w:tc>
        <w:tc>
          <w:tcPr>
            <w:tcW w:w="1646" w:type="dxa"/>
            <w:tcBorders>
              <w:top w:val="nil"/>
              <w:left w:val="nil"/>
              <w:bottom w:val="nil"/>
              <w:right w:val="single" w:sz="8" w:space="0" w:color="auto"/>
            </w:tcBorders>
            <w:shd w:val="clear" w:color="auto" w:fill="auto"/>
            <w:noWrap/>
            <w:vAlign w:val="center"/>
            <w:hideMark/>
          </w:tcPr>
          <w:p w14:paraId="38B6E0E5" w14:textId="77777777" w:rsidR="002340F6" w:rsidRPr="002340F6" w:rsidRDefault="002340F6" w:rsidP="002340F6">
            <w:pPr>
              <w:spacing w:after="0" w:line="240" w:lineRule="auto"/>
              <w:jc w:val="center"/>
              <w:rPr>
                <w:rFonts w:eastAsia="Times New Roman" w:cs="Arial"/>
                <w:b/>
                <w:bCs/>
                <w:color w:val="000000"/>
                <w:szCs w:val="22"/>
              </w:rPr>
            </w:pPr>
            <w:r w:rsidRPr="002340F6">
              <w:rPr>
                <w:rFonts w:eastAsia="Times New Roman" w:cs="Arial"/>
                <w:b/>
                <w:bCs/>
                <w:color w:val="000000"/>
                <w:szCs w:val="22"/>
              </w:rPr>
              <w:t>Total</w:t>
            </w:r>
          </w:p>
        </w:tc>
      </w:tr>
      <w:tr w:rsidR="002340F6" w:rsidRPr="002340F6" w14:paraId="1C19C88A" w14:textId="77777777" w:rsidTr="002340F6">
        <w:trPr>
          <w:trHeight w:val="290"/>
        </w:trPr>
        <w:tc>
          <w:tcPr>
            <w:tcW w:w="3856" w:type="dxa"/>
            <w:tcBorders>
              <w:top w:val="nil"/>
              <w:left w:val="single" w:sz="8" w:space="0" w:color="auto"/>
              <w:bottom w:val="nil"/>
              <w:right w:val="nil"/>
            </w:tcBorders>
            <w:shd w:val="clear" w:color="auto" w:fill="auto"/>
            <w:vAlign w:val="bottom"/>
            <w:hideMark/>
          </w:tcPr>
          <w:p w14:paraId="27041E05"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Sales revenue</w:t>
            </w:r>
          </w:p>
        </w:tc>
        <w:tc>
          <w:tcPr>
            <w:tcW w:w="1812" w:type="dxa"/>
            <w:tcBorders>
              <w:top w:val="nil"/>
              <w:left w:val="nil"/>
              <w:bottom w:val="nil"/>
              <w:right w:val="nil"/>
            </w:tcBorders>
            <w:shd w:val="clear" w:color="auto" w:fill="auto"/>
            <w:noWrap/>
            <w:vAlign w:val="bottom"/>
            <w:hideMark/>
          </w:tcPr>
          <w:p w14:paraId="64006774"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£20,100.00</w:t>
            </w:r>
          </w:p>
        </w:tc>
        <w:tc>
          <w:tcPr>
            <w:tcW w:w="1546" w:type="dxa"/>
            <w:tcBorders>
              <w:top w:val="nil"/>
              <w:left w:val="nil"/>
              <w:bottom w:val="nil"/>
              <w:right w:val="nil"/>
            </w:tcBorders>
            <w:shd w:val="clear" w:color="auto" w:fill="auto"/>
            <w:noWrap/>
            <w:vAlign w:val="bottom"/>
            <w:hideMark/>
          </w:tcPr>
          <w:p w14:paraId="7E8DAB79"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£18,630.00</w:t>
            </w:r>
          </w:p>
        </w:tc>
        <w:tc>
          <w:tcPr>
            <w:tcW w:w="1646" w:type="dxa"/>
            <w:tcBorders>
              <w:top w:val="nil"/>
              <w:left w:val="nil"/>
              <w:bottom w:val="nil"/>
              <w:right w:val="single" w:sz="8" w:space="0" w:color="auto"/>
            </w:tcBorders>
            <w:shd w:val="clear" w:color="auto" w:fill="auto"/>
            <w:noWrap/>
            <w:vAlign w:val="bottom"/>
            <w:hideMark/>
          </w:tcPr>
          <w:p w14:paraId="1BF83519"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£38,730.00</w:t>
            </w:r>
          </w:p>
        </w:tc>
      </w:tr>
      <w:tr w:rsidR="002340F6" w:rsidRPr="002340F6" w14:paraId="4B0F6232" w14:textId="77777777" w:rsidTr="002340F6">
        <w:trPr>
          <w:trHeight w:val="290"/>
        </w:trPr>
        <w:tc>
          <w:tcPr>
            <w:tcW w:w="3856" w:type="dxa"/>
            <w:tcBorders>
              <w:top w:val="nil"/>
              <w:left w:val="single" w:sz="8" w:space="0" w:color="auto"/>
              <w:bottom w:val="nil"/>
              <w:right w:val="nil"/>
            </w:tcBorders>
            <w:shd w:val="clear" w:color="auto" w:fill="auto"/>
            <w:vAlign w:val="bottom"/>
            <w:hideMark/>
          </w:tcPr>
          <w:p w14:paraId="242F2269"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 </w:t>
            </w:r>
          </w:p>
        </w:tc>
        <w:tc>
          <w:tcPr>
            <w:tcW w:w="1812" w:type="dxa"/>
            <w:tcBorders>
              <w:top w:val="nil"/>
              <w:left w:val="nil"/>
              <w:bottom w:val="nil"/>
              <w:right w:val="nil"/>
            </w:tcBorders>
            <w:shd w:val="clear" w:color="auto" w:fill="auto"/>
            <w:noWrap/>
            <w:vAlign w:val="bottom"/>
            <w:hideMark/>
          </w:tcPr>
          <w:p w14:paraId="3F47EC8A" w14:textId="77777777" w:rsidR="002340F6" w:rsidRPr="002340F6" w:rsidRDefault="002340F6" w:rsidP="002340F6">
            <w:pPr>
              <w:spacing w:after="0" w:line="240" w:lineRule="auto"/>
              <w:jc w:val="right"/>
              <w:rPr>
                <w:rFonts w:eastAsia="Times New Roman" w:cs="Arial"/>
                <w:b/>
                <w:bCs/>
                <w:color w:val="000000"/>
                <w:szCs w:val="22"/>
              </w:rPr>
            </w:pPr>
          </w:p>
        </w:tc>
        <w:tc>
          <w:tcPr>
            <w:tcW w:w="1546" w:type="dxa"/>
            <w:tcBorders>
              <w:top w:val="nil"/>
              <w:left w:val="nil"/>
              <w:bottom w:val="nil"/>
              <w:right w:val="nil"/>
            </w:tcBorders>
            <w:shd w:val="clear" w:color="auto" w:fill="auto"/>
            <w:noWrap/>
            <w:vAlign w:val="bottom"/>
            <w:hideMark/>
          </w:tcPr>
          <w:p w14:paraId="454A2E2B"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46" w:type="dxa"/>
            <w:tcBorders>
              <w:top w:val="nil"/>
              <w:left w:val="nil"/>
              <w:bottom w:val="nil"/>
              <w:right w:val="single" w:sz="8" w:space="0" w:color="auto"/>
            </w:tcBorders>
            <w:shd w:val="clear" w:color="auto" w:fill="auto"/>
            <w:noWrap/>
            <w:vAlign w:val="bottom"/>
            <w:hideMark/>
          </w:tcPr>
          <w:p w14:paraId="49D9FEC3"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7EB00734" w14:textId="77777777" w:rsidTr="002340F6">
        <w:trPr>
          <w:trHeight w:val="290"/>
        </w:trPr>
        <w:tc>
          <w:tcPr>
            <w:tcW w:w="3856" w:type="dxa"/>
            <w:tcBorders>
              <w:top w:val="nil"/>
              <w:left w:val="single" w:sz="8" w:space="0" w:color="auto"/>
              <w:bottom w:val="nil"/>
              <w:right w:val="nil"/>
            </w:tcBorders>
            <w:shd w:val="clear" w:color="auto" w:fill="auto"/>
            <w:noWrap/>
            <w:vAlign w:val="bottom"/>
            <w:hideMark/>
          </w:tcPr>
          <w:p w14:paraId="2836EC76"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Production Cost:</w:t>
            </w:r>
          </w:p>
        </w:tc>
        <w:tc>
          <w:tcPr>
            <w:tcW w:w="1812" w:type="dxa"/>
            <w:tcBorders>
              <w:top w:val="nil"/>
              <w:left w:val="nil"/>
              <w:bottom w:val="nil"/>
              <w:right w:val="nil"/>
            </w:tcBorders>
            <w:shd w:val="clear" w:color="auto" w:fill="auto"/>
            <w:noWrap/>
            <w:vAlign w:val="bottom"/>
            <w:hideMark/>
          </w:tcPr>
          <w:p w14:paraId="5E1A2B9B" w14:textId="77777777" w:rsidR="002340F6" w:rsidRPr="002340F6" w:rsidRDefault="002340F6" w:rsidP="002340F6">
            <w:pPr>
              <w:spacing w:after="0" w:line="240" w:lineRule="auto"/>
              <w:jc w:val="left"/>
              <w:rPr>
                <w:rFonts w:eastAsia="Times New Roman" w:cs="Arial"/>
                <w:color w:val="000000"/>
                <w:szCs w:val="22"/>
              </w:rPr>
            </w:pPr>
          </w:p>
        </w:tc>
        <w:tc>
          <w:tcPr>
            <w:tcW w:w="1546" w:type="dxa"/>
            <w:tcBorders>
              <w:top w:val="nil"/>
              <w:left w:val="nil"/>
              <w:bottom w:val="nil"/>
              <w:right w:val="nil"/>
            </w:tcBorders>
            <w:shd w:val="clear" w:color="auto" w:fill="auto"/>
            <w:noWrap/>
            <w:vAlign w:val="bottom"/>
            <w:hideMark/>
          </w:tcPr>
          <w:p w14:paraId="2D07B0C0"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46" w:type="dxa"/>
            <w:tcBorders>
              <w:top w:val="nil"/>
              <w:left w:val="nil"/>
              <w:bottom w:val="nil"/>
              <w:right w:val="single" w:sz="8" w:space="0" w:color="auto"/>
            </w:tcBorders>
            <w:shd w:val="clear" w:color="auto" w:fill="auto"/>
            <w:noWrap/>
            <w:vAlign w:val="bottom"/>
            <w:hideMark/>
          </w:tcPr>
          <w:p w14:paraId="1B148E9E"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32E4FBFC" w14:textId="77777777" w:rsidTr="002340F6">
        <w:trPr>
          <w:trHeight w:val="290"/>
        </w:trPr>
        <w:tc>
          <w:tcPr>
            <w:tcW w:w="3856" w:type="dxa"/>
            <w:tcBorders>
              <w:top w:val="nil"/>
              <w:left w:val="single" w:sz="8" w:space="0" w:color="auto"/>
              <w:bottom w:val="nil"/>
              <w:right w:val="nil"/>
            </w:tcBorders>
            <w:shd w:val="clear" w:color="auto" w:fill="auto"/>
            <w:vAlign w:val="bottom"/>
            <w:hideMark/>
          </w:tcPr>
          <w:p w14:paraId="421164DB"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Direct Material</w:t>
            </w:r>
          </w:p>
        </w:tc>
        <w:tc>
          <w:tcPr>
            <w:tcW w:w="1812" w:type="dxa"/>
            <w:tcBorders>
              <w:top w:val="nil"/>
              <w:left w:val="nil"/>
              <w:bottom w:val="nil"/>
              <w:right w:val="nil"/>
            </w:tcBorders>
            <w:shd w:val="clear" w:color="auto" w:fill="auto"/>
            <w:noWrap/>
            <w:vAlign w:val="bottom"/>
            <w:hideMark/>
          </w:tcPr>
          <w:p w14:paraId="3056EEEA"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-£4,623.00</w:t>
            </w:r>
          </w:p>
        </w:tc>
        <w:tc>
          <w:tcPr>
            <w:tcW w:w="1546" w:type="dxa"/>
            <w:tcBorders>
              <w:top w:val="nil"/>
              <w:left w:val="nil"/>
              <w:bottom w:val="nil"/>
              <w:right w:val="nil"/>
            </w:tcBorders>
            <w:shd w:val="clear" w:color="auto" w:fill="auto"/>
            <w:noWrap/>
            <w:vAlign w:val="bottom"/>
            <w:hideMark/>
          </w:tcPr>
          <w:p w14:paraId="12185A2E"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-£6,893.10</w:t>
            </w:r>
          </w:p>
        </w:tc>
        <w:tc>
          <w:tcPr>
            <w:tcW w:w="1646" w:type="dxa"/>
            <w:tcBorders>
              <w:top w:val="nil"/>
              <w:left w:val="nil"/>
              <w:bottom w:val="nil"/>
              <w:right w:val="single" w:sz="8" w:space="0" w:color="auto"/>
            </w:tcBorders>
            <w:shd w:val="clear" w:color="auto" w:fill="auto"/>
            <w:noWrap/>
            <w:vAlign w:val="bottom"/>
            <w:hideMark/>
          </w:tcPr>
          <w:p w14:paraId="4B486203"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-£11,516.10</w:t>
            </w:r>
          </w:p>
        </w:tc>
      </w:tr>
      <w:tr w:rsidR="002340F6" w:rsidRPr="002340F6" w14:paraId="70DFF80C" w14:textId="77777777" w:rsidTr="002340F6">
        <w:trPr>
          <w:trHeight w:val="290"/>
        </w:trPr>
        <w:tc>
          <w:tcPr>
            <w:tcW w:w="3856" w:type="dxa"/>
            <w:tcBorders>
              <w:top w:val="nil"/>
              <w:left w:val="single" w:sz="8" w:space="0" w:color="auto"/>
              <w:bottom w:val="nil"/>
              <w:right w:val="nil"/>
            </w:tcBorders>
            <w:shd w:val="clear" w:color="auto" w:fill="auto"/>
            <w:vAlign w:val="bottom"/>
            <w:hideMark/>
          </w:tcPr>
          <w:p w14:paraId="15A3C5CC"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Direct Labour</w:t>
            </w:r>
          </w:p>
        </w:tc>
        <w:tc>
          <w:tcPr>
            <w:tcW w:w="1812" w:type="dxa"/>
            <w:tcBorders>
              <w:top w:val="nil"/>
              <w:left w:val="nil"/>
              <w:bottom w:val="nil"/>
              <w:right w:val="nil"/>
            </w:tcBorders>
            <w:shd w:val="clear" w:color="auto" w:fill="auto"/>
            <w:noWrap/>
            <w:vAlign w:val="bottom"/>
            <w:hideMark/>
          </w:tcPr>
          <w:p w14:paraId="46E7CF04"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-£6,231.00</w:t>
            </w:r>
          </w:p>
        </w:tc>
        <w:tc>
          <w:tcPr>
            <w:tcW w:w="1546" w:type="dxa"/>
            <w:tcBorders>
              <w:top w:val="nil"/>
              <w:left w:val="nil"/>
              <w:bottom w:val="nil"/>
              <w:right w:val="nil"/>
            </w:tcBorders>
            <w:shd w:val="clear" w:color="auto" w:fill="auto"/>
            <w:noWrap/>
            <w:vAlign w:val="bottom"/>
            <w:hideMark/>
          </w:tcPr>
          <w:p w14:paraId="45FDB73A"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-£7,824.60</w:t>
            </w:r>
          </w:p>
        </w:tc>
        <w:tc>
          <w:tcPr>
            <w:tcW w:w="1646" w:type="dxa"/>
            <w:tcBorders>
              <w:top w:val="nil"/>
              <w:left w:val="nil"/>
              <w:bottom w:val="nil"/>
              <w:right w:val="single" w:sz="8" w:space="0" w:color="auto"/>
            </w:tcBorders>
            <w:shd w:val="clear" w:color="auto" w:fill="auto"/>
            <w:noWrap/>
            <w:vAlign w:val="bottom"/>
            <w:hideMark/>
          </w:tcPr>
          <w:p w14:paraId="316AFFB1"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FF0000"/>
                <w:szCs w:val="22"/>
              </w:rPr>
              <w:t>-£14,055.60</w:t>
            </w:r>
          </w:p>
        </w:tc>
      </w:tr>
      <w:tr w:rsidR="002340F6" w:rsidRPr="002340F6" w14:paraId="50FF3FA9" w14:textId="77777777" w:rsidTr="002340F6">
        <w:trPr>
          <w:trHeight w:val="290"/>
        </w:trPr>
        <w:tc>
          <w:tcPr>
            <w:tcW w:w="3856" w:type="dxa"/>
            <w:tcBorders>
              <w:top w:val="nil"/>
              <w:left w:val="single" w:sz="8" w:space="0" w:color="auto"/>
              <w:bottom w:val="nil"/>
              <w:right w:val="nil"/>
            </w:tcBorders>
            <w:shd w:val="clear" w:color="auto" w:fill="auto"/>
            <w:vAlign w:val="bottom"/>
            <w:hideMark/>
          </w:tcPr>
          <w:p w14:paraId="5B3BE0E4"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Other Variable Expenses</w:t>
            </w:r>
          </w:p>
        </w:tc>
        <w:tc>
          <w:tcPr>
            <w:tcW w:w="1812" w:type="dxa"/>
            <w:tcBorders>
              <w:top w:val="nil"/>
              <w:left w:val="nil"/>
              <w:bottom w:val="nil"/>
              <w:right w:val="nil"/>
            </w:tcBorders>
            <w:shd w:val="clear" w:color="auto" w:fill="auto"/>
            <w:noWrap/>
            <w:vAlign w:val="bottom"/>
            <w:hideMark/>
          </w:tcPr>
          <w:p w14:paraId="232F6079"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-£2,211.00</w:t>
            </w:r>
          </w:p>
        </w:tc>
        <w:tc>
          <w:tcPr>
            <w:tcW w:w="1546" w:type="dxa"/>
            <w:tcBorders>
              <w:top w:val="nil"/>
              <w:left w:val="nil"/>
              <w:bottom w:val="nil"/>
              <w:right w:val="nil"/>
            </w:tcBorders>
            <w:shd w:val="clear" w:color="auto" w:fill="auto"/>
            <w:noWrap/>
            <w:vAlign w:val="bottom"/>
            <w:hideMark/>
          </w:tcPr>
          <w:p w14:paraId="6B94CD08"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-£4,657.50</w:t>
            </w:r>
          </w:p>
        </w:tc>
        <w:tc>
          <w:tcPr>
            <w:tcW w:w="1646" w:type="dxa"/>
            <w:tcBorders>
              <w:top w:val="nil"/>
              <w:left w:val="nil"/>
              <w:bottom w:val="nil"/>
              <w:right w:val="single" w:sz="8" w:space="0" w:color="auto"/>
            </w:tcBorders>
            <w:shd w:val="clear" w:color="auto" w:fill="auto"/>
            <w:noWrap/>
            <w:vAlign w:val="bottom"/>
            <w:hideMark/>
          </w:tcPr>
          <w:p w14:paraId="468AAC42"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-£6,868.50</w:t>
            </w:r>
          </w:p>
        </w:tc>
      </w:tr>
      <w:tr w:rsidR="002340F6" w:rsidRPr="002340F6" w14:paraId="2296C417" w14:textId="77777777" w:rsidTr="002340F6">
        <w:trPr>
          <w:trHeight w:val="290"/>
        </w:trPr>
        <w:tc>
          <w:tcPr>
            <w:tcW w:w="3856" w:type="dxa"/>
            <w:tcBorders>
              <w:top w:val="nil"/>
              <w:left w:val="single" w:sz="8" w:space="0" w:color="auto"/>
              <w:bottom w:val="nil"/>
              <w:right w:val="nil"/>
            </w:tcBorders>
            <w:shd w:val="clear" w:color="auto" w:fill="auto"/>
            <w:vAlign w:val="bottom"/>
            <w:hideMark/>
          </w:tcPr>
          <w:p w14:paraId="6B3A0E82"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Contribution Margin</w:t>
            </w:r>
          </w:p>
        </w:tc>
        <w:tc>
          <w:tcPr>
            <w:tcW w:w="1812" w:type="dxa"/>
            <w:tcBorders>
              <w:top w:val="nil"/>
              <w:left w:val="nil"/>
              <w:bottom w:val="nil"/>
              <w:right w:val="nil"/>
            </w:tcBorders>
            <w:shd w:val="clear" w:color="auto" w:fill="auto"/>
            <w:noWrap/>
            <w:vAlign w:val="bottom"/>
            <w:hideMark/>
          </w:tcPr>
          <w:p w14:paraId="2D4B8272"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£7,035.00</w:t>
            </w:r>
          </w:p>
        </w:tc>
        <w:tc>
          <w:tcPr>
            <w:tcW w:w="1546" w:type="dxa"/>
            <w:tcBorders>
              <w:top w:val="nil"/>
              <w:left w:val="nil"/>
              <w:bottom w:val="nil"/>
              <w:right w:val="nil"/>
            </w:tcBorders>
            <w:shd w:val="clear" w:color="auto" w:fill="auto"/>
            <w:noWrap/>
            <w:vAlign w:val="bottom"/>
            <w:hideMark/>
          </w:tcPr>
          <w:p w14:paraId="44D81493"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FF0000"/>
                <w:szCs w:val="22"/>
                <w:u w:val="double"/>
              </w:rPr>
              <w:t>-£745.20</w:t>
            </w:r>
          </w:p>
        </w:tc>
        <w:tc>
          <w:tcPr>
            <w:tcW w:w="1646" w:type="dxa"/>
            <w:tcBorders>
              <w:top w:val="nil"/>
              <w:left w:val="nil"/>
              <w:bottom w:val="nil"/>
              <w:right w:val="single" w:sz="8" w:space="0" w:color="auto"/>
            </w:tcBorders>
            <w:shd w:val="clear" w:color="auto" w:fill="auto"/>
            <w:noWrap/>
            <w:vAlign w:val="bottom"/>
            <w:hideMark/>
          </w:tcPr>
          <w:p w14:paraId="309A17FB"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£6,289.80</w:t>
            </w:r>
          </w:p>
        </w:tc>
      </w:tr>
      <w:tr w:rsidR="002340F6" w:rsidRPr="002340F6" w14:paraId="51002FF6" w14:textId="77777777" w:rsidTr="002340F6">
        <w:trPr>
          <w:trHeight w:val="290"/>
        </w:trPr>
        <w:tc>
          <w:tcPr>
            <w:tcW w:w="3856" w:type="dxa"/>
            <w:tcBorders>
              <w:top w:val="nil"/>
              <w:left w:val="single" w:sz="8" w:space="0" w:color="auto"/>
              <w:bottom w:val="nil"/>
              <w:right w:val="nil"/>
            </w:tcBorders>
            <w:shd w:val="clear" w:color="auto" w:fill="auto"/>
            <w:noWrap/>
            <w:vAlign w:val="bottom"/>
            <w:hideMark/>
          </w:tcPr>
          <w:p w14:paraId="0CED59E9"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c>
          <w:tcPr>
            <w:tcW w:w="1812" w:type="dxa"/>
            <w:tcBorders>
              <w:top w:val="nil"/>
              <w:left w:val="nil"/>
              <w:bottom w:val="nil"/>
              <w:right w:val="nil"/>
            </w:tcBorders>
            <w:shd w:val="clear" w:color="auto" w:fill="auto"/>
            <w:noWrap/>
            <w:vAlign w:val="bottom"/>
            <w:hideMark/>
          </w:tcPr>
          <w:p w14:paraId="089EF1ED" w14:textId="77777777" w:rsidR="002340F6" w:rsidRPr="002340F6" w:rsidRDefault="002340F6" w:rsidP="002340F6">
            <w:pPr>
              <w:spacing w:after="0" w:line="240" w:lineRule="auto"/>
              <w:jc w:val="left"/>
              <w:rPr>
                <w:rFonts w:eastAsia="Times New Roman" w:cs="Arial"/>
                <w:color w:val="000000"/>
                <w:szCs w:val="22"/>
              </w:rPr>
            </w:pPr>
          </w:p>
        </w:tc>
        <w:tc>
          <w:tcPr>
            <w:tcW w:w="1546" w:type="dxa"/>
            <w:tcBorders>
              <w:top w:val="nil"/>
              <w:left w:val="nil"/>
              <w:bottom w:val="nil"/>
              <w:right w:val="nil"/>
            </w:tcBorders>
            <w:shd w:val="clear" w:color="auto" w:fill="auto"/>
            <w:noWrap/>
            <w:vAlign w:val="bottom"/>
            <w:hideMark/>
          </w:tcPr>
          <w:p w14:paraId="54B3C000"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46" w:type="dxa"/>
            <w:tcBorders>
              <w:top w:val="nil"/>
              <w:left w:val="nil"/>
              <w:bottom w:val="nil"/>
              <w:right w:val="single" w:sz="8" w:space="0" w:color="auto"/>
            </w:tcBorders>
            <w:shd w:val="clear" w:color="auto" w:fill="auto"/>
            <w:noWrap/>
            <w:vAlign w:val="bottom"/>
            <w:hideMark/>
          </w:tcPr>
          <w:p w14:paraId="0ED9B4F7"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381C7628" w14:textId="77777777" w:rsidTr="002340F6">
        <w:trPr>
          <w:trHeight w:val="290"/>
        </w:trPr>
        <w:tc>
          <w:tcPr>
            <w:tcW w:w="3856" w:type="dxa"/>
            <w:tcBorders>
              <w:top w:val="nil"/>
              <w:left w:val="single" w:sz="8" w:space="0" w:color="auto"/>
              <w:bottom w:val="nil"/>
              <w:right w:val="nil"/>
            </w:tcBorders>
            <w:shd w:val="clear" w:color="auto" w:fill="auto"/>
            <w:noWrap/>
            <w:vAlign w:val="bottom"/>
            <w:hideMark/>
          </w:tcPr>
          <w:p w14:paraId="0F3CCE1B"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Fixed Costs:</w:t>
            </w:r>
          </w:p>
        </w:tc>
        <w:tc>
          <w:tcPr>
            <w:tcW w:w="1812" w:type="dxa"/>
            <w:tcBorders>
              <w:top w:val="nil"/>
              <w:left w:val="nil"/>
              <w:bottom w:val="nil"/>
              <w:right w:val="nil"/>
            </w:tcBorders>
            <w:shd w:val="clear" w:color="auto" w:fill="auto"/>
            <w:noWrap/>
            <w:vAlign w:val="bottom"/>
            <w:hideMark/>
          </w:tcPr>
          <w:p w14:paraId="2ABB9E34" w14:textId="77777777" w:rsidR="002340F6" w:rsidRPr="002340F6" w:rsidRDefault="002340F6" w:rsidP="002340F6">
            <w:pPr>
              <w:spacing w:after="0" w:line="240" w:lineRule="auto"/>
              <w:jc w:val="left"/>
              <w:rPr>
                <w:rFonts w:eastAsia="Times New Roman" w:cs="Arial"/>
                <w:color w:val="000000"/>
                <w:szCs w:val="22"/>
              </w:rPr>
            </w:pPr>
          </w:p>
        </w:tc>
        <w:tc>
          <w:tcPr>
            <w:tcW w:w="1546" w:type="dxa"/>
            <w:tcBorders>
              <w:top w:val="nil"/>
              <w:left w:val="nil"/>
              <w:bottom w:val="nil"/>
              <w:right w:val="nil"/>
            </w:tcBorders>
            <w:shd w:val="clear" w:color="auto" w:fill="auto"/>
            <w:noWrap/>
            <w:vAlign w:val="bottom"/>
            <w:hideMark/>
          </w:tcPr>
          <w:p w14:paraId="7AB0F3CC" w14:textId="77777777" w:rsidR="002340F6" w:rsidRPr="002340F6" w:rsidRDefault="002340F6" w:rsidP="002340F6">
            <w:pPr>
              <w:spacing w:after="0" w:line="240" w:lineRule="auto"/>
              <w:jc w:val="left"/>
              <w:rPr>
                <w:rFonts w:ascii="Times New Roman" w:eastAsia="Times New Roman" w:hAnsi="Times New Roman" w:cs="Times New Roman"/>
                <w:sz w:val="20"/>
                <w:szCs w:val="20"/>
              </w:rPr>
            </w:pPr>
          </w:p>
        </w:tc>
        <w:tc>
          <w:tcPr>
            <w:tcW w:w="1646" w:type="dxa"/>
            <w:tcBorders>
              <w:top w:val="nil"/>
              <w:left w:val="nil"/>
              <w:bottom w:val="nil"/>
              <w:right w:val="single" w:sz="8" w:space="0" w:color="auto"/>
            </w:tcBorders>
            <w:shd w:val="clear" w:color="auto" w:fill="auto"/>
            <w:noWrap/>
            <w:vAlign w:val="bottom"/>
            <w:hideMark/>
          </w:tcPr>
          <w:p w14:paraId="7185E12D" w14:textId="77777777" w:rsidR="002340F6" w:rsidRPr="002340F6" w:rsidRDefault="002340F6" w:rsidP="002340F6">
            <w:pPr>
              <w:spacing w:after="0" w:line="240" w:lineRule="auto"/>
              <w:jc w:val="left"/>
              <w:rPr>
                <w:rFonts w:eastAsia="Times New Roman" w:cs="Arial"/>
                <w:color w:val="000000"/>
                <w:szCs w:val="22"/>
              </w:rPr>
            </w:pPr>
            <w:r w:rsidRPr="002340F6">
              <w:rPr>
                <w:rFonts w:eastAsia="Times New Roman" w:cs="Arial"/>
                <w:color w:val="000000"/>
                <w:szCs w:val="22"/>
              </w:rPr>
              <w:t> </w:t>
            </w:r>
          </w:p>
        </w:tc>
      </w:tr>
      <w:tr w:rsidR="002340F6" w:rsidRPr="002340F6" w14:paraId="2B29E8A6" w14:textId="77777777" w:rsidTr="002340F6">
        <w:trPr>
          <w:trHeight w:val="290"/>
        </w:trPr>
        <w:tc>
          <w:tcPr>
            <w:tcW w:w="3856" w:type="dxa"/>
            <w:tcBorders>
              <w:top w:val="nil"/>
              <w:left w:val="single" w:sz="8" w:space="0" w:color="auto"/>
              <w:bottom w:val="nil"/>
              <w:right w:val="nil"/>
            </w:tcBorders>
            <w:shd w:val="clear" w:color="auto" w:fill="auto"/>
            <w:noWrap/>
            <w:vAlign w:val="bottom"/>
            <w:hideMark/>
          </w:tcPr>
          <w:p w14:paraId="36EDAB48" w14:textId="77777777" w:rsidR="002340F6" w:rsidRPr="002340F6" w:rsidRDefault="002340F6" w:rsidP="002340F6">
            <w:pPr>
              <w:spacing w:after="0" w:line="240" w:lineRule="auto"/>
              <w:jc w:val="right"/>
              <w:rPr>
                <w:rFonts w:eastAsia="Times New Roman" w:cs="Arial"/>
                <w:color w:val="000000"/>
                <w:szCs w:val="22"/>
              </w:rPr>
            </w:pPr>
            <w:r w:rsidRPr="002340F6">
              <w:rPr>
                <w:rFonts w:eastAsia="Times New Roman" w:cs="Arial"/>
                <w:color w:val="000000"/>
                <w:szCs w:val="22"/>
              </w:rPr>
              <w:t>Fixed Overheads</w:t>
            </w:r>
          </w:p>
        </w:tc>
        <w:tc>
          <w:tcPr>
            <w:tcW w:w="1812" w:type="dxa"/>
            <w:tcBorders>
              <w:top w:val="nil"/>
              <w:left w:val="nil"/>
              <w:bottom w:val="nil"/>
              <w:right w:val="nil"/>
            </w:tcBorders>
            <w:shd w:val="clear" w:color="auto" w:fill="auto"/>
            <w:noWrap/>
            <w:vAlign w:val="bottom"/>
            <w:hideMark/>
          </w:tcPr>
          <w:p w14:paraId="56D0BF53"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-£6,030.00</w:t>
            </w:r>
          </w:p>
        </w:tc>
        <w:tc>
          <w:tcPr>
            <w:tcW w:w="1546" w:type="dxa"/>
            <w:tcBorders>
              <w:top w:val="nil"/>
              <w:left w:val="nil"/>
              <w:bottom w:val="nil"/>
              <w:right w:val="nil"/>
            </w:tcBorders>
            <w:shd w:val="clear" w:color="auto" w:fill="auto"/>
            <w:noWrap/>
            <w:vAlign w:val="bottom"/>
            <w:hideMark/>
          </w:tcPr>
          <w:p w14:paraId="2148A8A6"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-£5,961.60</w:t>
            </w:r>
          </w:p>
        </w:tc>
        <w:tc>
          <w:tcPr>
            <w:tcW w:w="1646" w:type="dxa"/>
            <w:tcBorders>
              <w:top w:val="nil"/>
              <w:left w:val="nil"/>
              <w:bottom w:val="nil"/>
              <w:right w:val="single" w:sz="8" w:space="0" w:color="auto"/>
            </w:tcBorders>
            <w:shd w:val="clear" w:color="auto" w:fill="auto"/>
            <w:noWrap/>
            <w:vAlign w:val="bottom"/>
            <w:hideMark/>
          </w:tcPr>
          <w:p w14:paraId="7B7AA571" w14:textId="77777777" w:rsidR="002340F6" w:rsidRPr="002340F6" w:rsidRDefault="002340F6" w:rsidP="002340F6">
            <w:pPr>
              <w:spacing w:after="0" w:line="240" w:lineRule="auto"/>
              <w:jc w:val="right"/>
              <w:rPr>
                <w:rFonts w:eastAsia="Times New Roman" w:cs="Arial"/>
                <w:color w:val="000000"/>
                <w:szCs w:val="22"/>
                <w:u w:val="single"/>
              </w:rPr>
            </w:pPr>
            <w:r w:rsidRPr="002340F6">
              <w:rPr>
                <w:rFonts w:eastAsia="Times New Roman" w:cs="Arial"/>
                <w:color w:val="FF0000"/>
                <w:szCs w:val="22"/>
                <w:u w:val="single"/>
              </w:rPr>
              <w:t>-£19,326.36</w:t>
            </w:r>
          </w:p>
        </w:tc>
      </w:tr>
      <w:tr w:rsidR="002340F6" w:rsidRPr="002340F6" w14:paraId="37CEE25E" w14:textId="77777777" w:rsidTr="002340F6">
        <w:trPr>
          <w:trHeight w:val="300"/>
        </w:trPr>
        <w:tc>
          <w:tcPr>
            <w:tcW w:w="3856" w:type="dxa"/>
            <w:tcBorders>
              <w:top w:val="nil"/>
              <w:left w:val="single" w:sz="8" w:space="0" w:color="auto"/>
              <w:bottom w:val="single" w:sz="8" w:space="0" w:color="auto"/>
              <w:right w:val="nil"/>
            </w:tcBorders>
            <w:shd w:val="clear" w:color="auto" w:fill="auto"/>
            <w:noWrap/>
            <w:vAlign w:val="bottom"/>
            <w:hideMark/>
          </w:tcPr>
          <w:p w14:paraId="01CEE0E1" w14:textId="77777777" w:rsidR="002340F6" w:rsidRPr="002340F6" w:rsidRDefault="002340F6" w:rsidP="002340F6">
            <w:pPr>
              <w:spacing w:after="0" w:line="240" w:lineRule="auto"/>
              <w:jc w:val="right"/>
              <w:rPr>
                <w:rFonts w:eastAsia="Times New Roman" w:cs="Arial"/>
                <w:b/>
                <w:bCs/>
                <w:color w:val="000000"/>
                <w:szCs w:val="22"/>
              </w:rPr>
            </w:pPr>
            <w:r w:rsidRPr="002340F6">
              <w:rPr>
                <w:rFonts w:eastAsia="Times New Roman" w:cs="Arial"/>
                <w:b/>
                <w:bCs/>
                <w:color w:val="000000"/>
                <w:szCs w:val="22"/>
              </w:rPr>
              <w:t>Profit</w:t>
            </w:r>
          </w:p>
        </w:tc>
        <w:tc>
          <w:tcPr>
            <w:tcW w:w="1812" w:type="dxa"/>
            <w:tcBorders>
              <w:top w:val="nil"/>
              <w:left w:val="nil"/>
              <w:bottom w:val="single" w:sz="8" w:space="0" w:color="auto"/>
              <w:right w:val="nil"/>
            </w:tcBorders>
            <w:shd w:val="clear" w:color="auto" w:fill="auto"/>
            <w:noWrap/>
            <w:vAlign w:val="bottom"/>
            <w:hideMark/>
          </w:tcPr>
          <w:p w14:paraId="7895D088"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000000"/>
                <w:szCs w:val="22"/>
                <w:u w:val="double"/>
              </w:rPr>
              <w:t>£1,005.00</w:t>
            </w:r>
          </w:p>
        </w:tc>
        <w:tc>
          <w:tcPr>
            <w:tcW w:w="1546" w:type="dxa"/>
            <w:tcBorders>
              <w:top w:val="nil"/>
              <w:left w:val="nil"/>
              <w:bottom w:val="single" w:sz="8" w:space="0" w:color="auto"/>
              <w:right w:val="nil"/>
            </w:tcBorders>
            <w:shd w:val="clear" w:color="auto" w:fill="auto"/>
            <w:noWrap/>
            <w:vAlign w:val="bottom"/>
            <w:hideMark/>
          </w:tcPr>
          <w:p w14:paraId="266DE579"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FF0000"/>
                <w:szCs w:val="22"/>
                <w:u w:val="double"/>
              </w:rPr>
              <w:t>-£6,706.80</w:t>
            </w:r>
          </w:p>
        </w:tc>
        <w:tc>
          <w:tcPr>
            <w:tcW w:w="1646" w:type="dxa"/>
            <w:tcBorders>
              <w:top w:val="nil"/>
              <w:left w:val="nil"/>
              <w:bottom w:val="single" w:sz="8" w:space="0" w:color="auto"/>
              <w:right w:val="single" w:sz="8" w:space="0" w:color="auto"/>
            </w:tcBorders>
            <w:shd w:val="clear" w:color="auto" w:fill="auto"/>
            <w:noWrap/>
            <w:vAlign w:val="bottom"/>
            <w:hideMark/>
          </w:tcPr>
          <w:p w14:paraId="61092B4C" w14:textId="77777777" w:rsidR="002340F6" w:rsidRPr="002340F6" w:rsidRDefault="002340F6" w:rsidP="002340F6">
            <w:pPr>
              <w:spacing w:after="0" w:line="240" w:lineRule="auto"/>
              <w:jc w:val="right"/>
              <w:rPr>
                <w:rFonts w:eastAsia="Times New Roman" w:cs="Arial"/>
                <w:b/>
                <w:bCs/>
                <w:color w:val="000000"/>
                <w:szCs w:val="22"/>
                <w:u w:val="double"/>
              </w:rPr>
            </w:pPr>
            <w:r w:rsidRPr="002340F6">
              <w:rPr>
                <w:rFonts w:eastAsia="Times New Roman" w:cs="Arial"/>
                <w:b/>
                <w:bCs/>
                <w:color w:val="FF0000"/>
                <w:szCs w:val="22"/>
                <w:u w:val="double"/>
              </w:rPr>
              <w:t>-£13,036.56</w:t>
            </w:r>
          </w:p>
        </w:tc>
      </w:tr>
    </w:tbl>
    <w:p w14:paraId="584A261E" w14:textId="2FA5359D" w:rsidR="00C859A6" w:rsidRDefault="00C859A6" w:rsidP="00C94D40"/>
    <w:p w14:paraId="4F06ACA6" w14:textId="4BCE46AF" w:rsidR="007D6F15" w:rsidRPr="00C94D40" w:rsidRDefault="003D4027" w:rsidP="00C94D40">
      <w:r w:rsidRPr="003D4027">
        <w:lastRenderedPageBreak/>
        <w:t xml:space="preserve">Here, one can see that after ceasing the production of Hoists, the </w:t>
      </w:r>
      <w:r w:rsidRPr="003D4027">
        <w:rPr>
          <w:i/>
          <w:iCs/>
        </w:rPr>
        <w:t xml:space="preserve">total contribution margin </w:t>
      </w:r>
      <w:r>
        <w:rPr>
          <w:i/>
          <w:iCs/>
        </w:rPr>
        <w:t>decr</w:t>
      </w:r>
      <w:r w:rsidRPr="003D4027">
        <w:rPr>
          <w:i/>
          <w:iCs/>
        </w:rPr>
        <w:t>eases</w:t>
      </w:r>
      <w:r w:rsidRPr="003D4027">
        <w:t xml:space="preserve"> to £6,289.80</w:t>
      </w:r>
      <w:r>
        <w:t xml:space="preserve"> </w:t>
      </w:r>
      <w:r w:rsidRPr="003D4027">
        <w:t>from £6482.82</w:t>
      </w:r>
      <w:r>
        <w:t>. However,</w:t>
      </w:r>
      <w:r w:rsidRPr="003D4027">
        <w:t xml:space="preserve"> the </w:t>
      </w:r>
      <w:r w:rsidRPr="003D4027">
        <w:rPr>
          <w:i/>
          <w:iCs/>
        </w:rPr>
        <w:t>total profit got better</w:t>
      </w:r>
      <w:r w:rsidRPr="003D4027">
        <w:t xml:space="preserve"> from £-12843.54 to -£5,701.80.</w:t>
      </w:r>
    </w:p>
    <w:p w14:paraId="61EAD7F1" w14:textId="21EB964D" w:rsidR="00402E93" w:rsidRDefault="00EA0D29" w:rsidP="00480D86">
      <w:pPr>
        <w:pStyle w:val="Heading3"/>
        <w:numPr>
          <w:ilvl w:val="0"/>
          <w:numId w:val="13"/>
        </w:numPr>
      </w:pPr>
      <w:bookmarkStart w:id="12" w:name="_Toc126957769"/>
      <w:r>
        <w:t>Q</w:t>
      </w:r>
      <w:r w:rsidR="00150B19">
        <w:t>ualitative issues that Mobility Group should consider in making the decision to cease production of Hoists and Mobile Beds</w:t>
      </w:r>
      <w:bookmarkEnd w:id="12"/>
    </w:p>
    <w:p w14:paraId="46D97B07" w14:textId="599369AD" w:rsidR="00CC1D40" w:rsidRPr="00CC1D40" w:rsidRDefault="00CC1D40" w:rsidP="00CC1D40">
      <w:r w:rsidRPr="00CC1D40">
        <w:t>To increase profitability, Mobility Group should consider several options in addition to ceasing the production of Hoists and Mobile Beds</w:t>
      </w:r>
      <w:r w:rsidR="00512D5C">
        <w:t xml:space="preserve"> </w:t>
      </w:r>
      <w:r w:rsidR="00512D5C" w:rsidRPr="00512D5C">
        <w:t>(Qualitative characteristics of accounting information 2017)</w:t>
      </w:r>
      <w:r w:rsidRPr="00CC1D40">
        <w:t>. Some of these options could include:</w:t>
      </w:r>
    </w:p>
    <w:p w14:paraId="7EFDA798" w14:textId="77777777" w:rsidR="00FD4011" w:rsidRPr="00FD4011" w:rsidRDefault="00FD4011" w:rsidP="00FD4011">
      <w:pPr>
        <w:numPr>
          <w:ilvl w:val="0"/>
          <w:numId w:val="14"/>
        </w:numPr>
      </w:pPr>
      <w:r w:rsidRPr="00FD4011">
        <w:t>Reducing fixed costs: Mobility Group could consider reducing rent costs by moving to a smaller location or renegotiating the terms of their lease. They could also consider reducing staffing costs by implementing more efficient processes or outsourcing certain tasks to contractors. Negotiating better terms with suppliers and contractors could also help to reduce costs.</w:t>
      </w:r>
    </w:p>
    <w:p w14:paraId="64137E2F" w14:textId="77777777" w:rsidR="00FD4011" w:rsidRPr="00FD4011" w:rsidRDefault="00FD4011" w:rsidP="00FD4011">
      <w:pPr>
        <w:numPr>
          <w:ilvl w:val="0"/>
          <w:numId w:val="14"/>
        </w:numPr>
      </w:pPr>
      <w:r w:rsidRPr="00FD4011">
        <w:t xml:space="preserve">Increasing efficiency: Mobility Group could </w:t>
      </w:r>
      <w:proofErr w:type="spellStart"/>
      <w:r w:rsidRPr="00FD4011">
        <w:t>analyze</w:t>
      </w:r>
      <w:proofErr w:type="spellEnd"/>
      <w:r w:rsidRPr="00FD4011">
        <w:t xml:space="preserve"> their manufacturing processes to identify areas where they can increase efficiency and reduce waste. This could involve investing in new equipment or technology to automate certain tasks or optimizing their supply chain to reduce lead times.</w:t>
      </w:r>
    </w:p>
    <w:p w14:paraId="5ADCB69A" w14:textId="77777777" w:rsidR="00FD4011" w:rsidRPr="00FD4011" w:rsidRDefault="00FD4011" w:rsidP="00FD4011">
      <w:pPr>
        <w:numPr>
          <w:ilvl w:val="0"/>
          <w:numId w:val="14"/>
        </w:numPr>
      </w:pPr>
      <w:r w:rsidRPr="00FD4011">
        <w:t>Diversifying product offerings: Mobility Group could consider expanding their product offerings to include other mobility aids such as wheelchairs, walkers, or crutches. They could also explore new markets such as the elderly care market or international markets to increase revenue.</w:t>
      </w:r>
    </w:p>
    <w:p w14:paraId="02FCD6D3" w14:textId="0E2D07A6" w:rsidR="002340F6" w:rsidRPr="00FD4011" w:rsidRDefault="00FD4011" w:rsidP="00CC1D40">
      <w:pPr>
        <w:numPr>
          <w:ilvl w:val="0"/>
          <w:numId w:val="14"/>
        </w:numPr>
      </w:pPr>
      <w:r w:rsidRPr="00FD4011">
        <w:t>Improving pricing strategies: Mobility Group could consider adjusting pricing for existing products to reflect the cost of production or market conditions. They could also explore new pricing strategies such as bundling products or offering volume discounts to increase sales. Additionally, they could conduct market research to determine optimal price points for new products.</w:t>
      </w:r>
    </w:p>
    <w:p w14:paraId="2D148992" w14:textId="1D528D20" w:rsidR="00CC1D40" w:rsidRPr="00CC1D40" w:rsidRDefault="00CC1D40" w:rsidP="00CC1D40">
      <w:r w:rsidRPr="00CC1D40">
        <w:t>Qualitatively, Mobility Group should consider several factors in making the decision to cease the production of Hoists and Mobile Beds</w:t>
      </w:r>
      <w:r w:rsidR="00512D5C">
        <w:t xml:space="preserve"> </w:t>
      </w:r>
      <w:r w:rsidR="00512D5C" w:rsidRPr="00512D5C">
        <w:t>(Qualitative Research in Accounting &amp;amp; Management 2020)</w:t>
      </w:r>
      <w:r w:rsidRPr="00CC1D40">
        <w:t>:</w:t>
      </w:r>
    </w:p>
    <w:p w14:paraId="07EE69DA" w14:textId="77777777" w:rsidR="00CC1D40" w:rsidRPr="00CC1D40" w:rsidRDefault="00CC1D40" w:rsidP="00CC1D40">
      <w:pPr>
        <w:numPr>
          <w:ilvl w:val="0"/>
          <w:numId w:val="9"/>
        </w:numPr>
      </w:pPr>
      <w:r w:rsidRPr="00CC1D40">
        <w:t>Market demand: It is important to consider the level of demand for these products and whether it is likely to increase or decrease in the future.</w:t>
      </w:r>
    </w:p>
    <w:p w14:paraId="605F926E" w14:textId="77777777" w:rsidR="00CC1D40" w:rsidRPr="00CC1D40" w:rsidRDefault="00CC1D40" w:rsidP="00CC1D40">
      <w:pPr>
        <w:numPr>
          <w:ilvl w:val="0"/>
          <w:numId w:val="9"/>
        </w:numPr>
      </w:pPr>
      <w:r w:rsidRPr="00CC1D40">
        <w:lastRenderedPageBreak/>
        <w:t>Competition: It is important to consider the level of competition in the market and how it may impact the ability to generate a profit.</w:t>
      </w:r>
    </w:p>
    <w:p w14:paraId="4D8175AE" w14:textId="77777777" w:rsidR="00CC1D40" w:rsidRPr="00CC1D40" w:rsidRDefault="00CC1D40" w:rsidP="00CC1D40">
      <w:pPr>
        <w:numPr>
          <w:ilvl w:val="0"/>
          <w:numId w:val="9"/>
        </w:numPr>
      </w:pPr>
      <w:r w:rsidRPr="00CC1D40">
        <w:t>Cost structure: It is important to consider the fixed and variable costs associated with producing Hoists and Mobile Beds and how they may impact the ability to generate a profit.</w:t>
      </w:r>
    </w:p>
    <w:p w14:paraId="7A8C6761" w14:textId="77777777" w:rsidR="00CC1D40" w:rsidRPr="00CC1D40" w:rsidRDefault="00CC1D40" w:rsidP="00CC1D40">
      <w:pPr>
        <w:numPr>
          <w:ilvl w:val="0"/>
          <w:numId w:val="9"/>
        </w:numPr>
      </w:pPr>
      <w:r w:rsidRPr="00CC1D40">
        <w:t>Impact on employees: It is important to consider the impact that ceasing production of these products may have on employees, including any job losses or impacts on morale.</w:t>
      </w:r>
    </w:p>
    <w:p w14:paraId="7766E5E7" w14:textId="77777777" w:rsidR="00CC1D40" w:rsidRPr="00CC1D40" w:rsidRDefault="00CC1D40" w:rsidP="00CC1D40">
      <w:pPr>
        <w:numPr>
          <w:ilvl w:val="0"/>
          <w:numId w:val="9"/>
        </w:numPr>
      </w:pPr>
      <w:r w:rsidRPr="00CC1D40">
        <w:t>Reputation: It is important to consider the impact that ceasing production of these products may have on the company's reputation and brand image.</w:t>
      </w:r>
    </w:p>
    <w:p w14:paraId="5A630FB5" w14:textId="41333978" w:rsidR="00150B19" w:rsidRPr="00911F3C" w:rsidRDefault="00CC1D40" w:rsidP="00911F3C">
      <w:r w:rsidRPr="00CC1D40">
        <w:t>In conclusion, Mobility Group should consider a variety of qualitative and quantitative factors when making the decision to cease the production of Hoists and Mobile Beds, and should carefully weigh the potential benefits and drawbacks of this decision.</w:t>
      </w:r>
    </w:p>
    <w:p w14:paraId="096B27AC" w14:textId="6B669B5C" w:rsidR="00402E93" w:rsidRPr="00402E93" w:rsidRDefault="00402E93" w:rsidP="00402E93">
      <w:pPr>
        <w:pStyle w:val="Heading2"/>
      </w:pPr>
      <w:bookmarkStart w:id="13" w:name="_Toc126957770"/>
      <w:r w:rsidRPr="00402E93">
        <w:t>2.1 Conclusion</w:t>
      </w:r>
      <w:bookmarkEnd w:id="13"/>
    </w:p>
    <w:p w14:paraId="2CB7B137" w14:textId="1C071C94" w:rsidR="00402E93" w:rsidRPr="00402E93" w:rsidRDefault="002E629E" w:rsidP="00402E93">
      <w:pPr>
        <w:rPr>
          <w:rFonts w:cs="Arial"/>
          <w:color w:val="000000"/>
          <w:sz w:val="24"/>
          <w:szCs w:val="24"/>
        </w:rPr>
      </w:pPr>
      <w:r>
        <w:rPr>
          <w:rFonts w:cs="Arial"/>
          <w:color w:val="000000"/>
          <w:sz w:val="24"/>
          <w:szCs w:val="24"/>
        </w:rPr>
        <w:t>M</w:t>
      </w:r>
      <w:r w:rsidRPr="002E629E">
        <w:rPr>
          <w:rFonts w:cs="Arial"/>
          <w:color w:val="000000"/>
          <w:sz w:val="24"/>
          <w:szCs w:val="24"/>
        </w:rPr>
        <w:t>arginal costing and absorption costing are two important cost accounting methods used to determine the cost of goods sold and the profitability of a business. While marginal costing only considers the direct or variable costs, absorption costing considers both the variable and fixed costs. The choice between the two methods depends on the type of business and the information required. Both methods have their own benefits and drawbacks, and it is important to use both methods in conjunction with each other to provide a complete picture of the company's financial health and profitability. The decision to stop production of a product should be based on a comprehensive analysis of the costs involved, including both variable and fixed costs, and considering both quantitative and qualitative factors.</w:t>
      </w:r>
    </w:p>
    <w:p w14:paraId="1E165B02" w14:textId="3A1B916C" w:rsidR="00402E93" w:rsidRPr="00402E93" w:rsidRDefault="00402E93" w:rsidP="00402E93">
      <w:pPr>
        <w:pStyle w:val="Heading2"/>
      </w:pPr>
      <w:bookmarkStart w:id="14" w:name="_Toc126957771"/>
      <w:r>
        <w:t xml:space="preserve">2.2 </w:t>
      </w:r>
      <w:r w:rsidRPr="00402E93">
        <w:t>Recommendations</w:t>
      </w:r>
      <w:bookmarkEnd w:id="14"/>
    </w:p>
    <w:p w14:paraId="5AAE0EE7" w14:textId="2FF4530B" w:rsidR="00402E93" w:rsidRPr="00402E93" w:rsidRDefault="002E629E" w:rsidP="00402E93">
      <w:pPr>
        <w:rPr>
          <w:rFonts w:cs="Arial"/>
          <w:color w:val="000000"/>
          <w:sz w:val="24"/>
          <w:szCs w:val="24"/>
        </w:rPr>
      </w:pPr>
      <w:r w:rsidRPr="002E629E">
        <w:rPr>
          <w:rFonts w:cs="Arial"/>
          <w:color w:val="000000"/>
          <w:sz w:val="24"/>
          <w:szCs w:val="24"/>
        </w:rPr>
        <w:t xml:space="preserve">Based on the discussions so far, it can be recommended to use both marginal costing and absorption costing methods in order to get a complete picture of a company's financial health and profitability. In making decisions about production, pricing, resource allocation, investments, and product discontinuation, it is important to consider both quantitative and qualitative factors, </w:t>
      </w:r>
      <w:proofErr w:type="gramStart"/>
      <w:r w:rsidRPr="002E629E">
        <w:rPr>
          <w:rFonts w:cs="Arial"/>
          <w:color w:val="000000"/>
          <w:sz w:val="24"/>
          <w:szCs w:val="24"/>
        </w:rPr>
        <w:t>taking into account</w:t>
      </w:r>
      <w:proofErr w:type="gramEnd"/>
      <w:r w:rsidRPr="002E629E">
        <w:rPr>
          <w:rFonts w:cs="Arial"/>
          <w:color w:val="000000"/>
          <w:sz w:val="24"/>
          <w:szCs w:val="24"/>
        </w:rPr>
        <w:t xml:space="preserve"> the fixed costs and their impact on the overall financial health of the company. When making decisions about product discontinuation, it is crucial to consider the long-term business </w:t>
      </w:r>
      <w:r w:rsidRPr="002E629E">
        <w:rPr>
          <w:rFonts w:cs="Arial"/>
          <w:color w:val="000000"/>
          <w:sz w:val="24"/>
          <w:szCs w:val="24"/>
        </w:rPr>
        <w:lastRenderedPageBreak/>
        <w:t>profitability and sustainable growth. In addition, alternative ways to increase profitability, such as reducing costs, increasing efficiency, and expanding into new markets, should also be considered. Continuous monitoring and evaluation of costs and profitability is necessary to make informed decisions that support the long-term growth and success of the company.</w:t>
      </w:r>
    </w:p>
    <w:p w14:paraId="627E9014" w14:textId="77777777" w:rsidR="00402E93" w:rsidRPr="00402E93" w:rsidRDefault="00402E93" w:rsidP="00402E93">
      <w:pPr>
        <w:rPr>
          <w:rFonts w:cs="Arial"/>
          <w:color w:val="000000"/>
          <w:sz w:val="24"/>
          <w:szCs w:val="24"/>
        </w:rPr>
      </w:pPr>
    </w:p>
    <w:p w14:paraId="2C6A3924" w14:textId="77777777" w:rsidR="00402E93" w:rsidRPr="00402E93" w:rsidRDefault="00402E93" w:rsidP="00402E93">
      <w:pPr>
        <w:rPr>
          <w:rFonts w:cs="Arial"/>
          <w:color w:val="000000"/>
          <w:sz w:val="24"/>
          <w:szCs w:val="24"/>
        </w:rPr>
      </w:pPr>
    </w:p>
    <w:p w14:paraId="021EE6CF" w14:textId="3627C43E" w:rsidR="00402E93" w:rsidRPr="00402E93" w:rsidRDefault="00402E93" w:rsidP="00402E93">
      <w:pPr>
        <w:pStyle w:val="Heading2"/>
      </w:pPr>
      <w:bookmarkStart w:id="15" w:name="_Toc126957772"/>
      <w:r>
        <w:t xml:space="preserve">2.3 </w:t>
      </w:r>
      <w:r w:rsidRPr="00402E93">
        <w:t>Reference List</w:t>
      </w:r>
      <w:bookmarkEnd w:id="15"/>
    </w:p>
    <w:p w14:paraId="756ED47D" w14:textId="77777777" w:rsidR="00512D5C" w:rsidRPr="00512D5C" w:rsidRDefault="00512D5C" w:rsidP="00512D5C">
      <w:pPr>
        <w:pStyle w:val="ListParagraph"/>
        <w:numPr>
          <w:ilvl w:val="0"/>
          <w:numId w:val="12"/>
        </w:numPr>
      </w:pPr>
      <w:r w:rsidRPr="00512D5C">
        <w:rPr>
          <w:i/>
          <w:iCs/>
        </w:rPr>
        <w:t>Absorption costing</w:t>
      </w:r>
      <w:r w:rsidRPr="00512D5C">
        <w:t xml:space="preserve"> (2022) </w:t>
      </w:r>
      <w:r w:rsidRPr="00512D5C">
        <w:rPr>
          <w:i/>
          <w:iCs/>
        </w:rPr>
        <w:t>Corporate Finance Institute</w:t>
      </w:r>
      <w:r w:rsidRPr="00512D5C">
        <w:t xml:space="preserve">. Available at: https://corporatefinanceinstitute.com/resources/accounting/absorption-costing-guide/ (Accessed: February 10, 2023). </w:t>
      </w:r>
    </w:p>
    <w:p w14:paraId="6BCAD3AB" w14:textId="77777777" w:rsidR="00512D5C" w:rsidRPr="00512D5C" w:rsidRDefault="00512D5C" w:rsidP="00512D5C">
      <w:pPr>
        <w:pStyle w:val="ListParagraph"/>
        <w:numPr>
          <w:ilvl w:val="0"/>
          <w:numId w:val="12"/>
        </w:numPr>
      </w:pPr>
      <w:r w:rsidRPr="00512D5C">
        <w:rPr>
          <w:i/>
          <w:iCs/>
        </w:rPr>
        <w:t>Absorption costing: Definition, tips and examples | indeed.com</w:t>
      </w:r>
      <w:r w:rsidRPr="00512D5C">
        <w:t xml:space="preserve"> (no date). Available at: https://www.indeed.com/career-advice/career-development/absorption-costing (Accessed: February 10, 2023). </w:t>
      </w:r>
    </w:p>
    <w:p w14:paraId="22055FA1" w14:textId="77777777" w:rsidR="00512D5C" w:rsidRPr="00512D5C" w:rsidRDefault="00512D5C" w:rsidP="00512D5C">
      <w:pPr>
        <w:pStyle w:val="ListParagraph"/>
        <w:numPr>
          <w:ilvl w:val="0"/>
          <w:numId w:val="12"/>
        </w:numPr>
      </w:pPr>
      <w:r w:rsidRPr="00512D5C">
        <w:t xml:space="preserve">Bragg, S. (2022) </w:t>
      </w:r>
      <w:r w:rsidRPr="00512D5C">
        <w:rPr>
          <w:i/>
          <w:iCs/>
        </w:rPr>
        <w:t>Marginal cost definition</w:t>
      </w:r>
      <w:r w:rsidRPr="00512D5C">
        <w:t xml:space="preserve">, </w:t>
      </w:r>
      <w:proofErr w:type="spellStart"/>
      <w:r w:rsidRPr="00512D5C">
        <w:rPr>
          <w:i/>
          <w:iCs/>
        </w:rPr>
        <w:t>AccountingTools</w:t>
      </w:r>
      <w:proofErr w:type="spellEnd"/>
      <w:r w:rsidRPr="00512D5C">
        <w:t xml:space="preserve">. </w:t>
      </w:r>
      <w:proofErr w:type="spellStart"/>
      <w:r w:rsidRPr="00512D5C">
        <w:t>AccountingTools</w:t>
      </w:r>
      <w:proofErr w:type="spellEnd"/>
      <w:r w:rsidRPr="00512D5C">
        <w:t xml:space="preserve">. Available at: https://www.accountingtools.com/articles/what-is-marginal-cost.html (Accessed: February 10, 2023). </w:t>
      </w:r>
    </w:p>
    <w:p w14:paraId="5E7BE316" w14:textId="77777777" w:rsidR="00512D5C" w:rsidRPr="00512D5C" w:rsidRDefault="00512D5C" w:rsidP="00512D5C">
      <w:pPr>
        <w:pStyle w:val="ListParagraph"/>
        <w:numPr>
          <w:ilvl w:val="0"/>
          <w:numId w:val="12"/>
        </w:numPr>
      </w:pPr>
      <w:proofErr w:type="spellStart"/>
      <w:r w:rsidRPr="00512D5C">
        <w:t>Garikaib</w:t>
      </w:r>
      <w:proofErr w:type="spellEnd"/>
      <w:r w:rsidRPr="00512D5C">
        <w:t xml:space="preserve"> (2022) </w:t>
      </w:r>
      <w:r w:rsidRPr="00512D5C">
        <w:rPr>
          <w:i/>
          <w:iCs/>
        </w:rPr>
        <w:t>Marginal costing: Statement of profit worked example</w:t>
      </w:r>
      <w:r w:rsidRPr="00512D5C">
        <w:t xml:space="preserve">, </w:t>
      </w:r>
      <w:r w:rsidRPr="00512D5C">
        <w:rPr>
          <w:i/>
          <w:iCs/>
        </w:rPr>
        <w:t>Free ZIMSEC &amp; Cambridge Revision Notes</w:t>
      </w:r>
      <w:r w:rsidRPr="00512D5C">
        <w:t xml:space="preserve">. Available at: https://revision.co.zw/marginal-costing-statement-of-profit-2/ (Accessed: February 10, 2023). </w:t>
      </w:r>
    </w:p>
    <w:p w14:paraId="71E63AF4" w14:textId="77777777" w:rsidR="00512D5C" w:rsidRPr="00512D5C" w:rsidRDefault="00512D5C" w:rsidP="00512D5C">
      <w:pPr>
        <w:pStyle w:val="ListParagraph"/>
        <w:numPr>
          <w:ilvl w:val="0"/>
          <w:numId w:val="12"/>
        </w:numPr>
      </w:pPr>
      <w:r w:rsidRPr="00512D5C">
        <w:rPr>
          <w:i/>
          <w:iCs/>
        </w:rPr>
        <w:t>Qualitative characteristics of accounting information</w:t>
      </w:r>
      <w:r w:rsidRPr="00512D5C">
        <w:t xml:space="preserve"> (2017) </w:t>
      </w:r>
      <w:r w:rsidRPr="00512D5C">
        <w:rPr>
          <w:i/>
          <w:iCs/>
        </w:rPr>
        <w:t>My Accounting Course</w:t>
      </w:r>
      <w:r w:rsidRPr="00512D5C">
        <w:t xml:space="preserve">. Available at: https://www.myaccountingcourse.com/accounting-principles/qualitative-characteristics (Accessed: February 10, 2023). </w:t>
      </w:r>
    </w:p>
    <w:p w14:paraId="024EC0EC" w14:textId="77777777" w:rsidR="00512D5C" w:rsidRPr="00512D5C" w:rsidRDefault="00512D5C" w:rsidP="00512D5C">
      <w:pPr>
        <w:pStyle w:val="ListParagraph"/>
        <w:numPr>
          <w:ilvl w:val="0"/>
          <w:numId w:val="12"/>
        </w:numPr>
      </w:pPr>
      <w:r w:rsidRPr="00512D5C">
        <w:rPr>
          <w:i/>
          <w:iCs/>
        </w:rPr>
        <w:t>Qualitative Research in Accounting &amp; Management</w:t>
      </w:r>
      <w:r w:rsidRPr="00512D5C">
        <w:t xml:space="preserve"> (2020) </w:t>
      </w:r>
      <w:r w:rsidRPr="00512D5C">
        <w:rPr>
          <w:i/>
          <w:iCs/>
        </w:rPr>
        <w:t>Qualitative Research in Accounting &amp; Management | Emerald Insight</w:t>
      </w:r>
      <w:r w:rsidRPr="00512D5C">
        <w:t xml:space="preserve">. Available at: https://www.emerald.com/insight/publication/issn/1176-6093 (Accessed: February 10, 2023). </w:t>
      </w:r>
    </w:p>
    <w:p w14:paraId="65527D51" w14:textId="77777777" w:rsidR="00512D5C" w:rsidRPr="00512D5C" w:rsidRDefault="00512D5C" w:rsidP="00512D5C">
      <w:pPr>
        <w:pStyle w:val="ListParagraph"/>
        <w:numPr>
          <w:ilvl w:val="0"/>
          <w:numId w:val="12"/>
        </w:numPr>
      </w:pPr>
      <w:proofErr w:type="spellStart"/>
      <w:r w:rsidRPr="00512D5C">
        <w:t>Röller</w:t>
      </w:r>
      <w:proofErr w:type="spellEnd"/>
      <w:r w:rsidRPr="00512D5C">
        <w:t xml:space="preserve">, L.-H. (2020) “Flexible budgeting / marginal cost accounting,” </w:t>
      </w:r>
      <w:r w:rsidRPr="00512D5C">
        <w:rPr>
          <w:i/>
          <w:iCs/>
        </w:rPr>
        <w:t>Management Accounting</w:t>
      </w:r>
      <w:r w:rsidRPr="00512D5C">
        <w:t xml:space="preserve"> [Preprint]. Available at: https://doi.org/10.24053/9783739880280-252. </w:t>
      </w:r>
    </w:p>
    <w:p w14:paraId="3031BF8C" w14:textId="77777777" w:rsidR="00512D5C" w:rsidRPr="00512D5C" w:rsidRDefault="00512D5C" w:rsidP="00512D5C">
      <w:pPr>
        <w:pStyle w:val="ListParagraph"/>
        <w:numPr>
          <w:ilvl w:val="0"/>
          <w:numId w:val="12"/>
        </w:numPr>
      </w:pPr>
      <w:r w:rsidRPr="00512D5C">
        <w:t xml:space="preserve">Seal, W.B. </w:t>
      </w:r>
      <w:r w:rsidRPr="00512D5C">
        <w:rPr>
          <w:i/>
          <w:iCs/>
        </w:rPr>
        <w:t>et al.</w:t>
      </w:r>
      <w:r w:rsidRPr="00512D5C">
        <w:t xml:space="preserve"> (2019) </w:t>
      </w:r>
      <w:r w:rsidRPr="00512D5C">
        <w:rPr>
          <w:i/>
          <w:iCs/>
        </w:rPr>
        <w:t>Management accounting</w:t>
      </w:r>
      <w:r w:rsidRPr="00512D5C">
        <w:t xml:space="preserve">. London: McGraw-Hill Education. </w:t>
      </w:r>
    </w:p>
    <w:p w14:paraId="6D80314D" w14:textId="77777777" w:rsidR="00512D5C" w:rsidRPr="00512D5C" w:rsidRDefault="00512D5C" w:rsidP="00512D5C">
      <w:pPr>
        <w:pStyle w:val="ListParagraph"/>
        <w:numPr>
          <w:ilvl w:val="0"/>
          <w:numId w:val="12"/>
        </w:numPr>
      </w:pPr>
      <w:r w:rsidRPr="00512D5C">
        <w:t xml:space="preserve">True Tamplin, B.S. (2023) </w:t>
      </w:r>
      <w:r w:rsidRPr="00512D5C">
        <w:rPr>
          <w:i/>
          <w:iCs/>
        </w:rPr>
        <w:t>Marginal costing: Definition, merits, limitations and examples</w:t>
      </w:r>
      <w:r w:rsidRPr="00512D5C">
        <w:t xml:space="preserve">, </w:t>
      </w:r>
      <w:r w:rsidRPr="00512D5C">
        <w:rPr>
          <w:i/>
          <w:iCs/>
        </w:rPr>
        <w:t>Finance Strategist</w:t>
      </w:r>
      <w:r w:rsidRPr="00512D5C">
        <w:t xml:space="preserve">. Finance Strategists. Available at: https://financestrategists.com/accounting/management-accounting/marginal-costing/ (Accessed: February 10, 2023). </w:t>
      </w:r>
    </w:p>
    <w:p w14:paraId="5EC52023" w14:textId="77777777" w:rsidR="00512D5C" w:rsidRPr="00512D5C" w:rsidRDefault="00512D5C" w:rsidP="00512D5C">
      <w:pPr>
        <w:pStyle w:val="ListParagraph"/>
        <w:numPr>
          <w:ilvl w:val="0"/>
          <w:numId w:val="12"/>
        </w:numPr>
      </w:pPr>
      <w:r w:rsidRPr="00512D5C">
        <w:rPr>
          <w:i/>
          <w:iCs/>
        </w:rPr>
        <w:lastRenderedPageBreak/>
        <w:t>What is managerial accounting and how it helps managers?</w:t>
      </w:r>
      <w:r w:rsidRPr="00512D5C">
        <w:t xml:space="preserve"> (2023) </w:t>
      </w:r>
      <w:r w:rsidRPr="00512D5C">
        <w:rPr>
          <w:i/>
          <w:iCs/>
        </w:rPr>
        <w:t>FreshBooks</w:t>
      </w:r>
      <w:r w:rsidRPr="00512D5C">
        <w:t xml:space="preserve">. Available at: https://www.freshbooks.com/hub/accounting/managerial-accounting-helps-managers (Accessed: February 10, 2023). </w:t>
      </w:r>
    </w:p>
    <w:p w14:paraId="720E3C8D" w14:textId="77777777" w:rsidR="00402E93" w:rsidRPr="00512D5C" w:rsidRDefault="00402E93" w:rsidP="00512D5C">
      <w:pPr>
        <w:pStyle w:val="ListParagraph"/>
        <w:numPr>
          <w:ilvl w:val="0"/>
          <w:numId w:val="12"/>
        </w:numPr>
        <w:rPr>
          <w:rStyle w:val="Heading1Char"/>
          <w:sz w:val="22"/>
          <w:szCs w:val="22"/>
        </w:rPr>
      </w:pPr>
      <w:r w:rsidRPr="00512D5C">
        <w:rPr>
          <w:rStyle w:val="Heading1Char"/>
          <w:b w:val="0"/>
          <w:sz w:val="22"/>
          <w:szCs w:val="22"/>
        </w:rPr>
        <w:br w:type="page"/>
      </w:r>
    </w:p>
    <w:p w14:paraId="43195468" w14:textId="682F9603" w:rsidR="00150B19" w:rsidRPr="00402E93" w:rsidRDefault="00150B19" w:rsidP="00150B19">
      <w:pPr>
        <w:ind w:left="360"/>
      </w:pPr>
    </w:p>
    <w:sectPr w:rsidR="00150B19" w:rsidRPr="00402E93" w:rsidSect="00E62723">
      <w:footerReference w:type="default" r:id="rId12"/>
      <w:pgSz w:w="11906" w:h="16838" w:code="9"/>
      <w:pgMar w:top="1440" w:right="1440" w:bottom="1440" w:left="1440" w:header="720" w:footer="720" w:gutter="0"/>
      <w:cols w:space="720"/>
      <w:noEndnote/>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odzinesa Zuwirai" w:date="2023-03-01T05:08:00Z" w:initials="MZ">
    <w:p w14:paraId="79ACF50B" w14:textId="77777777" w:rsidR="004511D8" w:rsidRDefault="004511D8" w:rsidP="004511D8">
      <w:pPr>
        <w:pStyle w:val="CommentText"/>
      </w:pPr>
      <w:r>
        <w:rPr>
          <w:rStyle w:val="CommentReference"/>
        </w:rPr>
        <w:annotationRef/>
      </w:r>
      <w:r>
        <w:t xml:space="preserve">Please use a proper report header: </w:t>
      </w:r>
    </w:p>
    <w:p w14:paraId="7B41A459" w14:textId="77777777" w:rsidR="004511D8" w:rsidRDefault="004511D8" w:rsidP="004511D8">
      <w:pPr>
        <w:pStyle w:val="CommentText"/>
      </w:pPr>
    </w:p>
    <w:p w14:paraId="204AE631" w14:textId="77777777" w:rsidR="004511D8" w:rsidRDefault="004511D8" w:rsidP="004511D8">
      <w:pPr>
        <w:pStyle w:val="CommentText"/>
      </w:pPr>
      <w:r>
        <w:t xml:space="preserve">REPORT </w:t>
      </w:r>
    </w:p>
    <w:p w14:paraId="746DA304" w14:textId="77777777" w:rsidR="004511D8" w:rsidRDefault="004511D8" w:rsidP="004511D8">
      <w:pPr>
        <w:pStyle w:val="CommentText"/>
      </w:pPr>
    </w:p>
    <w:p w14:paraId="2D13B9A7" w14:textId="77777777" w:rsidR="004511D8" w:rsidRDefault="004511D8" w:rsidP="004511D8">
      <w:pPr>
        <w:pStyle w:val="CommentText"/>
      </w:pPr>
      <w:r>
        <w:t>To:</w:t>
      </w:r>
    </w:p>
    <w:p w14:paraId="68C61667" w14:textId="77777777" w:rsidR="004511D8" w:rsidRDefault="004511D8" w:rsidP="004511D8">
      <w:pPr>
        <w:pStyle w:val="CommentText"/>
      </w:pPr>
      <w:r>
        <w:t>From:</w:t>
      </w:r>
    </w:p>
    <w:p w14:paraId="12566C59" w14:textId="77777777" w:rsidR="004511D8" w:rsidRDefault="004511D8" w:rsidP="004511D8">
      <w:pPr>
        <w:pStyle w:val="CommentText"/>
      </w:pPr>
      <w:r>
        <w:t>Date:</w:t>
      </w:r>
    </w:p>
    <w:p w14:paraId="188760A3" w14:textId="77777777" w:rsidR="004511D8" w:rsidRDefault="004511D8" w:rsidP="004511D8">
      <w:pPr>
        <w:pStyle w:val="CommentText"/>
      </w:pPr>
      <w:r>
        <w:t>Subject:</w:t>
      </w:r>
    </w:p>
    <w:p w14:paraId="1C92F993" w14:textId="77777777" w:rsidR="004511D8" w:rsidRDefault="004511D8" w:rsidP="004511D8">
      <w:pPr>
        <w:pStyle w:val="CommentText"/>
      </w:pPr>
    </w:p>
    <w:p w14:paraId="52053F9D" w14:textId="4D7D4442" w:rsidR="004511D8" w:rsidRDefault="004511D8" w:rsidP="004511D8">
      <w:pPr>
        <w:pStyle w:val="CommentText"/>
      </w:pPr>
      <w:r>
        <w:t>Introduction</w:t>
      </w:r>
    </w:p>
  </w:comment>
  <w:comment w:id="2" w:author="Munodzinesa Zuwirai" w:date="2023-03-01T05:08:00Z" w:initials="MZ">
    <w:p w14:paraId="5F8E33E9" w14:textId="1B800051" w:rsidR="004511D8" w:rsidRDefault="004511D8">
      <w:pPr>
        <w:pStyle w:val="CommentText"/>
      </w:pPr>
      <w:r>
        <w:rPr>
          <w:rStyle w:val="CommentReference"/>
        </w:rPr>
        <w:annotationRef/>
      </w:r>
      <w:r>
        <w:t>Detail what the report seeks to achieve and tools that will be used etc</w:t>
      </w:r>
    </w:p>
  </w:comment>
  <w:comment w:id="4" w:author="Munodzinesa Zuwirai" w:date="2023-03-01T05:09:00Z" w:initials="MZ">
    <w:p w14:paraId="1898D94D" w14:textId="6401CB32" w:rsidR="004511D8" w:rsidRDefault="004511D8">
      <w:pPr>
        <w:pStyle w:val="CommentText"/>
      </w:pPr>
      <w:r>
        <w:rPr>
          <w:rStyle w:val="CommentReference"/>
        </w:rPr>
        <w:annotationRef/>
      </w:r>
      <w:r>
        <w:t>Be more critical and consider more differences including decision-making implications and applicability to MG – contextualised rather than theorised</w:t>
      </w:r>
    </w:p>
  </w:comment>
  <w:comment w:id="6" w:author="Munodzinesa Zuwirai" w:date="2023-03-01T05:10:00Z" w:initials="MZ">
    <w:p w14:paraId="4B22B01D" w14:textId="5044206F" w:rsidR="004511D8" w:rsidRDefault="004511D8">
      <w:pPr>
        <w:pStyle w:val="CommentText"/>
      </w:pPr>
      <w:r>
        <w:rPr>
          <w:rStyle w:val="CommentReference"/>
        </w:rPr>
        <w:annotationRef/>
      </w:r>
      <w:r>
        <w:t>Simply calculate</w:t>
      </w:r>
    </w:p>
  </w:comment>
  <w:comment w:id="8" w:author="Munodzinesa Zuwirai" w:date="2023-03-01T05:11:00Z" w:initials="MZ">
    <w:p w14:paraId="609D31BE" w14:textId="1B30447F" w:rsidR="004511D8" w:rsidRDefault="004511D8">
      <w:pPr>
        <w:pStyle w:val="CommentText"/>
      </w:pPr>
      <w:r>
        <w:rPr>
          <w:rStyle w:val="CommentReference"/>
        </w:rPr>
        <w:annotationRef/>
      </w:r>
      <w:r>
        <w:t xml:space="preserve">Decision is based on contribution </w:t>
      </w:r>
    </w:p>
  </w:comment>
  <w:comment w:id="11" w:author="Munodzinesa Zuwirai" w:date="2023-03-01T05:12:00Z" w:initials="MZ">
    <w:p w14:paraId="1AE7F41B" w14:textId="69BE49B5" w:rsidR="004511D8" w:rsidRDefault="004511D8">
      <w:pPr>
        <w:pStyle w:val="CommentText"/>
      </w:pPr>
      <w:r>
        <w:rPr>
          <w:rStyle w:val="CommentReference"/>
        </w:rPr>
        <w:annotationRef/>
      </w:r>
      <w:r>
        <w:t>Decision is based on marginal costing technique - contribution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053F9D" w15:done="1"/>
  <w15:commentEx w15:paraId="5F8E33E9" w15:done="1"/>
  <w15:commentEx w15:paraId="1898D94D" w15:done="1"/>
  <w15:commentEx w15:paraId="4B22B01D" w15:done="1"/>
  <w15:commentEx w15:paraId="609D31BE" w15:done="1"/>
  <w15:commentEx w15:paraId="1AE7F41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95C34" w16cex:dateUtc="2023-03-01T05:08:00Z"/>
  <w16cex:commentExtensible w16cex:durableId="27A95C3F" w16cex:dateUtc="2023-03-01T05:08:00Z"/>
  <w16cex:commentExtensible w16cex:durableId="27A95C7E" w16cex:dateUtc="2023-03-01T05:09:00Z"/>
  <w16cex:commentExtensible w16cex:durableId="27A95CE0" w16cex:dateUtc="2023-03-01T05:10:00Z"/>
  <w16cex:commentExtensible w16cex:durableId="27A95D09" w16cex:dateUtc="2023-03-01T05:11:00Z"/>
  <w16cex:commentExtensible w16cex:durableId="27A95D3C" w16cex:dateUtc="2023-03-01T0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053F9D" w16cid:durableId="27A95C34"/>
  <w16cid:commentId w16cid:paraId="5F8E33E9" w16cid:durableId="27A95C3F"/>
  <w16cid:commentId w16cid:paraId="1898D94D" w16cid:durableId="27A95C7E"/>
  <w16cid:commentId w16cid:paraId="4B22B01D" w16cid:durableId="27A95CE0"/>
  <w16cid:commentId w16cid:paraId="609D31BE" w16cid:durableId="27A95D09"/>
  <w16cid:commentId w16cid:paraId="1AE7F41B" w16cid:durableId="27A95D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8464" w14:textId="77777777" w:rsidR="005E342E" w:rsidRDefault="005E342E" w:rsidP="00E62723">
      <w:pPr>
        <w:spacing w:after="0" w:line="240" w:lineRule="auto"/>
      </w:pPr>
      <w:r>
        <w:separator/>
      </w:r>
    </w:p>
  </w:endnote>
  <w:endnote w:type="continuationSeparator" w:id="0">
    <w:p w14:paraId="481D704D" w14:textId="77777777" w:rsidR="005E342E" w:rsidRDefault="005E342E" w:rsidP="00E62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479001"/>
      <w:docPartObj>
        <w:docPartGallery w:val="Page Numbers (Bottom of Page)"/>
        <w:docPartUnique/>
      </w:docPartObj>
    </w:sdtPr>
    <w:sdtEndPr>
      <w:rPr>
        <w:noProof/>
      </w:rPr>
    </w:sdtEndPr>
    <w:sdtContent>
      <w:p w14:paraId="3EE289BF" w14:textId="569AAA10" w:rsidR="002E629E" w:rsidRDefault="002E62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4907F" w14:textId="77777777" w:rsidR="00E62723" w:rsidRDefault="00E62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CC625" w14:textId="77777777" w:rsidR="005E342E" w:rsidRDefault="005E342E" w:rsidP="00E62723">
      <w:pPr>
        <w:spacing w:after="0" w:line="240" w:lineRule="auto"/>
      </w:pPr>
      <w:r>
        <w:separator/>
      </w:r>
    </w:p>
  </w:footnote>
  <w:footnote w:type="continuationSeparator" w:id="0">
    <w:p w14:paraId="23B546A4" w14:textId="77777777" w:rsidR="005E342E" w:rsidRDefault="005E342E" w:rsidP="00E62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87F"/>
    <w:multiLevelType w:val="hybridMultilevel"/>
    <w:tmpl w:val="A10612D2"/>
    <w:lvl w:ilvl="0" w:tplc="1000000F">
      <w:start w:val="1"/>
      <w:numFmt w:val="lowerLetter"/>
      <w:lvlText w:val="%1)"/>
      <w:lvlJc w:val="left"/>
      <w:pPr>
        <w:ind w:left="360" w:hanging="360"/>
      </w:pPr>
      <w:rPr>
        <w:b w:val="0"/>
        <w:bCs/>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1" w15:restartNumberingAfterBreak="0">
    <w:nsid w:val="09ED6BD7"/>
    <w:multiLevelType w:val="multilevel"/>
    <w:tmpl w:val="9C82C59C"/>
    <w:lvl w:ilvl="0">
      <w:start w:val="1"/>
      <w:numFmt w:val="decimal"/>
      <w:lvlText w:val="%1."/>
      <w:lvlJc w:val="left"/>
      <w:pPr>
        <w:ind w:left="720" w:hanging="360"/>
      </w:pPr>
      <w:rPr>
        <w:b/>
        <w:bCs/>
        <w:color w:val="00206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0CBE0717"/>
    <w:multiLevelType w:val="hybridMultilevel"/>
    <w:tmpl w:val="7F0EB840"/>
    <w:lvl w:ilvl="0" w:tplc="FFFFFFFF">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3" w15:restartNumberingAfterBreak="0">
    <w:nsid w:val="156505D9"/>
    <w:multiLevelType w:val="hybridMultilevel"/>
    <w:tmpl w:val="F4B42054"/>
    <w:lvl w:ilvl="0" w:tplc="091E3594">
      <w:start w:val="1"/>
      <w:numFmt w:val="decimal"/>
      <w:lvlText w:val="%1."/>
      <w:lvlJc w:val="left"/>
      <w:pPr>
        <w:ind w:left="720" w:hanging="360"/>
      </w:pPr>
      <w:rPr>
        <w:rFonts w:cs="Arial" w:hint="default"/>
        <w:color w:val="000000"/>
        <w:sz w:val="24"/>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16D05C27"/>
    <w:multiLevelType w:val="multilevel"/>
    <w:tmpl w:val="41C81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23809"/>
    <w:multiLevelType w:val="hybridMultilevel"/>
    <w:tmpl w:val="897602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6275E0"/>
    <w:multiLevelType w:val="multilevel"/>
    <w:tmpl w:val="AFE8D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B4773"/>
    <w:multiLevelType w:val="hybridMultilevel"/>
    <w:tmpl w:val="6EB23598"/>
    <w:lvl w:ilvl="0" w:tplc="10000017">
      <w:start w:val="1"/>
      <w:numFmt w:val="lowerLetter"/>
      <w:lvlText w:val="%1)"/>
      <w:lvlJc w:val="left"/>
      <w:pPr>
        <w:ind w:left="720" w:hanging="360"/>
      </w:pPr>
      <w:rPr>
        <w:rFonts w:hint="default"/>
        <w:b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3F641A7F"/>
    <w:multiLevelType w:val="multilevel"/>
    <w:tmpl w:val="4F58711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FF74DCB"/>
    <w:multiLevelType w:val="multilevel"/>
    <w:tmpl w:val="311EC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7D4DC6"/>
    <w:multiLevelType w:val="hybridMultilevel"/>
    <w:tmpl w:val="89760262"/>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1" w15:restartNumberingAfterBreak="0">
    <w:nsid w:val="7D172E81"/>
    <w:multiLevelType w:val="hybridMultilevel"/>
    <w:tmpl w:val="A8182C20"/>
    <w:lvl w:ilvl="0" w:tplc="3D66D166">
      <w:start w:val="1"/>
      <w:numFmt w:val="lowerLetter"/>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7FC506AD"/>
    <w:multiLevelType w:val="multilevel"/>
    <w:tmpl w:val="A858C1A6"/>
    <w:lvl w:ilvl="0">
      <w:start w:val="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1685935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7889659">
    <w:abstractNumId w:val="10"/>
  </w:num>
  <w:num w:numId="3" w16cid:durableId="1850870928">
    <w:abstractNumId w:val="8"/>
  </w:num>
  <w:num w:numId="4" w16cid:durableId="636495583">
    <w:abstractNumId w:val="3"/>
  </w:num>
  <w:num w:numId="5" w16cid:durableId="7964840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0621664">
    <w:abstractNumId w:val="7"/>
  </w:num>
  <w:num w:numId="7" w16cid:durableId="1845514428">
    <w:abstractNumId w:val="0"/>
  </w:num>
  <w:num w:numId="8" w16cid:durableId="1759135021">
    <w:abstractNumId w:val="6"/>
  </w:num>
  <w:num w:numId="9" w16cid:durableId="358048214">
    <w:abstractNumId w:val="4"/>
  </w:num>
  <w:num w:numId="10" w16cid:durableId="1526601951">
    <w:abstractNumId w:val="0"/>
    <w:lvlOverride w:ilvl="0">
      <w:startOverride w:val="1"/>
    </w:lvlOverride>
  </w:num>
  <w:num w:numId="11" w16cid:durableId="1776365092">
    <w:abstractNumId w:val="5"/>
  </w:num>
  <w:num w:numId="12" w16cid:durableId="164125645">
    <w:abstractNumId w:val="2"/>
  </w:num>
  <w:num w:numId="13" w16cid:durableId="895043675">
    <w:abstractNumId w:val="11"/>
  </w:num>
  <w:num w:numId="14" w16cid:durableId="421637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odzinesa Zuwirai">
    <w15:presenceInfo w15:providerId="None" w15:userId="Munodzinesa Zuwira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zNLM0sTQwtDA1MTNR0lEKTi0uzszPAykwrQUAAP50oCwAAAA="/>
  </w:docVars>
  <w:rsids>
    <w:rsidRoot w:val="00AE7577"/>
    <w:rsid w:val="000F40BE"/>
    <w:rsid w:val="00150B19"/>
    <w:rsid w:val="00157B99"/>
    <w:rsid w:val="001A2C34"/>
    <w:rsid w:val="001A3A9A"/>
    <w:rsid w:val="002340F6"/>
    <w:rsid w:val="002B2B95"/>
    <w:rsid w:val="002E629E"/>
    <w:rsid w:val="002F02A2"/>
    <w:rsid w:val="00340415"/>
    <w:rsid w:val="003877A0"/>
    <w:rsid w:val="003D4027"/>
    <w:rsid w:val="003D5340"/>
    <w:rsid w:val="00402E93"/>
    <w:rsid w:val="0043750B"/>
    <w:rsid w:val="004511D8"/>
    <w:rsid w:val="00454594"/>
    <w:rsid w:val="0045694A"/>
    <w:rsid w:val="00480D86"/>
    <w:rsid w:val="00487DC6"/>
    <w:rsid w:val="004A570A"/>
    <w:rsid w:val="004E6000"/>
    <w:rsid w:val="00512D5C"/>
    <w:rsid w:val="005547E6"/>
    <w:rsid w:val="005D55D7"/>
    <w:rsid w:val="005E342E"/>
    <w:rsid w:val="005F6CA2"/>
    <w:rsid w:val="0060619F"/>
    <w:rsid w:val="0067658E"/>
    <w:rsid w:val="00680CDC"/>
    <w:rsid w:val="006B24B4"/>
    <w:rsid w:val="007274F5"/>
    <w:rsid w:val="00751427"/>
    <w:rsid w:val="00796BC1"/>
    <w:rsid w:val="007D6F15"/>
    <w:rsid w:val="008A1031"/>
    <w:rsid w:val="00911F3C"/>
    <w:rsid w:val="00923D31"/>
    <w:rsid w:val="00927AD5"/>
    <w:rsid w:val="00943057"/>
    <w:rsid w:val="009A0776"/>
    <w:rsid w:val="009C16D2"/>
    <w:rsid w:val="009F32A0"/>
    <w:rsid w:val="00A43BAF"/>
    <w:rsid w:val="00AD1902"/>
    <w:rsid w:val="00AE7577"/>
    <w:rsid w:val="00B20F53"/>
    <w:rsid w:val="00BC6C47"/>
    <w:rsid w:val="00C62AE9"/>
    <w:rsid w:val="00C859A6"/>
    <w:rsid w:val="00C9201C"/>
    <w:rsid w:val="00C94D40"/>
    <w:rsid w:val="00CC1D40"/>
    <w:rsid w:val="00D76C14"/>
    <w:rsid w:val="00E034E5"/>
    <w:rsid w:val="00E62723"/>
    <w:rsid w:val="00E90892"/>
    <w:rsid w:val="00EA0D29"/>
    <w:rsid w:val="00F21407"/>
    <w:rsid w:val="00F90267"/>
    <w:rsid w:val="00FA09F2"/>
    <w:rsid w:val="00FA740B"/>
    <w:rsid w:val="00FB4256"/>
    <w:rsid w:val="00FD4011"/>
    <w:rsid w:val="00FE38D4"/>
    <w:rsid w:val="00FF540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2B9B"/>
  <w15:chartTrackingRefBased/>
  <w15:docId w15:val="{5035C25F-86EE-4856-B896-72643256D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027"/>
    <w:pPr>
      <w:spacing w:line="360" w:lineRule="auto"/>
      <w:jc w:val="both"/>
    </w:pPr>
    <w:rPr>
      <w:rFonts w:ascii="Arial" w:hAnsi="Arial"/>
    </w:rPr>
  </w:style>
  <w:style w:type="paragraph" w:styleId="Heading1">
    <w:name w:val="heading 1"/>
    <w:basedOn w:val="Normal"/>
    <w:next w:val="Normal"/>
    <w:link w:val="Heading1Char"/>
    <w:uiPriority w:val="9"/>
    <w:qFormat/>
    <w:rsid w:val="0067658E"/>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402E93"/>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487DC6"/>
    <w:pPr>
      <w:keepNext/>
      <w:keepLines/>
      <w:spacing w:before="280" w:after="240"/>
      <w:outlineLvl w:val="2"/>
    </w:pPr>
    <w:rPr>
      <w:rFonts w:eastAsiaTheme="majorEastAsia" w:cs="Arial"/>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E6000"/>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7658E"/>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402E93"/>
    <w:rPr>
      <w:rFonts w:ascii="Times New Roman" w:eastAsiaTheme="majorEastAsia" w:hAnsi="Times New Roman" w:cstheme="majorBidi"/>
      <w:b/>
      <w:sz w:val="28"/>
      <w:szCs w:val="33"/>
      <w:lang w:val="en-GB"/>
    </w:rPr>
  </w:style>
  <w:style w:type="paragraph" w:styleId="TOCHeading">
    <w:name w:val="TOC Heading"/>
    <w:basedOn w:val="Heading1"/>
    <w:next w:val="Normal"/>
    <w:uiPriority w:val="39"/>
    <w:unhideWhenUsed/>
    <w:qFormat/>
    <w:rsid w:val="00E62723"/>
    <w:pPr>
      <w:spacing w:line="259" w:lineRule="auto"/>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E62723"/>
    <w:pPr>
      <w:spacing w:after="100"/>
    </w:pPr>
  </w:style>
  <w:style w:type="character" w:styleId="Hyperlink">
    <w:name w:val="Hyperlink"/>
    <w:basedOn w:val="DefaultParagraphFont"/>
    <w:uiPriority w:val="99"/>
    <w:unhideWhenUsed/>
    <w:rsid w:val="00E62723"/>
    <w:rPr>
      <w:color w:val="0563C1" w:themeColor="hyperlink"/>
      <w:u w:val="single"/>
    </w:rPr>
  </w:style>
  <w:style w:type="paragraph" w:styleId="Header">
    <w:name w:val="header"/>
    <w:basedOn w:val="Normal"/>
    <w:link w:val="HeaderChar"/>
    <w:uiPriority w:val="99"/>
    <w:unhideWhenUsed/>
    <w:rsid w:val="00E627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723"/>
    <w:rPr>
      <w:rFonts w:ascii="Times New Roman" w:hAnsi="Times New Roman"/>
      <w:lang w:val="en-GB"/>
    </w:rPr>
  </w:style>
  <w:style w:type="paragraph" w:styleId="Footer">
    <w:name w:val="footer"/>
    <w:basedOn w:val="Normal"/>
    <w:link w:val="FooterChar"/>
    <w:uiPriority w:val="99"/>
    <w:unhideWhenUsed/>
    <w:rsid w:val="00E62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723"/>
    <w:rPr>
      <w:rFonts w:ascii="Times New Roman" w:hAnsi="Times New Roman"/>
      <w:lang w:val="en-GB"/>
    </w:rPr>
  </w:style>
  <w:style w:type="character" w:styleId="UnresolvedMention">
    <w:name w:val="Unresolved Mention"/>
    <w:basedOn w:val="DefaultParagraphFont"/>
    <w:uiPriority w:val="99"/>
    <w:semiHidden/>
    <w:unhideWhenUsed/>
    <w:rsid w:val="00402E93"/>
    <w:rPr>
      <w:color w:val="605E5C"/>
      <w:shd w:val="clear" w:color="auto" w:fill="E1DFDD"/>
    </w:rPr>
  </w:style>
  <w:style w:type="paragraph" w:styleId="ListParagraph">
    <w:name w:val="List Paragraph"/>
    <w:basedOn w:val="Normal"/>
    <w:uiPriority w:val="1"/>
    <w:qFormat/>
    <w:rsid w:val="00402E93"/>
    <w:pPr>
      <w:ind w:left="720"/>
      <w:contextualSpacing/>
    </w:pPr>
  </w:style>
  <w:style w:type="paragraph" w:styleId="TOC2">
    <w:name w:val="toc 2"/>
    <w:basedOn w:val="Normal"/>
    <w:next w:val="Normal"/>
    <w:autoRedefine/>
    <w:uiPriority w:val="39"/>
    <w:unhideWhenUsed/>
    <w:rsid w:val="00402E93"/>
    <w:pPr>
      <w:spacing w:after="100"/>
      <w:ind w:left="220"/>
    </w:pPr>
  </w:style>
  <w:style w:type="character" w:customStyle="1" w:styleId="Heading3Char">
    <w:name w:val="Heading 3 Char"/>
    <w:basedOn w:val="DefaultParagraphFont"/>
    <w:link w:val="Heading3"/>
    <w:uiPriority w:val="9"/>
    <w:rsid w:val="00487DC6"/>
    <w:rPr>
      <w:rFonts w:ascii="Arial" w:eastAsiaTheme="majorEastAsia" w:hAnsi="Arial" w:cs="Arial"/>
      <w:color w:val="1F3763" w:themeColor="accent1" w:themeShade="7F"/>
      <w:sz w:val="24"/>
      <w:szCs w:val="30"/>
      <w:lang w:val="en-GB"/>
    </w:rPr>
  </w:style>
  <w:style w:type="paragraph" w:styleId="TOC3">
    <w:name w:val="toc 3"/>
    <w:basedOn w:val="Normal"/>
    <w:next w:val="Normal"/>
    <w:autoRedefine/>
    <w:uiPriority w:val="39"/>
    <w:unhideWhenUsed/>
    <w:rsid w:val="00D76C14"/>
    <w:pPr>
      <w:spacing w:after="100"/>
      <w:ind w:left="440"/>
    </w:pPr>
  </w:style>
  <w:style w:type="character" w:styleId="CommentReference">
    <w:name w:val="annotation reference"/>
    <w:basedOn w:val="DefaultParagraphFont"/>
    <w:uiPriority w:val="99"/>
    <w:semiHidden/>
    <w:unhideWhenUsed/>
    <w:rsid w:val="004511D8"/>
    <w:rPr>
      <w:sz w:val="16"/>
      <w:szCs w:val="16"/>
    </w:rPr>
  </w:style>
  <w:style w:type="paragraph" w:styleId="CommentText">
    <w:name w:val="annotation text"/>
    <w:basedOn w:val="Normal"/>
    <w:link w:val="CommentTextChar"/>
    <w:uiPriority w:val="99"/>
    <w:semiHidden/>
    <w:unhideWhenUsed/>
    <w:rsid w:val="004511D8"/>
    <w:pPr>
      <w:spacing w:line="240" w:lineRule="auto"/>
    </w:pPr>
    <w:rPr>
      <w:sz w:val="20"/>
      <w:szCs w:val="25"/>
    </w:rPr>
  </w:style>
  <w:style w:type="character" w:customStyle="1" w:styleId="CommentTextChar">
    <w:name w:val="Comment Text Char"/>
    <w:basedOn w:val="DefaultParagraphFont"/>
    <w:link w:val="CommentText"/>
    <w:uiPriority w:val="99"/>
    <w:semiHidden/>
    <w:rsid w:val="004511D8"/>
    <w:rPr>
      <w:rFonts w:ascii="Arial" w:hAnsi="Arial"/>
      <w:sz w:val="20"/>
      <w:szCs w:val="25"/>
    </w:rPr>
  </w:style>
  <w:style w:type="paragraph" w:styleId="CommentSubject">
    <w:name w:val="annotation subject"/>
    <w:basedOn w:val="CommentText"/>
    <w:next w:val="CommentText"/>
    <w:link w:val="CommentSubjectChar"/>
    <w:uiPriority w:val="99"/>
    <w:semiHidden/>
    <w:unhideWhenUsed/>
    <w:rsid w:val="004511D8"/>
    <w:rPr>
      <w:b/>
      <w:bCs/>
    </w:rPr>
  </w:style>
  <w:style w:type="character" w:customStyle="1" w:styleId="CommentSubjectChar">
    <w:name w:val="Comment Subject Char"/>
    <w:basedOn w:val="CommentTextChar"/>
    <w:link w:val="CommentSubject"/>
    <w:uiPriority w:val="99"/>
    <w:semiHidden/>
    <w:rsid w:val="004511D8"/>
    <w:rPr>
      <w:rFonts w:ascii="Arial" w:hAnsi="Arial"/>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5418">
      <w:bodyDiv w:val="1"/>
      <w:marLeft w:val="0"/>
      <w:marRight w:val="0"/>
      <w:marTop w:val="0"/>
      <w:marBottom w:val="0"/>
      <w:divBdr>
        <w:top w:val="none" w:sz="0" w:space="0" w:color="auto"/>
        <w:left w:val="none" w:sz="0" w:space="0" w:color="auto"/>
        <w:bottom w:val="none" w:sz="0" w:space="0" w:color="auto"/>
        <w:right w:val="none" w:sz="0" w:space="0" w:color="auto"/>
      </w:divBdr>
    </w:div>
    <w:div w:id="86780067">
      <w:bodyDiv w:val="1"/>
      <w:marLeft w:val="0"/>
      <w:marRight w:val="0"/>
      <w:marTop w:val="0"/>
      <w:marBottom w:val="0"/>
      <w:divBdr>
        <w:top w:val="none" w:sz="0" w:space="0" w:color="auto"/>
        <w:left w:val="none" w:sz="0" w:space="0" w:color="auto"/>
        <w:bottom w:val="none" w:sz="0" w:space="0" w:color="auto"/>
        <w:right w:val="none" w:sz="0" w:space="0" w:color="auto"/>
      </w:divBdr>
    </w:div>
    <w:div w:id="90591146">
      <w:bodyDiv w:val="1"/>
      <w:marLeft w:val="0"/>
      <w:marRight w:val="0"/>
      <w:marTop w:val="0"/>
      <w:marBottom w:val="0"/>
      <w:divBdr>
        <w:top w:val="none" w:sz="0" w:space="0" w:color="auto"/>
        <w:left w:val="none" w:sz="0" w:space="0" w:color="auto"/>
        <w:bottom w:val="none" w:sz="0" w:space="0" w:color="auto"/>
        <w:right w:val="none" w:sz="0" w:space="0" w:color="auto"/>
      </w:divBdr>
    </w:div>
    <w:div w:id="216480890">
      <w:bodyDiv w:val="1"/>
      <w:marLeft w:val="0"/>
      <w:marRight w:val="0"/>
      <w:marTop w:val="0"/>
      <w:marBottom w:val="0"/>
      <w:divBdr>
        <w:top w:val="none" w:sz="0" w:space="0" w:color="auto"/>
        <w:left w:val="none" w:sz="0" w:space="0" w:color="auto"/>
        <w:bottom w:val="none" w:sz="0" w:space="0" w:color="auto"/>
        <w:right w:val="none" w:sz="0" w:space="0" w:color="auto"/>
      </w:divBdr>
    </w:div>
    <w:div w:id="396708585">
      <w:bodyDiv w:val="1"/>
      <w:marLeft w:val="0"/>
      <w:marRight w:val="0"/>
      <w:marTop w:val="0"/>
      <w:marBottom w:val="0"/>
      <w:divBdr>
        <w:top w:val="none" w:sz="0" w:space="0" w:color="auto"/>
        <w:left w:val="none" w:sz="0" w:space="0" w:color="auto"/>
        <w:bottom w:val="none" w:sz="0" w:space="0" w:color="auto"/>
        <w:right w:val="none" w:sz="0" w:space="0" w:color="auto"/>
      </w:divBdr>
    </w:div>
    <w:div w:id="782379020">
      <w:bodyDiv w:val="1"/>
      <w:marLeft w:val="0"/>
      <w:marRight w:val="0"/>
      <w:marTop w:val="0"/>
      <w:marBottom w:val="0"/>
      <w:divBdr>
        <w:top w:val="none" w:sz="0" w:space="0" w:color="auto"/>
        <w:left w:val="none" w:sz="0" w:space="0" w:color="auto"/>
        <w:bottom w:val="none" w:sz="0" w:space="0" w:color="auto"/>
        <w:right w:val="none" w:sz="0" w:space="0" w:color="auto"/>
      </w:divBdr>
    </w:div>
    <w:div w:id="930284657">
      <w:bodyDiv w:val="1"/>
      <w:marLeft w:val="0"/>
      <w:marRight w:val="0"/>
      <w:marTop w:val="0"/>
      <w:marBottom w:val="0"/>
      <w:divBdr>
        <w:top w:val="none" w:sz="0" w:space="0" w:color="auto"/>
        <w:left w:val="none" w:sz="0" w:space="0" w:color="auto"/>
        <w:bottom w:val="none" w:sz="0" w:space="0" w:color="auto"/>
        <w:right w:val="none" w:sz="0" w:space="0" w:color="auto"/>
      </w:divBdr>
    </w:div>
    <w:div w:id="1091240124">
      <w:bodyDiv w:val="1"/>
      <w:marLeft w:val="0"/>
      <w:marRight w:val="0"/>
      <w:marTop w:val="0"/>
      <w:marBottom w:val="0"/>
      <w:divBdr>
        <w:top w:val="none" w:sz="0" w:space="0" w:color="auto"/>
        <w:left w:val="none" w:sz="0" w:space="0" w:color="auto"/>
        <w:bottom w:val="none" w:sz="0" w:space="0" w:color="auto"/>
        <w:right w:val="none" w:sz="0" w:space="0" w:color="auto"/>
      </w:divBdr>
    </w:div>
    <w:div w:id="1159614331">
      <w:bodyDiv w:val="1"/>
      <w:marLeft w:val="0"/>
      <w:marRight w:val="0"/>
      <w:marTop w:val="0"/>
      <w:marBottom w:val="0"/>
      <w:divBdr>
        <w:top w:val="none" w:sz="0" w:space="0" w:color="auto"/>
        <w:left w:val="none" w:sz="0" w:space="0" w:color="auto"/>
        <w:bottom w:val="none" w:sz="0" w:space="0" w:color="auto"/>
        <w:right w:val="none" w:sz="0" w:space="0" w:color="auto"/>
      </w:divBdr>
    </w:div>
    <w:div w:id="1207985947">
      <w:bodyDiv w:val="1"/>
      <w:marLeft w:val="0"/>
      <w:marRight w:val="0"/>
      <w:marTop w:val="0"/>
      <w:marBottom w:val="0"/>
      <w:divBdr>
        <w:top w:val="none" w:sz="0" w:space="0" w:color="auto"/>
        <w:left w:val="none" w:sz="0" w:space="0" w:color="auto"/>
        <w:bottom w:val="none" w:sz="0" w:space="0" w:color="auto"/>
        <w:right w:val="none" w:sz="0" w:space="0" w:color="auto"/>
      </w:divBdr>
    </w:div>
    <w:div w:id="1222594121">
      <w:bodyDiv w:val="1"/>
      <w:marLeft w:val="0"/>
      <w:marRight w:val="0"/>
      <w:marTop w:val="0"/>
      <w:marBottom w:val="0"/>
      <w:divBdr>
        <w:top w:val="none" w:sz="0" w:space="0" w:color="auto"/>
        <w:left w:val="none" w:sz="0" w:space="0" w:color="auto"/>
        <w:bottom w:val="none" w:sz="0" w:space="0" w:color="auto"/>
        <w:right w:val="none" w:sz="0" w:space="0" w:color="auto"/>
      </w:divBdr>
    </w:div>
    <w:div w:id="1303920739">
      <w:bodyDiv w:val="1"/>
      <w:marLeft w:val="0"/>
      <w:marRight w:val="0"/>
      <w:marTop w:val="0"/>
      <w:marBottom w:val="0"/>
      <w:divBdr>
        <w:top w:val="none" w:sz="0" w:space="0" w:color="auto"/>
        <w:left w:val="none" w:sz="0" w:space="0" w:color="auto"/>
        <w:bottom w:val="none" w:sz="0" w:space="0" w:color="auto"/>
        <w:right w:val="none" w:sz="0" w:space="0" w:color="auto"/>
      </w:divBdr>
    </w:div>
    <w:div w:id="1378428193">
      <w:bodyDiv w:val="1"/>
      <w:marLeft w:val="0"/>
      <w:marRight w:val="0"/>
      <w:marTop w:val="0"/>
      <w:marBottom w:val="0"/>
      <w:divBdr>
        <w:top w:val="none" w:sz="0" w:space="0" w:color="auto"/>
        <w:left w:val="none" w:sz="0" w:space="0" w:color="auto"/>
        <w:bottom w:val="none" w:sz="0" w:space="0" w:color="auto"/>
        <w:right w:val="none" w:sz="0" w:space="0" w:color="auto"/>
      </w:divBdr>
    </w:div>
    <w:div w:id="1383939757">
      <w:bodyDiv w:val="1"/>
      <w:marLeft w:val="0"/>
      <w:marRight w:val="0"/>
      <w:marTop w:val="0"/>
      <w:marBottom w:val="0"/>
      <w:divBdr>
        <w:top w:val="none" w:sz="0" w:space="0" w:color="auto"/>
        <w:left w:val="none" w:sz="0" w:space="0" w:color="auto"/>
        <w:bottom w:val="none" w:sz="0" w:space="0" w:color="auto"/>
        <w:right w:val="none" w:sz="0" w:space="0" w:color="auto"/>
      </w:divBdr>
    </w:div>
    <w:div w:id="1489201112">
      <w:bodyDiv w:val="1"/>
      <w:marLeft w:val="0"/>
      <w:marRight w:val="0"/>
      <w:marTop w:val="0"/>
      <w:marBottom w:val="0"/>
      <w:divBdr>
        <w:top w:val="none" w:sz="0" w:space="0" w:color="auto"/>
        <w:left w:val="none" w:sz="0" w:space="0" w:color="auto"/>
        <w:bottom w:val="none" w:sz="0" w:space="0" w:color="auto"/>
        <w:right w:val="none" w:sz="0" w:space="0" w:color="auto"/>
      </w:divBdr>
    </w:div>
    <w:div w:id="1520580035">
      <w:bodyDiv w:val="1"/>
      <w:marLeft w:val="0"/>
      <w:marRight w:val="0"/>
      <w:marTop w:val="0"/>
      <w:marBottom w:val="0"/>
      <w:divBdr>
        <w:top w:val="none" w:sz="0" w:space="0" w:color="auto"/>
        <w:left w:val="none" w:sz="0" w:space="0" w:color="auto"/>
        <w:bottom w:val="none" w:sz="0" w:space="0" w:color="auto"/>
        <w:right w:val="none" w:sz="0" w:space="0" w:color="auto"/>
      </w:divBdr>
    </w:div>
    <w:div w:id="1560483537">
      <w:bodyDiv w:val="1"/>
      <w:marLeft w:val="0"/>
      <w:marRight w:val="0"/>
      <w:marTop w:val="0"/>
      <w:marBottom w:val="0"/>
      <w:divBdr>
        <w:top w:val="none" w:sz="0" w:space="0" w:color="auto"/>
        <w:left w:val="none" w:sz="0" w:space="0" w:color="auto"/>
        <w:bottom w:val="none" w:sz="0" w:space="0" w:color="auto"/>
        <w:right w:val="none" w:sz="0" w:space="0" w:color="auto"/>
      </w:divBdr>
    </w:div>
    <w:div w:id="1759672853">
      <w:bodyDiv w:val="1"/>
      <w:marLeft w:val="0"/>
      <w:marRight w:val="0"/>
      <w:marTop w:val="0"/>
      <w:marBottom w:val="0"/>
      <w:divBdr>
        <w:top w:val="none" w:sz="0" w:space="0" w:color="auto"/>
        <w:left w:val="none" w:sz="0" w:space="0" w:color="auto"/>
        <w:bottom w:val="none" w:sz="0" w:space="0" w:color="auto"/>
        <w:right w:val="none" w:sz="0" w:space="0" w:color="auto"/>
      </w:divBdr>
    </w:div>
    <w:div w:id="1780638689">
      <w:bodyDiv w:val="1"/>
      <w:marLeft w:val="0"/>
      <w:marRight w:val="0"/>
      <w:marTop w:val="0"/>
      <w:marBottom w:val="0"/>
      <w:divBdr>
        <w:top w:val="none" w:sz="0" w:space="0" w:color="auto"/>
        <w:left w:val="none" w:sz="0" w:space="0" w:color="auto"/>
        <w:bottom w:val="none" w:sz="0" w:space="0" w:color="auto"/>
        <w:right w:val="none" w:sz="0" w:space="0" w:color="auto"/>
      </w:divBdr>
    </w:div>
    <w:div w:id="1798987987">
      <w:bodyDiv w:val="1"/>
      <w:marLeft w:val="0"/>
      <w:marRight w:val="0"/>
      <w:marTop w:val="0"/>
      <w:marBottom w:val="0"/>
      <w:divBdr>
        <w:top w:val="none" w:sz="0" w:space="0" w:color="auto"/>
        <w:left w:val="none" w:sz="0" w:space="0" w:color="auto"/>
        <w:bottom w:val="none" w:sz="0" w:space="0" w:color="auto"/>
        <w:right w:val="none" w:sz="0" w:space="0" w:color="auto"/>
      </w:divBdr>
    </w:div>
    <w:div w:id="1952660146">
      <w:bodyDiv w:val="1"/>
      <w:marLeft w:val="0"/>
      <w:marRight w:val="0"/>
      <w:marTop w:val="0"/>
      <w:marBottom w:val="0"/>
      <w:divBdr>
        <w:top w:val="none" w:sz="0" w:space="0" w:color="auto"/>
        <w:left w:val="none" w:sz="0" w:space="0" w:color="auto"/>
        <w:bottom w:val="none" w:sz="0" w:space="0" w:color="auto"/>
        <w:right w:val="none" w:sz="0" w:space="0" w:color="auto"/>
      </w:divBdr>
    </w:div>
    <w:div w:id="1970940791">
      <w:bodyDiv w:val="1"/>
      <w:marLeft w:val="0"/>
      <w:marRight w:val="0"/>
      <w:marTop w:val="0"/>
      <w:marBottom w:val="0"/>
      <w:divBdr>
        <w:top w:val="none" w:sz="0" w:space="0" w:color="auto"/>
        <w:left w:val="none" w:sz="0" w:space="0" w:color="auto"/>
        <w:bottom w:val="none" w:sz="0" w:space="0" w:color="auto"/>
        <w:right w:val="none" w:sz="0" w:space="0" w:color="auto"/>
      </w:divBdr>
    </w:div>
    <w:div w:id="2053338425">
      <w:bodyDiv w:val="1"/>
      <w:marLeft w:val="0"/>
      <w:marRight w:val="0"/>
      <w:marTop w:val="0"/>
      <w:marBottom w:val="0"/>
      <w:divBdr>
        <w:top w:val="none" w:sz="0" w:space="0" w:color="auto"/>
        <w:left w:val="none" w:sz="0" w:space="0" w:color="auto"/>
        <w:bottom w:val="none" w:sz="0" w:space="0" w:color="auto"/>
        <w:right w:val="none" w:sz="0" w:space="0" w:color="auto"/>
      </w:divBdr>
    </w:div>
    <w:div w:id="2135125703">
      <w:bodyDiv w:val="1"/>
      <w:marLeft w:val="0"/>
      <w:marRight w:val="0"/>
      <w:marTop w:val="0"/>
      <w:marBottom w:val="0"/>
      <w:divBdr>
        <w:top w:val="none" w:sz="0" w:space="0" w:color="auto"/>
        <w:left w:val="none" w:sz="0" w:space="0" w:color="auto"/>
        <w:bottom w:val="none" w:sz="0" w:space="0" w:color="auto"/>
        <w:right w:val="none" w:sz="0" w:space="0" w:color="auto"/>
      </w:divBdr>
    </w:div>
    <w:div w:id="213759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61614-03F6-41F1-AB3C-18212B962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2606</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 Zuwirai</dc:creator>
  <cp:keywords/>
  <dc:description/>
  <cp:lastModifiedBy>Silvia Borcila</cp:lastModifiedBy>
  <cp:revision>5</cp:revision>
  <dcterms:created xsi:type="dcterms:W3CDTF">2023-03-02T21:10:00Z</dcterms:created>
  <dcterms:modified xsi:type="dcterms:W3CDTF">2023-03-04T14:40:00Z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9e452dd9e79b99f82b994fcf07698b4a89c92515f6512d9706fcc5c260faa95b</vt:lpwstr>
  </property>
</Properties>
</file>