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F48748" w14:textId="69FFD075" w:rsidR="00286CB7" w:rsidRDefault="5C348C75" w:rsidP="5C348C75">
      <w:pPr>
        <w:jc w:val="center"/>
        <w:rPr>
          <w:rFonts w:ascii="Arial" w:eastAsia="Arial" w:hAnsi="Arial" w:cs="Arial"/>
          <w:b/>
          <w:bCs/>
          <w:sz w:val="32"/>
          <w:szCs w:val="32"/>
        </w:rPr>
      </w:pPr>
      <w:r w:rsidRPr="5C348C75">
        <w:rPr>
          <w:rFonts w:ascii="Arial" w:eastAsia="Arial" w:hAnsi="Arial" w:cs="Arial"/>
          <w:b/>
          <w:bCs/>
          <w:sz w:val="32"/>
          <w:szCs w:val="32"/>
        </w:rPr>
        <w:t>The Path to Success: A student-centred Framework for Thriving in Widening Access Higher Education</w:t>
      </w:r>
    </w:p>
    <w:p w14:paraId="6587B0A7" w14:textId="1B18FF73" w:rsidR="006274BD" w:rsidRDefault="5C348C75" w:rsidP="5C348C75">
      <w:pPr>
        <w:pStyle w:val="Heading1"/>
        <w:jc w:val="both"/>
        <w:rPr>
          <w:rFonts w:eastAsia="Arial" w:cs="Arial"/>
          <w:b/>
          <w:bCs/>
          <w:szCs w:val="32"/>
        </w:rPr>
      </w:pPr>
      <w:r w:rsidRPr="5C348C75">
        <w:rPr>
          <w:rFonts w:eastAsia="Arial" w:cs="Arial"/>
          <w:b/>
          <w:bCs/>
          <w:szCs w:val="32"/>
        </w:rPr>
        <w:t>Introduction</w:t>
      </w:r>
    </w:p>
    <w:p w14:paraId="7962F7BB" w14:textId="77777777" w:rsidR="00BA23BE" w:rsidRPr="00BA23BE" w:rsidRDefault="5C348C75" w:rsidP="5C348C75">
      <w:pPr>
        <w:jc w:val="both"/>
        <w:rPr>
          <w:rFonts w:ascii="Arial" w:eastAsia="Arial" w:hAnsi="Arial" w:cs="Arial"/>
          <w:b/>
          <w:bCs/>
        </w:rPr>
      </w:pPr>
      <w:r w:rsidRPr="5C348C75">
        <w:rPr>
          <w:rFonts w:ascii="Arial" w:eastAsia="Arial" w:hAnsi="Arial" w:cs="Arial"/>
          <w:b/>
          <w:bCs/>
        </w:rPr>
        <w:t>Background to Widening Access</w:t>
      </w:r>
    </w:p>
    <w:p w14:paraId="64C6ACFA" w14:textId="67DB0D7A" w:rsidR="00BA23BE" w:rsidRPr="00BA23BE" w:rsidRDefault="5C348C75" w:rsidP="5C348C75">
      <w:pPr>
        <w:jc w:val="both"/>
        <w:rPr>
          <w:rFonts w:ascii="Arial" w:eastAsia="Arial" w:hAnsi="Arial" w:cs="Arial"/>
        </w:rPr>
      </w:pPr>
      <w:r w:rsidRPr="5C348C75">
        <w:rPr>
          <w:rFonts w:ascii="Arial" w:eastAsia="Arial" w:hAnsi="Arial" w:cs="Arial"/>
        </w:rPr>
        <w:t>Widening access to higher education, particularly in the UK, refers to efforts aimed at increasing the participation of underrepresented groups in universities. This includes individuals from socio-economically disadvantaged backgrounds, ethnic minorities, mature students, and those with disabilities</w:t>
      </w:r>
      <w:r w:rsidR="005F5570" w:rsidRPr="005F5570">
        <w:rPr>
          <w:rFonts w:ascii="Arial" w:eastAsia="Times New Roman" w:hAnsi="Arial" w:cs="Arial"/>
          <w:kern w:val="0"/>
          <w:sz w:val="22"/>
          <w:szCs w:val="22"/>
          <w14:ligatures w14:val="none"/>
        </w:rPr>
        <w:t xml:space="preserve"> </w:t>
      </w:r>
      <w:r w:rsidR="005F5570" w:rsidRPr="005F5570">
        <w:rPr>
          <w:rFonts w:ascii="Arial" w:eastAsia="Arial" w:hAnsi="Arial" w:cs="Arial"/>
        </w:rPr>
        <w:t>(Thompson, 2017)</w:t>
      </w:r>
      <w:r w:rsidRPr="5C348C75">
        <w:rPr>
          <w:rFonts w:ascii="Arial" w:eastAsia="Arial" w:hAnsi="Arial" w:cs="Arial"/>
        </w:rPr>
        <w:t>. Th</w:t>
      </w:r>
      <w:r w:rsidR="00067F11">
        <w:rPr>
          <w:rFonts w:ascii="Arial" w:eastAsia="Arial" w:hAnsi="Arial" w:cs="Arial"/>
        </w:rPr>
        <w:t>is</w:t>
      </w:r>
      <w:r w:rsidRPr="5C348C75">
        <w:rPr>
          <w:rFonts w:ascii="Arial" w:eastAsia="Arial" w:hAnsi="Arial" w:cs="Arial"/>
        </w:rPr>
        <w:t xml:space="preserve"> </w:t>
      </w:r>
      <w:r w:rsidR="00067F11">
        <w:rPr>
          <w:rFonts w:ascii="Arial" w:eastAsia="Arial" w:hAnsi="Arial" w:cs="Arial"/>
        </w:rPr>
        <w:t>notion</w:t>
      </w:r>
      <w:r w:rsidRPr="5C348C75">
        <w:rPr>
          <w:rFonts w:ascii="Arial" w:eastAsia="Arial" w:hAnsi="Arial" w:cs="Arial"/>
        </w:rPr>
        <w:t xml:space="preserve"> has evolved, moving beyond increasing numbers to </w:t>
      </w:r>
      <w:r w:rsidR="00067F11" w:rsidRPr="5C348C75">
        <w:rPr>
          <w:rFonts w:ascii="Arial" w:eastAsia="Arial" w:hAnsi="Arial" w:cs="Arial"/>
        </w:rPr>
        <w:t>encouraging</w:t>
      </w:r>
      <w:r w:rsidRPr="5C348C75">
        <w:rPr>
          <w:rFonts w:ascii="Arial" w:eastAsia="Arial" w:hAnsi="Arial" w:cs="Arial"/>
        </w:rPr>
        <w:t xml:space="preserve"> an inclusive environment that addresses the systemic barriers faced by these groups. Historically, higher education in the UK was predominantly accessible to privileged individuals, but with the advent of policies aimed at social equity, such as those influenced by the Office for Fair Access (OFFA) and later the Office for Students (OfS), more inclusive strategies have been implemented to facilitate equitable access to higher education</w:t>
      </w:r>
      <w:r w:rsidR="00294F15">
        <w:rPr>
          <w:rFonts w:ascii="Arial" w:eastAsia="Arial" w:hAnsi="Arial" w:cs="Arial"/>
        </w:rPr>
        <w:t xml:space="preserve"> </w:t>
      </w:r>
      <w:r w:rsidR="00530242" w:rsidRPr="00530242">
        <w:rPr>
          <w:rFonts w:ascii="Arial" w:eastAsia="Arial" w:hAnsi="Arial" w:cs="Arial"/>
        </w:rPr>
        <w:t>(</w:t>
      </w:r>
      <w:r w:rsidR="004326B7" w:rsidRPr="004326B7">
        <w:rPr>
          <w:rFonts w:ascii="Arial" w:eastAsia="Arial" w:hAnsi="Arial" w:cs="Arial"/>
        </w:rPr>
        <w:t>Mangan et al., 2010</w:t>
      </w:r>
      <w:r w:rsidR="004326B7">
        <w:rPr>
          <w:rFonts w:ascii="Arial" w:eastAsia="Arial" w:hAnsi="Arial" w:cs="Arial"/>
        </w:rPr>
        <w:t xml:space="preserve">; </w:t>
      </w:r>
      <w:r w:rsidR="00A86059" w:rsidRPr="00A86059">
        <w:rPr>
          <w:rFonts w:ascii="Arial" w:eastAsia="Arial" w:hAnsi="Arial" w:cs="Arial"/>
        </w:rPr>
        <w:t>Harrison and Waller, 2017</w:t>
      </w:r>
      <w:r w:rsidR="00A86059">
        <w:rPr>
          <w:rFonts w:ascii="Arial" w:eastAsia="Arial" w:hAnsi="Arial" w:cs="Arial"/>
        </w:rPr>
        <w:t xml:space="preserve">; </w:t>
      </w:r>
      <w:r w:rsidR="00530242" w:rsidRPr="00530242">
        <w:rPr>
          <w:rFonts w:ascii="Arial" w:eastAsia="Arial" w:hAnsi="Arial" w:cs="Arial"/>
        </w:rPr>
        <w:t>Hoskins and Ilie, 2017)</w:t>
      </w:r>
      <w:r w:rsidRPr="5C348C75">
        <w:rPr>
          <w:rFonts w:ascii="Arial" w:eastAsia="Arial" w:hAnsi="Arial" w:cs="Arial"/>
        </w:rPr>
        <w:t>.</w:t>
      </w:r>
    </w:p>
    <w:p w14:paraId="34E6F054" w14:textId="52B35FDE" w:rsidR="00BA23BE" w:rsidRPr="00BA23BE" w:rsidRDefault="00AA2CFA" w:rsidP="5C348C75">
      <w:pPr>
        <w:jc w:val="both"/>
        <w:rPr>
          <w:rFonts w:ascii="Arial" w:eastAsia="Arial" w:hAnsi="Arial" w:cs="Arial"/>
        </w:rPr>
      </w:pPr>
      <w:r>
        <w:rPr>
          <w:rFonts w:ascii="Arial" w:eastAsia="Arial" w:hAnsi="Arial" w:cs="Arial"/>
        </w:rPr>
        <w:t>Approaches to w</w:t>
      </w:r>
      <w:r w:rsidR="5C348C75" w:rsidRPr="5C348C75">
        <w:rPr>
          <w:rFonts w:ascii="Arial" w:eastAsia="Arial" w:hAnsi="Arial" w:cs="Arial"/>
        </w:rPr>
        <w:t>idening access initiatives</w:t>
      </w:r>
      <w:r w:rsidR="006E5FA1">
        <w:rPr>
          <w:rFonts w:ascii="Arial" w:eastAsia="Arial" w:hAnsi="Arial" w:cs="Arial"/>
        </w:rPr>
        <w:t xml:space="preserve"> can</w:t>
      </w:r>
      <w:r w:rsidR="5C348C75" w:rsidRPr="5C348C75">
        <w:rPr>
          <w:rFonts w:ascii="Arial" w:eastAsia="Arial" w:hAnsi="Arial" w:cs="Arial"/>
        </w:rPr>
        <w:t xml:space="preserve"> often </w:t>
      </w:r>
      <w:r w:rsidRPr="5C348C75">
        <w:rPr>
          <w:rFonts w:ascii="Arial" w:eastAsia="Arial" w:hAnsi="Arial" w:cs="Arial"/>
        </w:rPr>
        <w:t>combine</w:t>
      </w:r>
      <w:r w:rsidR="5C348C75" w:rsidRPr="5C348C75">
        <w:rPr>
          <w:rFonts w:ascii="Arial" w:eastAsia="Arial" w:hAnsi="Arial" w:cs="Arial"/>
        </w:rPr>
        <w:t xml:space="preserve"> outreach program</w:t>
      </w:r>
      <w:r w:rsidR="006E5FA1">
        <w:rPr>
          <w:rFonts w:ascii="Arial" w:eastAsia="Arial" w:hAnsi="Arial" w:cs="Arial"/>
        </w:rPr>
        <w:t>me</w:t>
      </w:r>
      <w:r w:rsidR="005F5570">
        <w:rPr>
          <w:rFonts w:ascii="Arial" w:eastAsia="Arial" w:hAnsi="Arial" w:cs="Arial"/>
        </w:rPr>
        <w:t>s</w:t>
      </w:r>
      <w:r w:rsidR="5C348C75" w:rsidRPr="5C348C75">
        <w:rPr>
          <w:rFonts w:ascii="Arial" w:eastAsia="Arial" w:hAnsi="Arial" w:cs="Arial"/>
        </w:rPr>
        <w:t>, financial support mechanisms, and admissions strategies that acknowledge the unique circumstances of applicants from underrepresented backgrounds. Thes</w:t>
      </w:r>
      <w:r>
        <w:rPr>
          <w:rFonts w:ascii="Arial" w:eastAsia="Arial" w:hAnsi="Arial" w:cs="Arial"/>
        </w:rPr>
        <w:t>e</w:t>
      </w:r>
      <w:r w:rsidR="5C348C75" w:rsidRPr="5C348C75">
        <w:rPr>
          <w:rFonts w:ascii="Arial" w:eastAsia="Arial" w:hAnsi="Arial" w:cs="Arial"/>
        </w:rPr>
        <w:t xml:space="preserve"> efforts are aimed at creating a higher education system where academic potential, rather than socio-economic background or previous educational achievement, determines university participation​ (</w:t>
      </w:r>
      <w:r w:rsidR="006E0A11" w:rsidRPr="006E0A11">
        <w:rPr>
          <w:rFonts w:ascii="Arial" w:eastAsia="Arial" w:hAnsi="Arial" w:cs="Arial"/>
        </w:rPr>
        <w:t>Pickering, 2021</w:t>
      </w:r>
      <w:r w:rsidR="006E0A11">
        <w:rPr>
          <w:rFonts w:ascii="Arial" w:eastAsia="Arial" w:hAnsi="Arial" w:cs="Arial"/>
        </w:rPr>
        <w:t>)</w:t>
      </w:r>
      <w:r w:rsidR="5C348C75" w:rsidRPr="5C348C75">
        <w:rPr>
          <w:rFonts w:ascii="Arial" w:eastAsia="Arial" w:hAnsi="Arial" w:cs="Arial"/>
        </w:rPr>
        <w:t>. Outreach initiatives, such as school visits, mentorship program</w:t>
      </w:r>
      <w:r w:rsidR="005F5570">
        <w:rPr>
          <w:rFonts w:ascii="Arial" w:eastAsia="Arial" w:hAnsi="Arial" w:cs="Arial"/>
        </w:rPr>
        <w:t>me</w:t>
      </w:r>
      <w:r w:rsidR="5C348C75" w:rsidRPr="5C348C75">
        <w:rPr>
          <w:rFonts w:ascii="Arial" w:eastAsia="Arial" w:hAnsi="Arial" w:cs="Arial"/>
        </w:rPr>
        <w:t xml:space="preserve">s, and pre-university preparatory courses, are designed to raise aspirations and provide crucial information about higher education to those who may not have considered it a viable option. Additionally, financial support in the form of grants and bursaries helps to mitigate the economic barriers that often hinder access to university​ </w:t>
      </w:r>
      <w:r w:rsidR="00A01E6F" w:rsidRPr="00A01E6F">
        <w:rPr>
          <w:rFonts w:ascii="Arial" w:eastAsia="Arial" w:hAnsi="Arial" w:cs="Arial"/>
        </w:rPr>
        <w:t>(Moores and Burgess, 2022)</w:t>
      </w:r>
      <w:r w:rsidR="00A01E6F">
        <w:rPr>
          <w:rFonts w:ascii="Arial" w:eastAsia="Arial" w:hAnsi="Arial" w:cs="Arial"/>
        </w:rPr>
        <w:t>.</w:t>
      </w:r>
    </w:p>
    <w:p w14:paraId="1A9E8383" w14:textId="77777777" w:rsidR="00BA23BE" w:rsidRPr="00BA23BE" w:rsidRDefault="5C348C75" w:rsidP="5C348C75">
      <w:pPr>
        <w:jc w:val="both"/>
        <w:rPr>
          <w:rFonts w:ascii="Arial" w:eastAsia="Arial" w:hAnsi="Arial" w:cs="Arial"/>
          <w:b/>
          <w:bCs/>
        </w:rPr>
      </w:pPr>
      <w:r w:rsidRPr="5C348C75">
        <w:rPr>
          <w:rFonts w:ascii="Arial" w:eastAsia="Arial" w:hAnsi="Arial" w:cs="Arial"/>
          <w:b/>
          <w:bCs/>
        </w:rPr>
        <w:t>Challenges of Widening Access</w:t>
      </w:r>
    </w:p>
    <w:p w14:paraId="4E27E685" w14:textId="2100FC37" w:rsidR="00BA23BE" w:rsidRPr="00BA23BE" w:rsidRDefault="5C348C75" w:rsidP="5C348C75">
      <w:pPr>
        <w:jc w:val="both"/>
        <w:rPr>
          <w:rFonts w:ascii="Arial" w:eastAsia="Arial" w:hAnsi="Arial" w:cs="Arial"/>
        </w:rPr>
      </w:pPr>
      <w:r w:rsidRPr="5C348C75">
        <w:rPr>
          <w:rFonts w:ascii="Arial" w:eastAsia="Arial" w:hAnsi="Arial" w:cs="Arial"/>
        </w:rPr>
        <w:t xml:space="preserve">Despite the positive </w:t>
      </w:r>
      <w:r w:rsidR="00440149" w:rsidRPr="5C348C75">
        <w:rPr>
          <w:rFonts w:ascii="Arial" w:eastAsia="Arial" w:hAnsi="Arial" w:cs="Arial"/>
        </w:rPr>
        <w:t>advances</w:t>
      </w:r>
      <w:r w:rsidRPr="5C348C75">
        <w:rPr>
          <w:rFonts w:ascii="Arial" w:eastAsia="Arial" w:hAnsi="Arial" w:cs="Arial"/>
        </w:rPr>
        <w:t xml:space="preserve"> made toward widening access, numerous challenges persist for students from underrepresented backgrounds. </w:t>
      </w:r>
      <w:r w:rsidR="003B5156" w:rsidRPr="5C348C75">
        <w:rPr>
          <w:rFonts w:ascii="Arial" w:eastAsia="Arial" w:hAnsi="Arial" w:cs="Arial"/>
        </w:rPr>
        <w:t>A</w:t>
      </w:r>
      <w:r w:rsidR="003B5156">
        <w:rPr>
          <w:rFonts w:ascii="Arial" w:eastAsia="Arial" w:hAnsi="Arial" w:cs="Arial"/>
        </w:rPr>
        <w:t>s pointed out by</w:t>
      </w:r>
      <w:r w:rsidR="003B5156" w:rsidRPr="5C348C75">
        <w:rPr>
          <w:rFonts w:ascii="Arial" w:eastAsia="Arial" w:hAnsi="Arial" w:cs="Arial"/>
        </w:rPr>
        <w:t xml:space="preserve"> Harrison and Waller (2017) students from disadvantaged backgrounds are less likely to access financial resources, which in turn impacts their retention and academic performance​.</w:t>
      </w:r>
      <w:r w:rsidR="00FC188B">
        <w:rPr>
          <w:rFonts w:ascii="Arial" w:eastAsia="Arial" w:hAnsi="Arial" w:cs="Arial"/>
        </w:rPr>
        <w:t xml:space="preserve"> Recurrent themes</w:t>
      </w:r>
      <w:r w:rsidRPr="5C348C75">
        <w:rPr>
          <w:rFonts w:ascii="Arial" w:eastAsia="Arial" w:hAnsi="Arial" w:cs="Arial"/>
        </w:rPr>
        <w:t xml:space="preserve"> reveal financial stress, lack of social capital, and difficulties in adjusting to the academic rigors of higher education</w:t>
      </w:r>
      <w:r w:rsidR="00944746">
        <w:rPr>
          <w:rFonts w:ascii="Arial" w:eastAsia="Arial" w:hAnsi="Arial" w:cs="Arial"/>
        </w:rPr>
        <w:t xml:space="preserve"> as issues</w:t>
      </w:r>
      <w:r w:rsidRPr="5C348C75">
        <w:rPr>
          <w:rFonts w:ascii="Arial" w:eastAsia="Arial" w:hAnsi="Arial" w:cs="Arial"/>
        </w:rPr>
        <w:t xml:space="preserve">. Students from lower-income families, for example, often face significant financial burdens that can limit their ability to engage fully with university life. </w:t>
      </w:r>
    </w:p>
    <w:p w14:paraId="5B0C78AC" w14:textId="30DA9F14" w:rsidR="00693FFF" w:rsidRPr="00F92F45" w:rsidRDefault="5C348C75" w:rsidP="5C348C75">
      <w:pPr>
        <w:jc w:val="both"/>
        <w:rPr>
          <w:rFonts w:ascii="Arial" w:eastAsia="Arial" w:hAnsi="Arial" w:cs="Arial"/>
        </w:rPr>
      </w:pPr>
      <w:r w:rsidRPr="5C348C75">
        <w:rPr>
          <w:rFonts w:ascii="Arial" w:eastAsia="Arial" w:hAnsi="Arial" w:cs="Arial"/>
        </w:rPr>
        <w:t xml:space="preserve">Another </w:t>
      </w:r>
      <w:r w:rsidR="00EE4117">
        <w:rPr>
          <w:rFonts w:ascii="Arial" w:eastAsia="Arial" w:hAnsi="Arial" w:cs="Arial"/>
        </w:rPr>
        <w:t>notable</w:t>
      </w:r>
      <w:r w:rsidRPr="5C348C75">
        <w:rPr>
          <w:rFonts w:ascii="Arial" w:eastAsia="Arial" w:hAnsi="Arial" w:cs="Arial"/>
        </w:rPr>
        <w:t xml:space="preserve"> challenge for widening access students is the lack of academic preparedness. Many students entering university through widening participation program</w:t>
      </w:r>
      <w:r w:rsidR="00802F4C">
        <w:rPr>
          <w:rFonts w:ascii="Arial" w:eastAsia="Arial" w:hAnsi="Arial" w:cs="Arial"/>
        </w:rPr>
        <w:t>me</w:t>
      </w:r>
      <w:r w:rsidRPr="5C348C75">
        <w:rPr>
          <w:rFonts w:ascii="Arial" w:eastAsia="Arial" w:hAnsi="Arial" w:cs="Arial"/>
        </w:rPr>
        <w:t xml:space="preserve">s may not have the same level of prior academic achievement as their </w:t>
      </w:r>
      <w:r w:rsidRPr="5C348C75">
        <w:rPr>
          <w:rFonts w:ascii="Arial" w:eastAsia="Arial" w:hAnsi="Arial" w:cs="Arial"/>
        </w:rPr>
        <w:lastRenderedPageBreak/>
        <w:t>peers. This can result in feelings of inadequacy and imposter syndrome, making it difficult for them to integrate into the academic environment​ (</w:t>
      </w:r>
      <w:r w:rsidR="00FF7C0B" w:rsidRPr="00FF7C0B">
        <w:rPr>
          <w:rFonts w:ascii="Arial" w:eastAsia="Arial" w:hAnsi="Arial" w:cs="Arial"/>
        </w:rPr>
        <w:t>Martin, 2024</w:t>
      </w:r>
      <w:r w:rsidRPr="5C348C75">
        <w:rPr>
          <w:rFonts w:ascii="Arial" w:eastAsia="Arial" w:hAnsi="Arial" w:cs="Arial"/>
        </w:rPr>
        <w:t xml:space="preserve">). For mature students, the pressures of balancing family, work, and education further exacerbate these challenges. </w:t>
      </w:r>
      <w:r w:rsidR="0001164A">
        <w:rPr>
          <w:rFonts w:ascii="Arial" w:eastAsia="Arial" w:hAnsi="Arial" w:cs="Arial"/>
        </w:rPr>
        <w:t xml:space="preserve">As </w:t>
      </w:r>
      <w:r w:rsidR="0001164A" w:rsidRPr="0001164A">
        <w:rPr>
          <w:rFonts w:ascii="Arial" w:eastAsia="Arial" w:hAnsi="Arial" w:cs="Arial"/>
        </w:rPr>
        <w:t>Adams and Blair</w:t>
      </w:r>
      <w:r w:rsidR="0001164A">
        <w:rPr>
          <w:rFonts w:ascii="Arial" w:eastAsia="Arial" w:hAnsi="Arial" w:cs="Arial"/>
        </w:rPr>
        <w:t xml:space="preserve"> (</w:t>
      </w:r>
      <w:r w:rsidR="0001164A" w:rsidRPr="0001164A">
        <w:rPr>
          <w:rFonts w:ascii="Arial" w:eastAsia="Arial" w:hAnsi="Arial" w:cs="Arial"/>
        </w:rPr>
        <w:t>2019)</w:t>
      </w:r>
      <w:r w:rsidR="0001164A">
        <w:rPr>
          <w:rFonts w:ascii="Arial" w:eastAsia="Arial" w:hAnsi="Arial" w:cs="Arial"/>
        </w:rPr>
        <w:t xml:space="preserve"> </w:t>
      </w:r>
      <w:r w:rsidRPr="5C348C75">
        <w:rPr>
          <w:rFonts w:ascii="Arial" w:eastAsia="Arial" w:hAnsi="Arial" w:cs="Arial"/>
        </w:rPr>
        <w:t>suggest</w:t>
      </w:r>
      <w:r w:rsidR="0001164A">
        <w:rPr>
          <w:rFonts w:ascii="Arial" w:eastAsia="Arial" w:hAnsi="Arial" w:cs="Arial"/>
        </w:rPr>
        <w:t xml:space="preserve">, </w:t>
      </w:r>
      <w:r w:rsidRPr="5C348C75">
        <w:rPr>
          <w:rFonts w:ascii="Arial" w:eastAsia="Arial" w:hAnsi="Arial" w:cs="Arial"/>
        </w:rPr>
        <w:t xml:space="preserve">time management and the juggling of responsibilities outside of university </w:t>
      </w:r>
      <w:r w:rsidR="009E1FB4">
        <w:rPr>
          <w:rFonts w:ascii="Arial" w:eastAsia="Arial" w:hAnsi="Arial" w:cs="Arial"/>
        </w:rPr>
        <w:t>can</w:t>
      </w:r>
      <w:r w:rsidRPr="5C348C75">
        <w:rPr>
          <w:rFonts w:ascii="Arial" w:eastAsia="Arial" w:hAnsi="Arial" w:cs="Arial"/>
        </w:rPr>
        <w:t xml:space="preserve"> </w:t>
      </w:r>
      <w:r w:rsidR="00035B4D">
        <w:rPr>
          <w:rFonts w:ascii="Arial" w:eastAsia="Arial" w:hAnsi="Arial" w:cs="Arial"/>
        </w:rPr>
        <w:t>impact on</w:t>
      </w:r>
      <w:r w:rsidRPr="5C348C75">
        <w:rPr>
          <w:rFonts w:ascii="Arial" w:eastAsia="Arial" w:hAnsi="Arial" w:cs="Arial"/>
        </w:rPr>
        <w:t xml:space="preserve"> the success and well-being of mature students​.</w:t>
      </w:r>
    </w:p>
    <w:p w14:paraId="41C9D750" w14:textId="1AEB96FF" w:rsidR="00BA23BE" w:rsidRPr="00BA23BE" w:rsidRDefault="5C348C75" w:rsidP="5C348C75">
      <w:pPr>
        <w:jc w:val="both"/>
        <w:rPr>
          <w:rFonts w:ascii="Arial" w:eastAsia="Arial" w:hAnsi="Arial" w:cs="Arial"/>
          <w:b/>
          <w:bCs/>
        </w:rPr>
      </w:pPr>
      <w:r w:rsidRPr="5C348C75">
        <w:rPr>
          <w:rFonts w:ascii="Arial" w:eastAsia="Arial" w:hAnsi="Arial" w:cs="Arial"/>
          <w:b/>
          <w:bCs/>
        </w:rPr>
        <w:t>Coping Strategies</w:t>
      </w:r>
    </w:p>
    <w:p w14:paraId="7755F100" w14:textId="676F744B" w:rsidR="00BA23BE" w:rsidRPr="00BA23BE" w:rsidRDefault="5C348C75" w:rsidP="5C348C75">
      <w:pPr>
        <w:jc w:val="both"/>
        <w:rPr>
          <w:rFonts w:ascii="Arial" w:eastAsia="Arial" w:hAnsi="Arial" w:cs="Arial"/>
        </w:rPr>
      </w:pPr>
      <w:r w:rsidRPr="5C348C75">
        <w:rPr>
          <w:rFonts w:ascii="Arial" w:eastAsia="Arial" w:hAnsi="Arial" w:cs="Arial"/>
        </w:rPr>
        <w:t xml:space="preserve">Given these challenges, widening access students often </w:t>
      </w:r>
      <w:r w:rsidR="00D649B9">
        <w:rPr>
          <w:rFonts w:ascii="Arial" w:eastAsia="Arial" w:hAnsi="Arial" w:cs="Arial"/>
        </w:rPr>
        <w:t>use</w:t>
      </w:r>
      <w:r w:rsidR="00D649B9" w:rsidRPr="5C348C75">
        <w:rPr>
          <w:rFonts w:ascii="Arial" w:eastAsia="Arial" w:hAnsi="Arial" w:cs="Arial"/>
        </w:rPr>
        <w:t xml:space="preserve"> </w:t>
      </w:r>
      <w:r w:rsidRPr="5C348C75">
        <w:rPr>
          <w:rFonts w:ascii="Arial" w:eastAsia="Arial" w:hAnsi="Arial" w:cs="Arial"/>
        </w:rPr>
        <w:t>a variety of coping strategies to navigate the higher education landscape</w:t>
      </w:r>
      <w:r w:rsidR="00BE083F">
        <w:rPr>
          <w:rFonts w:ascii="Arial" w:eastAsia="Arial" w:hAnsi="Arial" w:cs="Arial"/>
        </w:rPr>
        <w:t xml:space="preserve"> including</w:t>
      </w:r>
      <w:r w:rsidRPr="5C348C75">
        <w:rPr>
          <w:rFonts w:ascii="Arial" w:eastAsia="Arial" w:hAnsi="Arial" w:cs="Arial"/>
        </w:rPr>
        <w:t xml:space="preserve"> the use of social support networks, both formal and informal. Universities offer services such as academic mentoring, mental health counselling, and peer support program</w:t>
      </w:r>
      <w:r w:rsidR="00BE083F">
        <w:rPr>
          <w:rFonts w:ascii="Arial" w:eastAsia="Arial" w:hAnsi="Arial" w:cs="Arial"/>
        </w:rPr>
        <w:t>me</w:t>
      </w:r>
      <w:r w:rsidRPr="5C348C75">
        <w:rPr>
          <w:rFonts w:ascii="Arial" w:eastAsia="Arial" w:hAnsi="Arial" w:cs="Arial"/>
        </w:rPr>
        <w:t xml:space="preserve">s, which can provide essential scaffolding for students struggling with the demands of higher education​ </w:t>
      </w:r>
      <w:r w:rsidR="00BE083F" w:rsidRPr="00BE083F">
        <w:rPr>
          <w:rFonts w:ascii="Arial" w:eastAsia="Arial" w:hAnsi="Arial" w:cs="Arial"/>
        </w:rPr>
        <w:t>(Pointon-Haas et al., 2024)</w:t>
      </w:r>
      <w:r w:rsidR="00BE083F">
        <w:rPr>
          <w:rFonts w:ascii="Arial" w:eastAsia="Arial" w:hAnsi="Arial" w:cs="Arial"/>
        </w:rPr>
        <w:t xml:space="preserve">. </w:t>
      </w:r>
      <w:r w:rsidRPr="5C348C75">
        <w:rPr>
          <w:rFonts w:ascii="Arial" w:eastAsia="Arial" w:hAnsi="Arial" w:cs="Arial"/>
        </w:rPr>
        <w:t xml:space="preserve">Informal networks, such as family and friends, </w:t>
      </w:r>
      <w:r w:rsidR="00906D60">
        <w:rPr>
          <w:rFonts w:ascii="Arial" w:eastAsia="Arial" w:hAnsi="Arial" w:cs="Arial"/>
        </w:rPr>
        <w:t xml:space="preserve">can </w:t>
      </w:r>
      <w:r w:rsidRPr="5C348C75">
        <w:rPr>
          <w:rFonts w:ascii="Arial" w:eastAsia="Arial" w:hAnsi="Arial" w:cs="Arial"/>
        </w:rPr>
        <w:t>also play a crucial role in providing emotional and practical support.</w:t>
      </w:r>
    </w:p>
    <w:p w14:paraId="370B7E25" w14:textId="29C1342C" w:rsidR="00BA23BE" w:rsidRPr="00BA23BE" w:rsidRDefault="5C348C75" w:rsidP="5C348C75">
      <w:pPr>
        <w:jc w:val="both"/>
        <w:rPr>
          <w:rFonts w:ascii="Arial" w:eastAsia="Arial" w:hAnsi="Arial" w:cs="Arial"/>
        </w:rPr>
      </w:pPr>
      <w:r w:rsidRPr="5C348C75">
        <w:rPr>
          <w:rFonts w:ascii="Arial" w:eastAsia="Arial" w:hAnsi="Arial" w:cs="Arial"/>
        </w:rPr>
        <w:t xml:space="preserve">Additionally, students often employ adaptive academic strategies, such as seeking out additional tutoring or forming study groups, to improve their academic performance. Self-efficacy, or the belief in one’s own ability to succeed, has been identified as a critical factor in the success of widening access students. Studies by </w:t>
      </w:r>
      <w:r w:rsidR="00BF0846" w:rsidRPr="00BF0846">
        <w:rPr>
          <w:rFonts w:ascii="Arial" w:eastAsia="Arial" w:hAnsi="Arial" w:cs="Arial"/>
        </w:rPr>
        <w:t>Al-Abyadh and Abdel Azeem</w:t>
      </w:r>
      <w:r w:rsidR="00BF0846">
        <w:rPr>
          <w:rFonts w:ascii="Arial" w:eastAsia="Arial" w:hAnsi="Arial" w:cs="Arial"/>
        </w:rPr>
        <w:t xml:space="preserve"> (</w:t>
      </w:r>
      <w:r w:rsidR="00BF0846" w:rsidRPr="00BF0846">
        <w:rPr>
          <w:rFonts w:ascii="Arial" w:eastAsia="Arial" w:hAnsi="Arial" w:cs="Arial"/>
        </w:rPr>
        <w:t>2022)</w:t>
      </w:r>
      <w:r w:rsidR="00BF0846">
        <w:rPr>
          <w:rFonts w:ascii="Arial" w:eastAsia="Arial" w:hAnsi="Arial" w:cs="Arial"/>
        </w:rPr>
        <w:t xml:space="preserve"> </w:t>
      </w:r>
      <w:r w:rsidRPr="5C348C75">
        <w:rPr>
          <w:rFonts w:ascii="Arial" w:eastAsia="Arial" w:hAnsi="Arial" w:cs="Arial"/>
        </w:rPr>
        <w:t>indicate that students with higher levels of self-efficacy are better able to overcome academic and personal challenges​.</w:t>
      </w:r>
    </w:p>
    <w:p w14:paraId="4EF30FB5" w14:textId="051B6CEF" w:rsidR="00BA23BE" w:rsidRPr="00BA23BE" w:rsidRDefault="5C348C75" w:rsidP="5C348C75">
      <w:pPr>
        <w:jc w:val="both"/>
        <w:rPr>
          <w:rFonts w:ascii="Arial" w:eastAsia="Arial" w:hAnsi="Arial" w:cs="Arial"/>
        </w:rPr>
      </w:pPr>
      <w:r w:rsidRPr="5C348C75">
        <w:rPr>
          <w:rFonts w:ascii="Arial" w:eastAsia="Arial" w:hAnsi="Arial" w:cs="Arial"/>
        </w:rPr>
        <w:t xml:space="preserve">For mature students, flexibility is often a key coping mechanism. The ability to study part-time, access online resources, or attend classes outside of traditional working hours allows mature students to manage their multiple responsibilities more effectively. </w:t>
      </w:r>
      <w:r w:rsidR="002311AB" w:rsidRPr="002311AB">
        <w:rPr>
          <w:rFonts w:ascii="Arial" w:eastAsia="Arial" w:hAnsi="Arial" w:cs="Arial"/>
        </w:rPr>
        <w:t>Liesbet Saenen et al.</w:t>
      </w:r>
      <w:r w:rsidR="002311AB">
        <w:rPr>
          <w:rFonts w:ascii="Arial" w:eastAsia="Arial" w:hAnsi="Arial" w:cs="Arial"/>
        </w:rPr>
        <w:t xml:space="preserve"> (</w:t>
      </w:r>
      <w:r w:rsidR="002311AB" w:rsidRPr="002311AB">
        <w:rPr>
          <w:rFonts w:ascii="Arial" w:eastAsia="Arial" w:hAnsi="Arial" w:cs="Arial"/>
        </w:rPr>
        <w:t>2024)</w:t>
      </w:r>
      <w:r w:rsidR="002311AB">
        <w:rPr>
          <w:rFonts w:ascii="Arial" w:eastAsia="Arial" w:hAnsi="Arial" w:cs="Arial"/>
        </w:rPr>
        <w:t xml:space="preserve"> </w:t>
      </w:r>
      <w:r w:rsidR="00186B49">
        <w:rPr>
          <w:rFonts w:ascii="Arial" w:eastAsia="Arial" w:hAnsi="Arial" w:cs="Arial"/>
        </w:rPr>
        <w:t>propose that t</w:t>
      </w:r>
      <w:r w:rsidRPr="5C348C75">
        <w:rPr>
          <w:rFonts w:ascii="Arial" w:eastAsia="Arial" w:hAnsi="Arial" w:cs="Arial"/>
        </w:rPr>
        <w:t>his is where universities can play a vital role by offering flexible</w:t>
      </w:r>
      <w:r w:rsidR="00F51A1E">
        <w:rPr>
          <w:rFonts w:ascii="Arial" w:eastAsia="Arial" w:hAnsi="Arial" w:cs="Arial"/>
        </w:rPr>
        <w:t>, co-designed</w:t>
      </w:r>
      <w:r w:rsidRPr="5C348C75">
        <w:rPr>
          <w:rFonts w:ascii="Arial" w:eastAsia="Arial" w:hAnsi="Arial" w:cs="Arial"/>
        </w:rPr>
        <w:t xml:space="preserve"> learning opportunities and an inclusive environment that accommodates the diverse needs of their student population​</w:t>
      </w:r>
      <w:r w:rsidR="002311AB">
        <w:rPr>
          <w:rFonts w:ascii="Arial" w:eastAsia="Arial" w:hAnsi="Arial" w:cs="Arial"/>
        </w:rPr>
        <w:t>.</w:t>
      </w:r>
    </w:p>
    <w:p w14:paraId="5DAE6A6B" w14:textId="77777777" w:rsidR="00BA23BE" w:rsidRPr="00BA23BE" w:rsidRDefault="5C348C75" w:rsidP="5C348C75">
      <w:pPr>
        <w:jc w:val="both"/>
        <w:rPr>
          <w:rFonts w:ascii="Arial" w:eastAsia="Arial" w:hAnsi="Arial" w:cs="Arial"/>
          <w:b/>
          <w:bCs/>
        </w:rPr>
      </w:pPr>
      <w:r w:rsidRPr="5C348C75">
        <w:rPr>
          <w:rFonts w:ascii="Arial" w:eastAsia="Arial" w:hAnsi="Arial" w:cs="Arial"/>
          <w:b/>
          <w:bCs/>
        </w:rPr>
        <w:t>Existing Framework for Widening Access Student Support</w:t>
      </w:r>
    </w:p>
    <w:p w14:paraId="073578A5" w14:textId="0683035F" w:rsidR="00BA23BE" w:rsidRPr="00BA23BE" w:rsidRDefault="5C348C75" w:rsidP="5C348C75">
      <w:pPr>
        <w:jc w:val="both"/>
        <w:rPr>
          <w:rFonts w:ascii="Arial" w:eastAsia="Arial" w:hAnsi="Arial" w:cs="Arial"/>
        </w:rPr>
      </w:pPr>
      <w:r w:rsidRPr="5C348C75">
        <w:rPr>
          <w:rFonts w:ascii="Arial" w:eastAsia="Arial" w:hAnsi="Arial" w:cs="Arial"/>
        </w:rPr>
        <w:t>Many UK universities have established comprehensive frameworks to support widening access students. These frameworks often include targeted outreach initiatives, financial aid packages, and student support services that are designed to address the specific needs of students from underrepresented groups. For example, universities may offer contextuali</w:t>
      </w:r>
      <w:r w:rsidR="003E176F">
        <w:rPr>
          <w:rFonts w:ascii="Arial" w:eastAsia="Arial" w:hAnsi="Arial" w:cs="Arial"/>
        </w:rPr>
        <w:t>s</w:t>
      </w:r>
      <w:r w:rsidRPr="5C348C75">
        <w:rPr>
          <w:rFonts w:ascii="Arial" w:eastAsia="Arial" w:hAnsi="Arial" w:cs="Arial"/>
        </w:rPr>
        <w:t xml:space="preserve">ed admissions policies, which </w:t>
      </w:r>
      <w:r w:rsidR="003E176F" w:rsidRPr="5C348C75">
        <w:rPr>
          <w:rFonts w:ascii="Arial" w:eastAsia="Arial" w:hAnsi="Arial" w:cs="Arial"/>
        </w:rPr>
        <w:t>consider</w:t>
      </w:r>
      <w:r w:rsidRPr="5C348C75">
        <w:rPr>
          <w:rFonts w:ascii="Arial" w:eastAsia="Arial" w:hAnsi="Arial" w:cs="Arial"/>
        </w:rPr>
        <w:t xml:space="preserve"> a student’s personal and educational background when considering their application​ </w:t>
      </w:r>
      <w:r w:rsidR="00C347C8" w:rsidRPr="00C347C8">
        <w:rPr>
          <w:rFonts w:ascii="Arial" w:eastAsia="Arial" w:hAnsi="Arial" w:cs="Arial"/>
        </w:rPr>
        <w:t>(Mountford-Zimdars, Moore and Graham, 2016)</w:t>
      </w:r>
      <w:r w:rsidR="008C789E">
        <w:rPr>
          <w:rFonts w:ascii="Arial" w:eastAsia="Arial" w:hAnsi="Arial" w:cs="Arial"/>
        </w:rPr>
        <w:t>.</w:t>
      </w:r>
    </w:p>
    <w:p w14:paraId="29620964" w14:textId="3E115B47" w:rsidR="00BA23BE" w:rsidRPr="00BA23BE" w:rsidRDefault="5C348C75" w:rsidP="5C348C75">
      <w:pPr>
        <w:jc w:val="both"/>
        <w:rPr>
          <w:rFonts w:ascii="Arial" w:eastAsia="Arial" w:hAnsi="Arial" w:cs="Arial"/>
        </w:rPr>
      </w:pPr>
      <w:r w:rsidRPr="5C348C75">
        <w:rPr>
          <w:rFonts w:ascii="Arial" w:eastAsia="Arial" w:hAnsi="Arial" w:cs="Arial"/>
        </w:rPr>
        <w:t xml:space="preserve">Support services are typically extended beyond the admissions process, with universities offering academic tutoring, mental health services, and career </w:t>
      </w:r>
      <w:r w:rsidR="008C789E">
        <w:rPr>
          <w:rFonts w:ascii="Arial" w:eastAsia="Arial" w:hAnsi="Arial" w:cs="Arial"/>
        </w:rPr>
        <w:t>support</w:t>
      </w:r>
      <w:r w:rsidRPr="5C348C75">
        <w:rPr>
          <w:rFonts w:ascii="Arial" w:eastAsia="Arial" w:hAnsi="Arial" w:cs="Arial"/>
        </w:rPr>
        <w:t xml:space="preserve"> to help students succeed once they are enrolled. The role of Student Success Office</w:t>
      </w:r>
      <w:r w:rsidR="008C789E">
        <w:rPr>
          <w:rFonts w:ascii="Arial" w:eastAsia="Arial" w:hAnsi="Arial" w:cs="Arial"/>
        </w:rPr>
        <w:t>r</w:t>
      </w:r>
      <w:r w:rsidRPr="5C348C75">
        <w:rPr>
          <w:rFonts w:ascii="Arial" w:eastAsia="Arial" w:hAnsi="Arial" w:cs="Arial"/>
        </w:rPr>
        <w:t>s or dedicated widening participation teams has become increasingly important in guiding students through their academic journey</w:t>
      </w:r>
      <w:r w:rsidR="000B61A0">
        <w:rPr>
          <w:rFonts w:ascii="Arial" w:eastAsia="Arial" w:hAnsi="Arial" w:cs="Arial"/>
        </w:rPr>
        <w:t xml:space="preserve"> </w:t>
      </w:r>
      <w:r w:rsidR="000B61A0" w:rsidRPr="000B61A0">
        <w:rPr>
          <w:rFonts w:ascii="Arial" w:eastAsia="Arial" w:hAnsi="Arial" w:cs="Arial"/>
        </w:rPr>
        <w:t>(Thomas, 2017)</w:t>
      </w:r>
      <w:r w:rsidRPr="5C348C75">
        <w:rPr>
          <w:rFonts w:ascii="Arial" w:eastAsia="Arial" w:hAnsi="Arial" w:cs="Arial"/>
        </w:rPr>
        <w:t xml:space="preserve">. These support systems are essential for improving retention rates and ensuring that widening access </w:t>
      </w:r>
      <w:r w:rsidRPr="5C348C75">
        <w:rPr>
          <w:rFonts w:ascii="Arial" w:eastAsia="Arial" w:hAnsi="Arial" w:cs="Arial"/>
        </w:rPr>
        <w:lastRenderedPageBreak/>
        <w:t xml:space="preserve">students are not only admitted to university but </w:t>
      </w:r>
      <w:r w:rsidR="00BB092A">
        <w:rPr>
          <w:rFonts w:ascii="Arial" w:eastAsia="Arial" w:hAnsi="Arial" w:cs="Arial"/>
        </w:rPr>
        <w:t xml:space="preserve">are </w:t>
      </w:r>
      <w:r w:rsidRPr="5C348C75">
        <w:rPr>
          <w:rFonts w:ascii="Arial" w:eastAsia="Arial" w:hAnsi="Arial" w:cs="Arial"/>
        </w:rPr>
        <w:t xml:space="preserve">also given the tools and resources necessary to </w:t>
      </w:r>
      <w:r w:rsidR="00BB092A">
        <w:rPr>
          <w:rFonts w:ascii="Arial" w:eastAsia="Arial" w:hAnsi="Arial" w:cs="Arial"/>
        </w:rPr>
        <w:t>succeed</w:t>
      </w:r>
      <w:r w:rsidRPr="5C348C75">
        <w:rPr>
          <w:rFonts w:ascii="Arial" w:eastAsia="Arial" w:hAnsi="Arial" w:cs="Arial"/>
        </w:rPr>
        <w:t>​ (</w:t>
      </w:r>
      <w:r w:rsidR="00A25F1E" w:rsidRPr="00A25F1E">
        <w:rPr>
          <w:rFonts w:ascii="Arial" w:eastAsia="Arial" w:hAnsi="Arial" w:cs="Arial"/>
        </w:rPr>
        <w:t>Stone, 2021</w:t>
      </w:r>
      <w:r w:rsidR="00A25F1E">
        <w:rPr>
          <w:rFonts w:ascii="Arial" w:eastAsia="Arial" w:hAnsi="Arial" w:cs="Arial"/>
        </w:rPr>
        <w:t xml:space="preserve">; </w:t>
      </w:r>
      <w:r w:rsidR="005053C4" w:rsidRPr="005053C4">
        <w:rPr>
          <w:rFonts w:ascii="Arial" w:eastAsia="Arial" w:hAnsi="Arial" w:cs="Arial"/>
        </w:rPr>
        <w:t>Webb et al., 2023)</w:t>
      </w:r>
      <w:r w:rsidR="005053C4">
        <w:rPr>
          <w:rFonts w:ascii="Arial" w:eastAsia="Arial" w:hAnsi="Arial" w:cs="Arial"/>
        </w:rPr>
        <w:t>.</w:t>
      </w:r>
    </w:p>
    <w:p w14:paraId="310F04B1" w14:textId="77777777" w:rsidR="00BA23BE" w:rsidRPr="00BA23BE" w:rsidRDefault="5C348C75" w:rsidP="5C348C75">
      <w:pPr>
        <w:jc w:val="both"/>
        <w:rPr>
          <w:rFonts w:ascii="Arial" w:eastAsia="Arial" w:hAnsi="Arial" w:cs="Arial"/>
          <w:b/>
          <w:bCs/>
        </w:rPr>
      </w:pPr>
      <w:r w:rsidRPr="5C348C75">
        <w:rPr>
          <w:rFonts w:ascii="Arial" w:eastAsia="Arial" w:hAnsi="Arial" w:cs="Arial"/>
          <w:b/>
          <w:bCs/>
        </w:rPr>
        <w:t>Wider Policies and Procedures Affecting Widening Access Students</w:t>
      </w:r>
    </w:p>
    <w:p w14:paraId="2833B918" w14:textId="34F357D2" w:rsidR="00BA23BE" w:rsidRPr="00BA23BE" w:rsidRDefault="5C348C75" w:rsidP="5C348C75">
      <w:pPr>
        <w:jc w:val="both"/>
        <w:rPr>
          <w:rFonts w:ascii="Arial" w:eastAsia="Arial" w:hAnsi="Arial" w:cs="Arial"/>
        </w:rPr>
      </w:pPr>
      <w:r w:rsidRPr="5C348C75">
        <w:rPr>
          <w:rFonts w:ascii="Arial" w:eastAsia="Arial" w:hAnsi="Arial" w:cs="Arial"/>
        </w:rPr>
        <w:t>National policies and institutional strategies continue to shape the widening access agenda in UK higher education. The government’s commitment to social mobility through education is reflected in the policies of bodies such as the OfS, which monitors the performance of universities in achieving their widening participation goals. Funding structures, such as the provision of grants and bursaries for low-income students, are a direct result of government policies aimed at reducing the financial barriers to higher education​ (</w:t>
      </w:r>
      <w:r w:rsidR="007D472D" w:rsidRPr="007D472D">
        <w:rPr>
          <w:rFonts w:ascii="Arial" w:eastAsia="Arial" w:hAnsi="Arial" w:cs="Arial"/>
        </w:rPr>
        <w:t>Thomas, 2017</w:t>
      </w:r>
      <w:r w:rsidRPr="5C348C75">
        <w:rPr>
          <w:rFonts w:ascii="Arial" w:eastAsia="Arial" w:hAnsi="Arial" w:cs="Arial"/>
        </w:rPr>
        <w:t>).</w:t>
      </w:r>
    </w:p>
    <w:p w14:paraId="08A1892D" w14:textId="0497B114" w:rsidR="00BA23BE" w:rsidRPr="00BA23BE" w:rsidRDefault="5C348C75" w:rsidP="5C348C75">
      <w:pPr>
        <w:jc w:val="both"/>
        <w:rPr>
          <w:rFonts w:ascii="Arial" w:eastAsia="Arial" w:hAnsi="Arial" w:cs="Arial"/>
        </w:rPr>
      </w:pPr>
      <w:r w:rsidRPr="5C348C75">
        <w:rPr>
          <w:rFonts w:ascii="Arial" w:eastAsia="Arial" w:hAnsi="Arial" w:cs="Arial"/>
        </w:rPr>
        <w:t>In recent years, there has also been an increasing focus on student outcomes, with universities being held accountable not just for admitting widening access students but for ensuring their success throughout their academic journey. The use of data analytics to track student performance and identify at-risk students has become a key part of the strategy to improve retention and graduation rates among widening access students​ (</w:t>
      </w:r>
      <w:r w:rsidR="00C14807" w:rsidRPr="00C14807">
        <w:rPr>
          <w:rFonts w:ascii="Arial" w:eastAsia="Arial" w:hAnsi="Arial" w:cs="Arial"/>
        </w:rPr>
        <w:t>Russell, Smith and Larsen, 2020)</w:t>
      </w:r>
      <w:r w:rsidR="00C14807">
        <w:rPr>
          <w:rFonts w:ascii="Arial" w:eastAsia="Arial" w:hAnsi="Arial" w:cs="Arial"/>
        </w:rPr>
        <w:t xml:space="preserve">. </w:t>
      </w:r>
      <w:r w:rsidRPr="5C348C75">
        <w:rPr>
          <w:rFonts w:ascii="Arial" w:eastAsia="Arial" w:hAnsi="Arial" w:cs="Arial"/>
        </w:rPr>
        <w:t>Moreover, policies around inclusivity and diversity training for university staff aim to create a more supportive and welcoming environment for students from all backgrounds</w:t>
      </w:r>
      <w:r w:rsidR="00F7214B">
        <w:rPr>
          <w:rFonts w:ascii="Arial" w:eastAsia="Arial" w:hAnsi="Arial" w:cs="Arial"/>
        </w:rPr>
        <w:t xml:space="preserve"> </w:t>
      </w:r>
      <w:r w:rsidR="00F7214B" w:rsidRPr="00F7214B">
        <w:rPr>
          <w:rFonts w:ascii="Arial" w:eastAsia="Arial" w:hAnsi="Arial" w:cs="Arial"/>
        </w:rPr>
        <w:t>(Richards et al., 2023)</w:t>
      </w:r>
      <w:r w:rsidRPr="5C348C75">
        <w:rPr>
          <w:rFonts w:ascii="Arial" w:eastAsia="Arial" w:hAnsi="Arial" w:cs="Arial"/>
        </w:rPr>
        <w:t>.</w:t>
      </w:r>
    </w:p>
    <w:p w14:paraId="2C2BAAA9" w14:textId="32960276" w:rsidR="00BA23BE" w:rsidRPr="00374B27" w:rsidRDefault="006274BD" w:rsidP="00374B27">
      <w:pPr>
        <w:pStyle w:val="Heading1"/>
        <w:rPr>
          <w:rFonts w:eastAsia="Times New Roman"/>
          <w:b/>
          <w:bCs/>
        </w:rPr>
      </w:pPr>
      <w:r w:rsidRPr="00374B27">
        <w:rPr>
          <w:b/>
          <w:bCs/>
        </w:rPr>
        <w:t>Methodology</w:t>
      </w:r>
      <w:r w:rsidR="00BA23BE" w:rsidRPr="00374B27">
        <w:rPr>
          <w:rFonts w:eastAsia="Times New Roman"/>
          <w:b/>
          <w:bCs/>
          <w:kern w:val="0"/>
          <w14:ligatures w14:val="none"/>
        </w:rPr>
        <w:t xml:space="preserve"> </w:t>
      </w:r>
    </w:p>
    <w:p w14:paraId="4D4F0A0F" w14:textId="32960276" w:rsidR="00BA23BE" w:rsidRPr="000B61A0" w:rsidRDefault="00BA23BE" w:rsidP="000B61A0">
      <w:pPr>
        <w:jc w:val="both"/>
        <w:rPr>
          <w:rFonts w:ascii="Arial" w:hAnsi="Arial" w:cs="Arial"/>
          <w:b/>
          <w:bCs/>
        </w:rPr>
      </w:pPr>
      <w:r w:rsidRPr="000B61A0">
        <w:rPr>
          <w:rFonts w:ascii="Arial" w:hAnsi="Arial" w:cs="Arial"/>
          <w:b/>
          <w:bCs/>
        </w:rPr>
        <w:t>Qualitative Study</w:t>
      </w:r>
    </w:p>
    <w:p w14:paraId="6C41D1D7" w14:textId="673244CF" w:rsidR="00BA23BE" w:rsidRPr="000B61A0" w:rsidRDefault="00254A6F" w:rsidP="000B61A0">
      <w:pPr>
        <w:jc w:val="both"/>
        <w:rPr>
          <w:rFonts w:ascii="Arial" w:hAnsi="Arial" w:cs="Arial"/>
        </w:rPr>
      </w:pPr>
      <w:r w:rsidRPr="00254A6F">
        <w:rPr>
          <w:rFonts w:ascii="Arial" w:hAnsi="Arial" w:cs="Arial"/>
        </w:rPr>
        <w:t xml:space="preserve">A qualitative research approach was chosen for this study to investigate the in-depth experiences of widening access students, enabling a </w:t>
      </w:r>
      <w:r w:rsidR="003D2401" w:rsidRPr="00254A6F">
        <w:rPr>
          <w:rFonts w:ascii="Arial" w:hAnsi="Arial" w:cs="Arial"/>
        </w:rPr>
        <w:t>multilayered</w:t>
      </w:r>
      <w:r w:rsidRPr="00254A6F">
        <w:rPr>
          <w:rFonts w:ascii="Arial" w:hAnsi="Arial" w:cs="Arial"/>
        </w:rPr>
        <w:t xml:space="preserve"> understanding of their unique challenges and experiences. Qualitative research is particularly well-suited to exploring complex social phenomena, such as the barriers these students face and the strategies they use to overcome them, as it allows for rich, detailed narratives to emerge</w:t>
      </w:r>
      <w:r w:rsidR="00A50D3B">
        <w:rPr>
          <w:rFonts w:ascii="Arial" w:hAnsi="Arial" w:cs="Arial"/>
        </w:rPr>
        <w:t xml:space="preserve"> </w:t>
      </w:r>
      <w:r w:rsidR="00A50D3B" w:rsidRPr="00A50D3B">
        <w:rPr>
          <w:rFonts w:ascii="Arial" w:hAnsi="Arial" w:cs="Arial"/>
        </w:rPr>
        <w:t>(Lim, 2024)</w:t>
      </w:r>
      <w:r w:rsidRPr="00254A6F">
        <w:rPr>
          <w:rFonts w:ascii="Arial" w:hAnsi="Arial" w:cs="Arial"/>
        </w:rPr>
        <w:t>. In this context, qualitative research is effective in capturing the subjective experiences of students, which are often nuanced, personal, and shaped by their individual backgrounds, identities, and social contexts. This method allows researchers to gain insight into students' perspectives, fostering a holistic understanding of their journeys</w:t>
      </w:r>
      <w:r w:rsidR="00AF61F1">
        <w:rPr>
          <w:rFonts w:ascii="Arial" w:hAnsi="Arial" w:cs="Arial"/>
        </w:rPr>
        <w:t xml:space="preserve"> </w:t>
      </w:r>
      <w:r w:rsidR="00AF61F1" w:rsidRPr="00AF61F1">
        <w:rPr>
          <w:rFonts w:ascii="Arial" w:hAnsi="Arial" w:cs="Arial"/>
        </w:rPr>
        <w:t>(Hall and Liebenberg, 2024)</w:t>
      </w:r>
      <w:r w:rsidR="00AF61F1">
        <w:rPr>
          <w:rFonts w:ascii="Arial" w:hAnsi="Arial" w:cs="Arial"/>
        </w:rPr>
        <w:t>.</w:t>
      </w:r>
    </w:p>
    <w:p w14:paraId="341C10A1" w14:textId="77777777" w:rsidR="00BA23BE" w:rsidRPr="000B61A0" w:rsidRDefault="5C348C75" w:rsidP="000B61A0">
      <w:pPr>
        <w:jc w:val="both"/>
        <w:rPr>
          <w:rFonts w:ascii="Arial" w:hAnsi="Arial" w:cs="Arial"/>
          <w:b/>
          <w:bCs/>
        </w:rPr>
      </w:pPr>
      <w:r w:rsidRPr="000B61A0">
        <w:rPr>
          <w:rFonts w:ascii="Arial" w:hAnsi="Arial" w:cs="Arial"/>
          <w:b/>
          <w:bCs/>
        </w:rPr>
        <w:t>Semi-Structured Interviews</w:t>
      </w:r>
    </w:p>
    <w:p w14:paraId="427D4A20" w14:textId="7CA83CB4" w:rsidR="00374B27" w:rsidRDefault="00374B27" w:rsidP="000B61A0">
      <w:pPr>
        <w:jc w:val="both"/>
        <w:rPr>
          <w:rFonts w:ascii="Arial" w:hAnsi="Arial" w:cs="Arial"/>
        </w:rPr>
      </w:pPr>
      <w:r w:rsidRPr="00374B27">
        <w:rPr>
          <w:rFonts w:ascii="Arial" w:hAnsi="Arial" w:cs="Arial"/>
        </w:rPr>
        <w:t xml:space="preserve">Semi-structured interviews were selected as the primary data collection method for this study. This approach allows for a flexible yet structured interaction between the interviewer and the participant, enabling the researcher to establish key themes while also allowing participants to express their views freely. The semi-structured nature of the interviews ensures that core topics are covered while giving participants the space to share their unique experiences and insights. </w:t>
      </w:r>
      <w:r w:rsidR="00AB6936">
        <w:rPr>
          <w:rFonts w:ascii="Arial" w:hAnsi="Arial" w:cs="Arial"/>
        </w:rPr>
        <w:t>T</w:t>
      </w:r>
      <w:r w:rsidRPr="00374B27">
        <w:rPr>
          <w:rFonts w:ascii="Arial" w:hAnsi="Arial" w:cs="Arial"/>
        </w:rPr>
        <w:t xml:space="preserve">his method allows the interviewer to probe further into specific areas of interest, adapting questions based on participants’ </w:t>
      </w:r>
      <w:r w:rsidRPr="00374B27">
        <w:rPr>
          <w:rFonts w:ascii="Arial" w:hAnsi="Arial" w:cs="Arial"/>
        </w:rPr>
        <w:lastRenderedPageBreak/>
        <w:t>responses to explore emerging themes and nuances</w:t>
      </w:r>
      <w:r w:rsidR="009B49F6">
        <w:rPr>
          <w:rFonts w:ascii="Arial" w:hAnsi="Arial" w:cs="Arial"/>
        </w:rPr>
        <w:t xml:space="preserve"> </w:t>
      </w:r>
      <w:r w:rsidR="009B49F6" w:rsidRPr="009B49F6">
        <w:rPr>
          <w:rFonts w:ascii="Arial" w:hAnsi="Arial" w:cs="Arial"/>
        </w:rPr>
        <w:t>(Adeoye</w:t>
      </w:r>
      <w:r w:rsidR="009B49F6" w:rsidRPr="009B49F6">
        <w:rPr>
          <w:rFonts w:ascii="Cambria Math" w:hAnsi="Cambria Math" w:cs="Cambria Math"/>
        </w:rPr>
        <w:t>‐</w:t>
      </w:r>
      <w:r w:rsidR="009B49F6" w:rsidRPr="009B49F6">
        <w:rPr>
          <w:rFonts w:ascii="Arial" w:hAnsi="Arial" w:cs="Arial"/>
        </w:rPr>
        <w:t>Olatunde and Olenik, 2021)</w:t>
      </w:r>
      <w:r w:rsidRPr="00374B27">
        <w:rPr>
          <w:rFonts w:ascii="Arial" w:hAnsi="Arial" w:cs="Arial"/>
        </w:rPr>
        <w:t>.</w:t>
      </w:r>
    </w:p>
    <w:p w14:paraId="7DDA5BC6" w14:textId="3E3997B2" w:rsidR="000B61A0" w:rsidRPr="000B61A0" w:rsidRDefault="5C348C75" w:rsidP="000B61A0">
      <w:pPr>
        <w:jc w:val="both"/>
        <w:rPr>
          <w:rFonts w:ascii="Arial" w:hAnsi="Arial" w:cs="Arial"/>
          <w:b/>
          <w:bCs/>
        </w:rPr>
      </w:pPr>
      <w:r w:rsidRPr="000B61A0">
        <w:rPr>
          <w:rFonts w:ascii="Arial" w:hAnsi="Arial" w:cs="Arial"/>
          <w:b/>
          <w:bCs/>
        </w:rPr>
        <w:t>Thematic Analysis</w:t>
      </w:r>
    </w:p>
    <w:p w14:paraId="2BFCA012" w14:textId="13CD406A" w:rsidR="00BA23BE" w:rsidRPr="000B61A0" w:rsidRDefault="5C348C75" w:rsidP="000B61A0">
      <w:pPr>
        <w:jc w:val="both"/>
        <w:rPr>
          <w:rFonts w:ascii="Arial" w:hAnsi="Arial" w:cs="Arial"/>
        </w:rPr>
      </w:pPr>
      <w:r w:rsidRPr="000B61A0">
        <w:rPr>
          <w:rFonts w:ascii="Arial" w:hAnsi="Arial" w:cs="Arial"/>
        </w:rPr>
        <w:t>​</w:t>
      </w:r>
      <w:r w:rsidR="00AB0EFB" w:rsidRPr="00AB0EFB">
        <w:rPr>
          <w:rFonts w:ascii="Arial" w:hAnsi="Arial" w:cs="Arial"/>
        </w:rPr>
        <w:t xml:space="preserve">Thematic analysis was chosen as the analytical method for this study, as it provides a robust framework for identifying, </w:t>
      </w:r>
      <w:r w:rsidR="00AB0EFB" w:rsidRPr="00AB0EFB">
        <w:rPr>
          <w:rFonts w:ascii="Arial" w:hAnsi="Arial" w:cs="Arial"/>
        </w:rPr>
        <w:t>analysing</w:t>
      </w:r>
      <w:r w:rsidR="00AB0EFB" w:rsidRPr="00AB0EFB">
        <w:rPr>
          <w:rFonts w:ascii="Arial" w:hAnsi="Arial" w:cs="Arial"/>
        </w:rPr>
        <w:t>, and reporting patterns or themes within qualitative data</w:t>
      </w:r>
      <w:r w:rsidR="002E2D7F">
        <w:rPr>
          <w:rFonts w:ascii="Arial" w:hAnsi="Arial" w:cs="Arial"/>
        </w:rPr>
        <w:t xml:space="preserve"> </w:t>
      </w:r>
      <w:r w:rsidR="002E2D7F" w:rsidRPr="002E2D7F">
        <w:rPr>
          <w:rFonts w:ascii="Arial" w:hAnsi="Arial" w:cs="Arial"/>
        </w:rPr>
        <w:t>(Squires, 2023)</w:t>
      </w:r>
      <w:r w:rsidR="00AB0EFB" w:rsidRPr="00AB0EFB">
        <w:rPr>
          <w:rFonts w:ascii="Arial" w:hAnsi="Arial" w:cs="Arial"/>
        </w:rPr>
        <w:t>. This approach allows researchers to systematically code and categori</w:t>
      </w:r>
      <w:r w:rsidR="002E2D7F">
        <w:rPr>
          <w:rFonts w:ascii="Arial" w:hAnsi="Arial" w:cs="Arial"/>
        </w:rPr>
        <w:t>s</w:t>
      </w:r>
      <w:r w:rsidR="00AB0EFB" w:rsidRPr="00AB0EFB">
        <w:rPr>
          <w:rFonts w:ascii="Arial" w:hAnsi="Arial" w:cs="Arial"/>
        </w:rPr>
        <w:t>e data, ensuring that key themes are captured accurately. Thematic analysis enables the organi</w:t>
      </w:r>
      <w:r w:rsidR="002E2D7F">
        <w:rPr>
          <w:rFonts w:ascii="Arial" w:hAnsi="Arial" w:cs="Arial"/>
        </w:rPr>
        <w:t>s</w:t>
      </w:r>
      <w:r w:rsidR="00AB0EFB" w:rsidRPr="00AB0EFB">
        <w:rPr>
          <w:rFonts w:ascii="Arial" w:hAnsi="Arial" w:cs="Arial"/>
        </w:rPr>
        <w:t xml:space="preserve">ation and description of data in rich detail, making it particularly useful for exploring the diverse experiences of widening access students, capturing both individual and shared aspects of their stories. </w:t>
      </w:r>
      <w:r w:rsidR="009B49F6">
        <w:rPr>
          <w:rFonts w:ascii="Arial" w:hAnsi="Arial" w:cs="Arial"/>
        </w:rPr>
        <w:t>T</w:t>
      </w:r>
      <w:r w:rsidR="00AB0EFB" w:rsidRPr="00AB0EFB">
        <w:rPr>
          <w:rFonts w:ascii="Arial" w:hAnsi="Arial" w:cs="Arial"/>
        </w:rPr>
        <w:t>his method allows for flexibility in interpreting complex and layered narratives, facilitating a deeper understanding of the common challenges and coping strategies reported by participants, while also highlighting unique experiences that may otherwise remain overlooked</w:t>
      </w:r>
      <w:r w:rsidR="00757376">
        <w:rPr>
          <w:rFonts w:ascii="Arial" w:hAnsi="Arial" w:cs="Arial"/>
        </w:rPr>
        <w:t xml:space="preserve"> </w:t>
      </w:r>
      <w:r w:rsidR="00757376" w:rsidRPr="00757376">
        <w:rPr>
          <w:rFonts w:ascii="Arial" w:hAnsi="Arial" w:cs="Arial"/>
        </w:rPr>
        <w:t>(Naeem et al., 2023)</w:t>
      </w:r>
      <w:r w:rsidRPr="000B61A0">
        <w:rPr>
          <w:rFonts w:ascii="Arial" w:hAnsi="Arial" w:cs="Arial"/>
        </w:rPr>
        <w:t>.</w:t>
      </w:r>
    </w:p>
    <w:p w14:paraId="1595AB8F" w14:textId="77777777" w:rsidR="00BA23BE" w:rsidRPr="000B61A0" w:rsidRDefault="5C348C75" w:rsidP="000B61A0">
      <w:pPr>
        <w:jc w:val="both"/>
        <w:rPr>
          <w:rFonts w:ascii="Arial" w:hAnsi="Arial" w:cs="Arial"/>
          <w:b/>
          <w:bCs/>
        </w:rPr>
      </w:pPr>
      <w:r w:rsidRPr="000B61A0">
        <w:rPr>
          <w:rFonts w:ascii="Arial" w:hAnsi="Arial" w:cs="Arial"/>
          <w:b/>
          <w:bCs/>
        </w:rPr>
        <w:t>Logistics</w:t>
      </w:r>
    </w:p>
    <w:p w14:paraId="7F1BD2D4" w14:textId="7F3DAFEE" w:rsidR="00BA6C8F" w:rsidRPr="000B61A0" w:rsidRDefault="00B63304" w:rsidP="000B61A0">
      <w:pPr>
        <w:jc w:val="both"/>
        <w:rPr>
          <w:rFonts w:ascii="Arial" w:hAnsi="Arial" w:cs="Arial"/>
        </w:rPr>
      </w:pPr>
      <w:r w:rsidRPr="00B63304">
        <w:rPr>
          <w:rFonts w:ascii="Arial" w:hAnsi="Arial" w:cs="Arial"/>
        </w:rPr>
        <w:t>The study followed strict ethical guidelines, including obtaining ethical approval from the university's ethics board, ensuring that the research adhered to standards of integrity and participant safety. Informed consent was obtained from all participants prior to the interviews, ensuring that they were fully aware of the study’s aims, the voluntary nature of their participation, and their right to withdraw at any time without consequence. Interviews were conducted via MS Teams, recorded with participants’ consent, and later transcribed verbatim for in-depth analysis. Confidentiality was rigorously maintained throughout the study, with all identifying information being anonymi</w:t>
      </w:r>
      <w:r w:rsidR="006C7B63">
        <w:rPr>
          <w:rFonts w:ascii="Arial" w:hAnsi="Arial" w:cs="Arial"/>
        </w:rPr>
        <w:t>s</w:t>
      </w:r>
      <w:r w:rsidRPr="00B63304">
        <w:rPr>
          <w:rFonts w:ascii="Arial" w:hAnsi="Arial" w:cs="Arial"/>
        </w:rPr>
        <w:t>ed to protect participant privacy. Participants were recruited through purposive sampling, specifically targeting students who met predefined criteria relevant to the study’s objectives. The recruitment process aimed to achieve data saturation, typically reached after 8–12 interviews</w:t>
      </w:r>
      <w:r w:rsidR="0084135A">
        <w:rPr>
          <w:rFonts w:ascii="Arial" w:hAnsi="Arial" w:cs="Arial"/>
        </w:rPr>
        <w:t xml:space="preserve"> </w:t>
      </w:r>
      <w:r w:rsidR="0084135A" w:rsidRPr="0084135A">
        <w:rPr>
          <w:rFonts w:ascii="Arial" w:hAnsi="Arial" w:cs="Arial"/>
        </w:rPr>
        <w:t>(Hennink and Kaiser, 2022)</w:t>
      </w:r>
      <w:r w:rsidRPr="00B63304">
        <w:rPr>
          <w:rFonts w:ascii="Arial" w:hAnsi="Arial" w:cs="Arial"/>
        </w:rPr>
        <w:t>, ensuring that no new themes or insights emerged during the final stages of data collection, thus providing a comprehensive understanding of the participants' experiences.</w:t>
      </w:r>
    </w:p>
    <w:sectPr w:rsidR="00BA6C8F" w:rsidRPr="000B61A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628E7B" w14:textId="77777777" w:rsidR="004928D7" w:rsidRDefault="004928D7">
      <w:pPr>
        <w:spacing w:after="0" w:line="240" w:lineRule="auto"/>
      </w:pPr>
      <w:r>
        <w:separator/>
      </w:r>
    </w:p>
  </w:endnote>
  <w:endnote w:type="continuationSeparator" w:id="0">
    <w:p w14:paraId="4B12B2A2" w14:textId="77777777" w:rsidR="004928D7" w:rsidRDefault="004928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C348C75" w14:paraId="3E232BC0" w14:textId="77777777" w:rsidTr="5C348C75">
      <w:trPr>
        <w:trHeight w:val="300"/>
      </w:trPr>
      <w:tc>
        <w:tcPr>
          <w:tcW w:w="3005" w:type="dxa"/>
        </w:tcPr>
        <w:p w14:paraId="38C805C6" w14:textId="0B6E731B" w:rsidR="5C348C75" w:rsidRDefault="5C348C75" w:rsidP="5C348C75">
          <w:pPr>
            <w:pStyle w:val="Header"/>
            <w:ind w:left="-115"/>
          </w:pPr>
        </w:p>
      </w:tc>
      <w:tc>
        <w:tcPr>
          <w:tcW w:w="3005" w:type="dxa"/>
        </w:tcPr>
        <w:p w14:paraId="6B0B9368" w14:textId="5636626C" w:rsidR="5C348C75" w:rsidRDefault="5C348C75" w:rsidP="5C348C75">
          <w:pPr>
            <w:pStyle w:val="Header"/>
            <w:jc w:val="center"/>
          </w:pPr>
          <w:r>
            <w:fldChar w:fldCharType="begin"/>
          </w:r>
          <w:r>
            <w:instrText>PAGE</w:instrText>
          </w:r>
          <w:r>
            <w:fldChar w:fldCharType="separate"/>
          </w:r>
          <w:r w:rsidR="00ED197C">
            <w:rPr>
              <w:noProof/>
            </w:rPr>
            <w:t>1</w:t>
          </w:r>
          <w:r>
            <w:fldChar w:fldCharType="end"/>
          </w:r>
        </w:p>
      </w:tc>
      <w:tc>
        <w:tcPr>
          <w:tcW w:w="3005" w:type="dxa"/>
        </w:tcPr>
        <w:p w14:paraId="05A87D53" w14:textId="222CD187" w:rsidR="5C348C75" w:rsidRDefault="5C348C75" w:rsidP="5C348C75">
          <w:pPr>
            <w:pStyle w:val="Header"/>
            <w:ind w:right="-115"/>
            <w:jc w:val="right"/>
          </w:pPr>
        </w:p>
      </w:tc>
    </w:tr>
  </w:tbl>
  <w:p w14:paraId="42B012A6" w14:textId="5D697C58" w:rsidR="5C348C75" w:rsidRDefault="5C348C75" w:rsidP="5C348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741DD" w14:textId="77777777" w:rsidR="004928D7" w:rsidRDefault="004928D7">
      <w:pPr>
        <w:spacing w:after="0" w:line="240" w:lineRule="auto"/>
      </w:pPr>
      <w:r>
        <w:separator/>
      </w:r>
    </w:p>
  </w:footnote>
  <w:footnote w:type="continuationSeparator" w:id="0">
    <w:p w14:paraId="1FBBA138" w14:textId="77777777" w:rsidR="004928D7" w:rsidRDefault="004928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C348C75" w14:paraId="24E23F5A" w14:textId="77777777" w:rsidTr="5C348C75">
      <w:trPr>
        <w:trHeight w:val="300"/>
      </w:trPr>
      <w:tc>
        <w:tcPr>
          <w:tcW w:w="3005" w:type="dxa"/>
        </w:tcPr>
        <w:p w14:paraId="1507DEE3" w14:textId="439E4FE5" w:rsidR="5C348C75" w:rsidRDefault="5C348C75" w:rsidP="5C348C75">
          <w:pPr>
            <w:pStyle w:val="Header"/>
            <w:ind w:left="-115"/>
          </w:pPr>
        </w:p>
      </w:tc>
      <w:tc>
        <w:tcPr>
          <w:tcW w:w="3005" w:type="dxa"/>
        </w:tcPr>
        <w:p w14:paraId="5DE348FE" w14:textId="0CDDFFAC" w:rsidR="5C348C75" w:rsidRDefault="5C348C75" w:rsidP="5C348C75">
          <w:pPr>
            <w:pStyle w:val="Header"/>
            <w:jc w:val="center"/>
          </w:pPr>
        </w:p>
      </w:tc>
      <w:tc>
        <w:tcPr>
          <w:tcW w:w="3005" w:type="dxa"/>
        </w:tcPr>
        <w:p w14:paraId="5BB8A73A" w14:textId="6597BBE8" w:rsidR="5C348C75" w:rsidRDefault="5C348C75" w:rsidP="5C348C75">
          <w:pPr>
            <w:pStyle w:val="Header"/>
            <w:ind w:right="-115"/>
            <w:jc w:val="right"/>
          </w:pPr>
        </w:p>
      </w:tc>
    </w:tr>
  </w:tbl>
  <w:p w14:paraId="69275E2D" w14:textId="05D526EE" w:rsidR="5C348C75" w:rsidRDefault="5C348C75" w:rsidP="5C348C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A07CE"/>
    <w:multiLevelType w:val="hybridMultilevel"/>
    <w:tmpl w:val="2A8EF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71EFC"/>
    <w:multiLevelType w:val="hybridMultilevel"/>
    <w:tmpl w:val="AAE45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A1BBF"/>
    <w:multiLevelType w:val="hybridMultilevel"/>
    <w:tmpl w:val="3B06BBC4"/>
    <w:lvl w:ilvl="0" w:tplc="08090001">
      <w:start w:val="1"/>
      <w:numFmt w:val="bullet"/>
      <w:lvlText w:val=""/>
      <w:lvlJc w:val="left"/>
      <w:pPr>
        <w:ind w:left="771" w:hanging="360"/>
      </w:pPr>
      <w:rPr>
        <w:rFonts w:ascii="Symbol" w:hAnsi="Symbol" w:hint="default"/>
      </w:rPr>
    </w:lvl>
    <w:lvl w:ilvl="1" w:tplc="08090003">
      <w:start w:val="1"/>
      <w:numFmt w:val="bullet"/>
      <w:lvlText w:val="o"/>
      <w:lvlJc w:val="left"/>
      <w:pPr>
        <w:ind w:left="1491" w:hanging="360"/>
      </w:pPr>
      <w:rPr>
        <w:rFonts w:ascii="Courier New" w:hAnsi="Courier New" w:cs="Courier New" w:hint="default"/>
      </w:rPr>
    </w:lvl>
    <w:lvl w:ilvl="2" w:tplc="08090005">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num w:numId="1" w16cid:durableId="271786341">
    <w:abstractNumId w:val="2"/>
  </w:num>
  <w:num w:numId="2" w16cid:durableId="66073065">
    <w:abstractNumId w:val="0"/>
  </w:num>
  <w:num w:numId="3" w16cid:durableId="130483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44B"/>
    <w:rsid w:val="0001164A"/>
    <w:rsid w:val="00035B4D"/>
    <w:rsid w:val="00067F11"/>
    <w:rsid w:val="00074E1E"/>
    <w:rsid w:val="000B61A0"/>
    <w:rsid w:val="00186B49"/>
    <w:rsid w:val="00216BCC"/>
    <w:rsid w:val="002311AB"/>
    <w:rsid w:val="00254A6F"/>
    <w:rsid w:val="0025585A"/>
    <w:rsid w:val="00286CB7"/>
    <w:rsid w:val="00294F15"/>
    <w:rsid w:val="002A6461"/>
    <w:rsid w:val="002E2D7F"/>
    <w:rsid w:val="00365E35"/>
    <w:rsid w:val="00374B27"/>
    <w:rsid w:val="003B5156"/>
    <w:rsid w:val="003D2401"/>
    <w:rsid w:val="003E176F"/>
    <w:rsid w:val="003E6B3D"/>
    <w:rsid w:val="003F6227"/>
    <w:rsid w:val="004326B7"/>
    <w:rsid w:val="00440149"/>
    <w:rsid w:val="00464B15"/>
    <w:rsid w:val="004928D7"/>
    <w:rsid w:val="004C4E72"/>
    <w:rsid w:val="00501F87"/>
    <w:rsid w:val="005053C4"/>
    <w:rsid w:val="00530242"/>
    <w:rsid w:val="00551DBD"/>
    <w:rsid w:val="005D0678"/>
    <w:rsid w:val="005F5570"/>
    <w:rsid w:val="00606596"/>
    <w:rsid w:val="006274BD"/>
    <w:rsid w:val="00693FFF"/>
    <w:rsid w:val="006C7B63"/>
    <w:rsid w:val="006E0A11"/>
    <w:rsid w:val="006E5FA1"/>
    <w:rsid w:val="00750E0D"/>
    <w:rsid w:val="00757376"/>
    <w:rsid w:val="00782474"/>
    <w:rsid w:val="007D472D"/>
    <w:rsid w:val="00802F4C"/>
    <w:rsid w:val="0084135A"/>
    <w:rsid w:val="0084644B"/>
    <w:rsid w:val="008C789E"/>
    <w:rsid w:val="00906D60"/>
    <w:rsid w:val="009371CA"/>
    <w:rsid w:val="00944746"/>
    <w:rsid w:val="009B49F6"/>
    <w:rsid w:val="009E1FB4"/>
    <w:rsid w:val="00A01E6F"/>
    <w:rsid w:val="00A25F1E"/>
    <w:rsid w:val="00A50D3B"/>
    <w:rsid w:val="00A86059"/>
    <w:rsid w:val="00AA2CFA"/>
    <w:rsid w:val="00AB0EFB"/>
    <w:rsid w:val="00AB6936"/>
    <w:rsid w:val="00AD0978"/>
    <w:rsid w:val="00AE4AFD"/>
    <w:rsid w:val="00AF61F1"/>
    <w:rsid w:val="00B63304"/>
    <w:rsid w:val="00BA23BE"/>
    <w:rsid w:val="00BA6C8F"/>
    <w:rsid w:val="00BB092A"/>
    <w:rsid w:val="00BE083F"/>
    <w:rsid w:val="00BF0846"/>
    <w:rsid w:val="00C14807"/>
    <w:rsid w:val="00C347C8"/>
    <w:rsid w:val="00D44705"/>
    <w:rsid w:val="00D649B9"/>
    <w:rsid w:val="00DA63B8"/>
    <w:rsid w:val="00EC0DA8"/>
    <w:rsid w:val="00ED197C"/>
    <w:rsid w:val="00EE4117"/>
    <w:rsid w:val="00F51A1E"/>
    <w:rsid w:val="00F7214B"/>
    <w:rsid w:val="00F92F45"/>
    <w:rsid w:val="00FC188B"/>
    <w:rsid w:val="00FF7C0B"/>
    <w:rsid w:val="5C348C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4F17DD"/>
  <w15:chartTrackingRefBased/>
  <w15:docId w15:val="{797EF3A4-C14F-4FA3-AF0D-2C7ED997F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4BD"/>
    <w:pPr>
      <w:keepNext/>
      <w:keepLines/>
      <w:spacing w:before="360" w:after="80"/>
      <w:outlineLvl w:val="0"/>
    </w:pPr>
    <w:rPr>
      <w:rFonts w:ascii="Arial" w:eastAsiaTheme="majorEastAsia" w:hAnsi="Arial" w:cstheme="majorBidi"/>
      <w:sz w:val="32"/>
      <w:szCs w:val="40"/>
    </w:rPr>
  </w:style>
  <w:style w:type="paragraph" w:styleId="Heading2">
    <w:name w:val="heading 2"/>
    <w:basedOn w:val="Normal"/>
    <w:next w:val="Normal"/>
    <w:link w:val="Heading2Char"/>
    <w:uiPriority w:val="9"/>
    <w:semiHidden/>
    <w:unhideWhenUsed/>
    <w:qFormat/>
    <w:rsid w:val="008464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64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4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64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64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64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64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64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4BD"/>
    <w:rPr>
      <w:rFonts w:ascii="Arial" w:eastAsiaTheme="majorEastAsia" w:hAnsi="Arial" w:cstheme="majorBidi"/>
      <w:sz w:val="32"/>
      <w:szCs w:val="40"/>
    </w:rPr>
  </w:style>
  <w:style w:type="character" w:customStyle="1" w:styleId="Heading2Char">
    <w:name w:val="Heading 2 Char"/>
    <w:basedOn w:val="DefaultParagraphFont"/>
    <w:link w:val="Heading2"/>
    <w:uiPriority w:val="9"/>
    <w:semiHidden/>
    <w:rsid w:val="008464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64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4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4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4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4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4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44B"/>
    <w:rPr>
      <w:rFonts w:eastAsiaTheme="majorEastAsia" w:cstheme="majorBidi"/>
      <w:color w:val="272727" w:themeColor="text1" w:themeTint="D8"/>
    </w:rPr>
  </w:style>
  <w:style w:type="paragraph" w:styleId="Title">
    <w:name w:val="Title"/>
    <w:basedOn w:val="Normal"/>
    <w:next w:val="Normal"/>
    <w:link w:val="TitleChar"/>
    <w:uiPriority w:val="10"/>
    <w:qFormat/>
    <w:rsid w:val="008464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4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4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4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44B"/>
    <w:pPr>
      <w:spacing w:before="160"/>
      <w:jc w:val="center"/>
    </w:pPr>
    <w:rPr>
      <w:i/>
      <w:iCs/>
      <w:color w:val="404040" w:themeColor="text1" w:themeTint="BF"/>
    </w:rPr>
  </w:style>
  <w:style w:type="character" w:customStyle="1" w:styleId="QuoteChar">
    <w:name w:val="Quote Char"/>
    <w:basedOn w:val="DefaultParagraphFont"/>
    <w:link w:val="Quote"/>
    <w:uiPriority w:val="29"/>
    <w:rsid w:val="0084644B"/>
    <w:rPr>
      <w:i/>
      <w:iCs/>
      <w:color w:val="404040" w:themeColor="text1" w:themeTint="BF"/>
    </w:rPr>
  </w:style>
  <w:style w:type="paragraph" w:styleId="ListParagraph">
    <w:name w:val="List Paragraph"/>
    <w:basedOn w:val="Normal"/>
    <w:uiPriority w:val="34"/>
    <w:qFormat/>
    <w:rsid w:val="0084644B"/>
    <w:pPr>
      <w:ind w:left="720"/>
      <w:contextualSpacing/>
    </w:pPr>
  </w:style>
  <w:style w:type="character" w:styleId="IntenseEmphasis">
    <w:name w:val="Intense Emphasis"/>
    <w:basedOn w:val="DefaultParagraphFont"/>
    <w:uiPriority w:val="21"/>
    <w:qFormat/>
    <w:rsid w:val="0084644B"/>
    <w:rPr>
      <w:i/>
      <w:iCs/>
      <w:color w:val="0F4761" w:themeColor="accent1" w:themeShade="BF"/>
    </w:rPr>
  </w:style>
  <w:style w:type="paragraph" w:styleId="IntenseQuote">
    <w:name w:val="Intense Quote"/>
    <w:basedOn w:val="Normal"/>
    <w:next w:val="Normal"/>
    <w:link w:val="IntenseQuoteChar"/>
    <w:uiPriority w:val="30"/>
    <w:qFormat/>
    <w:rsid w:val="008464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44B"/>
    <w:rPr>
      <w:i/>
      <w:iCs/>
      <w:color w:val="0F4761" w:themeColor="accent1" w:themeShade="BF"/>
    </w:rPr>
  </w:style>
  <w:style w:type="character" w:styleId="IntenseReference">
    <w:name w:val="Intense Reference"/>
    <w:basedOn w:val="DefaultParagraphFont"/>
    <w:uiPriority w:val="32"/>
    <w:qFormat/>
    <w:rsid w:val="0084644B"/>
    <w:rPr>
      <w:b/>
      <w:bCs/>
      <w:smallCaps/>
      <w:color w:val="0F4761" w:themeColor="accent1" w:themeShade="BF"/>
      <w:spacing w:val="5"/>
    </w:rPr>
  </w:style>
  <w:style w:type="paragraph" w:styleId="NormalWeb">
    <w:name w:val="Normal (Web)"/>
    <w:basedOn w:val="Normal"/>
    <w:uiPriority w:val="99"/>
    <w:semiHidden/>
    <w:unhideWhenUsed/>
    <w:rsid w:val="00BA23BE"/>
    <w:rPr>
      <w:rFonts w:ascii="Times New Roman" w:hAnsi="Times New Roman" w:cs="Times New Roman"/>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365E35"/>
    <w:rPr>
      <w:color w:val="467886" w:themeColor="hyperlink"/>
      <w:u w:val="single"/>
    </w:rPr>
  </w:style>
  <w:style w:type="character" w:styleId="UnresolvedMention">
    <w:name w:val="Unresolved Mention"/>
    <w:basedOn w:val="DefaultParagraphFont"/>
    <w:uiPriority w:val="99"/>
    <w:semiHidden/>
    <w:unhideWhenUsed/>
    <w:rsid w:val="00365E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727158">
      <w:bodyDiv w:val="1"/>
      <w:marLeft w:val="0"/>
      <w:marRight w:val="0"/>
      <w:marTop w:val="0"/>
      <w:marBottom w:val="0"/>
      <w:divBdr>
        <w:top w:val="none" w:sz="0" w:space="0" w:color="auto"/>
        <w:left w:val="none" w:sz="0" w:space="0" w:color="auto"/>
        <w:bottom w:val="none" w:sz="0" w:space="0" w:color="auto"/>
        <w:right w:val="none" w:sz="0" w:space="0" w:color="auto"/>
      </w:divBdr>
    </w:div>
    <w:div w:id="241838700">
      <w:bodyDiv w:val="1"/>
      <w:marLeft w:val="0"/>
      <w:marRight w:val="0"/>
      <w:marTop w:val="0"/>
      <w:marBottom w:val="0"/>
      <w:divBdr>
        <w:top w:val="none" w:sz="0" w:space="0" w:color="auto"/>
        <w:left w:val="none" w:sz="0" w:space="0" w:color="auto"/>
        <w:bottom w:val="none" w:sz="0" w:space="0" w:color="auto"/>
        <w:right w:val="none" w:sz="0" w:space="0" w:color="auto"/>
      </w:divBdr>
    </w:div>
    <w:div w:id="268978419">
      <w:bodyDiv w:val="1"/>
      <w:marLeft w:val="0"/>
      <w:marRight w:val="0"/>
      <w:marTop w:val="0"/>
      <w:marBottom w:val="0"/>
      <w:divBdr>
        <w:top w:val="none" w:sz="0" w:space="0" w:color="auto"/>
        <w:left w:val="none" w:sz="0" w:space="0" w:color="auto"/>
        <w:bottom w:val="none" w:sz="0" w:space="0" w:color="auto"/>
        <w:right w:val="none" w:sz="0" w:space="0" w:color="auto"/>
      </w:divBdr>
    </w:div>
    <w:div w:id="403770553">
      <w:bodyDiv w:val="1"/>
      <w:marLeft w:val="0"/>
      <w:marRight w:val="0"/>
      <w:marTop w:val="0"/>
      <w:marBottom w:val="0"/>
      <w:divBdr>
        <w:top w:val="none" w:sz="0" w:space="0" w:color="auto"/>
        <w:left w:val="none" w:sz="0" w:space="0" w:color="auto"/>
        <w:bottom w:val="none" w:sz="0" w:space="0" w:color="auto"/>
        <w:right w:val="none" w:sz="0" w:space="0" w:color="auto"/>
      </w:divBdr>
    </w:div>
    <w:div w:id="486165395">
      <w:bodyDiv w:val="1"/>
      <w:marLeft w:val="0"/>
      <w:marRight w:val="0"/>
      <w:marTop w:val="0"/>
      <w:marBottom w:val="0"/>
      <w:divBdr>
        <w:top w:val="none" w:sz="0" w:space="0" w:color="auto"/>
        <w:left w:val="none" w:sz="0" w:space="0" w:color="auto"/>
        <w:bottom w:val="none" w:sz="0" w:space="0" w:color="auto"/>
        <w:right w:val="none" w:sz="0" w:space="0" w:color="auto"/>
      </w:divBdr>
    </w:div>
    <w:div w:id="490877441">
      <w:bodyDiv w:val="1"/>
      <w:marLeft w:val="0"/>
      <w:marRight w:val="0"/>
      <w:marTop w:val="0"/>
      <w:marBottom w:val="0"/>
      <w:divBdr>
        <w:top w:val="none" w:sz="0" w:space="0" w:color="auto"/>
        <w:left w:val="none" w:sz="0" w:space="0" w:color="auto"/>
        <w:bottom w:val="none" w:sz="0" w:space="0" w:color="auto"/>
        <w:right w:val="none" w:sz="0" w:space="0" w:color="auto"/>
      </w:divBdr>
    </w:div>
    <w:div w:id="531578919">
      <w:bodyDiv w:val="1"/>
      <w:marLeft w:val="0"/>
      <w:marRight w:val="0"/>
      <w:marTop w:val="0"/>
      <w:marBottom w:val="0"/>
      <w:divBdr>
        <w:top w:val="none" w:sz="0" w:space="0" w:color="auto"/>
        <w:left w:val="none" w:sz="0" w:space="0" w:color="auto"/>
        <w:bottom w:val="none" w:sz="0" w:space="0" w:color="auto"/>
        <w:right w:val="none" w:sz="0" w:space="0" w:color="auto"/>
      </w:divBdr>
    </w:div>
    <w:div w:id="577710104">
      <w:bodyDiv w:val="1"/>
      <w:marLeft w:val="0"/>
      <w:marRight w:val="0"/>
      <w:marTop w:val="0"/>
      <w:marBottom w:val="0"/>
      <w:divBdr>
        <w:top w:val="none" w:sz="0" w:space="0" w:color="auto"/>
        <w:left w:val="none" w:sz="0" w:space="0" w:color="auto"/>
        <w:bottom w:val="none" w:sz="0" w:space="0" w:color="auto"/>
        <w:right w:val="none" w:sz="0" w:space="0" w:color="auto"/>
      </w:divBdr>
    </w:div>
    <w:div w:id="707729586">
      <w:bodyDiv w:val="1"/>
      <w:marLeft w:val="0"/>
      <w:marRight w:val="0"/>
      <w:marTop w:val="0"/>
      <w:marBottom w:val="0"/>
      <w:divBdr>
        <w:top w:val="none" w:sz="0" w:space="0" w:color="auto"/>
        <w:left w:val="none" w:sz="0" w:space="0" w:color="auto"/>
        <w:bottom w:val="none" w:sz="0" w:space="0" w:color="auto"/>
        <w:right w:val="none" w:sz="0" w:space="0" w:color="auto"/>
      </w:divBdr>
    </w:div>
    <w:div w:id="745734923">
      <w:bodyDiv w:val="1"/>
      <w:marLeft w:val="0"/>
      <w:marRight w:val="0"/>
      <w:marTop w:val="0"/>
      <w:marBottom w:val="0"/>
      <w:divBdr>
        <w:top w:val="none" w:sz="0" w:space="0" w:color="auto"/>
        <w:left w:val="none" w:sz="0" w:space="0" w:color="auto"/>
        <w:bottom w:val="none" w:sz="0" w:space="0" w:color="auto"/>
        <w:right w:val="none" w:sz="0" w:space="0" w:color="auto"/>
      </w:divBdr>
    </w:div>
    <w:div w:id="749232588">
      <w:bodyDiv w:val="1"/>
      <w:marLeft w:val="0"/>
      <w:marRight w:val="0"/>
      <w:marTop w:val="0"/>
      <w:marBottom w:val="0"/>
      <w:divBdr>
        <w:top w:val="none" w:sz="0" w:space="0" w:color="auto"/>
        <w:left w:val="none" w:sz="0" w:space="0" w:color="auto"/>
        <w:bottom w:val="none" w:sz="0" w:space="0" w:color="auto"/>
        <w:right w:val="none" w:sz="0" w:space="0" w:color="auto"/>
      </w:divBdr>
    </w:div>
    <w:div w:id="853417358">
      <w:bodyDiv w:val="1"/>
      <w:marLeft w:val="0"/>
      <w:marRight w:val="0"/>
      <w:marTop w:val="0"/>
      <w:marBottom w:val="0"/>
      <w:divBdr>
        <w:top w:val="none" w:sz="0" w:space="0" w:color="auto"/>
        <w:left w:val="none" w:sz="0" w:space="0" w:color="auto"/>
        <w:bottom w:val="none" w:sz="0" w:space="0" w:color="auto"/>
        <w:right w:val="none" w:sz="0" w:space="0" w:color="auto"/>
      </w:divBdr>
    </w:div>
    <w:div w:id="873272395">
      <w:bodyDiv w:val="1"/>
      <w:marLeft w:val="0"/>
      <w:marRight w:val="0"/>
      <w:marTop w:val="0"/>
      <w:marBottom w:val="0"/>
      <w:divBdr>
        <w:top w:val="none" w:sz="0" w:space="0" w:color="auto"/>
        <w:left w:val="none" w:sz="0" w:space="0" w:color="auto"/>
        <w:bottom w:val="none" w:sz="0" w:space="0" w:color="auto"/>
        <w:right w:val="none" w:sz="0" w:space="0" w:color="auto"/>
      </w:divBdr>
    </w:div>
    <w:div w:id="1076592312">
      <w:bodyDiv w:val="1"/>
      <w:marLeft w:val="0"/>
      <w:marRight w:val="0"/>
      <w:marTop w:val="0"/>
      <w:marBottom w:val="0"/>
      <w:divBdr>
        <w:top w:val="none" w:sz="0" w:space="0" w:color="auto"/>
        <w:left w:val="none" w:sz="0" w:space="0" w:color="auto"/>
        <w:bottom w:val="none" w:sz="0" w:space="0" w:color="auto"/>
        <w:right w:val="none" w:sz="0" w:space="0" w:color="auto"/>
      </w:divBdr>
    </w:div>
    <w:div w:id="1649238431">
      <w:bodyDiv w:val="1"/>
      <w:marLeft w:val="0"/>
      <w:marRight w:val="0"/>
      <w:marTop w:val="0"/>
      <w:marBottom w:val="0"/>
      <w:divBdr>
        <w:top w:val="none" w:sz="0" w:space="0" w:color="auto"/>
        <w:left w:val="none" w:sz="0" w:space="0" w:color="auto"/>
        <w:bottom w:val="none" w:sz="0" w:space="0" w:color="auto"/>
        <w:right w:val="none" w:sz="0" w:space="0" w:color="auto"/>
      </w:divBdr>
    </w:div>
    <w:div w:id="1714648953">
      <w:bodyDiv w:val="1"/>
      <w:marLeft w:val="0"/>
      <w:marRight w:val="0"/>
      <w:marTop w:val="0"/>
      <w:marBottom w:val="0"/>
      <w:divBdr>
        <w:top w:val="none" w:sz="0" w:space="0" w:color="auto"/>
        <w:left w:val="none" w:sz="0" w:space="0" w:color="auto"/>
        <w:bottom w:val="none" w:sz="0" w:space="0" w:color="auto"/>
        <w:right w:val="none" w:sz="0" w:space="0" w:color="auto"/>
      </w:divBdr>
    </w:div>
    <w:div w:id="1803965639">
      <w:bodyDiv w:val="1"/>
      <w:marLeft w:val="0"/>
      <w:marRight w:val="0"/>
      <w:marTop w:val="0"/>
      <w:marBottom w:val="0"/>
      <w:divBdr>
        <w:top w:val="none" w:sz="0" w:space="0" w:color="auto"/>
        <w:left w:val="none" w:sz="0" w:space="0" w:color="auto"/>
        <w:bottom w:val="none" w:sz="0" w:space="0" w:color="auto"/>
        <w:right w:val="none" w:sz="0" w:space="0" w:color="auto"/>
      </w:divBdr>
    </w:div>
    <w:div w:id="1846937265">
      <w:bodyDiv w:val="1"/>
      <w:marLeft w:val="0"/>
      <w:marRight w:val="0"/>
      <w:marTop w:val="0"/>
      <w:marBottom w:val="0"/>
      <w:divBdr>
        <w:top w:val="none" w:sz="0" w:space="0" w:color="auto"/>
        <w:left w:val="none" w:sz="0" w:space="0" w:color="auto"/>
        <w:bottom w:val="none" w:sz="0" w:space="0" w:color="auto"/>
        <w:right w:val="none" w:sz="0" w:space="0" w:color="auto"/>
      </w:divBdr>
    </w:div>
    <w:div w:id="1847789718">
      <w:bodyDiv w:val="1"/>
      <w:marLeft w:val="0"/>
      <w:marRight w:val="0"/>
      <w:marTop w:val="0"/>
      <w:marBottom w:val="0"/>
      <w:divBdr>
        <w:top w:val="none" w:sz="0" w:space="0" w:color="auto"/>
        <w:left w:val="none" w:sz="0" w:space="0" w:color="auto"/>
        <w:bottom w:val="none" w:sz="0" w:space="0" w:color="auto"/>
        <w:right w:val="none" w:sz="0" w:space="0" w:color="auto"/>
      </w:divBdr>
    </w:div>
    <w:div w:id="1866213250">
      <w:bodyDiv w:val="1"/>
      <w:marLeft w:val="0"/>
      <w:marRight w:val="0"/>
      <w:marTop w:val="0"/>
      <w:marBottom w:val="0"/>
      <w:divBdr>
        <w:top w:val="none" w:sz="0" w:space="0" w:color="auto"/>
        <w:left w:val="none" w:sz="0" w:space="0" w:color="auto"/>
        <w:bottom w:val="none" w:sz="0" w:space="0" w:color="auto"/>
        <w:right w:val="none" w:sz="0" w:space="0" w:color="auto"/>
      </w:divBdr>
    </w:div>
    <w:div w:id="1926648587">
      <w:bodyDiv w:val="1"/>
      <w:marLeft w:val="0"/>
      <w:marRight w:val="0"/>
      <w:marTop w:val="0"/>
      <w:marBottom w:val="0"/>
      <w:divBdr>
        <w:top w:val="none" w:sz="0" w:space="0" w:color="auto"/>
        <w:left w:val="none" w:sz="0" w:space="0" w:color="auto"/>
        <w:bottom w:val="none" w:sz="0" w:space="0" w:color="auto"/>
        <w:right w:val="none" w:sz="0" w:space="0" w:color="auto"/>
      </w:divBdr>
    </w:div>
    <w:div w:id="1930503834">
      <w:bodyDiv w:val="1"/>
      <w:marLeft w:val="0"/>
      <w:marRight w:val="0"/>
      <w:marTop w:val="0"/>
      <w:marBottom w:val="0"/>
      <w:divBdr>
        <w:top w:val="none" w:sz="0" w:space="0" w:color="auto"/>
        <w:left w:val="none" w:sz="0" w:space="0" w:color="auto"/>
        <w:bottom w:val="none" w:sz="0" w:space="0" w:color="auto"/>
        <w:right w:val="none" w:sz="0" w:space="0" w:color="auto"/>
      </w:divBdr>
    </w:div>
    <w:div w:id="1940062695">
      <w:bodyDiv w:val="1"/>
      <w:marLeft w:val="0"/>
      <w:marRight w:val="0"/>
      <w:marTop w:val="0"/>
      <w:marBottom w:val="0"/>
      <w:divBdr>
        <w:top w:val="none" w:sz="0" w:space="0" w:color="auto"/>
        <w:left w:val="none" w:sz="0" w:space="0" w:color="auto"/>
        <w:bottom w:val="none" w:sz="0" w:space="0" w:color="auto"/>
        <w:right w:val="none" w:sz="0" w:space="0" w:color="auto"/>
      </w:divBdr>
    </w:div>
    <w:div w:id="2001695381">
      <w:bodyDiv w:val="1"/>
      <w:marLeft w:val="0"/>
      <w:marRight w:val="0"/>
      <w:marTop w:val="0"/>
      <w:marBottom w:val="0"/>
      <w:divBdr>
        <w:top w:val="none" w:sz="0" w:space="0" w:color="auto"/>
        <w:left w:val="none" w:sz="0" w:space="0" w:color="auto"/>
        <w:bottom w:val="none" w:sz="0" w:space="0" w:color="auto"/>
        <w:right w:val="none" w:sz="0" w:space="0" w:color="auto"/>
      </w:divBdr>
    </w:div>
    <w:div w:id="2038308559">
      <w:bodyDiv w:val="1"/>
      <w:marLeft w:val="0"/>
      <w:marRight w:val="0"/>
      <w:marTop w:val="0"/>
      <w:marBottom w:val="0"/>
      <w:divBdr>
        <w:top w:val="none" w:sz="0" w:space="0" w:color="auto"/>
        <w:left w:val="none" w:sz="0" w:space="0" w:color="auto"/>
        <w:bottom w:val="none" w:sz="0" w:space="0" w:color="auto"/>
        <w:right w:val="none" w:sz="0" w:space="0" w:color="auto"/>
      </w:divBdr>
    </w:div>
    <w:div w:id="2127313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4</Pages>
  <Words>1638</Words>
  <Characters>9342</Characters>
  <Application>Microsoft Office Word</Application>
  <DocSecurity>0</DocSecurity>
  <Lines>77</Lines>
  <Paragraphs>21</Paragraphs>
  <ScaleCrop>false</ScaleCrop>
  <Company>University of Wales Trinity Saint David</Company>
  <LinksUpToDate>false</LinksUpToDate>
  <CharactersWithSpaces>10959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Mark Gallagher-Read</cp:lastModifiedBy>
  <cp:revision>63</cp:revision>
  <dcterms:created xsi:type="dcterms:W3CDTF">2024-10-15T09:42:00Z</dcterms:created>
  <dcterms:modified xsi:type="dcterms:W3CDTF">2024-10-19T17:13:00Z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8e0a993f-f596-438f-a834-1518c76eb4c7</vt:lpwstr>
  </property>
</Properties>
</file>