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85366" w14:textId="49A5D87A" w:rsidR="00C0551E" w:rsidRDefault="00C0551E" w:rsidP="00C0551E">
      <w:pPr>
        <w:pStyle w:val="Heading1"/>
      </w:pPr>
      <w:bookmarkStart w:id="0" w:name="_Hlk119234346"/>
      <w:r>
        <w:t>Compare and critically contrast Mircea Eliade and Emile Durkheim’s views of sacred space</w:t>
      </w:r>
    </w:p>
    <w:p w14:paraId="7A6E8EB1" w14:textId="3F948603" w:rsidR="00C0551E" w:rsidRDefault="00C0551E" w:rsidP="00C0551E">
      <w:r>
        <w:t>2250 WORDS</w:t>
      </w:r>
    </w:p>
    <w:p w14:paraId="3FE5F024" w14:textId="77777777" w:rsidR="00C0551E" w:rsidRPr="00C0551E" w:rsidRDefault="00C0551E" w:rsidP="00C0551E"/>
    <w:p w14:paraId="228EC60F" w14:textId="525F1368" w:rsidR="000F4191" w:rsidRDefault="000F4191" w:rsidP="007B1FD3">
      <w:pPr>
        <w:pStyle w:val="Heading2"/>
        <w:rPr>
          <w:lang w:val="en-US"/>
        </w:rPr>
      </w:pPr>
      <w:r>
        <w:rPr>
          <w:lang w:val="en-US"/>
        </w:rPr>
        <w:t>Introduction</w:t>
      </w:r>
    </w:p>
    <w:p w14:paraId="3A40643E" w14:textId="12900513" w:rsidR="008E21B9" w:rsidRDefault="000F4191" w:rsidP="008C46A4">
      <w:pPr>
        <w:rPr>
          <w:lang w:val="en-US"/>
        </w:rPr>
      </w:pPr>
      <w:r>
        <w:rPr>
          <w:lang w:val="en-US"/>
        </w:rPr>
        <w:t>This essay compare</w:t>
      </w:r>
      <w:r w:rsidR="007B1FD3">
        <w:rPr>
          <w:lang w:val="en-US"/>
        </w:rPr>
        <w:t>s</w:t>
      </w:r>
      <w:r w:rsidR="00CA691F">
        <w:rPr>
          <w:lang w:val="en-US"/>
        </w:rPr>
        <w:t xml:space="preserve"> </w:t>
      </w:r>
      <w:r>
        <w:rPr>
          <w:lang w:val="en-US"/>
        </w:rPr>
        <w:t xml:space="preserve">Durkheim’s view of sacred space as presented in </w:t>
      </w:r>
      <w:r w:rsidRPr="00B7201F">
        <w:rPr>
          <w:i/>
          <w:iCs/>
          <w:lang w:val="en-US"/>
        </w:rPr>
        <w:t xml:space="preserve">The </w:t>
      </w:r>
      <w:r w:rsidRPr="00FA7AC1">
        <w:rPr>
          <w:i/>
          <w:iCs/>
          <w:lang w:val="en-US"/>
        </w:rPr>
        <w:t>Elementary Forms of Religious Life</w:t>
      </w:r>
      <w:r w:rsidR="007B1FD3" w:rsidRPr="00FA7AC1">
        <w:rPr>
          <w:rStyle w:val="FootnoteReference"/>
          <w:i/>
          <w:iCs/>
          <w:lang w:val="en-US"/>
        </w:rPr>
        <w:footnoteReference w:id="1"/>
      </w:r>
      <w:r w:rsidRPr="00FA7AC1">
        <w:rPr>
          <w:i/>
          <w:iCs/>
          <w:lang w:val="en-US"/>
        </w:rPr>
        <w:t xml:space="preserve"> </w:t>
      </w:r>
      <w:r w:rsidRPr="00FA7AC1">
        <w:rPr>
          <w:lang w:val="en-US"/>
        </w:rPr>
        <w:t>wit</w:t>
      </w:r>
      <w:r w:rsidR="008E21B9" w:rsidRPr="00FA7AC1">
        <w:rPr>
          <w:lang w:val="en-US"/>
        </w:rPr>
        <w:t>h the description</w:t>
      </w:r>
      <w:r w:rsidRPr="00FA7AC1">
        <w:rPr>
          <w:lang w:val="en-US"/>
        </w:rPr>
        <w:t>s of sacredness</w:t>
      </w:r>
      <w:r w:rsidR="008E21B9" w:rsidRPr="00FA7AC1">
        <w:rPr>
          <w:lang w:val="en-US"/>
        </w:rPr>
        <w:t xml:space="preserve"> Eliade</w:t>
      </w:r>
      <w:r w:rsidRPr="00FA7AC1">
        <w:rPr>
          <w:lang w:val="en-US"/>
        </w:rPr>
        <w:t xml:space="preserve"> present</w:t>
      </w:r>
      <w:r w:rsidR="008E21B9" w:rsidRPr="00FA7AC1">
        <w:rPr>
          <w:lang w:val="en-US"/>
        </w:rPr>
        <w:t xml:space="preserve">s </w:t>
      </w:r>
      <w:r w:rsidRPr="00FA7AC1">
        <w:rPr>
          <w:lang w:val="en-US"/>
        </w:rPr>
        <w:t>in</w:t>
      </w:r>
      <w:r w:rsidRPr="0093250C">
        <w:rPr>
          <w:lang w:val="en-US"/>
        </w:rPr>
        <w:t xml:space="preserve"> </w:t>
      </w:r>
      <w:r w:rsidRPr="0093250C">
        <w:rPr>
          <w:i/>
          <w:iCs/>
          <w:lang w:val="en-US"/>
        </w:rPr>
        <w:t>The Sacred and the Profane</w:t>
      </w:r>
      <w:r w:rsidR="0093250C" w:rsidRPr="0093250C">
        <w:rPr>
          <w:rStyle w:val="FootnoteReference"/>
          <w:i/>
          <w:iCs/>
          <w:lang w:val="en-US"/>
        </w:rPr>
        <w:footnoteReference w:id="2"/>
      </w:r>
      <w:r w:rsidRPr="0093250C">
        <w:rPr>
          <w:lang w:val="en-US"/>
        </w:rPr>
        <w:t xml:space="preserve">. </w:t>
      </w:r>
      <w:r>
        <w:rPr>
          <w:lang w:val="en-US"/>
        </w:rPr>
        <w:t>Both</w:t>
      </w:r>
      <w:r w:rsidR="008E21B9">
        <w:rPr>
          <w:lang w:val="en-US"/>
        </w:rPr>
        <w:t xml:space="preserve"> scholars</w:t>
      </w:r>
      <w:r>
        <w:rPr>
          <w:lang w:val="en-US"/>
        </w:rPr>
        <w:t xml:space="preserve"> explore human relationship with sacredness in great detail </w:t>
      </w:r>
      <w:proofErr w:type="gramStart"/>
      <w:r w:rsidR="007B1FD3">
        <w:rPr>
          <w:lang w:val="en-US"/>
        </w:rPr>
        <w:t>but,</w:t>
      </w:r>
      <w:proofErr w:type="gramEnd"/>
      <w:r>
        <w:rPr>
          <w:lang w:val="en-US"/>
        </w:rPr>
        <w:t xml:space="preserve"> given the limited word allowance for this assignment, this essay will focus on just</w:t>
      </w:r>
      <w:r w:rsidR="008E21B9">
        <w:rPr>
          <w:lang w:val="en-US"/>
        </w:rPr>
        <w:t xml:space="preserve"> three</w:t>
      </w:r>
      <w:r>
        <w:rPr>
          <w:lang w:val="en-US"/>
        </w:rPr>
        <w:t xml:space="preserve"> key points</w:t>
      </w:r>
      <w:r w:rsidR="008C46A4">
        <w:rPr>
          <w:lang w:val="en-US"/>
        </w:rPr>
        <w:t xml:space="preserve"> of comparison</w:t>
      </w:r>
      <w:r w:rsidR="008E21B9">
        <w:rPr>
          <w:lang w:val="en-US"/>
        </w:rPr>
        <w:t>, namely</w:t>
      </w:r>
      <w:r>
        <w:rPr>
          <w:lang w:val="en-US"/>
        </w:rPr>
        <w:t>: the</w:t>
      </w:r>
      <w:r w:rsidR="008E21B9">
        <w:rPr>
          <w:lang w:val="en-US"/>
        </w:rPr>
        <w:t xml:space="preserve"> </w:t>
      </w:r>
      <w:r w:rsidRPr="007B1FD3">
        <w:rPr>
          <w:i/>
          <w:iCs/>
          <w:lang w:val="en-US"/>
        </w:rPr>
        <w:t>individual perspectives</w:t>
      </w:r>
      <w:r w:rsidR="007B1FD3">
        <w:rPr>
          <w:lang w:val="en-US"/>
        </w:rPr>
        <w:t xml:space="preserve"> through which they view sacredness</w:t>
      </w:r>
      <w:r w:rsidR="008E21B9">
        <w:rPr>
          <w:lang w:val="en-US"/>
        </w:rPr>
        <w:t xml:space="preserve">; </w:t>
      </w:r>
      <w:r>
        <w:rPr>
          <w:lang w:val="en-US"/>
        </w:rPr>
        <w:t xml:space="preserve">their </w:t>
      </w:r>
      <w:r w:rsidRPr="007B1FD3">
        <w:rPr>
          <w:i/>
          <w:iCs/>
          <w:lang w:val="en-US"/>
        </w:rPr>
        <w:t xml:space="preserve">definitions </w:t>
      </w:r>
      <w:r>
        <w:rPr>
          <w:lang w:val="en-US"/>
        </w:rPr>
        <w:t xml:space="preserve">of sacred space and the </w:t>
      </w:r>
      <w:r w:rsidRPr="007B1FD3">
        <w:rPr>
          <w:i/>
          <w:iCs/>
          <w:lang w:val="en-US"/>
        </w:rPr>
        <w:t xml:space="preserve">qualities </w:t>
      </w:r>
      <w:r>
        <w:rPr>
          <w:lang w:val="en-US"/>
        </w:rPr>
        <w:t xml:space="preserve">they assign to it; what they see as the </w:t>
      </w:r>
      <w:r w:rsidRPr="007B1FD3">
        <w:rPr>
          <w:i/>
          <w:iCs/>
          <w:lang w:val="en-US"/>
        </w:rPr>
        <w:t>purpose</w:t>
      </w:r>
      <w:r w:rsidR="007B1FD3">
        <w:rPr>
          <w:i/>
          <w:iCs/>
          <w:lang w:val="en-US"/>
        </w:rPr>
        <w:t xml:space="preserve"> </w:t>
      </w:r>
      <w:r w:rsidR="007B1FD3">
        <w:rPr>
          <w:lang w:val="en-US"/>
        </w:rPr>
        <w:t xml:space="preserve">and </w:t>
      </w:r>
      <w:r w:rsidRPr="007B1FD3">
        <w:rPr>
          <w:i/>
          <w:iCs/>
          <w:lang w:val="en-US"/>
        </w:rPr>
        <w:t>significance</w:t>
      </w:r>
      <w:r w:rsidR="007B1FD3">
        <w:rPr>
          <w:lang w:val="en-US"/>
        </w:rPr>
        <w:t xml:space="preserve"> </w:t>
      </w:r>
      <w:r>
        <w:rPr>
          <w:lang w:val="en-US"/>
        </w:rPr>
        <w:t>of sacredness</w:t>
      </w:r>
      <w:r w:rsidR="008E21B9">
        <w:rPr>
          <w:lang w:val="en-US"/>
        </w:rPr>
        <w:t>.</w:t>
      </w:r>
      <w:r w:rsidR="00883A83">
        <w:rPr>
          <w:rStyle w:val="FootnoteReference"/>
          <w:lang w:val="en-US"/>
        </w:rPr>
        <w:footnoteReference w:id="3"/>
      </w:r>
      <w:r w:rsidR="008E21B9">
        <w:rPr>
          <w:lang w:val="en-US"/>
        </w:rPr>
        <w:t xml:space="preserve"> </w:t>
      </w:r>
      <w:r w:rsidR="00883A83">
        <w:rPr>
          <w:lang w:val="en-US"/>
        </w:rPr>
        <w:t xml:space="preserve">  </w:t>
      </w:r>
    </w:p>
    <w:p w14:paraId="2CDCE088" w14:textId="136F03A9" w:rsidR="000F4191" w:rsidRDefault="000F4191" w:rsidP="00424F91">
      <w:pPr>
        <w:pStyle w:val="Heading6"/>
        <w:rPr>
          <w:lang w:val="en-US"/>
        </w:rPr>
      </w:pPr>
      <w:r>
        <w:rPr>
          <w:lang w:val="en-US"/>
        </w:rPr>
        <w:t>Backgroun</w:t>
      </w:r>
      <w:r w:rsidR="00641024">
        <w:rPr>
          <w:lang w:val="en-US"/>
        </w:rPr>
        <w:t>d</w:t>
      </w:r>
    </w:p>
    <w:p w14:paraId="4CFEF0DB" w14:textId="11BF529F" w:rsidR="000F4191" w:rsidRPr="008E21B9" w:rsidRDefault="000F4191" w:rsidP="000F4191">
      <w:pPr>
        <w:rPr>
          <w:color w:val="FF0000"/>
          <w:lang w:val="en-US"/>
        </w:rPr>
      </w:pPr>
      <w:r>
        <w:rPr>
          <w:lang w:val="en-US"/>
        </w:rPr>
        <w:t>A French Jew, whose father and grandfather were both rabbis</w:t>
      </w:r>
      <w:r w:rsidR="0049215A">
        <w:rPr>
          <w:rStyle w:val="FootnoteReference"/>
          <w:lang w:val="en-US"/>
        </w:rPr>
        <w:footnoteReference w:id="4"/>
      </w:r>
      <w:r>
        <w:rPr>
          <w:lang w:val="en-US"/>
        </w:rPr>
        <w:t xml:space="preserve"> </w:t>
      </w:r>
      <w:r w:rsidRPr="00255366">
        <w:rPr>
          <w:color w:val="FF0000"/>
          <w:lang w:val="en-US"/>
        </w:rPr>
        <w:t xml:space="preserve"> </w:t>
      </w:r>
      <w:r>
        <w:rPr>
          <w:lang w:val="en-US"/>
        </w:rPr>
        <w:t>Durkheim himself favored social science and education over a religious career</w:t>
      </w:r>
      <w:r w:rsidR="0049215A" w:rsidRPr="0049215A">
        <w:rPr>
          <w:rStyle w:val="FootnoteReference"/>
          <w:lang w:val="en-US"/>
        </w:rPr>
        <w:footnoteReference w:id="5"/>
      </w:r>
      <w:r w:rsidRPr="0049215A">
        <w:rPr>
          <w:lang w:val="en-US"/>
        </w:rPr>
        <w:t xml:space="preserve">.  </w:t>
      </w:r>
      <w:r w:rsidR="008E21B9" w:rsidRPr="0049215A">
        <w:rPr>
          <w:lang w:val="en-US"/>
        </w:rPr>
        <w:t>He</w:t>
      </w:r>
      <w:r w:rsidRPr="0049215A">
        <w:rPr>
          <w:lang w:val="en-US"/>
        </w:rPr>
        <w:t xml:space="preserve"> </w:t>
      </w:r>
      <w:r w:rsidR="00844793" w:rsidRPr="0049215A">
        <w:rPr>
          <w:lang w:val="en-US"/>
        </w:rPr>
        <w:t xml:space="preserve">was </w:t>
      </w:r>
      <w:r w:rsidR="00844793">
        <w:rPr>
          <w:lang w:val="en-US"/>
        </w:rPr>
        <w:t>Professor of Education</w:t>
      </w:r>
      <w:r>
        <w:rPr>
          <w:lang w:val="en-US"/>
        </w:rPr>
        <w:t xml:space="preserve"> at the Sorbonne</w:t>
      </w:r>
      <w:r w:rsidR="00844793">
        <w:rPr>
          <w:lang w:val="en-US"/>
        </w:rPr>
        <w:t xml:space="preserve"> in Paris</w:t>
      </w:r>
      <w:r w:rsidR="00641024">
        <w:rPr>
          <w:rStyle w:val="FootnoteReference"/>
          <w:lang w:val="en-US"/>
        </w:rPr>
        <w:footnoteReference w:id="6"/>
      </w:r>
      <w:r>
        <w:rPr>
          <w:lang w:val="en-US"/>
        </w:rPr>
        <w:t xml:space="preserve">  </w:t>
      </w:r>
      <w:r w:rsidR="00844793">
        <w:rPr>
          <w:lang w:val="en-US"/>
        </w:rPr>
        <w:t>when</w:t>
      </w:r>
      <w:r>
        <w:rPr>
          <w:lang w:val="en-US"/>
        </w:rPr>
        <w:t xml:space="preserve"> </w:t>
      </w:r>
      <w:r w:rsidRPr="00524AE1">
        <w:rPr>
          <w:i/>
          <w:iCs/>
          <w:lang w:val="en-US"/>
        </w:rPr>
        <w:t xml:space="preserve">Forms </w:t>
      </w:r>
      <w:r>
        <w:rPr>
          <w:lang w:val="en-US"/>
        </w:rPr>
        <w:t>was published in 1912.</w:t>
      </w:r>
      <w:r w:rsidR="008E21B9">
        <w:rPr>
          <w:lang w:val="en-US"/>
        </w:rPr>
        <w:t xml:space="preserve"> </w:t>
      </w:r>
      <w:r w:rsidR="00641024">
        <w:rPr>
          <w:lang w:val="en-US"/>
        </w:rPr>
        <w:t xml:space="preserve">In an increasingly secularized and industrialized world, </w:t>
      </w:r>
      <w:r w:rsidR="008E21B9">
        <w:rPr>
          <w:lang w:val="en-US"/>
        </w:rPr>
        <w:t>scholars l</w:t>
      </w:r>
      <w:r>
        <w:rPr>
          <w:lang w:val="en-US"/>
        </w:rPr>
        <w:t xml:space="preserve">ike Spencer and Muller were trying to bring the objectivity of science to the study of society and </w:t>
      </w:r>
      <w:r w:rsidRPr="0093250C">
        <w:rPr>
          <w:lang w:val="en-US"/>
        </w:rPr>
        <w:t>religion</w:t>
      </w:r>
      <w:r w:rsidR="0093250C" w:rsidRPr="0093250C">
        <w:rPr>
          <w:lang w:val="en-US"/>
        </w:rPr>
        <w:t xml:space="preserve"> </w:t>
      </w:r>
      <w:proofErr w:type="gramStart"/>
      <w:r w:rsidR="0093250C" w:rsidRPr="0093250C">
        <w:rPr>
          <w:lang w:val="en-US"/>
        </w:rPr>
        <w:t>and,</w:t>
      </w:r>
      <w:proofErr w:type="gramEnd"/>
      <w:r w:rsidR="0093250C" w:rsidRPr="0093250C">
        <w:rPr>
          <w:lang w:val="en-US"/>
        </w:rPr>
        <w:t xml:space="preserve"> being </w:t>
      </w:r>
      <w:r w:rsidR="0093250C">
        <w:rPr>
          <w:lang w:val="en-US"/>
        </w:rPr>
        <w:t>deeply embedded in academia, Durkheim w</w:t>
      </w:r>
      <w:r w:rsidR="0093250C">
        <w:rPr>
          <w:lang w:val="en-US"/>
        </w:rPr>
        <w:t>as</w:t>
      </w:r>
      <w:r w:rsidR="0093250C">
        <w:rPr>
          <w:lang w:val="en-US"/>
        </w:rPr>
        <w:t xml:space="preserve"> aware of the work of his contemporaries</w:t>
      </w:r>
      <w:r w:rsidR="0093250C">
        <w:rPr>
          <w:lang w:val="en-US"/>
        </w:rPr>
        <w:t xml:space="preserve"> and addresses some of their work in </w:t>
      </w:r>
      <w:r w:rsidR="0093250C">
        <w:rPr>
          <w:i/>
          <w:iCs/>
          <w:lang w:val="en-US"/>
        </w:rPr>
        <w:t>Forms.</w:t>
      </w:r>
      <w:r w:rsidR="0093250C">
        <w:rPr>
          <w:rStyle w:val="FootnoteReference"/>
          <w:lang w:val="en-US"/>
        </w:rPr>
        <w:footnoteReference w:id="7"/>
      </w:r>
      <w:r>
        <w:rPr>
          <w:color w:val="FF0000"/>
          <w:lang w:val="en-US"/>
        </w:rPr>
        <w:t xml:space="preserve"> </w:t>
      </w:r>
      <w:r w:rsidR="008E21B9">
        <w:rPr>
          <w:color w:val="FF0000"/>
          <w:lang w:val="en-US"/>
        </w:rPr>
        <w:t xml:space="preserve"> </w:t>
      </w:r>
    </w:p>
    <w:p w14:paraId="6B6ADACC" w14:textId="70D08D4A" w:rsidR="000F4191" w:rsidRPr="000F0876" w:rsidRDefault="000F4191" w:rsidP="000F4191">
      <w:pPr>
        <w:rPr>
          <w:color w:val="FF0000"/>
        </w:rPr>
      </w:pPr>
      <w:r>
        <w:rPr>
          <w:lang w:val="en-US"/>
        </w:rPr>
        <w:t xml:space="preserve">Born in Romania in 1907, Eliade was known </w:t>
      </w:r>
      <w:r w:rsidR="008C46A4">
        <w:rPr>
          <w:lang w:val="en-US"/>
        </w:rPr>
        <w:t xml:space="preserve">first </w:t>
      </w:r>
      <w:r>
        <w:rPr>
          <w:lang w:val="en-US"/>
        </w:rPr>
        <w:t xml:space="preserve">as a writer of fiction before </w:t>
      </w:r>
      <w:r w:rsidR="00641024">
        <w:rPr>
          <w:lang w:val="en-US"/>
        </w:rPr>
        <w:t xml:space="preserve">becoming a scholar of the history </w:t>
      </w:r>
      <w:r>
        <w:rPr>
          <w:lang w:val="en-US"/>
        </w:rPr>
        <w:t>of religio</w:t>
      </w:r>
      <w:r w:rsidRPr="008A6A95">
        <w:rPr>
          <w:lang w:val="en-US"/>
        </w:rPr>
        <w:t>n.</w:t>
      </w:r>
      <w:r w:rsidR="00EE7704" w:rsidRPr="008A6A95">
        <w:rPr>
          <w:rStyle w:val="FootnoteReference"/>
          <w:lang w:val="en-US"/>
        </w:rPr>
        <w:footnoteReference w:id="8"/>
      </w:r>
      <w:r w:rsidRPr="008A6A95">
        <w:rPr>
          <w:lang w:val="en-US"/>
        </w:rPr>
        <w:t xml:space="preserve"> </w:t>
      </w:r>
      <w:r>
        <w:rPr>
          <w:lang w:val="en-US"/>
        </w:rPr>
        <w:t>After WW2 and the rise of the communist party in Romania</w:t>
      </w:r>
      <w:r w:rsidR="008A6A95">
        <w:rPr>
          <w:lang w:val="en-US"/>
        </w:rPr>
        <w:t>, Eliade</w:t>
      </w:r>
      <w:r>
        <w:rPr>
          <w:lang w:val="en-US"/>
        </w:rPr>
        <w:t xml:space="preserve"> moved to the USA</w:t>
      </w:r>
      <w:r w:rsidR="008A6A95">
        <w:rPr>
          <w:rStyle w:val="FootnoteReference"/>
          <w:lang w:val="en-US"/>
        </w:rPr>
        <w:footnoteReference w:id="9"/>
      </w:r>
      <w:r>
        <w:rPr>
          <w:lang w:val="en-US"/>
        </w:rPr>
        <w:t xml:space="preserve">. Unlike </w:t>
      </w:r>
      <w:r>
        <w:t>Durkheim, who wrote</w:t>
      </w:r>
      <w:r w:rsidRPr="0074750B">
        <w:rPr>
          <w:i/>
          <w:iCs/>
        </w:rPr>
        <w:t xml:space="preserve"> Forms</w:t>
      </w:r>
      <w:r>
        <w:t xml:space="preserve"> at the end of his </w:t>
      </w:r>
      <w:proofErr w:type="gramStart"/>
      <w:r>
        <w:t xml:space="preserve">career, </w:t>
      </w:r>
      <w:r w:rsidR="008C46A4">
        <w:t xml:space="preserve"> </w:t>
      </w:r>
      <w:r w:rsidRPr="0074750B">
        <w:rPr>
          <w:i/>
          <w:iCs/>
        </w:rPr>
        <w:t>The</w:t>
      </w:r>
      <w:proofErr w:type="gramEnd"/>
      <w:r w:rsidRPr="0074750B">
        <w:rPr>
          <w:i/>
          <w:iCs/>
        </w:rPr>
        <w:t xml:space="preserve"> Sacred and The Profane</w:t>
      </w:r>
      <w:r>
        <w:t xml:space="preserve"> was published shortly after </w:t>
      </w:r>
      <w:r w:rsidR="008C46A4">
        <w:t>Eliade</w:t>
      </w:r>
      <w:r>
        <w:t xml:space="preserve"> </w:t>
      </w:r>
      <w:r w:rsidR="00641024">
        <w:t xml:space="preserve">emigrated </w:t>
      </w:r>
      <w:r>
        <w:t xml:space="preserve">to </w:t>
      </w:r>
      <w:proofErr w:type="gramStart"/>
      <w:r>
        <w:t>USA</w:t>
      </w:r>
      <w:proofErr w:type="gramEnd"/>
      <w:r>
        <w:t>, as he was establish</w:t>
      </w:r>
      <w:r w:rsidR="00A86BD0">
        <w:t>ing</w:t>
      </w:r>
      <w:r>
        <w:t xml:space="preserve"> his academic career there. H</w:t>
      </w:r>
      <w:r w:rsidR="008C46A4">
        <w:t>e was, h</w:t>
      </w:r>
      <w:r>
        <w:t xml:space="preserve">owever, </w:t>
      </w:r>
      <w:r w:rsidR="008C46A4">
        <w:t>already</w:t>
      </w:r>
      <w:r>
        <w:t xml:space="preserve"> deemed a figure ‘of worldwide academic importance’</w:t>
      </w:r>
      <w:r w:rsidR="009341E8">
        <w:rPr>
          <w:rStyle w:val="FootnoteReference"/>
        </w:rPr>
        <w:footnoteReference w:id="10"/>
      </w:r>
      <w:r w:rsidR="008C46A4">
        <w:t xml:space="preserve"> by 1958</w:t>
      </w:r>
      <w:r w:rsidR="009341E8">
        <w:t>.</w:t>
      </w:r>
      <w:r>
        <w:t xml:space="preserve"> </w:t>
      </w:r>
    </w:p>
    <w:p w14:paraId="7E7A174D" w14:textId="77777777" w:rsidR="000F4191" w:rsidRDefault="000F4191" w:rsidP="00077A1D">
      <w:pPr>
        <w:pStyle w:val="Heading4"/>
        <w:rPr>
          <w:lang w:val="en-US"/>
        </w:rPr>
      </w:pPr>
    </w:p>
    <w:p w14:paraId="375EF63A" w14:textId="5118D3A1" w:rsidR="008A6A95" w:rsidRPr="008A6A95" w:rsidRDefault="00283FDF" w:rsidP="00424F91">
      <w:pPr>
        <w:pStyle w:val="Heading2"/>
        <w:rPr>
          <w:lang w:val="en-US"/>
        </w:rPr>
      </w:pPr>
      <w:r>
        <w:rPr>
          <w:lang w:val="en-US"/>
        </w:rPr>
        <w:t xml:space="preserve">Perspectives  </w:t>
      </w:r>
    </w:p>
    <w:p w14:paraId="20BF12FA" w14:textId="4DFF7B49" w:rsidR="00077A1D" w:rsidRDefault="00077A1D" w:rsidP="00077A1D">
      <w:pPr>
        <w:rPr>
          <w:lang w:val="en-US"/>
        </w:rPr>
      </w:pPr>
      <w:r>
        <w:rPr>
          <w:lang w:val="en-US"/>
        </w:rPr>
        <w:t>Durkheim explore</w:t>
      </w:r>
      <w:r w:rsidR="00A86BD0">
        <w:rPr>
          <w:lang w:val="en-US"/>
        </w:rPr>
        <w:t>d</w:t>
      </w:r>
      <w:r>
        <w:rPr>
          <w:lang w:val="en-US"/>
        </w:rPr>
        <w:t xml:space="preserve"> sacredness within the framework of positive science. Pointing out that ‘like all positive science, [</w:t>
      </w:r>
      <w:r w:rsidRPr="00251F61">
        <w:rPr>
          <w:i/>
          <w:iCs/>
          <w:lang w:val="en-US"/>
        </w:rPr>
        <w:t>Forms</w:t>
      </w:r>
      <w:r>
        <w:rPr>
          <w:lang w:val="en-US"/>
        </w:rPr>
        <w:t>’] goal is first and foremost to explain a current reality, something close to us and consequently capable of affecting our ideas and actions’</w:t>
      </w:r>
      <w:r w:rsidR="00360234">
        <w:rPr>
          <w:rStyle w:val="FootnoteReference"/>
          <w:lang w:val="en-US"/>
        </w:rPr>
        <w:footnoteReference w:id="11"/>
      </w:r>
      <w:r>
        <w:rPr>
          <w:lang w:val="en-US"/>
        </w:rPr>
        <w:t xml:space="preserve"> Durkheim, the sociologist, </w:t>
      </w:r>
      <w:r w:rsidR="00A86BD0">
        <w:rPr>
          <w:lang w:val="en-US"/>
        </w:rPr>
        <w:t xml:space="preserve">wants to know what it means for </w:t>
      </w:r>
      <w:r>
        <w:rPr>
          <w:lang w:val="en-US"/>
        </w:rPr>
        <w:t xml:space="preserve">society. For </w:t>
      </w:r>
      <w:r w:rsidR="009341E8">
        <w:rPr>
          <w:lang w:val="en-US"/>
        </w:rPr>
        <w:t>him</w:t>
      </w:r>
      <w:r>
        <w:rPr>
          <w:lang w:val="en-US"/>
        </w:rPr>
        <w:t>, religion becomes a topic worthy of scientific investigation because</w:t>
      </w:r>
      <w:r w:rsidR="009341E8">
        <w:rPr>
          <w:lang w:val="en-US"/>
        </w:rPr>
        <w:t xml:space="preserve"> </w:t>
      </w:r>
      <w:r>
        <w:rPr>
          <w:lang w:val="en-US"/>
        </w:rPr>
        <w:t xml:space="preserve">it emanates from society and acts as a means of making itself </w:t>
      </w:r>
      <w:r w:rsidRPr="00360234">
        <w:rPr>
          <w:lang w:val="en-US"/>
        </w:rPr>
        <w:t>real.</w:t>
      </w:r>
      <w:r w:rsidR="00360234" w:rsidRPr="00360234">
        <w:rPr>
          <w:rStyle w:val="FootnoteReference"/>
          <w:lang w:val="en-US"/>
        </w:rPr>
        <w:footnoteReference w:id="12"/>
      </w:r>
      <w:r w:rsidRPr="00360234">
        <w:rPr>
          <w:lang w:val="en-US"/>
        </w:rPr>
        <w:t xml:space="preserve"> However</w:t>
      </w:r>
      <w:r>
        <w:rPr>
          <w:lang w:val="en-US"/>
        </w:rPr>
        <w:t>, alongside this functional view of religion, for Durkheim, the sacred also provides the framework for human ‘social categories of thought’</w:t>
      </w:r>
      <w:r w:rsidR="0093250C">
        <w:rPr>
          <w:rStyle w:val="FootnoteReference"/>
          <w:lang w:val="en-US"/>
        </w:rPr>
        <w:footnoteReference w:id="13"/>
      </w:r>
      <w:r>
        <w:rPr>
          <w:color w:val="FF0000"/>
          <w:lang w:val="en-US"/>
        </w:rPr>
        <w:t xml:space="preserve"> </w:t>
      </w:r>
      <w:r>
        <w:rPr>
          <w:lang w:val="en-US"/>
        </w:rPr>
        <w:t xml:space="preserve"> and it is this that allow</w:t>
      </w:r>
      <w:r w:rsidR="009D36EF">
        <w:rPr>
          <w:lang w:val="en-US"/>
        </w:rPr>
        <w:t>s</w:t>
      </w:r>
      <w:r>
        <w:rPr>
          <w:lang w:val="en-US"/>
        </w:rPr>
        <w:t xml:space="preserve"> Durkheim to assert that science itself emerges from religion</w:t>
      </w:r>
      <w:r w:rsidR="0093250C">
        <w:rPr>
          <w:rStyle w:val="FootnoteReference"/>
          <w:lang w:val="en-US"/>
        </w:rPr>
        <w:footnoteReference w:id="14"/>
      </w:r>
      <w:r>
        <w:rPr>
          <w:lang w:val="en-US"/>
        </w:rPr>
        <w:t xml:space="preserve">. </w:t>
      </w:r>
    </w:p>
    <w:p w14:paraId="229A7C42" w14:textId="1177C590" w:rsidR="00077A1D" w:rsidRDefault="00077A1D" w:rsidP="00077A1D">
      <w:pPr>
        <w:rPr>
          <w:lang w:val="en-US"/>
        </w:rPr>
      </w:pPr>
      <w:r>
        <w:rPr>
          <w:lang w:val="en-US"/>
        </w:rPr>
        <w:t xml:space="preserve">Whereas Durkheim was examining the external, social factors of the experience of sacredness, seeking to understand how it contributes to social </w:t>
      </w:r>
      <w:proofErr w:type="spellStart"/>
      <w:r>
        <w:rPr>
          <w:lang w:val="en-US"/>
        </w:rPr>
        <w:t>behaviour</w:t>
      </w:r>
      <w:proofErr w:type="spellEnd"/>
      <w:r>
        <w:rPr>
          <w:lang w:val="en-US"/>
        </w:rPr>
        <w:t xml:space="preserve"> and cohesion, Eliade studies the sacred from the perspective of </w:t>
      </w:r>
      <w:proofErr w:type="gramStart"/>
      <w:r>
        <w:rPr>
          <w:lang w:val="en-US"/>
        </w:rPr>
        <w:t>an</w:t>
      </w:r>
      <w:proofErr w:type="gramEnd"/>
      <w:r>
        <w:rPr>
          <w:lang w:val="en-US"/>
        </w:rPr>
        <w:t xml:space="preserve"> historian of religion. Eliade explains that his purpose is to ‘bring out the specific characteristics of the religious experience’</w:t>
      </w:r>
      <w:r w:rsidR="0093250C">
        <w:rPr>
          <w:rStyle w:val="FootnoteReference"/>
          <w:lang w:val="en-US"/>
        </w:rPr>
        <w:footnoteReference w:id="15"/>
      </w:r>
      <w:r>
        <w:rPr>
          <w:lang w:val="en-US"/>
        </w:rPr>
        <w:t xml:space="preserve"> and to show how it differs from profane experience. Unlike Durkheim who wants to know what religion is for, Eliade’s more interpretivist approach focuses on what it feels like.</w:t>
      </w:r>
      <w:r w:rsidR="00917500">
        <w:rPr>
          <w:rStyle w:val="FootnoteReference"/>
          <w:lang w:val="en-US"/>
        </w:rPr>
        <w:footnoteReference w:id="16"/>
      </w:r>
      <w:r>
        <w:rPr>
          <w:lang w:val="en-US"/>
        </w:rPr>
        <w:t xml:space="preserve">  Like Durkheim, Eliade does, however, also examine how individual experience of the sacred can then be shared and experienced at a collective level</w:t>
      </w:r>
      <w:r w:rsidR="0049215A">
        <w:rPr>
          <w:rStyle w:val="FootnoteReference"/>
          <w:lang w:val="en-US"/>
        </w:rPr>
        <w:footnoteReference w:id="17"/>
      </w:r>
      <w:r>
        <w:rPr>
          <w:lang w:val="en-US"/>
        </w:rPr>
        <w:t xml:space="preserve">.    </w:t>
      </w:r>
    </w:p>
    <w:p w14:paraId="1B9DB510" w14:textId="3A7CA475" w:rsidR="00077A1D" w:rsidRPr="00251FFA" w:rsidRDefault="00077A1D" w:rsidP="00077A1D">
      <w:pPr>
        <w:rPr>
          <w:color w:val="FF0000"/>
          <w:lang w:val="en-US"/>
        </w:rPr>
      </w:pPr>
      <w:r>
        <w:rPr>
          <w:lang w:val="en-US"/>
        </w:rPr>
        <w:t xml:space="preserve">Despite this difference of perspective, both Eliade and Durkheim are clear that they are studying religion as an all-compassing phenomenon, as opposed to digging down into the particulars of one or two specific religions, for, as Eliade says, ‘all these [religious cultures] arise from a single type of behavior, that of </w:t>
      </w:r>
      <w:r w:rsidRPr="00251FFA">
        <w:rPr>
          <w:i/>
          <w:iCs/>
          <w:lang w:val="en-US"/>
        </w:rPr>
        <w:t>homo religious</w:t>
      </w:r>
      <w:r>
        <w:rPr>
          <w:lang w:val="en-US"/>
        </w:rPr>
        <w:t>.’</w:t>
      </w:r>
      <w:r w:rsidR="0093250C">
        <w:rPr>
          <w:rStyle w:val="FootnoteReference"/>
          <w:lang w:val="en-US"/>
        </w:rPr>
        <w:footnoteReference w:id="18"/>
      </w:r>
      <w:r>
        <w:rPr>
          <w:lang w:val="en-US"/>
        </w:rPr>
        <w:t xml:space="preserve"> </w:t>
      </w:r>
    </w:p>
    <w:p w14:paraId="1DD0454D" w14:textId="41B6B455" w:rsidR="00283FDF" w:rsidRDefault="009341E8" w:rsidP="00283FDF">
      <w:pPr>
        <w:rPr>
          <w:lang w:val="en-US"/>
        </w:rPr>
      </w:pPr>
      <w:r>
        <w:rPr>
          <w:lang w:val="en-US"/>
        </w:rPr>
        <w:t xml:space="preserve">Positioning his study of </w:t>
      </w:r>
      <w:r w:rsidR="00283FDF">
        <w:rPr>
          <w:lang w:val="en-US"/>
        </w:rPr>
        <w:t xml:space="preserve">religion </w:t>
      </w:r>
      <w:r>
        <w:rPr>
          <w:lang w:val="en-US"/>
        </w:rPr>
        <w:t xml:space="preserve">from the position </w:t>
      </w:r>
      <w:r w:rsidR="00283FDF">
        <w:rPr>
          <w:lang w:val="en-US"/>
        </w:rPr>
        <w:t>of realism</w:t>
      </w:r>
      <w:r w:rsidR="0049215A">
        <w:rPr>
          <w:rStyle w:val="FootnoteReference"/>
          <w:lang w:val="en-US"/>
        </w:rPr>
        <w:footnoteReference w:id="19"/>
      </w:r>
      <w:r w:rsidR="0049215A">
        <w:rPr>
          <w:lang w:val="en-US"/>
        </w:rPr>
        <w:t xml:space="preserve"> </w:t>
      </w:r>
      <w:r>
        <w:rPr>
          <w:lang w:val="en-US"/>
        </w:rPr>
        <w:t>(</w:t>
      </w:r>
      <w:r w:rsidR="00283FDF">
        <w:rPr>
          <w:lang w:val="en-US"/>
        </w:rPr>
        <w:t>unlike the naturist approach of Max Muller and the animist approach of E B Taylor, and unlike Spencer, who felt religion was unknowable in its metaphysical manifestations</w:t>
      </w:r>
      <w:r>
        <w:rPr>
          <w:lang w:val="en-US"/>
        </w:rPr>
        <w:t>)</w:t>
      </w:r>
      <w:r w:rsidR="00283FDF">
        <w:rPr>
          <w:lang w:val="en-US"/>
        </w:rPr>
        <w:t>, Durkheim set his study apart from the work</w:t>
      </w:r>
      <w:r>
        <w:rPr>
          <w:lang w:val="en-US"/>
        </w:rPr>
        <w:t xml:space="preserve"> of his contemporaries </w:t>
      </w:r>
      <w:r w:rsidR="00283FDF">
        <w:rPr>
          <w:lang w:val="en-US"/>
        </w:rPr>
        <w:t>by proposing that religion can be studied objectively and scientifically</w:t>
      </w:r>
      <w:r w:rsidR="0049215A">
        <w:rPr>
          <w:rStyle w:val="FootnoteReference"/>
          <w:lang w:val="en-US"/>
        </w:rPr>
        <w:footnoteReference w:id="20"/>
      </w:r>
      <w:r w:rsidR="00283FDF">
        <w:rPr>
          <w:lang w:val="en-US"/>
        </w:rPr>
        <w:t>.</w:t>
      </w:r>
      <w:r>
        <w:rPr>
          <w:lang w:val="en-US"/>
        </w:rPr>
        <w:t xml:space="preserve"> However,</w:t>
      </w:r>
      <w:r w:rsidR="00283FDF">
        <w:rPr>
          <w:lang w:val="en-US"/>
        </w:rPr>
        <w:t xml:space="preserve"> </w:t>
      </w:r>
      <w:r w:rsidR="00F771D8">
        <w:rPr>
          <w:lang w:val="en-US"/>
        </w:rPr>
        <w:t xml:space="preserve">Lynch (2012) points out that, by studying religion from a scientific, secular </w:t>
      </w:r>
      <w:proofErr w:type="spellStart"/>
      <w:r w:rsidR="00F771D8">
        <w:rPr>
          <w:lang w:val="en-US"/>
        </w:rPr>
        <w:t>osition</w:t>
      </w:r>
      <w:proofErr w:type="spellEnd"/>
      <w:r w:rsidR="003377F3">
        <w:rPr>
          <w:lang w:val="en-US"/>
        </w:rPr>
        <w:t xml:space="preserve"> and seeking to </w:t>
      </w:r>
      <w:r w:rsidR="003377F3">
        <w:rPr>
          <w:lang w:val="en-US"/>
        </w:rPr>
        <w:lastRenderedPageBreak/>
        <w:t>explain it rationally</w:t>
      </w:r>
      <w:r w:rsidR="00F771D8">
        <w:rPr>
          <w:lang w:val="en-US"/>
        </w:rPr>
        <w:t>, Durkheim</w:t>
      </w:r>
      <w:r w:rsidR="003377F3">
        <w:rPr>
          <w:lang w:val="en-US"/>
        </w:rPr>
        <w:t xml:space="preserve"> was putting himself in ‘antagonistic relationship’</w:t>
      </w:r>
      <w:r w:rsidR="003377F3">
        <w:rPr>
          <w:rStyle w:val="FootnoteReference"/>
          <w:lang w:val="en-US"/>
        </w:rPr>
        <w:footnoteReference w:id="21"/>
      </w:r>
      <w:r w:rsidR="003377F3">
        <w:rPr>
          <w:lang w:val="en-US"/>
        </w:rPr>
        <w:t xml:space="preserve"> with the object of his study by adopting the privileged position of the one who knows. </w:t>
      </w:r>
      <w:r w:rsidR="00F771D8">
        <w:rPr>
          <w:lang w:val="en-US"/>
        </w:rPr>
        <w:t xml:space="preserve"> </w:t>
      </w:r>
    </w:p>
    <w:p w14:paraId="59FF59CD" w14:textId="0E721BE2" w:rsidR="00283FDF" w:rsidRDefault="00283FDF" w:rsidP="00424F91">
      <w:pPr>
        <w:rPr>
          <w:lang w:val="en-US"/>
        </w:rPr>
      </w:pPr>
      <w:r>
        <w:rPr>
          <w:lang w:val="en-US"/>
        </w:rPr>
        <w:t xml:space="preserve">In Eliade’s final chapter of </w:t>
      </w:r>
      <w:r w:rsidRPr="008135FE">
        <w:rPr>
          <w:i/>
          <w:iCs/>
          <w:lang w:val="en-US"/>
        </w:rPr>
        <w:t>The Sacred and the Profane</w:t>
      </w:r>
      <w:r>
        <w:rPr>
          <w:lang w:val="en-US"/>
        </w:rPr>
        <w:t>, he appears to be positioning his work as the latest in a long line of scholars of the history of religion that dates back to Herodotus</w:t>
      </w:r>
      <w:r w:rsidR="0093250C">
        <w:rPr>
          <w:rStyle w:val="FootnoteReference"/>
          <w:lang w:val="en-US"/>
        </w:rPr>
        <w:footnoteReference w:id="22"/>
      </w:r>
      <w:r>
        <w:rPr>
          <w:lang w:val="en-US"/>
        </w:rPr>
        <w:t xml:space="preserve"> </w:t>
      </w:r>
      <w:r>
        <w:rPr>
          <w:color w:val="FF0000"/>
          <w:lang w:val="en-US"/>
        </w:rPr>
        <w:t xml:space="preserve"> </w:t>
      </w:r>
      <w:r w:rsidRPr="00616843">
        <w:rPr>
          <w:lang w:val="en-US"/>
        </w:rPr>
        <w:t xml:space="preserve">While </w:t>
      </w:r>
      <w:r>
        <w:rPr>
          <w:lang w:val="en-US"/>
        </w:rPr>
        <w:t>Eliade</w:t>
      </w:r>
      <w:r w:rsidRPr="00616843">
        <w:rPr>
          <w:lang w:val="en-US"/>
        </w:rPr>
        <w:t xml:space="preserve"> values Otto’s</w:t>
      </w:r>
      <w:r>
        <w:rPr>
          <w:lang w:val="en-US"/>
        </w:rPr>
        <w:t xml:space="preserve"> contribution to the debate, </w:t>
      </w:r>
      <w:r w:rsidR="00F771D8">
        <w:rPr>
          <w:lang w:val="en-US"/>
        </w:rPr>
        <w:t>Eliade goes beyond Otto’s examination of the ‘irrational’</w:t>
      </w:r>
      <w:r w:rsidR="009341E8">
        <w:rPr>
          <w:lang w:val="en-US"/>
        </w:rPr>
        <w:t xml:space="preserve"> in religion</w:t>
      </w:r>
      <w:r w:rsidR="00F771D8">
        <w:rPr>
          <w:lang w:val="en-US"/>
        </w:rPr>
        <w:t xml:space="preserve"> (Lynch, 2012)</w:t>
      </w:r>
      <w:r w:rsidR="00F771D8">
        <w:rPr>
          <w:rStyle w:val="FootnoteReference"/>
          <w:lang w:val="en-US"/>
        </w:rPr>
        <w:footnoteReference w:id="23"/>
      </w:r>
      <w:r w:rsidR="009341E8">
        <w:rPr>
          <w:lang w:val="en-US"/>
        </w:rPr>
        <w:t xml:space="preserve"> </w:t>
      </w:r>
      <w:r w:rsidR="00424F91">
        <w:rPr>
          <w:lang w:val="en-US"/>
        </w:rPr>
        <w:t xml:space="preserve"> by examining</w:t>
      </w:r>
      <w:r w:rsidR="009341E8">
        <w:rPr>
          <w:lang w:val="en-US"/>
        </w:rPr>
        <w:t xml:space="preserve"> ‘the phenomenon of sacredness in </w:t>
      </w:r>
      <w:r w:rsidR="00424F91">
        <w:rPr>
          <w:i/>
          <w:iCs/>
          <w:lang w:val="en-US"/>
        </w:rPr>
        <w:t>all</w:t>
      </w:r>
      <w:r w:rsidR="009341E8">
        <w:rPr>
          <w:lang w:val="en-US"/>
        </w:rPr>
        <w:t xml:space="preserve"> its complexity’ (</w:t>
      </w:r>
      <w:r w:rsidR="00424F91">
        <w:rPr>
          <w:lang w:val="en-US"/>
        </w:rPr>
        <w:t xml:space="preserve">my </w:t>
      </w:r>
      <w:r w:rsidR="0093250C">
        <w:rPr>
          <w:lang w:val="en-US"/>
        </w:rPr>
        <w:t>emphasis</w:t>
      </w:r>
      <w:r w:rsidR="009341E8">
        <w:rPr>
          <w:lang w:val="en-US"/>
        </w:rPr>
        <w:t>)</w:t>
      </w:r>
      <w:r>
        <w:rPr>
          <w:lang w:val="en-US"/>
        </w:rPr>
        <w:t>.</w:t>
      </w:r>
      <w:r w:rsidR="0093250C">
        <w:rPr>
          <w:rStyle w:val="FootnoteReference"/>
          <w:lang w:val="en-US"/>
        </w:rPr>
        <w:footnoteReference w:id="24"/>
      </w:r>
      <w:r>
        <w:rPr>
          <w:lang w:val="en-US"/>
        </w:rPr>
        <w:t xml:space="preserve"> </w:t>
      </w:r>
      <w:r w:rsidRPr="00616843">
        <w:rPr>
          <w:lang w:val="en-US"/>
        </w:rPr>
        <w:t xml:space="preserve"> </w:t>
      </w:r>
      <w:r>
        <w:rPr>
          <w:lang w:val="en-US"/>
        </w:rPr>
        <w:t>Despite seemingly adopting Durkheim’s juxta</w:t>
      </w:r>
      <w:r w:rsidR="00742162">
        <w:rPr>
          <w:lang w:val="en-US"/>
        </w:rPr>
        <w:t>-</w:t>
      </w:r>
      <w:r>
        <w:rPr>
          <w:lang w:val="en-US"/>
        </w:rPr>
        <w:t>positioning of the sacred and the profane</w:t>
      </w:r>
      <w:r w:rsidR="00424F91">
        <w:rPr>
          <w:lang w:val="en-US"/>
        </w:rPr>
        <w:t xml:space="preserve"> (Smith</w:t>
      </w:r>
      <w:r>
        <w:rPr>
          <w:lang w:val="en-US"/>
        </w:rPr>
        <w:t>,</w:t>
      </w:r>
      <w:r w:rsidR="00424F91">
        <w:rPr>
          <w:lang w:val="en-US"/>
        </w:rPr>
        <w:t xml:space="preserve"> 1972)</w:t>
      </w:r>
      <w:r w:rsidR="00424F91">
        <w:rPr>
          <w:rStyle w:val="FootnoteReference"/>
          <w:lang w:val="en-US"/>
        </w:rPr>
        <w:footnoteReference w:id="25"/>
      </w:r>
      <w:r>
        <w:rPr>
          <w:lang w:val="en-US"/>
        </w:rPr>
        <w:t xml:space="preserve"> Eliade barely acknowledged Durkheim’s contribution to the debate</w:t>
      </w:r>
      <w:r w:rsidR="0093250C">
        <w:rPr>
          <w:rStyle w:val="FootnoteReference"/>
          <w:lang w:val="en-US"/>
        </w:rPr>
        <w:footnoteReference w:id="26"/>
      </w:r>
      <w:r>
        <w:rPr>
          <w:lang w:val="en-US"/>
        </w:rPr>
        <w:t xml:space="preserve"> . In fact, he appears to dismiss Durkheim’s work, suggesting that his theory of totemism had already been debunked before Durkheim even write </w:t>
      </w:r>
      <w:r w:rsidRPr="00E02DFF">
        <w:rPr>
          <w:i/>
          <w:iCs/>
          <w:lang w:val="en-US"/>
        </w:rPr>
        <w:t>Forms</w:t>
      </w:r>
      <w:r w:rsidR="0093250C">
        <w:rPr>
          <w:rStyle w:val="FootnoteReference"/>
          <w:i/>
          <w:iCs/>
          <w:lang w:val="en-US"/>
        </w:rPr>
        <w:footnoteReference w:id="27"/>
      </w:r>
      <w:r>
        <w:rPr>
          <w:lang w:val="en-US"/>
        </w:rPr>
        <w:t xml:space="preserve">. </w:t>
      </w:r>
    </w:p>
    <w:p w14:paraId="03B04AB1" w14:textId="77777777" w:rsidR="0093250C" w:rsidRPr="00582135" w:rsidRDefault="0093250C" w:rsidP="0093250C">
      <w:pPr>
        <w:pStyle w:val="Heading2"/>
      </w:pPr>
      <w:r>
        <w:t>Definitions and Qualities of Sacredness</w:t>
      </w:r>
    </w:p>
    <w:p w14:paraId="1D2E1377" w14:textId="77777777" w:rsidR="0093250C" w:rsidRPr="00217411" w:rsidRDefault="0093250C" w:rsidP="0093250C">
      <w:pPr>
        <w:rPr>
          <w:color w:val="FF0000"/>
        </w:rPr>
      </w:pPr>
      <w:r>
        <w:t>Durkheim introduces the dichotomy of the sacred and the profane as a way of understanding religious belief and behaviour. Hardenberg (2017) suggests this distinction is one of the most significant aspects of Durkheim’s work and has influenced many subsequent scholars</w:t>
      </w:r>
      <w:r>
        <w:rPr>
          <w:rStyle w:val="FootnoteReference"/>
        </w:rPr>
        <w:footnoteReference w:id="28"/>
      </w:r>
      <w:r>
        <w:t xml:space="preserve">, including Eliade. </w:t>
      </w:r>
      <w:r w:rsidRPr="00AB1A2E">
        <w:t xml:space="preserve">Dismissing his contemporaries’ theories about </w:t>
      </w:r>
      <w:r>
        <w:t xml:space="preserve">the more metaphysical elements of the divine, i.e., things we cannot see or know in a physical sense, </w:t>
      </w:r>
      <w:r>
        <w:rPr>
          <w:lang w:val="en-US"/>
        </w:rPr>
        <w:t>Durkheim said sacredness can only be ‘defined …in relation to the parts that comprise it’</w:t>
      </w:r>
      <w:r>
        <w:rPr>
          <w:rStyle w:val="FootnoteReference"/>
          <w:lang w:val="en-US"/>
        </w:rPr>
        <w:footnoteReference w:id="29"/>
      </w:r>
      <w:r>
        <w:rPr>
          <w:lang w:val="en-US"/>
        </w:rPr>
        <w:t xml:space="preserve">. In other words, Durkheim suggested we find our definition of sacredness </w:t>
      </w:r>
      <w:r>
        <w:t>by examining the aspects of it that we do know – the ‘real’</w:t>
      </w:r>
      <w:r w:rsidRPr="00217411">
        <w:rPr>
          <w:i/>
          <w:iCs/>
        </w:rPr>
        <w:t xml:space="preserve"> human</w:t>
      </w:r>
      <w:r>
        <w:t xml:space="preserve"> aspects of religion, the rituals, beliefs, as opposed to studying the non-human. </w:t>
      </w:r>
      <w:r w:rsidRPr="007B0769">
        <w:t>This</w:t>
      </w:r>
      <w:r>
        <w:t xml:space="preserve"> placing of the foundations of religion in this realm of the ‘real’ was very provocative at the time he published </w:t>
      </w:r>
      <w:r>
        <w:rPr>
          <w:i/>
          <w:iCs/>
        </w:rPr>
        <w:t>Forms.</w:t>
      </w:r>
      <w:r>
        <w:rPr>
          <w:rStyle w:val="FootnoteReference"/>
          <w:i/>
          <w:iCs/>
        </w:rPr>
        <w:footnoteReference w:id="30"/>
      </w:r>
      <w:r>
        <w:rPr>
          <w:i/>
          <w:iCs/>
        </w:rPr>
        <w:t xml:space="preserve"> </w:t>
      </w:r>
      <w:r>
        <w:t xml:space="preserve">Taking the spiritual practices of Aboriginal Australians as his subject of investigation, </w:t>
      </w:r>
      <w:r>
        <w:lastRenderedPageBreak/>
        <w:t xml:space="preserve">Durkheim </w:t>
      </w:r>
      <w:r>
        <w:rPr>
          <w:lang w:val="en-US"/>
        </w:rPr>
        <w:t>proposed that the ‘elementary phenomena that generate any religion’</w:t>
      </w:r>
      <w:r>
        <w:rPr>
          <w:rStyle w:val="FootnoteReference"/>
          <w:lang w:val="en-US"/>
        </w:rPr>
        <w:footnoteReference w:id="31"/>
      </w:r>
      <w:r>
        <w:rPr>
          <w:lang w:val="en-US"/>
        </w:rPr>
        <w:t xml:space="preserve"> would provide an answer to fundamental questions about the source of religion. His rationale for this was that ‘religious phenomena exist that do not result in any specific religion.’</w:t>
      </w:r>
      <w:r>
        <w:rPr>
          <w:rStyle w:val="FootnoteReference"/>
          <w:lang w:val="en-US"/>
        </w:rPr>
        <w:footnoteReference w:id="32"/>
      </w:r>
      <w:r>
        <w:t xml:space="preserve"> Durkheim’s </w:t>
      </w:r>
      <w:r>
        <w:rPr>
          <w:lang w:val="en-US"/>
        </w:rPr>
        <w:t xml:space="preserve">questions, therefore, are not </w:t>
      </w:r>
      <w:r w:rsidRPr="002D3047">
        <w:rPr>
          <w:i/>
          <w:iCs/>
          <w:lang w:val="en-US"/>
        </w:rPr>
        <w:t xml:space="preserve">what sort of religion </w:t>
      </w:r>
      <w:r>
        <w:rPr>
          <w:i/>
          <w:iCs/>
          <w:lang w:val="en-US"/>
        </w:rPr>
        <w:t>is this</w:t>
      </w:r>
      <w:r>
        <w:rPr>
          <w:lang w:val="en-US"/>
        </w:rPr>
        <w:t xml:space="preserve">? but rather </w:t>
      </w:r>
      <w:r w:rsidRPr="002D3047">
        <w:rPr>
          <w:i/>
          <w:iCs/>
          <w:lang w:val="en-US"/>
        </w:rPr>
        <w:t>wh</w:t>
      </w:r>
      <w:r>
        <w:rPr>
          <w:i/>
          <w:iCs/>
          <w:lang w:val="en-US"/>
        </w:rPr>
        <w:t xml:space="preserve">ere </w:t>
      </w:r>
      <w:r w:rsidRPr="002D3047">
        <w:rPr>
          <w:i/>
          <w:iCs/>
          <w:lang w:val="en-US"/>
        </w:rPr>
        <w:t>do</w:t>
      </w:r>
      <w:r>
        <w:rPr>
          <w:i/>
          <w:iCs/>
          <w:lang w:val="en-US"/>
        </w:rPr>
        <w:t>es religion come from and why do</w:t>
      </w:r>
      <w:r w:rsidRPr="002D3047">
        <w:rPr>
          <w:i/>
          <w:iCs/>
          <w:lang w:val="en-US"/>
        </w:rPr>
        <w:t xml:space="preserve"> we </w:t>
      </w:r>
      <w:r>
        <w:rPr>
          <w:i/>
          <w:iCs/>
          <w:lang w:val="en-US"/>
        </w:rPr>
        <w:t>need it</w:t>
      </w:r>
      <w:r>
        <w:rPr>
          <w:lang w:val="en-US"/>
        </w:rPr>
        <w:t xml:space="preserve">? </w:t>
      </w:r>
      <w:r>
        <w:t>Eliade’s definition of the sacred is, in many ways, much simpler than Durkheim’s. For Eliade, the sacred is the ‘only real and real-</w:t>
      </w:r>
      <w:proofErr w:type="spellStart"/>
      <w:r>
        <w:t>ly</w:t>
      </w:r>
      <w:proofErr w:type="spellEnd"/>
      <w:r>
        <w:t xml:space="preserve"> existing space.’</w:t>
      </w:r>
      <w:r>
        <w:rPr>
          <w:rStyle w:val="FootnoteReference"/>
        </w:rPr>
        <w:footnoteReference w:id="33"/>
      </w:r>
      <w:r>
        <w:t>. To emphasize this, he contrasts the memorably sensuous qualities of sacred spaces with the vast neutrality of the profane space that surrounds it.</w:t>
      </w:r>
      <w:r>
        <w:rPr>
          <w:rStyle w:val="FootnoteReference"/>
        </w:rPr>
        <w:footnoteReference w:id="34"/>
      </w:r>
      <w:r>
        <w:t xml:space="preserve"> Sacred space, which he describes as ‘strong, significant space’</w:t>
      </w:r>
      <w:r>
        <w:rPr>
          <w:rStyle w:val="FootnoteReference"/>
        </w:rPr>
        <w:footnoteReference w:id="35"/>
      </w:r>
      <w:r>
        <w:t xml:space="preserve"> is everything that profane space, which he describes as ‘without structure, or consistency, amorphous’</w:t>
      </w:r>
      <w:r>
        <w:rPr>
          <w:rStyle w:val="FootnoteReference"/>
        </w:rPr>
        <w:footnoteReference w:id="36"/>
      </w:r>
      <w:r>
        <w:t xml:space="preserve">, is not. </w:t>
      </w:r>
    </w:p>
    <w:p w14:paraId="0BAD6FB2" w14:textId="77777777" w:rsidR="0093250C" w:rsidRDefault="0093250C" w:rsidP="0093250C">
      <w:r>
        <w:t xml:space="preserve">Although both Durkheim and Eliade describe the qualities of sacred space in terms of the </w:t>
      </w:r>
      <w:proofErr w:type="spellStart"/>
      <w:proofErr w:type="gramStart"/>
      <w:r>
        <w:t>sacred:profane</w:t>
      </w:r>
      <w:proofErr w:type="spellEnd"/>
      <w:proofErr w:type="gramEnd"/>
      <w:r>
        <w:t xml:space="preserve"> dichotomy, they approach describe them from their differing perspectives of sociologist and historian of religion. Although they both describe the qualities of sacred space in rich detail, because of word-allowance limitations of this essay, this section will focus on just three aspects: the relationship between humanity and </w:t>
      </w:r>
      <w:proofErr w:type="gramStart"/>
      <w:r>
        <w:t>god</w:t>
      </w:r>
      <w:proofErr w:type="gramEnd"/>
      <w:r>
        <w:t>; the relationship between sacred and profane space; and the absolute and relative nature of sacred space.</w:t>
      </w:r>
    </w:p>
    <w:p w14:paraId="17A2BA73" w14:textId="77777777" w:rsidR="0093250C" w:rsidRDefault="0093250C" w:rsidP="0093250C">
      <w:pPr>
        <w:pStyle w:val="Heading4"/>
      </w:pPr>
      <w:r>
        <w:t xml:space="preserve">The relationship between </w:t>
      </w:r>
      <w:proofErr w:type="gramStart"/>
      <w:r>
        <w:t>god</w:t>
      </w:r>
      <w:proofErr w:type="gramEnd"/>
      <w:r>
        <w:t xml:space="preserve"> and humanity</w:t>
      </w:r>
    </w:p>
    <w:p w14:paraId="58D78124" w14:textId="77777777" w:rsidR="0093250C" w:rsidRDefault="0093250C" w:rsidP="0093250C">
      <w:r>
        <w:t>One of the qualities of sacred space is that it fulfils the needs of soul, according to Durkheim. He suggested humans need soul as a way of ensuring humanity does not slide into individualistic self-interest. In this way, religion actually acts as a protection against a wholly profane, egotistical existence that would lead to destructive chaos were it not held in check by religion.</w:t>
      </w:r>
      <w:r>
        <w:rPr>
          <w:rStyle w:val="FootnoteReference"/>
        </w:rPr>
        <w:footnoteReference w:id="37"/>
      </w:r>
      <w:r>
        <w:t xml:space="preserve"> As gods and religion are man-made, in this sense, Durkheim argues that any object, any place can be sacred – for it resides where humanity decides it resides.</w:t>
      </w:r>
      <w:r>
        <w:rPr>
          <w:rStyle w:val="FootnoteReference"/>
        </w:rPr>
        <w:footnoteReference w:id="38"/>
      </w:r>
      <w:r>
        <w:t xml:space="preserve"> Therefore, because religion performs this social unification function, humanity could be perceived as needing the gods but Durkheim recognises that this is a mutually dependent relationship. As he says, ‘the dependence is mutual; without offerings and sacrifices [the gods] would die’.</w:t>
      </w:r>
      <w:r>
        <w:rPr>
          <w:rStyle w:val="FootnoteReference"/>
        </w:rPr>
        <w:footnoteReference w:id="39"/>
      </w:r>
      <w:r>
        <w:t xml:space="preserve"> So, it is the activity of humans in sacred spaces that keep the divinity of those spaces alive.</w:t>
      </w:r>
    </w:p>
    <w:p w14:paraId="5E821C7A" w14:textId="77777777" w:rsidR="0093250C" w:rsidRPr="00251FFA" w:rsidRDefault="0093250C" w:rsidP="0093250C">
      <w:pPr>
        <w:rPr>
          <w:color w:val="FF0000"/>
          <w:lang w:val="en-US"/>
        </w:rPr>
      </w:pPr>
      <w:r>
        <w:t xml:space="preserve">Unlike Durkheim, Eliade believes that sacredness is created by the gods (not humanity) as it is divinity that creates the human world. He explains, ‘Every world is the work of the gods, for it was either created directly by the gods or was consecrated, hence </w:t>
      </w:r>
      <w:proofErr w:type="spellStart"/>
      <w:r>
        <w:t>cosmicized</w:t>
      </w:r>
      <w:proofErr w:type="spellEnd"/>
      <w:r>
        <w:t xml:space="preserve">, by men </w:t>
      </w:r>
      <w:proofErr w:type="spellStart"/>
      <w:r>
        <w:t>reactualizing</w:t>
      </w:r>
      <w:proofErr w:type="spellEnd"/>
      <w:r>
        <w:t xml:space="preserve"> the paradigmatic act of Creation.’ </w:t>
      </w:r>
      <w:r>
        <w:rPr>
          <w:rStyle w:val="FootnoteReference"/>
        </w:rPr>
        <w:footnoteReference w:id="40"/>
      </w:r>
      <w:r>
        <w:t xml:space="preserve"> For Eliade then, the gods do not rely on humanity for their existence, they do not die if they are neglected by humans - indeed, it is only through connection </w:t>
      </w:r>
      <w:r>
        <w:lastRenderedPageBreak/>
        <w:t xml:space="preserve">with the divine that humanity’s ‘real’ world exists at all. </w:t>
      </w:r>
      <w:r w:rsidRPr="002D3047">
        <w:rPr>
          <w:lang w:val="en-US"/>
        </w:rPr>
        <w:t>Lynch (2012) points outs that Eliade sees ‘</w:t>
      </w:r>
      <w:r w:rsidRPr="002D3047">
        <w:t xml:space="preserve">the </w:t>
      </w:r>
      <w:r w:rsidRPr="00E908BC">
        <w:rPr>
          <w:i/>
          <w:iCs/>
        </w:rPr>
        <w:t>homo</w:t>
      </w:r>
      <w:r>
        <w:t xml:space="preserve"> </w:t>
      </w:r>
      <w:r w:rsidRPr="00E908BC">
        <w:rPr>
          <w:i/>
          <w:iCs/>
        </w:rPr>
        <w:t>religiosus</w:t>
      </w:r>
      <w:r>
        <w:t xml:space="preserve"> as the historically more typical human experience of being in the world, [whereas] he saw the profane human experience of life in a desacralized cosmos as a modern phenomenon’.</w:t>
      </w:r>
      <w:r>
        <w:rPr>
          <w:rStyle w:val="FootnoteReference"/>
        </w:rPr>
        <w:footnoteReference w:id="41"/>
      </w:r>
      <w:r>
        <w:t xml:space="preserve"> Thus, for Eliade, the world of the sacred and the world of humanity has been long intertwined, although not in the traditional Kantian view of humanity being the world creators. Eliade’s suggestion that the world is formed by the gods and that humanity’s power lies in their ability to repeat and </w:t>
      </w:r>
      <w:proofErr w:type="spellStart"/>
      <w:r>
        <w:t>reactualize</w:t>
      </w:r>
      <w:proofErr w:type="spellEnd"/>
      <w:r>
        <w:t xml:space="preserve"> the act of creation turns this traditional, Kantian view of humanity being the world-creators on its head (Smith, 1972).</w:t>
      </w:r>
      <w:r>
        <w:rPr>
          <w:rStyle w:val="FootnoteReference"/>
        </w:rPr>
        <w:footnoteReference w:id="42"/>
      </w:r>
    </w:p>
    <w:p w14:paraId="408B671C" w14:textId="77777777" w:rsidR="0093250C" w:rsidRDefault="0093250C" w:rsidP="0093250C">
      <w:pPr>
        <w:pStyle w:val="Heading4"/>
      </w:pPr>
      <w:r>
        <w:t>Sacred and profane space</w:t>
      </w:r>
    </w:p>
    <w:p w14:paraId="3EFF8180" w14:textId="77777777" w:rsidR="0093250C" w:rsidRPr="009A445B" w:rsidRDefault="0093250C" w:rsidP="0093250C">
      <w:r>
        <w:t>While they have quite different ideas about the relationship between humanity and the gods, Durkheim and Eliade both believe that there is a difference between sacred and profane space. For Eliade, sacred space is where the ‘sacred manifests itself in space’ irrupting ‘into the formless fluidity of profane space’</w:t>
      </w:r>
      <w:r>
        <w:rPr>
          <w:rStyle w:val="FootnoteReference"/>
        </w:rPr>
        <w:footnoteReference w:id="43"/>
      </w:r>
      <w:r>
        <w:t xml:space="preserve">  and thus creates a centre, an</w:t>
      </w:r>
      <w:r w:rsidRPr="00EA3717">
        <w:rPr>
          <w:i/>
          <w:iCs/>
        </w:rPr>
        <w:t xml:space="preserve"> </w:t>
      </w:r>
      <w:proofErr w:type="gramStart"/>
      <w:r w:rsidRPr="00EA3717">
        <w:rPr>
          <w:i/>
          <w:iCs/>
        </w:rPr>
        <w:t>axis mundi</w:t>
      </w:r>
      <w:proofErr w:type="gramEnd"/>
      <w:r>
        <w:t>, from which we can orientate ourselves. The thresholds between the profane and the sacred are important, for Eliade, as they mark the point at which one adopts a different attitude and behaviour (for example, a prostration or a genuflection), thus marking the boundary between the two worlds</w:t>
      </w:r>
      <w:r>
        <w:rPr>
          <w:rStyle w:val="FootnoteReference"/>
        </w:rPr>
        <w:footnoteReference w:id="44"/>
      </w:r>
      <w:r>
        <w:t xml:space="preserve">. Sacred space enables our world to come into existence because it breaks through the mundane chaos and gives us a centre from which we can structure our </w:t>
      </w:r>
      <w:proofErr w:type="gramStart"/>
      <w:r>
        <w:t>lives</w:t>
      </w:r>
      <w:proofErr w:type="gramEnd"/>
      <w:r>
        <w:t xml:space="preserve"> and which gives our lives meaning. Eliade often refers to it as the ‘real’ experience, as opposed to the formless, forgettable experiences of the profane. Smith (1972) questions whether Eliade’s concept of </w:t>
      </w:r>
      <w:r w:rsidRPr="00977FE9">
        <w:rPr>
          <w:i/>
          <w:iCs/>
        </w:rPr>
        <w:t xml:space="preserve">chaos </w:t>
      </w:r>
      <w:r>
        <w:t xml:space="preserve">really works as an equivalent of </w:t>
      </w:r>
      <w:r w:rsidRPr="00977FE9">
        <w:rPr>
          <w:i/>
          <w:iCs/>
        </w:rPr>
        <w:t>profane</w:t>
      </w:r>
      <w:r>
        <w:t xml:space="preserve"> because he believes that chaos as interpreted in a religious context is never neutral in the way Eliade suggests profane space is – Smith suggests that chaos is a ‘creative challenge’ for the sacred, sacred itself but just not in the right way.</w:t>
      </w:r>
      <w:r>
        <w:rPr>
          <w:rStyle w:val="FootnoteReference"/>
        </w:rPr>
        <w:footnoteReference w:id="45"/>
      </w:r>
    </w:p>
    <w:p w14:paraId="6B17EDA7" w14:textId="77777777" w:rsidR="0093250C" w:rsidRPr="00917500" w:rsidRDefault="0093250C" w:rsidP="0093250C">
      <w:r>
        <w:t>Durkheim’s sacred space has a clearly defined ‘radical otherness’ (</w:t>
      </w:r>
      <w:r w:rsidRPr="009A0911">
        <w:t>Lynch, 2012).</w:t>
      </w:r>
      <w:r>
        <w:rPr>
          <w:rStyle w:val="FootnoteReference"/>
        </w:rPr>
        <w:footnoteReference w:id="46"/>
      </w:r>
      <w:r>
        <w:t xml:space="preserve"> Durkheim describes sacred and profane space as ‘two genera that include all that exists but radically exclude each other.’</w:t>
      </w:r>
      <w:r>
        <w:rPr>
          <w:rStyle w:val="FootnoteReference"/>
        </w:rPr>
        <w:footnoteReference w:id="47"/>
      </w:r>
      <w:r>
        <w:t xml:space="preserve"> Despite this heterogeneity, Durkheim explains that is it possible to pass from profane to sacred space, but sacred space needs to be protected and set apart from profane space. One of the qualities of Durkheim’s sacred space is that it is a focus for uniting and ordering human life in the profane world. In order to maintain that order, the sacred space has to be protected by restricting access to it, by setting up rites and rituals that control our behaviour in the sacred space</w:t>
      </w:r>
      <w:r>
        <w:rPr>
          <w:rStyle w:val="FootnoteReference"/>
        </w:rPr>
        <w:footnoteReference w:id="48"/>
      </w:r>
      <w:r>
        <w:t xml:space="preserve"> </w:t>
      </w:r>
      <w:r w:rsidRPr="001838A0">
        <w:rPr>
          <w:color w:val="FF0000"/>
        </w:rPr>
        <w:t xml:space="preserve"> </w:t>
      </w:r>
      <w:r>
        <w:t>but as</w:t>
      </w:r>
      <w:r w:rsidRPr="001838A0">
        <w:rPr>
          <w:color w:val="FF0000"/>
        </w:rPr>
        <w:t xml:space="preserve"> </w:t>
      </w:r>
      <w:proofErr w:type="spellStart"/>
      <w:r w:rsidRPr="00917500">
        <w:t>Hassner</w:t>
      </w:r>
      <w:proofErr w:type="spellEnd"/>
      <w:r w:rsidRPr="00917500">
        <w:t xml:space="preserve"> (2009)</w:t>
      </w:r>
      <w:r>
        <w:t xml:space="preserve"> </w:t>
      </w:r>
      <w:r w:rsidRPr="00917500">
        <w:t>explains, this setting apart can render sacred space vulnerable,</w:t>
      </w:r>
    </w:p>
    <w:p w14:paraId="10051DED" w14:textId="77777777" w:rsidR="0093250C" w:rsidRPr="00917500" w:rsidRDefault="0093250C" w:rsidP="0093250C">
      <w:pPr>
        <w:ind w:left="454" w:right="680"/>
        <w:jc w:val="both"/>
      </w:pPr>
      <w:r w:rsidRPr="00917500">
        <w:lastRenderedPageBreak/>
        <w:t xml:space="preserve">Sacred places, then, are characterized by an extreme duality. Because they are attractive, they are coveted. Because they offer access to the divine, they pose the risk of desecration. Because they form social </w:t>
      </w:r>
      <w:proofErr w:type="spellStart"/>
      <w:r w:rsidRPr="00917500">
        <w:t>centers</w:t>
      </w:r>
      <w:proofErr w:type="spellEnd"/>
      <w:r w:rsidRPr="00917500">
        <w:t>, they offer temptations to those who wish to control social groups.</w:t>
      </w:r>
      <w:r w:rsidRPr="00917500">
        <w:rPr>
          <w:rStyle w:val="FootnoteReference"/>
        </w:rPr>
        <w:footnoteReference w:id="49"/>
      </w:r>
      <w:r w:rsidRPr="00917500">
        <w:t xml:space="preserve"> </w:t>
      </w:r>
    </w:p>
    <w:p w14:paraId="2F59C31F" w14:textId="77777777" w:rsidR="0093250C" w:rsidRDefault="0093250C" w:rsidP="0093250C">
      <w:r w:rsidRPr="00917500">
        <w:t>Durkheim’s sacred space</w:t>
      </w:r>
      <w:r>
        <w:t>, then,</w:t>
      </w:r>
      <w:r w:rsidRPr="00917500">
        <w:t xml:space="preserve"> wields significant social power, the power of the cohesion of the moral community, and, for that reason, it is at risk</w:t>
      </w:r>
      <w:r>
        <w:t xml:space="preserve"> of becoming contested space or even being destroyed by those who seek to control the social group, so just as it can unify, it can also bring disunity. </w:t>
      </w:r>
    </w:p>
    <w:p w14:paraId="219F54AE" w14:textId="77777777" w:rsidR="0093250C" w:rsidRDefault="0093250C" w:rsidP="0093250C"/>
    <w:p w14:paraId="78805792" w14:textId="77777777" w:rsidR="0093250C" w:rsidRDefault="0093250C" w:rsidP="0093250C">
      <w:r>
        <w:t xml:space="preserve">Eliade and Durkheim attribute very different qualities to sacred space in terms of the ways human experience it. Durkheim’s sacred space is generated by humanity, as opposed to being generated by the divine, so it is bound by the way humans experience the world.  As previously mentioned, Durkheim is quite clear that the gods die if we do not pray to them, so Durkheim’s sacred space is impermanent, it is bound by human time. Religion, itself, manifests differently in different cultures (p. 36 - 38), so, if sacred space is time-bound and culture-bound in this way, Durkheim’s relative sacred space lacks the absolute qualities that Eliade’s sacred space does. </w:t>
      </w:r>
    </w:p>
    <w:p w14:paraId="6EAC7D5D" w14:textId="1F250CA4" w:rsidR="0093250C" w:rsidRDefault="0093250C" w:rsidP="0093250C">
      <w:r>
        <w:t xml:space="preserve">When humans experience an </w:t>
      </w:r>
      <w:proofErr w:type="spellStart"/>
      <w:r>
        <w:t>Eliadian</w:t>
      </w:r>
      <w:proofErr w:type="spellEnd"/>
      <w:r>
        <w:t xml:space="preserve"> hierophany, they do not experience time and space in the same way as they experience it in the relative, profane world because the hierophany is a ‘revelation of an absolute reality’</w:t>
      </w:r>
      <w:r>
        <w:rPr>
          <w:rStyle w:val="FootnoteReference"/>
        </w:rPr>
        <w:footnoteReference w:id="50"/>
      </w:r>
      <w:r>
        <w:t>.  Sacred time is ‘</w:t>
      </w:r>
      <w:r w:rsidRPr="00C41846">
        <w:rPr>
          <w:i/>
          <w:iCs/>
        </w:rPr>
        <w:t>primordial mythical time made present</w:t>
      </w:r>
      <w:r>
        <w:t>.’</w:t>
      </w:r>
      <w:r>
        <w:rPr>
          <w:rStyle w:val="FootnoteReference"/>
        </w:rPr>
        <w:footnoteReference w:id="51"/>
      </w:r>
      <w:r>
        <w:t xml:space="preserve"> Through </w:t>
      </w:r>
      <w:proofErr w:type="spellStart"/>
      <w:r>
        <w:t>reactualising</w:t>
      </w:r>
      <w:proofErr w:type="spellEnd"/>
      <w:r>
        <w:t xml:space="preserve"> sacred events, believers can switch from ‘ordinary temporal duration to sacred time’</w:t>
      </w:r>
      <w:r>
        <w:rPr>
          <w:rStyle w:val="FootnoteReference"/>
        </w:rPr>
        <w:footnoteReference w:id="52"/>
      </w:r>
      <w:r>
        <w:t xml:space="preserve">,  so, in </w:t>
      </w:r>
      <w:r w:rsidRPr="002D3A71">
        <w:t>denying (</w:t>
      </w:r>
      <w:proofErr w:type="spellStart"/>
      <w:r w:rsidRPr="002D3A71">
        <w:t>Stirrat</w:t>
      </w:r>
      <w:proofErr w:type="spellEnd"/>
      <w:r w:rsidRPr="002D3A71">
        <w:t>, 1984</w:t>
      </w:r>
      <w:r>
        <w:t>)</w:t>
      </w:r>
      <w:r>
        <w:rPr>
          <w:rStyle w:val="FootnoteReference"/>
        </w:rPr>
        <w:footnoteReference w:id="53"/>
      </w:r>
      <w:r>
        <w:t xml:space="preserve"> time and space, they are not bound by temporal and spatial concepts in a Durkheimian way. Where Durkheim’s sacred space is impermanent, bound relatively by the time and culture of now, Eliade’s sacred space has a quality of the absolute, unbound by time and the culture of the now. As </w:t>
      </w:r>
      <w:proofErr w:type="spellStart"/>
      <w:r w:rsidRPr="002D3A71">
        <w:t>Stirrat</w:t>
      </w:r>
      <w:proofErr w:type="spellEnd"/>
      <w:r w:rsidRPr="002D3A71">
        <w:t xml:space="preserve"> </w:t>
      </w:r>
      <w:r>
        <w:t xml:space="preserve">(1984) </w:t>
      </w:r>
      <w:r w:rsidRPr="002D3A71">
        <w:t xml:space="preserve">succinctly </w:t>
      </w:r>
      <w:r>
        <w:t>puts it, ‘, whilst [Eliade] is concerned with timeless absolutes, [Durkheim] is closely tied to social existence within the world.’</w:t>
      </w:r>
      <w:r>
        <w:rPr>
          <w:rStyle w:val="FootnoteReference"/>
        </w:rPr>
        <w:footnoteReference w:id="54"/>
      </w:r>
      <w:r>
        <w:t xml:space="preserve">  But, in having an existence completely outside of the existence we experience in the human world, there is danger that the sacred can become an irrelevance for society (</w:t>
      </w:r>
      <w:proofErr w:type="spellStart"/>
      <w:r>
        <w:t>Stirrat</w:t>
      </w:r>
      <w:proofErr w:type="spellEnd"/>
      <w:r>
        <w:t>, 1984).</w:t>
      </w:r>
      <w:r>
        <w:rPr>
          <w:rStyle w:val="FootnoteReference"/>
        </w:rPr>
        <w:footnoteReference w:id="55"/>
      </w:r>
      <w:r>
        <w:t xml:space="preserve">   </w:t>
      </w:r>
    </w:p>
    <w:p w14:paraId="4604347E" w14:textId="77777777" w:rsidR="0093250C" w:rsidRDefault="0093250C" w:rsidP="0093250C">
      <w:pPr>
        <w:pStyle w:val="Heading4"/>
      </w:pPr>
      <w:r>
        <w:lastRenderedPageBreak/>
        <w:t>Purpose</w:t>
      </w:r>
    </w:p>
    <w:p w14:paraId="2A5EAE9A" w14:textId="77777777" w:rsidR="0093250C" w:rsidRDefault="0093250C" w:rsidP="0093250C">
      <w:r>
        <w:t>Although both Eliade and Durkheim believe that sacred space fulfils individual and social needs, Eliade’s theory favours its significance in terms of the individual, whereas Durkheim’s theory favours its significance in terms of the collective or community need.</w:t>
      </w:r>
    </w:p>
    <w:p w14:paraId="0D5D01D8" w14:textId="77777777" w:rsidR="0093250C" w:rsidRDefault="0093250C" w:rsidP="0093250C">
      <w:r>
        <w:t>Eliade explains that the purpose of sacred space is to give life meaning in the face of the ‘terror of nothingness’</w:t>
      </w:r>
      <w:r>
        <w:rPr>
          <w:rStyle w:val="FootnoteReference"/>
        </w:rPr>
        <w:footnoteReference w:id="56"/>
      </w:r>
      <w:r>
        <w:t xml:space="preserve"> represented by profane space. Without sacred space, all that is left is ‘absolute nonbeing’</w:t>
      </w:r>
      <w:r>
        <w:rPr>
          <w:rStyle w:val="FootnoteReference"/>
        </w:rPr>
        <w:footnoteReference w:id="57"/>
      </w:r>
      <w:r>
        <w:t>.</w:t>
      </w:r>
      <w:r>
        <w:rPr>
          <w:color w:val="FF0000"/>
        </w:rPr>
        <w:t xml:space="preserve"> </w:t>
      </w:r>
      <w:r w:rsidRPr="00E05439">
        <w:t xml:space="preserve">It is the choice between </w:t>
      </w:r>
      <w:proofErr w:type="spellStart"/>
      <w:r w:rsidRPr="00E05439">
        <w:t>structurelessness</w:t>
      </w:r>
      <w:proofErr w:type="spellEnd"/>
      <w:r w:rsidRPr="00E05439">
        <w:t xml:space="preserve"> and death of profane space or the ‘absolute reality’</w:t>
      </w:r>
      <w:r>
        <w:rPr>
          <w:rStyle w:val="FootnoteReference"/>
        </w:rPr>
        <w:footnoteReference w:id="58"/>
      </w:r>
      <w:r>
        <w:t xml:space="preserve"> </w:t>
      </w:r>
      <w:r w:rsidRPr="00E05439">
        <w:t xml:space="preserve">of sacred space. </w:t>
      </w:r>
      <w:r>
        <w:t xml:space="preserve">Sacred space, for Eliade, is the centre around which humanity can live and organise, it provides a point to life. </w:t>
      </w:r>
      <w:proofErr w:type="spellStart"/>
      <w:r>
        <w:t>Hassner</w:t>
      </w:r>
      <w:proofErr w:type="spellEnd"/>
      <w:r>
        <w:t xml:space="preserve"> (2009) describes the three functions of Eliade’s sacred space as: (</w:t>
      </w:r>
      <w:proofErr w:type="spellStart"/>
      <w:r>
        <w:t>i</w:t>
      </w:r>
      <w:proofErr w:type="spellEnd"/>
      <w:r>
        <w:t>) the place where believers can commune with the divine; (ii) the permanent nature of sacred space means that believers can access a permanently-present divine presence in the sacred space; (iii) sacred spaces offer believers meaning through the mythology, ritual and architecture.</w:t>
      </w:r>
      <w:r>
        <w:rPr>
          <w:rStyle w:val="FootnoteReference"/>
        </w:rPr>
        <w:footnoteReference w:id="59"/>
      </w:r>
      <w:r>
        <w:t xml:space="preserve"> These three functions underline the role of sacred space in providing a bridge between the divine and human worlds.</w:t>
      </w:r>
    </w:p>
    <w:p w14:paraId="441C8247" w14:textId="77777777" w:rsidR="0093250C" w:rsidRDefault="0093250C" w:rsidP="0093250C">
      <w:r>
        <w:t xml:space="preserve">This is slightly </w:t>
      </w:r>
      <w:proofErr w:type="gramStart"/>
      <w:r>
        <w:t>similar to</w:t>
      </w:r>
      <w:proofErr w:type="gramEnd"/>
      <w:r>
        <w:t xml:space="preserve"> Durkheim’s theory in terms of seeing human life reflected in and in relationship to the sacred. For Durkheim, though, religion offers ‘a convenient method of clarifying society’s awareness of itself’</w:t>
      </w:r>
      <w:r>
        <w:rPr>
          <w:rStyle w:val="FootnoteReference"/>
        </w:rPr>
        <w:footnoteReference w:id="60"/>
      </w:r>
      <w:r>
        <w:t>, an opportunity to become aware of itself, as opposed to an individual becoming aware of themselves. Enabling the community to become aware of itself in this way fulfils a deeper purpose – that of unifying the community. In experiencing and sharing the same the feelings, the group starts to act in unison and experience unity.</w:t>
      </w:r>
      <w:r>
        <w:rPr>
          <w:rStyle w:val="FootnoteReference"/>
        </w:rPr>
        <w:footnoteReference w:id="61"/>
      </w:r>
      <w:r>
        <w:t xml:space="preserve"> </w:t>
      </w:r>
      <w:r>
        <w:rPr>
          <w:color w:val="FF0000"/>
        </w:rPr>
        <w:t xml:space="preserve"> </w:t>
      </w:r>
      <w:r>
        <w:t>The members of the group are ‘subject to mutual influence’ with the result that individual concerns are transcended, and the needs of the group are prioritised, and the group becomes powerful.</w:t>
      </w:r>
      <w:r>
        <w:rPr>
          <w:rStyle w:val="FootnoteReference"/>
        </w:rPr>
        <w:footnoteReference w:id="62"/>
      </w:r>
      <w:r>
        <w:t xml:space="preserve"> Durkheim’s sacred space, then, has the function of forming a moral community, where individual members act in ways accepted by the group, which, in turn, attracts new members to the group, further strengthening and empowering the group.</w:t>
      </w:r>
      <w:r>
        <w:rPr>
          <w:rStyle w:val="FootnoteReference"/>
        </w:rPr>
        <w:footnoteReference w:id="63"/>
      </w:r>
      <w:r>
        <w:t xml:space="preserve"> This function would not have been able to be fulfilled were religion not grounded in </w:t>
      </w:r>
      <w:r>
        <w:lastRenderedPageBreak/>
        <w:t>reality – a claim that would have shocked contemporary audiences</w:t>
      </w:r>
      <w:r>
        <w:rPr>
          <w:rStyle w:val="FootnoteReference"/>
        </w:rPr>
        <w:footnoteReference w:id="64"/>
      </w:r>
      <w:r>
        <w:t xml:space="preserve"> but that makes sense in terms of his functionalist view of religion.</w:t>
      </w:r>
    </w:p>
    <w:p w14:paraId="14BEAA39" w14:textId="77777777" w:rsidR="0093250C" w:rsidRDefault="0093250C" w:rsidP="0093250C">
      <w:proofErr w:type="spellStart"/>
      <w:r>
        <w:t>Elaide’s</w:t>
      </w:r>
      <w:proofErr w:type="spellEnd"/>
      <w:r>
        <w:t xml:space="preserve"> sacred space also has the purpose of empowering but, for Eliade’s, it is the individual who is empowered. Through recreating the sacredness, the individual maintains their focus on the sacred. This enables the individual to create their own personal cosmos that mirrors the ‘</w:t>
      </w:r>
      <w:r w:rsidRPr="00E7624E">
        <w:rPr>
          <w:i/>
          <w:iCs/>
        </w:rPr>
        <w:t>pure and holy cosmos’</w:t>
      </w:r>
      <w:r>
        <w:t xml:space="preserve"> of ‘the world of the gods.’</w:t>
      </w:r>
      <w:r>
        <w:rPr>
          <w:rStyle w:val="FootnoteReference"/>
        </w:rPr>
        <w:footnoteReference w:id="65"/>
      </w:r>
    </w:p>
    <w:p w14:paraId="71950AAC" w14:textId="77777777" w:rsidR="0093250C" w:rsidRDefault="0093250C" w:rsidP="0093250C">
      <w:r>
        <w:t>Finally, it also must be noted that Durkheim felt that another reason sacred space is significant is that it offers a way of dealing with the notion or feeling of soul. Unlike Tyler, who explained soul as a means of explaining dreaming</w:t>
      </w:r>
      <w:r>
        <w:rPr>
          <w:rStyle w:val="FootnoteReference"/>
        </w:rPr>
        <w:footnoteReference w:id="66"/>
      </w:r>
      <w:r>
        <w:t xml:space="preserve">, Durkheim believed that soul’s function was to solve a problem of the waking hours, namely, that we are mortal, but our communities continue after our death. Religion provides a means of explaining immortality, but, as Fields (1995 [1912]) points out, the notion of soul is a very difficult topic to address within the framework of empirical study, which she </w:t>
      </w:r>
      <w:proofErr w:type="gramStart"/>
      <w:r>
        <w:t>feel</w:t>
      </w:r>
      <w:proofErr w:type="gramEnd"/>
      <w:r>
        <w:t xml:space="preserve"> explains why scholars have largely ignored this aspect of Durkheim’s theory</w:t>
      </w:r>
      <w:r>
        <w:rPr>
          <w:rStyle w:val="FootnoteReference"/>
        </w:rPr>
        <w:footnoteReference w:id="67"/>
      </w:r>
      <w:r>
        <w:t>.</w:t>
      </w:r>
    </w:p>
    <w:p w14:paraId="7DC74AA3" w14:textId="77777777" w:rsidR="0093250C" w:rsidRDefault="0093250C" w:rsidP="0093250C"/>
    <w:p w14:paraId="6B62BD47" w14:textId="77777777" w:rsidR="0093250C" w:rsidRDefault="0093250C" w:rsidP="0093250C"/>
    <w:p w14:paraId="6A524667" w14:textId="77777777" w:rsidR="0093250C" w:rsidRDefault="0093250C" w:rsidP="0093250C"/>
    <w:p w14:paraId="146A52EB" w14:textId="77777777" w:rsidR="00424F91" w:rsidRPr="00616843" w:rsidRDefault="00424F91" w:rsidP="00424F91">
      <w:pPr>
        <w:rPr>
          <w:lang w:val="en-US"/>
        </w:rPr>
      </w:pPr>
    </w:p>
    <w:p w14:paraId="7739322C" w14:textId="0532E444" w:rsidR="008504FF" w:rsidRDefault="008504FF" w:rsidP="00B0316F"/>
    <w:p w14:paraId="054A4F1F" w14:textId="37992181" w:rsidR="00883A83" w:rsidRDefault="00883A83" w:rsidP="00883A83">
      <w:pPr>
        <w:pStyle w:val="Heading4"/>
      </w:pPr>
      <w:r>
        <w:t>Conclusion</w:t>
      </w:r>
    </w:p>
    <w:p w14:paraId="22AC02D1" w14:textId="77777777" w:rsidR="00883A83" w:rsidRPr="00883A83" w:rsidRDefault="00883A83" w:rsidP="00883A83"/>
    <w:p w14:paraId="3891CA8E" w14:textId="50CB0B92" w:rsidR="00030D65" w:rsidRPr="00030D65" w:rsidRDefault="00030D65" w:rsidP="00030D65"/>
    <w:p w14:paraId="4AA530C9" w14:textId="095DA0AC" w:rsidR="00030D65" w:rsidRPr="00030D65" w:rsidRDefault="002036E6" w:rsidP="00030D65">
      <w:r>
        <w:t xml:space="preserve">As Roland Hardenberg points out, </w:t>
      </w:r>
      <w:r w:rsidR="0017161E">
        <w:t xml:space="preserve">despite being criticised in </w:t>
      </w:r>
      <w:proofErr w:type="gramStart"/>
      <w:r w:rsidR="0017161E">
        <w:t>great detail</w:t>
      </w:r>
      <w:proofErr w:type="gramEnd"/>
      <w:r w:rsidR="0017161E">
        <w:t xml:space="preserve"> over the years, Durkheim’s theories still have ‘considerable value’</w:t>
      </w:r>
      <w:r w:rsidR="0017161E">
        <w:rPr>
          <w:rStyle w:val="FootnoteReference"/>
        </w:rPr>
        <w:footnoteReference w:id="68"/>
      </w:r>
      <w:r w:rsidR="0017161E">
        <w:t xml:space="preserve"> because they offer a starting point for further scholarly debate.</w:t>
      </w:r>
    </w:p>
    <w:p w14:paraId="7C9D720D" w14:textId="208CAEC2" w:rsidR="008504FF" w:rsidRDefault="003377F3" w:rsidP="00B0316F">
      <w:r>
        <w:t xml:space="preserve">‘The Elementary Forms is, therefore, better approached as a theoretically stimulating resource for thinking about the sacred, rather than as the rigorous historical study or programmatic definition of religion that </w:t>
      </w:r>
      <w:r w:rsidR="0093250C">
        <w:t>Durkheim</w:t>
      </w:r>
      <w:r>
        <w:t xml:space="preserve"> intended it to be’ Lynch p.22</w:t>
      </w:r>
    </w:p>
    <w:p w14:paraId="16EC7C16" w14:textId="0961149D" w:rsidR="00663706" w:rsidRDefault="00663706" w:rsidP="00B0316F"/>
    <w:p w14:paraId="6C607C7C" w14:textId="4C949CC1" w:rsidR="00663706" w:rsidRDefault="00663706" w:rsidP="00B0316F"/>
    <w:p w14:paraId="7C4E6DC1" w14:textId="67D5768D" w:rsidR="00663706" w:rsidRDefault="00663706" w:rsidP="00B0316F"/>
    <w:p w14:paraId="0331FFBB" w14:textId="1509BCAE" w:rsidR="00663706" w:rsidRDefault="00663706" w:rsidP="00B0316F">
      <w:r>
        <w:t>Impacts</w:t>
      </w:r>
    </w:p>
    <w:p w14:paraId="3198172F" w14:textId="00E3556B" w:rsidR="00663706" w:rsidRPr="00B0316F" w:rsidRDefault="00663706" w:rsidP="00B0316F">
      <w:r>
        <w:lastRenderedPageBreak/>
        <w:t xml:space="preserve">Lynch Ontological </w:t>
      </w:r>
      <w:proofErr w:type="spellStart"/>
      <w:r>
        <w:t>durk</w:t>
      </w:r>
      <w:proofErr w:type="spellEnd"/>
      <w:r>
        <w:t xml:space="preserve"> – praises </w:t>
      </w:r>
      <w:proofErr w:type="spellStart"/>
      <w:r>
        <w:t>eliade’s</w:t>
      </w:r>
      <w:proofErr w:type="spellEnd"/>
      <w:r>
        <w:t xml:space="preserve"> work p 2</w:t>
      </w:r>
      <w:bookmarkEnd w:id="0"/>
    </w:p>
    <w:sectPr w:rsidR="00663706" w:rsidRPr="00B031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FBD99" w14:textId="77777777" w:rsidR="00790255" w:rsidRDefault="00790255" w:rsidP="00360234">
      <w:pPr>
        <w:spacing w:after="0" w:line="240" w:lineRule="auto"/>
      </w:pPr>
      <w:r>
        <w:separator/>
      </w:r>
    </w:p>
  </w:endnote>
  <w:endnote w:type="continuationSeparator" w:id="0">
    <w:p w14:paraId="48142218" w14:textId="77777777" w:rsidR="00790255" w:rsidRDefault="00790255" w:rsidP="00360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FB801" w14:textId="77777777" w:rsidR="00790255" w:rsidRDefault="00790255" w:rsidP="00360234">
      <w:pPr>
        <w:spacing w:after="0" w:line="240" w:lineRule="auto"/>
      </w:pPr>
      <w:r>
        <w:separator/>
      </w:r>
    </w:p>
  </w:footnote>
  <w:footnote w:type="continuationSeparator" w:id="0">
    <w:p w14:paraId="07DC4DC5" w14:textId="77777777" w:rsidR="00790255" w:rsidRDefault="00790255" w:rsidP="00360234">
      <w:pPr>
        <w:spacing w:after="0" w:line="240" w:lineRule="auto"/>
      </w:pPr>
      <w:r>
        <w:continuationSeparator/>
      </w:r>
    </w:p>
  </w:footnote>
  <w:footnote w:id="1">
    <w:p w14:paraId="3FFFA654" w14:textId="35D00ADE" w:rsidR="007B1FD3" w:rsidRDefault="007B1FD3" w:rsidP="0049215A">
      <w:r w:rsidRPr="0049215A">
        <w:rPr>
          <w:rStyle w:val="FootnoteReference"/>
          <w:sz w:val="20"/>
          <w:szCs w:val="20"/>
        </w:rPr>
        <w:footnoteRef/>
      </w:r>
      <w:r w:rsidRPr="0049215A">
        <w:rPr>
          <w:sz w:val="20"/>
          <w:szCs w:val="20"/>
        </w:rPr>
        <w:t xml:space="preserve"> </w:t>
      </w:r>
      <w:r w:rsidR="0049215A" w:rsidRPr="0049215A">
        <w:rPr>
          <w:sz w:val="20"/>
          <w:szCs w:val="20"/>
        </w:rPr>
        <w:t xml:space="preserve">Durkheim, Emile, </w:t>
      </w:r>
      <w:r w:rsidR="0049215A" w:rsidRPr="0049215A">
        <w:rPr>
          <w:i/>
          <w:iCs/>
          <w:sz w:val="20"/>
          <w:szCs w:val="20"/>
        </w:rPr>
        <w:t xml:space="preserve">The Elementary Forms of Religious Life, A new translation by Carol </w:t>
      </w:r>
      <w:proofErr w:type="spellStart"/>
      <w:r w:rsidR="0049215A" w:rsidRPr="0049215A">
        <w:rPr>
          <w:i/>
          <w:iCs/>
          <w:sz w:val="20"/>
          <w:szCs w:val="20"/>
        </w:rPr>
        <w:t>Cosman</w:t>
      </w:r>
      <w:proofErr w:type="spellEnd"/>
      <w:r w:rsidR="0049215A" w:rsidRPr="0049215A">
        <w:rPr>
          <w:i/>
          <w:iCs/>
          <w:sz w:val="20"/>
          <w:szCs w:val="20"/>
        </w:rPr>
        <w:t xml:space="preserve">, </w:t>
      </w:r>
      <w:r w:rsidR="0049215A" w:rsidRPr="0049215A">
        <w:rPr>
          <w:sz w:val="20"/>
          <w:szCs w:val="20"/>
        </w:rPr>
        <w:t>Oxford University Press, New York, (2001). This</w:t>
      </w:r>
      <w:r w:rsidRPr="0049215A">
        <w:rPr>
          <w:i/>
          <w:iCs/>
          <w:sz w:val="20"/>
          <w:szCs w:val="20"/>
          <w:lang w:val="en-US"/>
        </w:rPr>
        <w:t xml:space="preserve"> </w:t>
      </w:r>
      <w:r w:rsidRPr="0049215A">
        <w:rPr>
          <w:sz w:val="20"/>
          <w:szCs w:val="20"/>
          <w:lang w:val="en-US"/>
        </w:rPr>
        <w:t xml:space="preserve">will be referred to as </w:t>
      </w:r>
      <w:r w:rsidRPr="0049215A">
        <w:rPr>
          <w:i/>
          <w:iCs/>
          <w:sz w:val="20"/>
          <w:szCs w:val="20"/>
          <w:lang w:val="en-US"/>
        </w:rPr>
        <w:t>Forms</w:t>
      </w:r>
      <w:r w:rsidRPr="0049215A">
        <w:rPr>
          <w:sz w:val="20"/>
          <w:szCs w:val="20"/>
          <w:lang w:val="en-US"/>
        </w:rPr>
        <w:t xml:space="preserve"> from this point onwards.</w:t>
      </w:r>
    </w:p>
  </w:footnote>
  <w:footnote w:id="2">
    <w:p w14:paraId="367BF611" w14:textId="4FEE5200" w:rsidR="0093250C" w:rsidRDefault="0093250C" w:rsidP="0093250C">
      <w:r>
        <w:rPr>
          <w:rStyle w:val="FootnoteReference"/>
        </w:rPr>
        <w:footnoteRef/>
      </w:r>
      <w:r>
        <w:t xml:space="preserve"> </w:t>
      </w:r>
      <w:bookmarkStart w:id="1" w:name="_Hlk119217969"/>
      <w:r>
        <w:t xml:space="preserve">Eliade, Mircea, </w:t>
      </w:r>
      <w:r>
        <w:rPr>
          <w:i/>
          <w:iCs/>
        </w:rPr>
        <w:t xml:space="preserve">The Sacred and the Profane, The Nature of Religion, </w:t>
      </w:r>
      <w:r>
        <w:t>Harcourt, New York, (1987 [1957])</w:t>
      </w:r>
      <w:bookmarkEnd w:id="1"/>
    </w:p>
  </w:footnote>
  <w:footnote w:id="3">
    <w:p w14:paraId="0E691C81" w14:textId="281E55C6" w:rsidR="00883A83" w:rsidRDefault="00883A83">
      <w:pPr>
        <w:pStyle w:val="FootnoteText"/>
      </w:pPr>
      <w:r>
        <w:rPr>
          <w:rStyle w:val="FootnoteReference"/>
        </w:rPr>
        <w:footnoteRef/>
      </w:r>
      <w:r>
        <w:t xml:space="preserve"> Additionally, while many scholars have written about the work of Durkheim and Eliade, the limited word allowance only allows space to include comment that is directly relevant to the points I make in this essay.</w:t>
      </w:r>
    </w:p>
  </w:footnote>
  <w:footnote w:id="4">
    <w:p w14:paraId="22503E9A" w14:textId="5DF951C4" w:rsidR="0049215A" w:rsidRPr="0049215A" w:rsidRDefault="0049215A">
      <w:pPr>
        <w:pStyle w:val="FootnoteText"/>
      </w:pPr>
      <w:r>
        <w:rPr>
          <w:rStyle w:val="FootnoteReference"/>
        </w:rPr>
        <w:footnoteRef/>
      </w:r>
      <w:r>
        <w:t xml:space="preserve"> Durkheim, </w:t>
      </w:r>
      <w:r>
        <w:rPr>
          <w:i/>
          <w:iCs/>
        </w:rPr>
        <w:t>Forms (2001)</w:t>
      </w:r>
      <w:r>
        <w:t xml:space="preserve"> p. x. </w:t>
      </w:r>
    </w:p>
  </w:footnote>
  <w:footnote w:id="5">
    <w:p w14:paraId="2EA4B9D8" w14:textId="684C9A67" w:rsidR="0049215A" w:rsidRPr="0049215A" w:rsidRDefault="0049215A" w:rsidP="0049215A">
      <w:pPr>
        <w:pStyle w:val="FootnoteText"/>
      </w:pPr>
      <w:r>
        <w:rPr>
          <w:rStyle w:val="FootnoteReference"/>
        </w:rPr>
        <w:footnoteRef/>
      </w:r>
      <w:r>
        <w:t xml:space="preserve"> Durkheim, </w:t>
      </w:r>
      <w:r>
        <w:rPr>
          <w:i/>
          <w:iCs/>
        </w:rPr>
        <w:t xml:space="preserve">Forms </w:t>
      </w:r>
      <w:r>
        <w:t xml:space="preserve">(2001) p. xi. </w:t>
      </w:r>
    </w:p>
  </w:footnote>
  <w:footnote w:id="6">
    <w:p w14:paraId="0C2C51BB" w14:textId="775D9AC6" w:rsidR="00641024" w:rsidRPr="00641024" w:rsidRDefault="00641024">
      <w:pPr>
        <w:pStyle w:val="FootnoteText"/>
      </w:pPr>
      <w:r>
        <w:rPr>
          <w:rStyle w:val="FootnoteReference"/>
        </w:rPr>
        <w:footnoteRef/>
      </w:r>
      <w:r>
        <w:t xml:space="preserve"> </w:t>
      </w:r>
      <w:proofErr w:type="spellStart"/>
      <w:r>
        <w:t>Dukheim</w:t>
      </w:r>
      <w:proofErr w:type="spellEnd"/>
      <w:r>
        <w:t xml:space="preserve">, </w:t>
      </w:r>
      <w:r>
        <w:rPr>
          <w:i/>
          <w:iCs/>
        </w:rPr>
        <w:t>Forms</w:t>
      </w:r>
      <w:r>
        <w:t xml:space="preserve"> p. xi.</w:t>
      </w:r>
    </w:p>
  </w:footnote>
  <w:footnote w:id="7">
    <w:p w14:paraId="3DEADFB9" w14:textId="22D62F79" w:rsidR="0093250C" w:rsidRDefault="0093250C" w:rsidP="0093250C">
      <w:r>
        <w:rPr>
          <w:rStyle w:val="FootnoteReference"/>
        </w:rPr>
        <w:footnoteRef/>
      </w:r>
      <w:r>
        <w:t xml:space="preserve"> </w:t>
      </w:r>
      <w:r>
        <w:t xml:space="preserve">Durkheim, Emile, </w:t>
      </w:r>
      <w:r>
        <w:rPr>
          <w:i/>
          <w:iCs/>
        </w:rPr>
        <w:t xml:space="preserve">The Elementary Forms of Religious Life, A new translation by Carol </w:t>
      </w:r>
      <w:proofErr w:type="spellStart"/>
      <w:r>
        <w:rPr>
          <w:i/>
          <w:iCs/>
        </w:rPr>
        <w:t>Cosman</w:t>
      </w:r>
      <w:proofErr w:type="spellEnd"/>
      <w:r>
        <w:rPr>
          <w:i/>
          <w:iCs/>
        </w:rPr>
        <w:t xml:space="preserve">, </w:t>
      </w:r>
      <w:r>
        <w:t>Oxford University Press, New York, (</w:t>
      </w:r>
      <w:proofErr w:type="gramStart"/>
      <w:r>
        <w:t>2001)</w:t>
      </w:r>
      <w:proofErr w:type="spellStart"/>
      <w:r>
        <w:t>pxvi</w:t>
      </w:r>
      <w:proofErr w:type="spellEnd"/>
      <w:proofErr w:type="gramEnd"/>
      <w:r>
        <w:t>.</w:t>
      </w:r>
    </w:p>
  </w:footnote>
  <w:footnote w:id="8">
    <w:p w14:paraId="5A0B3DEC" w14:textId="12847AF6" w:rsidR="00EE7704" w:rsidRDefault="00EE7704" w:rsidP="00EE7704">
      <w:pPr>
        <w:pStyle w:val="FootnoteText"/>
      </w:pPr>
      <w:r>
        <w:rPr>
          <w:rStyle w:val="FootnoteReference"/>
        </w:rPr>
        <w:footnoteRef/>
      </w:r>
      <w:r>
        <w:t xml:space="preserve"> Johnston, </w:t>
      </w:r>
      <w:proofErr w:type="spellStart"/>
      <w:r>
        <w:t>Ilinca</w:t>
      </w:r>
      <w:proofErr w:type="spellEnd"/>
      <w:r>
        <w:t xml:space="preserve"> </w:t>
      </w:r>
      <w:proofErr w:type="spellStart"/>
      <w:r>
        <w:t>Zarifopol</w:t>
      </w:r>
      <w:proofErr w:type="spellEnd"/>
      <w:r>
        <w:t xml:space="preserve">, ‘Mircea Eliade’s “Autobiography”: The Quest for Universality (Book Review)’, Religious Studies Review (Waterloo, </w:t>
      </w:r>
      <w:proofErr w:type="spellStart"/>
      <w:r>
        <w:t>Ont</w:t>
      </w:r>
      <w:proofErr w:type="spellEnd"/>
      <w:r>
        <w:t xml:space="preserve">: Council on the Study of Religion, 1983), </w:t>
      </w:r>
      <w:r w:rsidR="008A6A95">
        <w:t>p. 1</w:t>
      </w:r>
      <w:r>
        <w:t>1</w:t>
      </w:r>
      <w:r w:rsidR="008A6A95">
        <w:t>.</w:t>
      </w:r>
    </w:p>
  </w:footnote>
  <w:footnote w:id="9">
    <w:p w14:paraId="163858D8" w14:textId="11FF98C0" w:rsidR="008A6A95" w:rsidRDefault="008A6A95">
      <w:pPr>
        <w:pStyle w:val="FootnoteText"/>
      </w:pPr>
      <w:r>
        <w:rPr>
          <w:rStyle w:val="FootnoteReference"/>
        </w:rPr>
        <w:footnoteRef/>
      </w:r>
      <w:r>
        <w:t xml:space="preserve">  </w:t>
      </w:r>
      <w:r w:rsidR="009341E8">
        <w:t xml:space="preserve">Johnston, </w:t>
      </w:r>
      <w:proofErr w:type="spellStart"/>
      <w:r w:rsidR="009341E8">
        <w:t>Ilinca</w:t>
      </w:r>
      <w:proofErr w:type="spellEnd"/>
      <w:r w:rsidR="009341E8">
        <w:t xml:space="preserve"> </w:t>
      </w:r>
      <w:proofErr w:type="spellStart"/>
      <w:r w:rsidR="009341E8">
        <w:t>Zarifopol</w:t>
      </w:r>
      <w:proofErr w:type="spellEnd"/>
      <w:r w:rsidR="009341E8">
        <w:t xml:space="preserve">, ‘Mircea Eliade’s “Autobiography”: The Quest for Universality (Book Review)’, Religious Studies Review (Waterloo, </w:t>
      </w:r>
      <w:proofErr w:type="spellStart"/>
      <w:r w:rsidR="009341E8">
        <w:t>Ont</w:t>
      </w:r>
      <w:proofErr w:type="spellEnd"/>
      <w:r w:rsidR="009341E8">
        <w:t xml:space="preserve">: Council on the Study of Religion, 1983), </w:t>
      </w:r>
      <w:r>
        <w:t>p11</w:t>
      </w:r>
    </w:p>
  </w:footnote>
  <w:footnote w:id="10">
    <w:p w14:paraId="3136E208" w14:textId="349A122A" w:rsidR="009341E8" w:rsidRPr="009341E8" w:rsidRDefault="009341E8">
      <w:pPr>
        <w:pStyle w:val="FootnoteText"/>
        <w:rPr>
          <w:lang w:val="en-US"/>
        </w:rPr>
      </w:pPr>
      <w:r>
        <w:rPr>
          <w:rStyle w:val="FootnoteReference"/>
        </w:rPr>
        <w:footnoteRef/>
      </w:r>
      <w:r>
        <w:t xml:space="preserve"> </w:t>
      </w:r>
      <w:r w:rsidRPr="00221245">
        <w:rPr>
          <w:lang w:eastAsia="en-GB"/>
        </w:rPr>
        <w:t xml:space="preserve">Smith, Jonathan Z. “Acknowledgments: Morphology and History in Mircea Eliade’s ‘Patterns in Comparative Religion’ (1949-1999), Part 1: The Work and Its Contexts.” </w:t>
      </w:r>
      <w:r w:rsidRPr="00221245">
        <w:rPr>
          <w:i/>
          <w:iCs/>
          <w:lang w:eastAsia="en-GB"/>
        </w:rPr>
        <w:t>History of Religions</w:t>
      </w:r>
      <w:r w:rsidRPr="00221245">
        <w:rPr>
          <w:lang w:eastAsia="en-GB"/>
        </w:rPr>
        <w:t xml:space="preserve">, vol. 39, no. 4, 2000, pp. 315–31. </w:t>
      </w:r>
      <w:r w:rsidRPr="00221245">
        <w:rPr>
          <w:i/>
          <w:iCs/>
          <w:lang w:eastAsia="en-GB"/>
        </w:rPr>
        <w:t>JSTOR</w:t>
      </w:r>
      <w:r w:rsidRPr="00221245">
        <w:rPr>
          <w:lang w:eastAsia="en-GB"/>
        </w:rPr>
        <w:t xml:space="preserve">, </w:t>
      </w:r>
      <w:hyperlink r:id="rId1" w:history="1">
        <w:r w:rsidRPr="00897D6E">
          <w:rPr>
            <w:rStyle w:val="Hyperlink"/>
            <w:lang w:eastAsia="en-GB"/>
          </w:rPr>
          <w:t>http://www.jstor.org/stable/3176542</w:t>
        </w:r>
      </w:hyperlink>
      <w:r>
        <w:rPr>
          <w:lang w:eastAsia="en-GB"/>
        </w:rPr>
        <w:t xml:space="preserve"> p. 317.</w:t>
      </w:r>
    </w:p>
  </w:footnote>
  <w:footnote w:id="11">
    <w:p w14:paraId="57AD70A0" w14:textId="47EA612F" w:rsidR="00360234" w:rsidRPr="00360234" w:rsidRDefault="00360234">
      <w:pPr>
        <w:pStyle w:val="FootnoteText"/>
      </w:pPr>
      <w:r>
        <w:rPr>
          <w:rStyle w:val="FootnoteReference"/>
        </w:rPr>
        <w:footnoteRef/>
      </w:r>
      <w:r>
        <w:t xml:space="preserve"> </w:t>
      </w:r>
      <w:bookmarkStart w:id="2" w:name="_Hlk119001632"/>
      <w:r>
        <w:t xml:space="preserve">Emile Durkheim, </w:t>
      </w:r>
      <w:r>
        <w:rPr>
          <w:i/>
          <w:iCs/>
        </w:rPr>
        <w:t xml:space="preserve">The Elementary Forms of Religious Life, A new translation by Carol </w:t>
      </w:r>
      <w:proofErr w:type="spellStart"/>
      <w:r>
        <w:rPr>
          <w:i/>
          <w:iCs/>
        </w:rPr>
        <w:t>Cosman</w:t>
      </w:r>
      <w:proofErr w:type="spellEnd"/>
      <w:r>
        <w:rPr>
          <w:i/>
          <w:iCs/>
        </w:rPr>
        <w:t xml:space="preserve">, </w:t>
      </w:r>
      <w:r>
        <w:t>Oxford University Press, New York, (2001</w:t>
      </w:r>
      <w:bookmarkEnd w:id="2"/>
      <w:r>
        <w:t xml:space="preserve">), p. 3. </w:t>
      </w:r>
    </w:p>
  </w:footnote>
  <w:footnote w:id="12">
    <w:p w14:paraId="3B55E0BD" w14:textId="7F97C2EF" w:rsidR="00360234" w:rsidRPr="001E73E0" w:rsidRDefault="00360234" w:rsidP="001E73E0">
      <w:pPr>
        <w:spacing w:after="0" w:line="240" w:lineRule="auto"/>
        <w:rPr>
          <w:rFonts w:eastAsia="Times New Roman" w:cstheme="minorHAnsi"/>
          <w:sz w:val="20"/>
          <w:szCs w:val="20"/>
          <w:lang w:eastAsia="en-GB"/>
        </w:rPr>
      </w:pPr>
      <w:r>
        <w:rPr>
          <w:rStyle w:val="FootnoteReference"/>
        </w:rPr>
        <w:footnoteRef/>
      </w:r>
      <w:r>
        <w:t xml:space="preserve"> </w:t>
      </w:r>
      <w:r w:rsidRPr="00360234">
        <w:rPr>
          <w:rFonts w:eastAsia="Times New Roman" w:cstheme="minorHAnsi"/>
          <w:sz w:val="20"/>
          <w:szCs w:val="20"/>
          <w:lang w:eastAsia="en-GB"/>
        </w:rPr>
        <w:t xml:space="preserve">Allen, Kieran, and Brian O’Boyle. “The Elementary Forms of Religious Life.” </w:t>
      </w:r>
      <w:r w:rsidRPr="00360234">
        <w:rPr>
          <w:rFonts w:eastAsia="Times New Roman" w:cstheme="minorHAnsi"/>
          <w:i/>
          <w:iCs/>
          <w:sz w:val="20"/>
          <w:szCs w:val="20"/>
          <w:lang w:eastAsia="en-GB"/>
        </w:rPr>
        <w:t>Durkheim: A Critical Introduction</w:t>
      </w:r>
      <w:r w:rsidRPr="00360234">
        <w:rPr>
          <w:rFonts w:eastAsia="Times New Roman" w:cstheme="minorHAnsi"/>
          <w:sz w:val="20"/>
          <w:szCs w:val="20"/>
          <w:lang w:eastAsia="en-GB"/>
        </w:rPr>
        <w:t xml:space="preserve">, Pluto Press, 2017, pp. 106–31. </w:t>
      </w:r>
      <w:r w:rsidRPr="00360234">
        <w:rPr>
          <w:rFonts w:eastAsia="Times New Roman" w:cstheme="minorHAnsi"/>
          <w:i/>
          <w:iCs/>
          <w:sz w:val="20"/>
          <w:szCs w:val="20"/>
          <w:lang w:eastAsia="en-GB"/>
        </w:rPr>
        <w:t>JSTOR</w:t>
      </w:r>
      <w:r w:rsidRPr="00360234">
        <w:rPr>
          <w:rFonts w:eastAsia="Times New Roman" w:cstheme="minorHAnsi"/>
          <w:sz w:val="20"/>
          <w:szCs w:val="20"/>
          <w:lang w:eastAsia="en-GB"/>
        </w:rPr>
        <w:t xml:space="preserve">, </w:t>
      </w:r>
      <w:hyperlink r:id="rId2" w:history="1">
        <w:r w:rsidRPr="007C2B43">
          <w:rPr>
            <w:rStyle w:val="Hyperlink"/>
            <w:rFonts w:eastAsia="Times New Roman" w:cstheme="minorHAnsi"/>
            <w:sz w:val="20"/>
            <w:szCs w:val="20"/>
            <w:lang w:eastAsia="en-GB"/>
          </w:rPr>
          <w:t>https://doi.org/10.2307/j.ctt1v2xvw6.9</w:t>
        </w:r>
      </w:hyperlink>
      <w:r>
        <w:rPr>
          <w:rFonts w:eastAsia="Times New Roman" w:cstheme="minorHAnsi"/>
          <w:sz w:val="20"/>
          <w:szCs w:val="20"/>
          <w:lang w:eastAsia="en-GB"/>
        </w:rPr>
        <w:t xml:space="preserve">, p. 7. </w:t>
      </w:r>
    </w:p>
  </w:footnote>
  <w:footnote w:id="13">
    <w:p w14:paraId="6904D7A6" w14:textId="6ED6EDD0" w:rsidR="0093250C" w:rsidRPr="0093250C" w:rsidRDefault="0093250C" w:rsidP="0093250C">
      <w:pPr>
        <w:spacing w:after="0" w:line="240" w:lineRule="auto"/>
        <w:rPr>
          <w:rFonts w:eastAsia="Times New Roman" w:cstheme="minorHAnsi"/>
          <w:lang w:eastAsia="en-GB"/>
        </w:rPr>
      </w:pPr>
      <w:r>
        <w:rPr>
          <w:rStyle w:val="FootnoteReference"/>
        </w:rPr>
        <w:footnoteRef/>
      </w:r>
      <w:r>
        <w:t xml:space="preserve"> </w:t>
      </w:r>
      <w:bookmarkStart w:id="3" w:name="_Hlk119229872"/>
      <w:proofErr w:type="spellStart"/>
      <w:r w:rsidRPr="00DB1535">
        <w:rPr>
          <w:rFonts w:eastAsia="Times New Roman" w:cstheme="minorHAnsi"/>
          <w:lang w:eastAsia="en-GB"/>
        </w:rPr>
        <w:t>Stirrat</w:t>
      </w:r>
      <w:proofErr w:type="spellEnd"/>
      <w:r w:rsidRPr="00DB1535">
        <w:rPr>
          <w:rFonts w:eastAsia="Times New Roman" w:cstheme="minorHAnsi"/>
          <w:lang w:eastAsia="en-GB"/>
        </w:rPr>
        <w:t xml:space="preserve">, R. L. </w:t>
      </w:r>
      <w:r w:rsidRPr="00DB1535">
        <w:rPr>
          <w:rFonts w:eastAsia="Times New Roman" w:cstheme="minorHAnsi"/>
          <w:i/>
          <w:iCs/>
          <w:lang w:eastAsia="en-GB"/>
        </w:rPr>
        <w:t>“Sacred Models.”</w:t>
      </w:r>
      <w:r w:rsidRPr="00DB1535">
        <w:rPr>
          <w:rFonts w:eastAsia="Times New Roman" w:cstheme="minorHAnsi"/>
          <w:lang w:eastAsia="en-GB"/>
        </w:rPr>
        <w:t xml:space="preserve"> Man, vol. 19, no. 2, 1984, pp. 199–215. </w:t>
      </w:r>
      <w:r w:rsidRPr="00DB1535">
        <w:rPr>
          <w:rFonts w:eastAsia="Times New Roman" w:cstheme="minorHAnsi"/>
          <w:i/>
          <w:iCs/>
          <w:lang w:eastAsia="en-GB"/>
        </w:rPr>
        <w:t>JSTOR</w:t>
      </w:r>
      <w:r w:rsidRPr="00DB1535">
        <w:rPr>
          <w:rFonts w:eastAsia="Times New Roman" w:cstheme="minorHAnsi"/>
          <w:lang w:eastAsia="en-GB"/>
        </w:rPr>
        <w:t xml:space="preserve">, </w:t>
      </w:r>
      <w:hyperlink r:id="rId3" w:history="1">
        <w:r w:rsidRPr="007C2B43">
          <w:rPr>
            <w:rStyle w:val="Hyperlink"/>
            <w:rFonts w:eastAsia="Times New Roman" w:cstheme="minorHAnsi"/>
            <w:lang w:eastAsia="en-GB"/>
          </w:rPr>
          <w:t>https://doi.org/10.2307/2802277</w:t>
        </w:r>
      </w:hyperlink>
      <w:r>
        <w:rPr>
          <w:rFonts w:eastAsia="Times New Roman" w:cstheme="minorHAnsi"/>
          <w:lang w:eastAsia="en-GB"/>
        </w:rPr>
        <w:t xml:space="preserve"> </w:t>
      </w:r>
      <w:r w:rsidRPr="00DB1535">
        <w:rPr>
          <w:rFonts w:eastAsia="Times New Roman" w:cstheme="minorHAnsi"/>
          <w:lang w:eastAsia="en-GB"/>
        </w:rPr>
        <w:t>. Accessed 3 Nov. 2022.</w:t>
      </w:r>
      <w:bookmarkEnd w:id="3"/>
      <w:r>
        <w:rPr>
          <w:rFonts w:eastAsia="Times New Roman" w:cstheme="minorHAnsi"/>
          <w:lang w:eastAsia="en-GB"/>
        </w:rPr>
        <w:t xml:space="preserve"> P200</w:t>
      </w:r>
    </w:p>
  </w:footnote>
  <w:footnote w:id="14">
    <w:p w14:paraId="55EA01BE" w14:textId="76E27198" w:rsidR="0093250C" w:rsidRPr="0093250C" w:rsidRDefault="0093250C" w:rsidP="0093250C">
      <w:pPr>
        <w:spacing w:after="0" w:line="240" w:lineRule="auto"/>
        <w:rPr>
          <w:rFonts w:eastAsia="Times New Roman" w:cstheme="minorHAnsi"/>
          <w:lang w:eastAsia="en-GB"/>
        </w:rPr>
      </w:pPr>
      <w:r>
        <w:rPr>
          <w:rStyle w:val="FootnoteReference"/>
        </w:rPr>
        <w:footnoteRef/>
      </w:r>
      <w:r>
        <w:t xml:space="preserve"> </w:t>
      </w:r>
      <w:proofErr w:type="spellStart"/>
      <w:r w:rsidRPr="00DB1535">
        <w:rPr>
          <w:rFonts w:eastAsia="Times New Roman" w:cstheme="minorHAnsi"/>
          <w:lang w:eastAsia="en-GB"/>
        </w:rPr>
        <w:t>Stirrat</w:t>
      </w:r>
      <w:proofErr w:type="spellEnd"/>
      <w:r w:rsidRPr="00DB1535">
        <w:rPr>
          <w:rFonts w:eastAsia="Times New Roman" w:cstheme="minorHAnsi"/>
          <w:lang w:eastAsia="en-GB"/>
        </w:rPr>
        <w:t xml:space="preserve">, R. L. </w:t>
      </w:r>
      <w:r w:rsidRPr="00DB1535">
        <w:rPr>
          <w:rFonts w:eastAsia="Times New Roman" w:cstheme="minorHAnsi"/>
          <w:i/>
          <w:iCs/>
          <w:lang w:eastAsia="en-GB"/>
        </w:rPr>
        <w:t>“Sacred Models.”</w:t>
      </w:r>
      <w:r w:rsidRPr="00DB1535">
        <w:rPr>
          <w:rFonts w:eastAsia="Times New Roman" w:cstheme="minorHAnsi"/>
          <w:lang w:eastAsia="en-GB"/>
        </w:rPr>
        <w:t xml:space="preserve"> Man, vol. 19, no. 2, 1984, pp. 199–215. </w:t>
      </w:r>
      <w:r w:rsidRPr="00DB1535">
        <w:rPr>
          <w:rFonts w:eastAsia="Times New Roman" w:cstheme="minorHAnsi"/>
          <w:i/>
          <w:iCs/>
          <w:lang w:eastAsia="en-GB"/>
        </w:rPr>
        <w:t>JSTOR</w:t>
      </w:r>
      <w:r w:rsidRPr="00DB1535">
        <w:rPr>
          <w:rFonts w:eastAsia="Times New Roman" w:cstheme="minorHAnsi"/>
          <w:lang w:eastAsia="en-GB"/>
        </w:rPr>
        <w:t xml:space="preserve">, </w:t>
      </w:r>
      <w:hyperlink r:id="rId4" w:history="1">
        <w:r w:rsidRPr="007C2B43">
          <w:rPr>
            <w:rStyle w:val="Hyperlink"/>
            <w:rFonts w:eastAsia="Times New Roman" w:cstheme="minorHAnsi"/>
            <w:lang w:eastAsia="en-GB"/>
          </w:rPr>
          <w:t>https://doi.org/10.2307/2802277</w:t>
        </w:r>
      </w:hyperlink>
      <w:r>
        <w:rPr>
          <w:rFonts w:eastAsia="Times New Roman" w:cstheme="minorHAnsi"/>
          <w:lang w:eastAsia="en-GB"/>
        </w:rPr>
        <w:t xml:space="preserve"> </w:t>
      </w:r>
      <w:r w:rsidRPr="00DB1535">
        <w:rPr>
          <w:rFonts w:eastAsia="Times New Roman" w:cstheme="minorHAnsi"/>
          <w:lang w:eastAsia="en-GB"/>
        </w:rPr>
        <w:t>. Accessed 3 Nov. 2022.</w:t>
      </w:r>
      <w:r>
        <w:rPr>
          <w:rFonts w:eastAsia="Times New Roman" w:cstheme="minorHAnsi"/>
          <w:lang w:eastAsia="en-GB"/>
        </w:rPr>
        <w:t xml:space="preserve"> P200.</w:t>
      </w:r>
    </w:p>
  </w:footnote>
  <w:footnote w:id="15">
    <w:p w14:paraId="415C41BF" w14:textId="0F362DE1"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16</w:t>
      </w:r>
    </w:p>
  </w:footnote>
  <w:footnote w:id="16">
    <w:p w14:paraId="2EE37250" w14:textId="6352553E" w:rsidR="00917500" w:rsidRPr="007F173E" w:rsidRDefault="00917500" w:rsidP="00917500">
      <w:pPr>
        <w:spacing w:after="0" w:line="240" w:lineRule="auto"/>
        <w:rPr>
          <w:rFonts w:ascii="Times New Roman" w:eastAsia="Times New Roman" w:hAnsi="Times New Roman" w:cs="Times New Roman"/>
          <w:lang w:eastAsia="en-GB"/>
        </w:rPr>
      </w:pPr>
      <w:r w:rsidRPr="007F173E">
        <w:rPr>
          <w:rStyle w:val="FootnoteReference"/>
          <w:sz w:val="20"/>
          <w:szCs w:val="20"/>
        </w:rPr>
        <w:footnoteRef/>
      </w:r>
      <w:r w:rsidRPr="007F173E">
        <w:rPr>
          <w:sz w:val="20"/>
          <w:szCs w:val="20"/>
        </w:rPr>
        <w:t xml:space="preserve"> </w:t>
      </w:r>
      <w:proofErr w:type="spellStart"/>
      <w:r w:rsidRPr="007F173E">
        <w:rPr>
          <w:rFonts w:eastAsia="Times New Roman" w:cstheme="minorHAnsi"/>
          <w:sz w:val="20"/>
          <w:szCs w:val="20"/>
          <w:lang w:eastAsia="en-GB"/>
        </w:rPr>
        <w:t>Hassner</w:t>
      </w:r>
      <w:proofErr w:type="spellEnd"/>
      <w:r w:rsidRPr="00032523">
        <w:rPr>
          <w:rFonts w:eastAsia="Times New Roman" w:cstheme="minorHAnsi"/>
          <w:sz w:val="20"/>
          <w:szCs w:val="20"/>
          <w:lang w:eastAsia="en-GB"/>
        </w:rPr>
        <w:t>, R</w:t>
      </w:r>
      <w:r w:rsidRPr="007F173E">
        <w:rPr>
          <w:rFonts w:eastAsia="Times New Roman" w:cstheme="minorHAnsi"/>
          <w:sz w:val="20"/>
          <w:szCs w:val="20"/>
          <w:lang w:eastAsia="en-GB"/>
        </w:rPr>
        <w:t xml:space="preserve">on </w:t>
      </w:r>
      <w:r w:rsidRPr="00032523">
        <w:rPr>
          <w:rFonts w:eastAsia="Times New Roman" w:cstheme="minorHAnsi"/>
          <w:sz w:val="20"/>
          <w:szCs w:val="20"/>
          <w:lang w:eastAsia="en-GB"/>
        </w:rPr>
        <w:t xml:space="preserve">E. </w:t>
      </w:r>
      <w:r w:rsidRPr="00032523">
        <w:rPr>
          <w:rFonts w:eastAsia="Times New Roman" w:cstheme="minorHAnsi"/>
          <w:i/>
          <w:iCs/>
          <w:sz w:val="20"/>
          <w:szCs w:val="20"/>
          <w:lang w:eastAsia="en-GB"/>
        </w:rPr>
        <w:t>War on Sacred Grounds</w:t>
      </w:r>
      <w:r w:rsidRPr="00032523">
        <w:rPr>
          <w:rFonts w:eastAsia="Times New Roman" w:cstheme="minorHAnsi"/>
          <w:sz w:val="20"/>
          <w:szCs w:val="20"/>
          <w:lang w:eastAsia="en-GB"/>
        </w:rPr>
        <w:t xml:space="preserve">. 1st ed., Cornell University Press, 2009. </w:t>
      </w:r>
      <w:r w:rsidRPr="00032523">
        <w:rPr>
          <w:rFonts w:eastAsia="Times New Roman" w:cstheme="minorHAnsi"/>
          <w:i/>
          <w:iCs/>
          <w:sz w:val="20"/>
          <w:szCs w:val="20"/>
          <w:lang w:eastAsia="en-GB"/>
        </w:rPr>
        <w:t>JSTOR</w:t>
      </w:r>
      <w:r w:rsidRPr="00032523">
        <w:rPr>
          <w:rFonts w:eastAsia="Times New Roman" w:cstheme="minorHAnsi"/>
          <w:sz w:val="20"/>
          <w:szCs w:val="20"/>
          <w:lang w:eastAsia="en-GB"/>
        </w:rPr>
        <w:t>, http://www.jstor.org/stable/10.7591/j.ctt7z72r. Accessed 12 Nov. 2022</w:t>
      </w:r>
      <w:r w:rsidRPr="00032523">
        <w:rPr>
          <w:rFonts w:ascii="Times New Roman" w:eastAsia="Times New Roman" w:hAnsi="Times New Roman" w:cs="Times New Roman"/>
          <w:lang w:eastAsia="en-GB"/>
        </w:rPr>
        <w:t>.</w:t>
      </w:r>
      <w:r w:rsidRPr="007F173E">
        <w:rPr>
          <w:rFonts w:ascii="Times New Roman" w:eastAsia="Times New Roman" w:hAnsi="Times New Roman" w:cs="Times New Roman"/>
          <w:lang w:eastAsia="en-GB"/>
        </w:rPr>
        <w:t xml:space="preserve"> P. 22</w:t>
      </w:r>
    </w:p>
  </w:footnote>
  <w:footnote w:id="17">
    <w:p w14:paraId="22DC242C" w14:textId="338CB303" w:rsidR="0049215A" w:rsidRDefault="0049215A" w:rsidP="0049215A">
      <w:r w:rsidRPr="007F173E">
        <w:rPr>
          <w:rStyle w:val="FootnoteReference"/>
          <w:sz w:val="20"/>
          <w:szCs w:val="20"/>
        </w:rPr>
        <w:footnoteRef/>
      </w:r>
      <w:r w:rsidRPr="007F173E">
        <w:rPr>
          <w:sz w:val="20"/>
          <w:szCs w:val="20"/>
        </w:rPr>
        <w:t xml:space="preserve"> Durkheim, Emile, </w:t>
      </w:r>
      <w:r w:rsidRPr="007F173E">
        <w:rPr>
          <w:i/>
          <w:iCs/>
          <w:sz w:val="20"/>
          <w:szCs w:val="20"/>
        </w:rPr>
        <w:t xml:space="preserve">The Elementary Forms of Religious Life, A new translation by Carol </w:t>
      </w:r>
      <w:proofErr w:type="spellStart"/>
      <w:r w:rsidRPr="007F173E">
        <w:rPr>
          <w:i/>
          <w:iCs/>
          <w:sz w:val="20"/>
          <w:szCs w:val="20"/>
        </w:rPr>
        <w:t>Cosman</w:t>
      </w:r>
      <w:proofErr w:type="spellEnd"/>
      <w:r w:rsidRPr="007F173E">
        <w:rPr>
          <w:i/>
          <w:iCs/>
          <w:sz w:val="20"/>
          <w:szCs w:val="20"/>
        </w:rPr>
        <w:t xml:space="preserve">, </w:t>
      </w:r>
      <w:r w:rsidRPr="007F173E">
        <w:rPr>
          <w:sz w:val="20"/>
          <w:szCs w:val="20"/>
        </w:rPr>
        <w:t xml:space="preserve">Oxford University Press, New York, (2001), p. </w:t>
      </w:r>
      <w:proofErr w:type="spellStart"/>
      <w:r w:rsidRPr="007F173E">
        <w:rPr>
          <w:sz w:val="20"/>
          <w:szCs w:val="20"/>
        </w:rPr>
        <w:t>xxxx</w:t>
      </w:r>
      <w:proofErr w:type="spellEnd"/>
      <w:r w:rsidRPr="007F173E">
        <w:rPr>
          <w:sz w:val="20"/>
          <w:szCs w:val="20"/>
        </w:rPr>
        <w:t xml:space="preserve">. </w:t>
      </w:r>
    </w:p>
  </w:footnote>
  <w:footnote w:id="18">
    <w:p w14:paraId="5FF9FBD2" w14:textId="74699758"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18</w:t>
      </w:r>
    </w:p>
    <w:p w14:paraId="2E892DB1" w14:textId="143E9224" w:rsidR="0093250C" w:rsidRDefault="0093250C">
      <w:pPr>
        <w:pStyle w:val="FootnoteText"/>
      </w:pPr>
    </w:p>
  </w:footnote>
  <w:footnote w:id="19">
    <w:p w14:paraId="1BEE7875" w14:textId="479ECDFA" w:rsidR="0049215A" w:rsidRPr="0049215A" w:rsidRDefault="0049215A">
      <w:pPr>
        <w:pStyle w:val="FootnoteText"/>
      </w:pPr>
      <w:r>
        <w:rPr>
          <w:rStyle w:val="FootnoteReference"/>
        </w:rPr>
        <w:footnoteRef/>
      </w:r>
      <w:r>
        <w:t xml:space="preserve"> Durkheim, </w:t>
      </w:r>
      <w:proofErr w:type="gramStart"/>
      <w:r>
        <w:rPr>
          <w:i/>
          <w:iCs/>
        </w:rPr>
        <w:t xml:space="preserve">Forms, </w:t>
      </w:r>
      <w:r>
        <w:t xml:space="preserve"> (</w:t>
      </w:r>
      <w:proofErr w:type="gramEnd"/>
      <w:r>
        <w:t xml:space="preserve">2001), p. xv. </w:t>
      </w:r>
    </w:p>
  </w:footnote>
  <w:footnote w:id="20">
    <w:p w14:paraId="547CFE6C" w14:textId="44CA0FE7" w:rsidR="0049215A" w:rsidRPr="0049215A" w:rsidRDefault="0049215A">
      <w:pPr>
        <w:pStyle w:val="FootnoteText"/>
      </w:pPr>
      <w:r>
        <w:rPr>
          <w:rStyle w:val="FootnoteReference"/>
        </w:rPr>
        <w:footnoteRef/>
      </w:r>
      <w:r>
        <w:t xml:space="preserve"> Durkheim, </w:t>
      </w:r>
      <w:r>
        <w:rPr>
          <w:i/>
          <w:iCs/>
        </w:rPr>
        <w:t xml:space="preserve">Forms, </w:t>
      </w:r>
      <w:r>
        <w:t xml:space="preserve">(2001), p. 15. </w:t>
      </w:r>
    </w:p>
  </w:footnote>
  <w:footnote w:id="21">
    <w:p w14:paraId="35E340CE" w14:textId="19D6A12A" w:rsidR="003377F3" w:rsidRPr="003377F3" w:rsidRDefault="003377F3" w:rsidP="003377F3">
      <w:pPr>
        <w:rPr>
          <w:rFonts w:cstheme="minorHAnsi"/>
        </w:rPr>
      </w:pPr>
      <w:r>
        <w:rPr>
          <w:rStyle w:val="FootnoteReference"/>
        </w:rPr>
        <w:footnoteRef/>
      </w:r>
      <w:r>
        <w:t xml:space="preserve"> </w:t>
      </w:r>
      <w:r w:rsidRPr="00DB1535">
        <w:rPr>
          <w:rFonts w:cstheme="minorHAnsi"/>
        </w:rPr>
        <w:t>Lynch, Gordon., The Sacred in the Modern World a Cultural Sociological Approach (Oxford: Oxford University Press, 2012)</w:t>
      </w:r>
      <w:r>
        <w:rPr>
          <w:rFonts w:cstheme="minorHAnsi"/>
        </w:rPr>
        <w:t>, p. 22.</w:t>
      </w:r>
    </w:p>
  </w:footnote>
  <w:footnote w:id="22">
    <w:p w14:paraId="446CA1F8" w14:textId="5538A61A"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219</w:t>
      </w:r>
    </w:p>
  </w:footnote>
  <w:footnote w:id="23">
    <w:p w14:paraId="4EBFB539" w14:textId="25FAE97B" w:rsidR="00F771D8" w:rsidRPr="00F771D8" w:rsidRDefault="00F771D8" w:rsidP="00F771D8">
      <w:pPr>
        <w:rPr>
          <w:rFonts w:cstheme="minorHAnsi"/>
        </w:rPr>
      </w:pPr>
      <w:r w:rsidRPr="00F771D8">
        <w:rPr>
          <w:rStyle w:val="FootnoteReference"/>
          <w:sz w:val="20"/>
          <w:szCs w:val="20"/>
        </w:rPr>
        <w:footnoteRef/>
      </w:r>
      <w:r w:rsidRPr="00F771D8">
        <w:rPr>
          <w:sz w:val="20"/>
          <w:szCs w:val="20"/>
        </w:rPr>
        <w:t xml:space="preserve"> </w:t>
      </w:r>
      <w:r w:rsidRPr="00F771D8">
        <w:rPr>
          <w:rFonts w:cstheme="minorHAnsi"/>
          <w:sz w:val="20"/>
          <w:szCs w:val="20"/>
        </w:rPr>
        <w:t>Lynch, Gordon., The Sacred in the Modern World a Cultural Sociological Approach (Oxford: Oxford University Press, 2012)</w:t>
      </w:r>
      <w:r>
        <w:rPr>
          <w:rFonts w:cstheme="minorHAnsi"/>
          <w:sz w:val="20"/>
          <w:szCs w:val="20"/>
        </w:rPr>
        <w:t xml:space="preserve"> p. 11</w:t>
      </w:r>
    </w:p>
  </w:footnote>
  <w:footnote w:id="24">
    <w:p w14:paraId="46A1BEAB" w14:textId="59F50B11"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10</w:t>
      </w:r>
    </w:p>
  </w:footnote>
  <w:footnote w:id="25">
    <w:p w14:paraId="2F072E12" w14:textId="2A65C5AA" w:rsidR="00424F91" w:rsidRPr="00424F91" w:rsidRDefault="00424F91" w:rsidP="00424F91">
      <w:pPr>
        <w:spacing w:after="0" w:line="240" w:lineRule="auto"/>
        <w:rPr>
          <w:rFonts w:eastAsia="Times New Roman" w:cstheme="minorHAnsi"/>
          <w:lang w:eastAsia="en-GB"/>
        </w:rPr>
      </w:pPr>
      <w:r>
        <w:rPr>
          <w:rStyle w:val="FootnoteReference"/>
        </w:rPr>
        <w:footnoteRef/>
      </w:r>
      <w:r>
        <w:t xml:space="preserve"> </w:t>
      </w:r>
      <w:r w:rsidRPr="00DB1535">
        <w:rPr>
          <w:rFonts w:eastAsia="Times New Roman" w:cstheme="minorHAnsi"/>
          <w:lang w:eastAsia="en-GB"/>
        </w:rPr>
        <w:t xml:space="preserve">Smith, Jonathan Z. “The Wobbling Pivot.” </w:t>
      </w:r>
      <w:r w:rsidRPr="00DB1535">
        <w:rPr>
          <w:rFonts w:eastAsia="Times New Roman" w:cstheme="minorHAnsi"/>
          <w:i/>
          <w:iCs/>
          <w:lang w:eastAsia="en-GB"/>
        </w:rPr>
        <w:t>The Journal of Religion</w:t>
      </w:r>
      <w:r w:rsidRPr="00DB1535">
        <w:rPr>
          <w:rFonts w:eastAsia="Times New Roman" w:cstheme="minorHAnsi"/>
          <w:lang w:eastAsia="en-GB"/>
        </w:rPr>
        <w:t xml:space="preserve">, vol. 52, no. 2, 1972, pp. 134–49. </w:t>
      </w:r>
      <w:r w:rsidRPr="00DB1535">
        <w:rPr>
          <w:rFonts w:eastAsia="Times New Roman" w:cstheme="minorHAnsi"/>
          <w:i/>
          <w:iCs/>
          <w:lang w:eastAsia="en-GB"/>
        </w:rPr>
        <w:t>JSTOR</w:t>
      </w:r>
      <w:r w:rsidRPr="00DB1535">
        <w:rPr>
          <w:rFonts w:eastAsia="Times New Roman" w:cstheme="minorHAnsi"/>
          <w:lang w:eastAsia="en-GB"/>
        </w:rPr>
        <w:t xml:space="preserve">, </w:t>
      </w:r>
      <w:hyperlink r:id="rId5" w:history="1">
        <w:r w:rsidRPr="00DB1535">
          <w:rPr>
            <w:rStyle w:val="Hyperlink"/>
            <w:rFonts w:eastAsia="Times New Roman" w:cstheme="minorHAnsi"/>
            <w:lang w:eastAsia="en-GB"/>
          </w:rPr>
          <w:t>http://www.jstor.org/stable/1201635. Accessed 21 Sep. 2022</w:t>
        </w:r>
      </w:hyperlink>
      <w:r w:rsidRPr="00DB1535">
        <w:rPr>
          <w:rFonts w:eastAsia="Times New Roman" w:cstheme="minorHAnsi"/>
          <w:lang w:eastAsia="en-GB"/>
        </w:rPr>
        <w:t>.</w:t>
      </w:r>
      <w:r>
        <w:rPr>
          <w:rFonts w:eastAsia="Times New Roman" w:cstheme="minorHAnsi"/>
          <w:lang w:eastAsia="en-GB"/>
        </w:rPr>
        <w:t xml:space="preserve"> P. 137.</w:t>
      </w:r>
    </w:p>
  </w:footnote>
  <w:footnote w:id="26">
    <w:p w14:paraId="7B8B05D6" w14:textId="393C00D7"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231.</w:t>
      </w:r>
    </w:p>
  </w:footnote>
  <w:footnote w:id="27">
    <w:p w14:paraId="1F1AD095" w14:textId="51DF11C5" w:rsidR="0093250C" w:rsidRDefault="0093250C" w:rsidP="0093250C">
      <w:r>
        <w:rPr>
          <w:rStyle w:val="FootnoteReference"/>
        </w:rPr>
        <w:footnoteRef/>
      </w:r>
      <w:r>
        <w:t xml:space="preserve"> </w:t>
      </w:r>
      <w:r>
        <w:t xml:space="preserve">Eliade, Mircea, </w:t>
      </w:r>
      <w:r>
        <w:rPr>
          <w:i/>
          <w:iCs/>
        </w:rPr>
        <w:t xml:space="preserve">The Sacred and the Profane, The Nature of Religion, </w:t>
      </w:r>
      <w:r>
        <w:t>Harcourt, New York, (1987 [1957</w:t>
      </w:r>
      <w:proofErr w:type="gramStart"/>
      <w:r>
        <w:t>])</w:t>
      </w:r>
      <w:r>
        <w:t>p</w:t>
      </w:r>
      <w:proofErr w:type="gramEnd"/>
      <w:r>
        <w:t>232.</w:t>
      </w:r>
    </w:p>
  </w:footnote>
  <w:footnote w:id="28">
    <w:p w14:paraId="7163D3BA" w14:textId="77777777" w:rsidR="0093250C" w:rsidRDefault="0093250C" w:rsidP="0093250C">
      <w:pPr>
        <w:pStyle w:val="FootnoteText"/>
      </w:pPr>
      <w:r>
        <w:rPr>
          <w:rStyle w:val="FootnoteReference"/>
        </w:rPr>
        <w:footnoteRef/>
      </w:r>
      <w:r>
        <w:t xml:space="preserve"> </w:t>
      </w:r>
      <w:r w:rsidRPr="00DB1535">
        <w:rPr>
          <w:rFonts w:eastAsia="Times New Roman" w:cstheme="minorHAnsi"/>
          <w:lang w:eastAsia="en-GB"/>
        </w:rPr>
        <w:t xml:space="preserve">Hardenberg, Roland. “From Durkheim to </w:t>
      </w:r>
      <w:proofErr w:type="spellStart"/>
      <w:r w:rsidRPr="00DB1535">
        <w:rPr>
          <w:rFonts w:eastAsia="Times New Roman" w:cstheme="minorHAnsi"/>
          <w:lang w:eastAsia="en-GB"/>
        </w:rPr>
        <w:t>Hocart</w:t>
      </w:r>
      <w:proofErr w:type="spellEnd"/>
      <w:r w:rsidRPr="00DB1535">
        <w:rPr>
          <w:rFonts w:eastAsia="Times New Roman" w:cstheme="minorHAnsi"/>
          <w:lang w:eastAsia="en-GB"/>
        </w:rPr>
        <w:t xml:space="preserve">: Sacred Resources and the Quest for ‘Life.’” </w:t>
      </w:r>
      <w:r w:rsidRPr="00DB1535">
        <w:rPr>
          <w:rFonts w:eastAsia="Times New Roman" w:cstheme="minorHAnsi"/>
          <w:i/>
          <w:iCs/>
          <w:lang w:eastAsia="en-GB"/>
        </w:rPr>
        <w:t xml:space="preserve">Durkheimian Studies / Études </w:t>
      </w:r>
      <w:proofErr w:type="spellStart"/>
      <w:r w:rsidRPr="00DB1535">
        <w:rPr>
          <w:rFonts w:eastAsia="Times New Roman" w:cstheme="minorHAnsi"/>
          <w:i/>
          <w:iCs/>
          <w:lang w:eastAsia="en-GB"/>
        </w:rPr>
        <w:t>Durkheimiennes</w:t>
      </w:r>
      <w:proofErr w:type="spellEnd"/>
      <w:r w:rsidRPr="00DB1535">
        <w:rPr>
          <w:rFonts w:eastAsia="Times New Roman" w:cstheme="minorHAnsi"/>
          <w:lang w:eastAsia="en-GB"/>
        </w:rPr>
        <w:t xml:space="preserve">, vol. 23, 2017, pp. 40–56. </w:t>
      </w:r>
      <w:r w:rsidRPr="00DB1535">
        <w:rPr>
          <w:rFonts w:eastAsia="Times New Roman" w:cstheme="minorHAnsi"/>
          <w:i/>
          <w:iCs/>
          <w:lang w:eastAsia="en-GB"/>
        </w:rPr>
        <w:t>JSTOR</w:t>
      </w:r>
      <w:r w:rsidRPr="00DB1535">
        <w:rPr>
          <w:rFonts w:eastAsia="Times New Roman" w:cstheme="minorHAnsi"/>
          <w:lang w:eastAsia="en-GB"/>
        </w:rPr>
        <w:t xml:space="preserve">, </w:t>
      </w:r>
      <w:hyperlink r:id="rId6" w:history="1">
        <w:r w:rsidRPr="009A02FA">
          <w:rPr>
            <w:rStyle w:val="Hyperlink"/>
            <w:rFonts w:eastAsia="Times New Roman" w:cstheme="minorHAnsi"/>
            <w:lang w:eastAsia="en-GB"/>
          </w:rPr>
          <w:t>http://www.jstor.org/stable/45173964</w:t>
        </w:r>
      </w:hyperlink>
      <w:r w:rsidRPr="00DB1535">
        <w:rPr>
          <w:rFonts w:eastAsia="Times New Roman" w:cstheme="minorHAnsi"/>
          <w:lang w:eastAsia="en-GB"/>
        </w:rPr>
        <w:t>.</w:t>
      </w:r>
      <w:r>
        <w:rPr>
          <w:rFonts w:eastAsia="Times New Roman" w:cstheme="minorHAnsi"/>
          <w:lang w:eastAsia="en-GB"/>
        </w:rPr>
        <w:t xml:space="preserve"> P. 42.</w:t>
      </w:r>
    </w:p>
  </w:footnote>
  <w:footnote w:id="29">
    <w:p w14:paraId="1DBE7F82" w14:textId="77777777" w:rsidR="0093250C" w:rsidRDefault="0093250C" w:rsidP="0093250C">
      <w:r>
        <w:rPr>
          <w:rStyle w:val="FootnoteReference"/>
        </w:rPr>
        <w:footnoteRef/>
      </w:r>
      <w:r>
        <w:t xml:space="preserve"> </w:t>
      </w:r>
      <w:bookmarkStart w:id="4" w:name="_Hlk119173158"/>
      <w:r>
        <w:t xml:space="preserve">Durkheim, Emile, </w:t>
      </w:r>
      <w:r>
        <w:rPr>
          <w:i/>
          <w:iCs/>
        </w:rPr>
        <w:t xml:space="preserve">The Elementary Forms of Religious Life, A new translation by Carol </w:t>
      </w:r>
      <w:proofErr w:type="spellStart"/>
      <w:r>
        <w:rPr>
          <w:i/>
          <w:iCs/>
        </w:rPr>
        <w:t>Cosman</w:t>
      </w:r>
      <w:proofErr w:type="spellEnd"/>
      <w:r>
        <w:rPr>
          <w:i/>
          <w:iCs/>
        </w:rPr>
        <w:t xml:space="preserve">, </w:t>
      </w:r>
      <w:r>
        <w:t>Oxford University Press, New York, (2001)</w:t>
      </w:r>
      <w:bookmarkEnd w:id="4"/>
      <w:r>
        <w:t xml:space="preserve"> p. 35. </w:t>
      </w:r>
    </w:p>
  </w:footnote>
  <w:footnote w:id="30">
    <w:p w14:paraId="302E584C" w14:textId="77777777" w:rsidR="0093250C" w:rsidRDefault="0093250C" w:rsidP="0093250C">
      <w:pPr>
        <w:pStyle w:val="FootnoteText"/>
      </w:pPr>
      <w:r>
        <w:rPr>
          <w:rStyle w:val="FootnoteReference"/>
        </w:rPr>
        <w:footnoteRef/>
      </w:r>
      <w:r>
        <w:t xml:space="preserve"> Durkheim, E. (1995 [1912]), The Elementary Forms of Religious Life. New York. Free Press. </w:t>
      </w:r>
      <w:proofErr w:type="spellStart"/>
      <w:r>
        <w:t>Pxviii</w:t>
      </w:r>
      <w:proofErr w:type="spellEnd"/>
      <w:r>
        <w:t>.</w:t>
      </w:r>
    </w:p>
  </w:footnote>
  <w:footnote w:id="31">
    <w:p w14:paraId="7CFE2CAE" w14:textId="77777777" w:rsidR="0093250C" w:rsidRPr="007F173E" w:rsidRDefault="0093250C" w:rsidP="0093250C">
      <w:pPr>
        <w:pStyle w:val="FootnoteText"/>
      </w:pPr>
      <w:r>
        <w:rPr>
          <w:rStyle w:val="FootnoteReference"/>
        </w:rPr>
        <w:footnoteRef/>
      </w:r>
      <w:r>
        <w:t xml:space="preserve"> Durkheim, </w:t>
      </w:r>
      <w:r>
        <w:rPr>
          <w:i/>
          <w:iCs/>
        </w:rPr>
        <w:t xml:space="preserve">The Elementary Forms of Religious Life, A new translation by Carol </w:t>
      </w:r>
      <w:proofErr w:type="spellStart"/>
      <w:r>
        <w:rPr>
          <w:i/>
          <w:iCs/>
        </w:rPr>
        <w:t>Cosman</w:t>
      </w:r>
      <w:proofErr w:type="spellEnd"/>
      <w:r>
        <w:rPr>
          <w:i/>
          <w:iCs/>
        </w:rPr>
        <w:t xml:space="preserve">, </w:t>
      </w:r>
      <w:r>
        <w:t xml:space="preserve">Oxford University Press, New York, (2001 [1912]) p36. </w:t>
      </w:r>
    </w:p>
  </w:footnote>
  <w:footnote w:id="32">
    <w:p w14:paraId="3E04FD95" w14:textId="77777777" w:rsidR="0093250C" w:rsidRPr="007F173E" w:rsidRDefault="0093250C" w:rsidP="0093250C">
      <w:pPr>
        <w:pStyle w:val="FootnoteText"/>
        <w:rPr>
          <w:i/>
          <w:iCs/>
        </w:rPr>
      </w:pPr>
      <w:r>
        <w:rPr>
          <w:rStyle w:val="FootnoteReference"/>
        </w:rPr>
        <w:footnoteRef/>
      </w:r>
      <w:r>
        <w:t xml:space="preserve"> Durkheim, </w:t>
      </w:r>
      <w:r w:rsidRPr="007F173E">
        <w:rPr>
          <w:i/>
          <w:iCs/>
        </w:rPr>
        <w:t>Forms</w:t>
      </w:r>
      <w:r>
        <w:t xml:space="preserve"> (2001) p. 36. </w:t>
      </w:r>
    </w:p>
  </w:footnote>
  <w:footnote w:id="33">
    <w:p w14:paraId="60810608"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p. 20</w:t>
      </w:r>
    </w:p>
  </w:footnote>
  <w:footnote w:id="34">
    <w:p w14:paraId="50D156FE" w14:textId="77777777" w:rsidR="0093250C" w:rsidRDefault="0093250C" w:rsidP="0093250C">
      <w:pPr>
        <w:pStyle w:val="FootnoteText"/>
      </w:pPr>
      <w:r>
        <w:rPr>
          <w:rStyle w:val="FootnoteReference"/>
        </w:rPr>
        <w:footnoteRef/>
      </w:r>
      <w:r>
        <w:t xml:space="preserve"> Eliade, The Sacred and the Profane, p.20.</w:t>
      </w:r>
    </w:p>
  </w:footnote>
  <w:footnote w:id="35">
    <w:p w14:paraId="0A03324E" w14:textId="77777777" w:rsidR="0093250C" w:rsidRDefault="0093250C" w:rsidP="0093250C">
      <w:pPr>
        <w:pStyle w:val="FootnoteText"/>
      </w:pPr>
      <w:r>
        <w:rPr>
          <w:rStyle w:val="FootnoteReference"/>
        </w:rPr>
        <w:footnoteRef/>
      </w:r>
      <w:r>
        <w:t xml:space="preserve"> Eliade, The sacred and the Profane, p. 20.</w:t>
      </w:r>
    </w:p>
  </w:footnote>
  <w:footnote w:id="36">
    <w:p w14:paraId="37ADA09F" w14:textId="77777777" w:rsidR="0093250C" w:rsidRDefault="0093250C" w:rsidP="0093250C">
      <w:pPr>
        <w:pStyle w:val="FootnoteText"/>
      </w:pPr>
      <w:r>
        <w:rPr>
          <w:rStyle w:val="FootnoteReference"/>
        </w:rPr>
        <w:footnoteRef/>
      </w:r>
      <w:r>
        <w:t xml:space="preserve"> </w:t>
      </w:r>
      <w:proofErr w:type="spellStart"/>
      <w:r>
        <w:t>Elaide</w:t>
      </w:r>
      <w:proofErr w:type="spellEnd"/>
      <w:r>
        <w:t>, The sacred and the Profane, p.20</w:t>
      </w:r>
    </w:p>
  </w:footnote>
  <w:footnote w:id="37">
    <w:p w14:paraId="1AF7B5C7" w14:textId="77777777" w:rsidR="0093250C" w:rsidRPr="007C53E5" w:rsidRDefault="0093250C" w:rsidP="0093250C">
      <w:pPr>
        <w:pStyle w:val="FootnoteText"/>
      </w:pPr>
      <w:r>
        <w:rPr>
          <w:rStyle w:val="FootnoteReference"/>
        </w:rPr>
        <w:footnoteRef/>
      </w:r>
      <w:r>
        <w:t xml:space="preserve"> Durkheim, </w:t>
      </w:r>
      <w:r>
        <w:rPr>
          <w:i/>
          <w:iCs/>
        </w:rPr>
        <w:t xml:space="preserve">Forms </w:t>
      </w:r>
      <w:r>
        <w:t>(2001) p. xxiii</w:t>
      </w:r>
    </w:p>
  </w:footnote>
  <w:footnote w:id="38">
    <w:p w14:paraId="2C0547BF" w14:textId="77777777" w:rsidR="0093250C" w:rsidRPr="00EB066C" w:rsidRDefault="0093250C" w:rsidP="0093250C">
      <w:pPr>
        <w:pStyle w:val="FootnoteText"/>
      </w:pPr>
      <w:r>
        <w:rPr>
          <w:rStyle w:val="FootnoteReference"/>
        </w:rPr>
        <w:footnoteRef/>
      </w:r>
      <w:r>
        <w:t xml:space="preserve"> Durkheim, </w:t>
      </w:r>
      <w:r>
        <w:rPr>
          <w:i/>
          <w:iCs/>
        </w:rPr>
        <w:t xml:space="preserve">Forms </w:t>
      </w:r>
      <w:r>
        <w:t xml:space="preserve">(2001) p36. </w:t>
      </w:r>
    </w:p>
  </w:footnote>
  <w:footnote w:id="39">
    <w:p w14:paraId="619E238E" w14:textId="77777777" w:rsidR="0093250C" w:rsidRDefault="0093250C" w:rsidP="0093250C">
      <w:r>
        <w:rPr>
          <w:rStyle w:val="FootnoteReference"/>
        </w:rPr>
        <w:footnoteRef/>
      </w:r>
      <w:r>
        <w:t xml:space="preserve"> </w:t>
      </w:r>
      <w:bookmarkStart w:id="5" w:name="_Hlk119175283"/>
      <w:r>
        <w:t xml:space="preserve">Durkheim, Emile, </w:t>
      </w:r>
      <w:r>
        <w:rPr>
          <w:i/>
          <w:iCs/>
        </w:rPr>
        <w:t xml:space="preserve">The Elementary Forms of Religious Life, A new translation by Carol </w:t>
      </w:r>
      <w:proofErr w:type="spellStart"/>
      <w:r>
        <w:rPr>
          <w:i/>
          <w:iCs/>
        </w:rPr>
        <w:t>Cosman</w:t>
      </w:r>
      <w:proofErr w:type="spellEnd"/>
      <w:r>
        <w:rPr>
          <w:i/>
          <w:iCs/>
        </w:rPr>
        <w:t xml:space="preserve">, </w:t>
      </w:r>
      <w:r>
        <w:t xml:space="preserve">Oxford University Press, New York, (2001), </w:t>
      </w:r>
      <w:bookmarkEnd w:id="5"/>
      <w:r>
        <w:t xml:space="preserve">p. 38. </w:t>
      </w:r>
    </w:p>
  </w:footnote>
  <w:footnote w:id="40">
    <w:p w14:paraId="0AC6EF22" w14:textId="77777777" w:rsidR="0093250C" w:rsidRPr="002D3047" w:rsidRDefault="0093250C" w:rsidP="0093250C">
      <w:r>
        <w:rPr>
          <w:rStyle w:val="FootnoteReference"/>
        </w:rPr>
        <w:footnoteRef/>
      </w:r>
      <w:r>
        <w:t xml:space="preserve"> Eliade, Mircea, </w:t>
      </w:r>
      <w:r>
        <w:rPr>
          <w:i/>
          <w:iCs/>
        </w:rPr>
        <w:t xml:space="preserve">The Sacred and the Profane, The Nature of Religion, </w:t>
      </w:r>
      <w:r>
        <w:t>Harcourt, New York, (1987), p. 64.</w:t>
      </w:r>
    </w:p>
  </w:footnote>
  <w:footnote w:id="41">
    <w:p w14:paraId="0CD09816" w14:textId="77777777" w:rsidR="0093250C" w:rsidRPr="00E908BC" w:rsidRDefault="0093250C" w:rsidP="0093250C">
      <w:pPr>
        <w:rPr>
          <w:rFonts w:cstheme="minorHAnsi"/>
        </w:rPr>
      </w:pPr>
      <w:r w:rsidRPr="00E908BC">
        <w:rPr>
          <w:rStyle w:val="FootnoteReference"/>
          <w:sz w:val="20"/>
          <w:szCs w:val="20"/>
        </w:rPr>
        <w:footnoteRef/>
      </w:r>
      <w:r w:rsidRPr="00E908BC">
        <w:rPr>
          <w:sz w:val="20"/>
          <w:szCs w:val="20"/>
        </w:rPr>
        <w:t xml:space="preserve"> </w:t>
      </w:r>
      <w:r w:rsidRPr="00E908BC">
        <w:rPr>
          <w:rFonts w:cstheme="minorHAnsi"/>
          <w:sz w:val="20"/>
          <w:szCs w:val="20"/>
        </w:rPr>
        <w:t>Lynch, Gordon., The Sacred in the Modern World a Cultural Sociological Approach (Oxford: Oxford University Press, 2012), p. 11.</w:t>
      </w:r>
    </w:p>
  </w:footnote>
  <w:footnote w:id="42">
    <w:p w14:paraId="39674854" w14:textId="77777777" w:rsidR="0093250C" w:rsidRPr="00DB1535" w:rsidRDefault="0093250C" w:rsidP="0093250C">
      <w:pPr>
        <w:spacing w:after="0" w:line="240" w:lineRule="auto"/>
        <w:rPr>
          <w:rFonts w:eastAsia="Times New Roman" w:cstheme="minorHAnsi"/>
          <w:lang w:eastAsia="en-GB"/>
        </w:rPr>
      </w:pPr>
      <w:r>
        <w:rPr>
          <w:rStyle w:val="FootnoteReference"/>
        </w:rPr>
        <w:footnoteRef/>
      </w:r>
      <w:r>
        <w:t xml:space="preserve"> </w:t>
      </w:r>
      <w:r w:rsidRPr="00DB1535">
        <w:rPr>
          <w:rFonts w:eastAsia="Times New Roman" w:cstheme="minorHAnsi"/>
          <w:lang w:eastAsia="en-GB"/>
        </w:rPr>
        <w:t xml:space="preserve">Smith, Jonathan Z. “The Wobbling Pivot.” </w:t>
      </w:r>
      <w:r w:rsidRPr="00DB1535">
        <w:rPr>
          <w:rFonts w:eastAsia="Times New Roman" w:cstheme="minorHAnsi"/>
          <w:i/>
          <w:iCs/>
          <w:lang w:eastAsia="en-GB"/>
        </w:rPr>
        <w:t>The Journal of Religion</w:t>
      </w:r>
      <w:r w:rsidRPr="00DB1535">
        <w:rPr>
          <w:rFonts w:eastAsia="Times New Roman" w:cstheme="minorHAnsi"/>
          <w:lang w:eastAsia="en-GB"/>
        </w:rPr>
        <w:t xml:space="preserve">, vol. 52, no. 2, 1972, pp. 134–49. </w:t>
      </w:r>
      <w:r w:rsidRPr="00DB1535">
        <w:rPr>
          <w:rFonts w:eastAsia="Times New Roman" w:cstheme="minorHAnsi"/>
          <w:i/>
          <w:iCs/>
          <w:lang w:eastAsia="en-GB"/>
        </w:rPr>
        <w:t>JSTOR</w:t>
      </w:r>
      <w:r w:rsidRPr="00DB1535">
        <w:rPr>
          <w:rFonts w:eastAsia="Times New Roman" w:cstheme="minorHAnsi"/>
          <w:lang w:eastAsia="en-GB"/>
        </w:rPr>
        <w:t xml:space="preserve">, </w:t>
      </w:r>
      <w:hyperlink r:id="rId7" w:history="1">
        <w:r w:rsidRPr="00DB1535">
          <w:rPr>
            <w:rStyle w:val="Hyperlink"/>
            <w:rFonts w:eastAsia="Times New Roman" w:cstheme="minorHAnsi"/>
            <w:lang w:eastAsia="en-GB"/>
          </w:rPr>
          <w:t>http://www.jstor.org/stable/1201635. Accessed 21 Sep. 2022</w:t>
        </w:r>
      </w:hyperlink>
      <w:r w:rsidRPr="00DB1535">
        <w:rPr>
          <w:rFonts w:eastAsia="Times New Roman" w:cstheme="minorHAnsi"/>
          <w:lang w:eastAsia="en-GB"/>
        </w:rPr>
        <w:t>.</w:t>
      </w:r>
      <w:r>
        <w:rPr>
          <w:rFonts w:eastAsia="Times New Roman" w:cstheme="minorHAnsi"/>
          <w:lang w:eastAsia="en-GB"/>
        </w:rPr>
        <w:t xml:space="preserve"> P.138.</w:t>
      </w:r>
    </w:p>
    <w:p w14:paraId="4A4E8B2B" w14:textId="77777777" w:rsidR="0093250C" w:rsidRPr="00D1723B" w:rsidRDefault="0093250C" w:rsidP="0093250C">
      <w:pPr>
        <w:pStyle w:val="FootnoteText"/>
        <w:rPr>
          <w:lang w:val="en-US"/>
        </w:rPr>
      </w:pPr>
    </w:p>
  </w:footnote>
  <w:footnote w:id="43">
    <w:p w14:paraId="423DC37E"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 xml:space="preserve"> 63</w:t>
      </w:r>
    </w:p>
  </w:footnote>
  <w:footnote w:id="44">
    <w:p w14:paraId="56818E91" w14:textId="77777777" w:rsidR="0093250C" w:rsidRDefault="0093250C" w:rsidP="0093250C">
      <w:pPr>
        <w:pStyle w:val="FootnoteText"/>
      </w:pPr>
      <w:r>
        <w:rPr>
          <w:rStyle w:val="FootnoteReference"/>
        </w:rPr>
        <w:footnoteRef/>
      </w:r>
      <w:r>
        <w:t xml:space="preserve"> Eliade, The Sacred and the Profane, p. 25.</w:t>
      </w:r>
    </w:p>
  </w:footnote>
  <w:footnote w:id="45">
    <w:p w14:paraId="434729B1" w14:textId="77777777" w:rsidR="0093250C" w:rsidRPr="009A445B" w:rsidRDefault="0093250C" w:rsidP="0093250C">
      <w:pPr>
        <w:spacing w:after="0" w:line="240" w:lineRule="auto"/>
        <w:rPr>
          <w:rFonts w:eastAsia="Times New Roman" w:cstheme="minorHAnsi"/>
          <w:lang w:eastAsia="en-GB"/>
        </w:rPr>
      </w:pPr>
      <w:r>
        <w:rPr>
          <w:rStyle w:val="FootnoteReference"/>
        </w:rPr>
        <w:footnoteRef/>
      </w:r>
      <w:r>
        <w:t xml:space="preserve"> </w:t>
      </w:r>
      <w:bookmarkStart w:id="6" w:name="_Hlk119218417"/>
      <w:r w:rsidRPr="00DB1535">
        <w:rPr>
          <w:rFonts w:eastAsia="Times New Roman" w:cstheme="minorHAnsi"/>
          <w:lang w:eastAsia="en-GB"/>
        </w:rPr>
        <w:t xml:space="preserve">Smith, Jonathan Z. “The Wobbling Pivot.” </w:t>
      </w:r>
      <w:r w:rsidRPr="00DB1535">
        <w:rPr>
          <w:rFonts w:eastAsia="Times New Roman" w:cstheme="minorHAnsi"/>
          <w:i/>
          <w:iCs/>
          <w:lang w:eastAsia="en-GB"/>
        </w:rPr>
        <w:t>The Journal of Religion</w:t>
      </w:r>
      <w:r w:rsidRPr="00DB1535">
        <w:rPr>
          <w:rFonts w:eastAsia="Times New Roman" w:cstheme="minorHAnsi"/>
          <w:lang w:eastAsia="en-GB"/>
        </w:rPr>
        <w:t xml:space="preserve">, vol. 52, no. 2, 1972, pp. 134–49. </w:t>
      </w:r>
      <w:r w:rsidRPr="00DB1535">
        <w:rPr>
          <w:rFonts w:eastAsia="Times New Roman" w:cstheme="minorHAnsi"/>
          <w:i/>
          <w:iCs/>
          <w:lang w:eastAsia="en-GB"/>
        </w:rPr>
        <w:t>JSTOR</w:t>
      </w:r>
      <w:r w:rsidRPr="00DB1535">
        <w:rPr>
          <w:rFonts w:eastAsia="Times New Roman" w:cstheme="minorHAnsi"/>
          <w:lang w:eastAsia="en-GB"/>
        </w:rPr>
        <w:t xml:space="preserve">, </w:t>
      </w:r>
      <w:hyperlink r:id="rId8" w:history="1">
        <w:r w:rsidRPr="00DB1535">
          <w:rPr>
            <w:rStyle w:val="Hyperlink"/>
            <w:rFonts w:eastAsia="Times New Roman" w:cstheme="minorHAnsi"/>
            <w:lang w:eastAsia="en-GB"/>
          </w:rPr>
          <w:t>http://www.jstor.org/stable/1201635. Accessed 21 Sep. 2022</w:t>
        </w:r>
      </w:hyperlink>
      <w:r w:rsidRPr="00DB1535">
        <w:rPr>
          <w:rFonts w:eastAsia="Times New Roman" w:cstheme="minorHAnsi"/>
          <w:lang w:eastAsia="en-GB"/>
        </w:rPr>
        <w:t>.</w:t>
      </w:r>
      <w:bookmarkEnd w:id="6"/>
      <w:r>
        <w:rPr>
          <w:rFonts w:eastAsia="Times New Roman" w:cstheme="minorHAnsi"/>
          <w:lang w:eastAsia="en-GB"/>
        </w:rPr>
        <w:t xml:space="preserve"> P 143.</w:t>
      </w:r>
    </w:p>
  </w:footnote>
  <w:footnote w:id="46">
    <w:p w14:paraId="1C173D0D" w14:textId="77777777" w:rsidR="0093250C" w:rsidRDefault="0093250C" w:rsidP="0093250C">
      <w:pPr>
        <w:pStyle w:val="FootnoteText"/>
      </w:pPr>
      <w:r>
        <w:rPr>
          <w:rStyle w:val="FootnoteReference"/>
        </w:rPr>
        <w:footnoteRef/>
      </w:r>
      <w:r>
        <w:t xml:space="preserve"> </w:t>
      </w:r>
      <w:r w:rsidRPr="00E908BC">
        <w:rPr>
          <w:rFonts w:cstheme="minorHAnsi"/>
        </w:rPr>
        <w:t>Lynch, Gordon., The Sacred in the Modern World a Cultural Sociological Approach (Oxford: Oxford University Press, 2012),</w:t>
      </w:r>
      <w:r>
        <w:rPr>
          <w:rFonts w:cstheme="minorHAnsi"/>
        </w:rPr>
        <w:t xml:space="preserve"> p. 23. </w:t>
      </w:r>
    </w:p>
  </w:footnote>
  <w:footnote w:id="47">
    <w:p w14:paraId="428DD5B8" w14:textId="77777777" w:rsidR="0093250C" w:rsidRDefault="0093250C" w:rsidP="0093250C">
      <w:pPr>
        <w:pStyle w:val="FootnoteText"/>
      </w:pPr>
      <w:r>
        <w:rPr>
          <w:rStyle w:val="FootnoteReference"/>
        </w:rPr>
        <w:footnoteRef/>
      </w:r>
      <w:r>
        <w:t xml:space="preserve"> Durkheim, Emile, </w:t>
      </w:r>
      <w:r>
        <w:rPr>
          <w:i/>
          <w:iCs/>
        </w:rPr>
        <w:t xml:space="preserve">The Elementary Forms of Religious Life, A new translation by Carol </w:t>
      </w:r>
      <w:proofErr w:type="spellStart"/>
      <w:r>
        <w:rPr>
          <w:i/>
          <w:iCs/>
        </w:rPr>
        <w:t>Cosman</w:t>
      </w:r>
      <w:proofErr w:type="spellEnd"/>
      <w:r>
        <w:rPr>
          <w:i/>
          <w:iCs/>
        </w:rPr>
        <w:t xml:space="preserve">, </w:t>
      </w:r>
      <w:r>
        <w:t xml:space="preserve">Oxford University Press, New York, (2001), p. 40. </w:t>
      </w:r>
    </w:p>
  </w:footnote>
  <w:footnote w:id="48">
    <w:p w14:paraId="564CBDF2" w14:textId="77777777" w:rsidR="0093250C" w:rsidRPr="001C4126" w:rsidRDefault="0093250C" w:rsidP="0093250C">
      <w:pPr>
        <w:pStyle w:val="FootnoteText"/>
      </w:pPr>
      <w:r>
        <w:rPr>
          <w:rStyle w:val="FootnoteReference"/>
        </w:rPr>
        <w:footnoteRef/>
      </w:r>
      <w:r>
        <w:t xml:space="preserve"> Durkheim, </w:t>
      </w:r>
      <w:r>
        <w:rPr>
          <w:i/>
          <w:iCs/>
        </w:rPr>
        <w:t xml:space="preserve">Forms </w:t>
      </w:r>
      <w:r>
        <w:t xml:space="preserve">(2001) p.40. </w:t>
      </w:r>
    </w:p>
  </w:footnote>
  <w:footnote w:id="49">
    <w:p w14:paraId="591FDF67" w14:textId="77777777" w:rsidR="0093250C" w:rsidRPr="00917500" w:rsidRDefault="0093250C" w:rsidP="0093250C">
      <w:pPr>
        <w:spacing w:after="0" w:line="240" w:lineRule="auto"/>
        <w:rPr>
          <w:rFonts w:ascii="Times New Roman" w:eastAsia="Times New Roman" w:hAnsi="Times New Roman" w:cs="Times New Roman"/>
          <w:sz w:val="24"/>
          <w:szCs w:val="24"/>
          <w:lang w:eastAsia="en-GB"/>
        </w:rPr>
      </w:pPr>
      <w:r>
        <w:rPr>
          <w:rStyle w:val="FootnoteReference"/>
        </w:rPr>
        <w:footnoteRef/>
      </w:r>
      <w:r>
        <w:t xml:space="preserve"> </w:t>
      </w:r>
      <w:proofErr w:type="spellStart"/>
      <w:r w:rsidRPr="00032523">
        <w:rPr>
          <w:rFonts w:eastAsia="Times New Roman" w:cstheme="minorHAnsi"/>
          <w:lang w:eastAsia="en-GB"/>
        </w:rPr>
        <w:t>Hassner</w:t>
      </w:r>
      <w:proofErr w:type="spellEnd"/>
      <w:r w:rsidRPr="00032523">
        <w:rPr>
          <w:rFonts w:eastAsia="Times New Roman" w:cstheme="minorHAnsi"/>
          <w:lang w:eastAsia="en-GB"/>
        </w:rPr>
        <w:t>, R</w:t>
      </w:r>
      <w:r>
        <w:rPr>
          <w:rFonts w:eastAsia="Times New Roman" w:cstheme="minorHAnsi"/>
          <w:lang w:eastAsia="en-GB"/>
        </w:rPr>
        <w:t xml:space="preserve">on </w:t>
      </w:r>
      <w:r w:rsidRPr="00032523">
        <w:rPr>
          <w:rFonts w:eastAsia="Times New Roman" w:cstheme="minorHAnsi"/>
          <w:lang w:eastAsia="en-GB"/>
        </w:rPr>
        <w:t xml:space="preserve">E. </w:t>
      </w:r>
      <w:r w:rsidRPr="00032523">
        <w:rPr>
          <w:rFonts w:eastAsia="Times New Roman" w:cstheme="minorHAnsi"/>
          <w:i/>
          <w:iCs/>
          <w:lang w:eastAsia="en-GB"/>
        </w:rPr>
        <w:t>War on Sacred Grounds</w:t>
      </w:r>
      <w:r w:rsidRPr="00032523">
        <w:rPr>
          <w:rFonts w:eastAsia="Times New Roman" w:cstheme="minorHAnsi"/>
          <w:lang w:eastAsia="en-GB"/>
        </w:rPr>
        <w:t xml:space="preserve">. 1st ed., Cornell University Press, 2009. </w:t>
      </w:r>
      <w:r w:rsidRPr="00032523">
        <w:rPr>
          <w:rFonts w:eastAsia="Times New Roman" w:cstheme="minorHAnsi"/>
          <w:i/>
          <w:iCs/>
          <w:lang w:eastAsia="en-GB"/>
        </w:rPr>
        <w:t>JSTOR</w:t>
      </w:r>
      <w:r w:rsidRPr="00032523">
        <w:rPr>
          <w:rFonts w:eastAsia="Times New Roman" w:cstheme="minorHAnsi"/>
          <w:lang w:eastAsia="en-GB"/>
        </w:rPr>
        <w:t>, http://www.jstor.org/stable/10.7591/j.ctt7z72r. Accessed 12 Nov. 2022</w:t>
      </w:r>
      <w:r w:rsidRPr="00032523">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P. 21</w:t>
      </w:r>
    </w:p>
  </w:footnote>
  <w:footnote w:id="50">
    <w:p w14:paraId="36CA613D"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 xml:space="preserve"> 21.</w:t>
      </w:r>
    </w:p>
  </w:footnote>
  <w:footnote w:id="51">
    <w:p w14:paraId="0D012D71"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68.</w:t>
      </w:r>
    </w:p>
  </w:footnote>
  <w:footnote w:id="52">
    <w:p w14:paraId="0138F815"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68.</w:t>
      </w:r>
    </w:p>
    <w:p w14:paraId="019201AB" w14:textId="77777777" w:rsidR="0093250C" w:rsidRDefault="0093250C" w:rsidP="0093250C">
      <w:pPr>
        <w:pStyle w:val="FootnoteText"/>
      </w:pPr>
    </w:p>
  </w:footnote>
  <w:footnote w:id="53">
    <w:p w14:paraId="5956ADE6" w14:textId="77777777" w:rsidR="0093250C" w:rsidRPr="002D3A71" w:rsidRDefault="0093250C" w:rsidP="0093250C">
      <w:pPr>
        <w:spacing w:after="0" w:line="240" w:lineRule="auto"/>
        <w:rPr>
          <w:rFonts w:eastAsia="Times New Roman" w:cstheme="minorHAnsi"/>
          <w:lang w:eastAsia="en-GB"/>
        </w:rPr>
      </w:pPr>
      <w:r>
        <w:rPr>
          <w:rStyle w:val="FootnoteReference"/>
        </w:rPr>
        <w:footnoteRef/>
      </w:r>
      <w:r>
        <w:t xml:space="preserve"> </w:t>
      </w:r>
      <w:proofErr w:type="spellStart"/>
      <w:r w:rsidRPr="00DB1535">
        <w:rPr>
          <w:rFonts w:eastAsia="Times New Roman" w:cstheme="minorHAnsi"/>
          <w:lang w:eastAsia="en-GB"/>
        </w:rPr>
        <w:t>Stirrat</w:t>
      </w:r>
      <w:proofErr w:type="spellEnd"/>
      <w:r w:rsidRPr="00DB1535">
        <w:rPr>
          <w:rFonts w:eastAsia="Times New Roman" w:cstheme="minorHAnsi"/>
          <w:lang w:eastAsia="en-GB"/>
        </w:rPr>
        <w:t xml:space="preserve">, R. L. </w:t>
      </w:r>
      <w:r w:rsidRPr="00DB1535">
        <w:rPr>
          <w:rFonts w:eastAsia="Times New Roman" w:cstheme="minorHAnsi"/>
          <w:i/>
          <w:iCs/>
          <w:lang w:eastAsia="en-GB"/>
        </w:rPr>
        <w:t>“Sacred Models.”</w:t>
      </w:r>
      <w:r w:rsidRPr="00DB1535">
        <w:rPr>
          <w:rFonts w:eastAsia="Times New Roman" w:cstheme="minorHAnsi"/>
          <w:lang w:eastAsia="en-GB"/>
        </w:rPr>
        <w:t xml:space="preserve"> Man, vol. 19, no. 2, 1984, pp. 199–215. </w:t>
      </w:r>
      <w:r w:rsidRPr="00DB1535">
        <w:rPr>
          <w:rFonts w:eastAsia="Times New Roman" w:cstheme="minorHAnsi"/>
          <w:i/>
          <w:iCs/>
          <w:lang w:eastAsia="en-GB"/>
        </w:rPr>
        <w:t>JSTOR</w:t>
      </w:r>
      <w:r w:rsidRPr="00DB1535">
        <w:rPr>
          <w:rFonts w:eastAsia="Times New Roman" w:cstheme="minorHAnsi"/>
          <w:lang w:eastAsia="en-GB"/>
        </w:rPr>
        <w:t xml:space="preserve">, </w:t>
      </w:r>
      <w:hyperlink r:id="rId9" w:history="1">
        <w:r w:rsidRPr="007C2B43">
          <w:rPr>
            <w:rStyle w:val="Hyperlink"/>
            <w:rFonts w:eastAsia="Times New Roman" w:cstheme="minorHAnsi"/>
            <w:lang w:eastAsia="en-GB"/>
          </w:rPr>
          <w:t>https://doi.org/10.2307/2802277</w:t>
        </w:r>
      </w:hyperlink>
      <w:r>
        <w:rPr>
          <w:rFonts w:eastAsia="Times New Roman" w:cstheme="minorHAnsi"/>
          <w:lang w:eastAsia="en-GB"/>
        </w:rPr>
        <w:t xml:space="preserve"> </w:t>
      </w:r>
      <w:r w:rsidRPr="00DB1535">
        <w:rPr>
          <w:rFonts w:eastAsia="Times New Roman" w:cstheme="minorHAnsi"/>
          <w:lang w:eastAsia="en-GB"/>
        </w:rPr>
        <w:t>. Accessed 3 Nov. 2022.</w:t>
      </w:r>
      <w:r>
        <w:rPr>
          <w:rFonts w:eastAsia="Times New Roman" w:cstheme="minorHAnsi"/>
          <w:lang w:eastAsia="en-GB"/>
        </w:rPr>
        <w:t xml:space="preserve"> P. 203.</w:t>
      </w:r>
    </w:p>
  </w:footnote>
  <w:footnote w:id="54">
    <w:p w14:paraId="6D5A3F68" w14:textId="77777777" w:rsidR="0093250C" w:rsidRDefault="0093250C" w:rsidP="0093250C">
      <w:pPr>
        <w:pStyle w:val="FootnoteText"/>
      </w:pPr>
      <w:r>
        <w:rPr>
          <w:rStyle w:val="FootnoteReference"/>
        </w:rPr>
        <w:footnoteRef/>
      </w:r>
      <w:r>
        <w:t xml:space="preserve"> </w:t>
      </w:r>
      <w:proofErr w:type="spellStart"/>
      <w:r>
        <w:t>Stirrat</w:t>
      </w:r>
      <w:proofErr w:type="spellEnd"/>
      <w:r>
        <w:t>, 1984 p 204</w:t>
      </w:r>
    </w:p>
    <w:p w14:paraId="3A3F6B1F" w14:textId="77777777" w:rsidR="0093250C" w:rsidRDefault="0093250C" w:rsidP="0093250C">
      <w:pPr>
        <w:pStyle w:val="FootnoteText"/>
      </w:pPr>
    </w:p>
  </w:footnote>
  <w:footnote w:id="55">
    <w:p w14:paraId="2DFD654C" w14:textId="77777777" w:rsidR="0093250C" w:rsidRPr="00DB1535" w:rsidRDefault="0093250C" w:rsidP="0093250C">
      <w:pPr>
        <w:spacing w:after="0" w:line="240" w:lineRule="auto"/>
        <w:rPr>
          <w:rFonts w:eastAsia="Times New Roman" w:cstheme="minorHAnsi"/>
          <w:lang w:eastAsia="en-GB"/>
        </w:rPr>
      </w:pPr>
      <w:r>
        <w:rPr>
          <w:rStyle w:val="FootnoteReference"/>
        </w:rPr>
        <w:footnoteRef/>
      </w:r>
      <w:r>
        <w:t xml:space="preserve"> </w:t>
      </w:r>
      <w:proofErr w:type="spellStart"/>
      <w:r w:rsidRPr="00DB1535">
        <w:rPr>
          <w:rFonts w:eastAsia="Times New Roman" w:cstheme="minorHAnsi"/>
          <w:lang w:eastAsia="en-GB"/>
        </w:rPr>
        <w:t>Stirrat</w:t>
      </w:r>
      <w:proofErr w:type="spellEnd"/>
      <w:r w:rsidRPr="00DB1535">
        <w:rPr>
          <w:rFonts w:eastAsia="Times New Roman" w:cstheme="minorHAnsi"/>
          <w:lang w:eastAsia="en-GB"/>
        </w:rPr>
        <w:t xml:space="preserve">, R. L. </w:t>
      </w:r>
      <w:r w:rsidRPr="00DB1535">
        <w:rPr>
          <w:rFonts w:eastAsia="Times New Roman" w:cstheme="minorHAnsi"/>
          <w:i/>
          <w:iCs/>
          <w:lang w:eastAsia="en-GB"/>
        </w:rPr>
        <w:t>“Sacred Models.”</w:t>
      </w:r>
      <w:r w:rsidRPr="00DB1535">
        <w:rPr>
          <w:rFonts w:eastAsia="Times New Roman" w:cstheme="minorHAnsi"/>
          <w:lang w:eastAsia="en-GB"/>
        </w:rPr>
        <w:t xml:space="preserve"> Man, vol. 19, no. 2, 1984, pp. 199–215. </w:t>
      </w:r>
      <w:r w:rsidRPr="00DB1535">
        <w:rPr>
          <w:rFonts w:eastAsia="Times New Roman" w:cstheme="minorHAnsi"/>
          <w:i/>
          <w:iCs/>
          <w:lang w:eastAsia="en-GB"/>
        </w:rPr>
        <w:t>JSTOR</w:t>
      </w:r>
      <w:r w:rsidRPr="00DB1535">
        <w:rPr>
          <w:rFonts w:eastAsia="Times New Roman" w:cstheme="minorHAnsi"/>
          <w:lang w:eastAsia="en-GB"/>
        </w:rPr>
        <w:t xml:space="preserve">, </w:t>
      </w:r>
      <w:hyperlink r:id="rId10" w:history="1">
        <w:r w:rsidRPr="007C2B43">
          <w:rPr>
            <w:rStyle w:val="Hyperlink"/>
            <w:rFonts w:eastAsia="Times New Roman" w:cstheme="minorHAnsi"/>
            <w:lang w:eastAsia="en-GB"/>
          </w:rPr>
          <w:t>https://doi.org/10.2307/2802277</w:t>
        </w:r>
      </w:hyperlink>
      <w:r>
        <w:rPr>
          <w:rFonts w:eastAsia="Times New Roman" w:cstheme="minorHAnsi"/>
          <w:lang w:eastAsia="en-GB"/>
        </w:rPr>
        <w:t xml:space="preserve"> </w:t>
      </w:r>
      <w:r w:rsidRPr="00DB1535">
        <w:rPr>
          <w:rFonts w:eastAsia="Times New Roman" w:cstheme="minorHAnsi"/>
          <w:lang w:eastAsia="en-GB"/>
        </w:rPr>
        <w:t>. Accessed 3 Nov. 2022.</w:t>
      </w:r>
    </w:p>
    <w:p w14:paraId="6D23D0B3" w14:textId="77777777" w:rsidR="0093250C" w:rsidRDefault="0093250C" w:rsidP="0093250C">
      <w:pPr>
        <w:pStyle w:val="FootnoteText"/>
      </w:pPr>
    </w:p>
  </w:footnote>
  <w:footnote w:id="56">
    <w:p w14:paraId="61874D9E"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 P. 64.</w:t>
      </w:r>
    </w:p>
  </w:footnote>
  <w:footnote w:id="57">
    <w:p w14:paraId="1EB990B9"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 p. 64.</w:t>
      </w:r>
    </w:p>
    <w:p w14:paraId="4FF1D961" w14:textId="77777777" w:rsidR="0093250C" w:rsidRDefault="0093250C" w:rsidP="0093250C">
      <w:pPr>
        <w:pStyle w:val="FootnoteText"/>
      </w:pPr>
    </w:p>
  </w:footnote>
  <w:footnote w:id="58">
    <w:p w14:paraId="0C2D45B8"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64.</w:t>
      </w:r>
    </w:p>
    <w:p w14:paraId="3FD85167" w14:textId="77777777" w:rsidR="0093250C" w:rsidRDefault="0093250C" w:rsidP="0093250C">
      <w:pPr>
        <w:pStyle w:val="FootnoteText"/>
      </w:pPr>
    </w:p>
  </w:footnote>
  <w:footnote w:id="59">
    <w:p w14:paraId="68B7A0AD" w14:textId="77777777" w:rsidR="0093250C" w:rsidRPr="0058059A" w:rsidRDefault="0093250C" w:rsidP="0093250C">
      <w:pPr>
        <w:spacing w:after="0" w:line="240" w:lineRule="auto"/>
        <w:rPr>
          <w:rFonts w:ascii="Times New Roman" w:eastAsia="Times New Roman" w:hAnsi="Times New Roman" w:cs="Times New Roman"/>
          <w:sz w:val="24"/>
          <w:szCs w:val="24"/>
          <w:lang w:eastAsia="en-GB"/>
        </w:rPr>
      </w:pPr>
      <w:r>
        <w:rPr>
          <w:rStyle w:val="FootnoteReference"/>
        </w:rPr>
        <w:footnoteRef/>
      </w:r>
      <w:r>
        <w:t xml:space="preserve"> </w:t>
      </w:r>
      <w:bookmarkStart w:id="7" w:name="_Hlk119163635"/>
      <w:proofErr w:type="spellStart"/>
      <w:r w:rsidRPr="00032523">
        <w:rPr>
          <w:rFonts w:eastAsia="Times New Roman" w:cstheme="minorHAnsi"/>
          <w:lang w:eastAsia="en-GB"/>
        </w:rPr>
        <w:t>Hassner</w:t>
      </w:r>
      <w:proofErr w:type="spellEnd"/>
      <w:r w:rsidRPr="00032523">
        <w:rPr>
          <w:rFonts w:eastAsia="Times New Roman" w:cstheme="minorHAnsi"/>
          <w:lang w:eastAsia="en-GB"/>
        </w:rPr>
        <w:t>, R</w:t>
      </w:r>
      <w:r>
        <w:rPr>
          <w:rFonts w:eastAsia="Times New Roman" w:cstheme="minorHAnsi"/>
          <w:lang w:eastAsia="en-GB"/>
        </w:rPr>
        <w:t xml:space="preserve">on </w:t>
      </w:r>
      <w:r w:rsidRPr="00032523">
        <w:rPr>
          <w:rFonts w:eastAsia="Times New Roman" w:cstheme="minorHAnsi"/>
          <w:lang w:eastAsia="en-GB"/>
        </w:rPr>
        <w:t xml:space="preserve">E. </w:t>
      </w:r>
      <w:r w:rsidRPr="00032523">
        <w:rPr>
          <w:rFonts w:eastAsia="Times New Roman" w:cstheme="minorHAnsi"/>
          <w:i/>
          <w:iCs/>
          <w:lang w:eastAsia="en-GB"/>
        </w:rPr>
        <w:t>War on Sacred Grounds</w:t>
      </w:r>
      <w:r w:rsidRPr="00032523">
        <w:rPr>
          <w:rFonts w:eastAsia="Times New Roman" w:cstheme="minorHAnsi"/>
          <w:lang w:eastAsia="en-GB"/>
        </w:rPr>
        <w:t xml:space="preserve">. 1st ed., Cornell University Press, 2009. </w:t>
      </w:r>
      <w:r w:rsidRPr="00032523">
        <w:rPr>
          <w:rFonts w:eastAsia="Times New Roman" w:cstheme="minorHAnsi"/>
          <w:i/>
          <w:iCs/>
          <w:lang w:eastAsia="en-GB"/>
        </w:rPr>
        <w:t>JSTOR</w:t>
      </w:r>
      <w:r w:rsidRPr="00032523">
        <w:rPr>
          <w:rFonts w:eastAsia="Times New Roman" w:cstheme="minorHAnsi"/>
          <w:lang w:eastAsia="en-GB"/>
        </w:rPr>
        <w:t>, http://www.jstor.org/stable/10.7591/j.ctt7z72r. Accessed 12 Nov. 2022</w:t>
      </w:r>
      <w:r w:rsidRPr="00032523">
        <w:rPr>
          <w:rFonts w:ascii="Times New Roman" w:eastAsia="Times New Roman" w:hAnsi="Times New Roman" w:cs="Times New Roman"/>
          <w:sz w:val="24"/>
          <w:szCs w:val="24"/>
          <w:lang w:eastAsia="en-GB"/>
        </w:rPr>
        <w:t>.</w:t>
      </w:r>
      <w:bookmarkEnd w:id="7"/>
      <w:r>
        <w:rPr>
          <w:rFonts w:ascii="Times New Roman" w:eastAsia="Times New Roman" w:hAnsi="Times New Roman" w:cs="Times New Roman"/>
          <w:sz w:val="24"/>
          <w:szCs w:val="24"/>
          <w:lang w:eastAsia="en-GB"/>
        </w:rPr>
        <w:t xml:space="preserve"> </w:t>
      </w:r>
      <w:proofErr w:type="gramStart"/>
      <w:r>
        <w:rPr>
          <w:rFonts w:ascii="Times New Roman" w:eastAsia="Times New Roman" w:hAnsi="Times New Roman" w:cs="Times New Roman"/>
          <w:sz w:val="24"/>
          <w:szCs w:val="24"/>
          <w:lang w:eastAsia="en-GB"/>
        </w:rPr>
        <w:t>P .</w:t>
      </w:r>
      <w:proofErr w:type="gramEnd"/>
      <w:r>
        <w:rPr>
          <w:rFonts w:ascii="Times New Roman" w:eastAsia="Times New Roman" w:hAnsi="Times New Roman" w:cs="Times New Roman"/>
          <w:sz w:val="24"/>
          <w:szCs w:val="24"/>
          <w:lang w:eastAsia="en-GB"/>
        </w:rPr>
        <w:t xml:space="preserve"> 22</w:t>
      </w:r>
    </w:p>
  </w:footnote>
  <w:footnote w:id="60">
    <w:p w14:paraId="679BF8E4" w14:textId="77777777" w:rsidR="0093250C" w:rsidRDefault="0093250C" w:rsidP="0093250C">
      <w:r>
        <w:rPr>
          <w:rStyle w:val="FootnoteReference"/>
        </w:rPr>
        <w:footnoteRef/>
      </w:r>
      <w:r>
        <w:t xml:space="preserve"> Durkheim, Emile, </w:t>
      </w:r>
      <w:r>
        <w:rPr>
          <w:i/>
          <w:iCs/>
        </w:rPr>
        <w:t xml:space="preserve">The Elementary Forms of Religious Life, A new translation by Carol </w:t>
      </w:r>
      <w:proofErr w:type="spellStart"/>
      <w:r>
        <w:rPr>
          <w:i/>
          <w:iCs/>
        </w:rPr>
        <w:t>Cosman</w:t>
      </w:r>
      <w:proofErr w:type="spellEnd"/>
      <w:r>
        <w:rPr>
          <w:i/>
          <w:iCs/>
        </w:rPr>
        <w:t xml:space="preserve">, </w:t>
      </w:r>
      <w:r>
        <w:t xml:space="preserve">Oxford University Press, New York, (2001), p. 175. </w:t>
      </w:r>
    </w:p>
  </w:footnote>
  <w:footnote w:id="61">
    <w:p w14:paraId="65A8402E" w14:textId="77777777" w:rsidR="0093250C" w:rsidRPr="00B4128C" w:rsidRDefault="0093250C" w:rsidP="0093250C">
      <w:pPr>
        <w:pStyle w:val="FootnoteText"/>
      </w:pPr>
      <w:r>
        <w:rPr>
          <w:rStyle w:val="FootnoteReference"/>
        </w:rPr>
        <w:footnoteRef/>
      </w:r>
      <w:r>
        <w:t xml:space="preserve"> Durkheim, </w:t>
      </w:r>
      <w:r>
        <w:rPr>
          <w:i/>
          <w:iCs/>
        </w:rPr>
        <w:t>Forms</w:t>
      </w:r>
      <w:r>
        <w:t xml:space="preserve"> (2001) p. 176. </w:t>
      </w:r>
    </w:p>
  </w:footnote>
  <w:footnote w:id="62">
    <w:p w14:paraId="02B3207F" w14:textId="77777777" w:rsidR="0093250C" w:rsidRDefault="0093250C" w:rsidP="0093250C">
      <w:pPr>
        <w:pStyle w:val="FootnoteText"/>
      </w:pPr>
      <w:r>
        <w:rPr>
          <w:rStyle w:val="FootnoteReference"/>
        </w:rPr>
        <w:footnoteRef/>
      </w:r>
      <w:r>
        <w:t xml:space="preserve"> Community reverence is invested in the sacred object/place/set of beliefs rather than in the clan leaders because clan leaders dies and for the community to exist into the future, it is important that that reverence in something that is transcendent, that does not die.</w:t>
      </w:r>
    </w:p>
  </w:footnote>
  <w:footnote w:id="63">
    <w:p w14:paraId="2CF25E50" w14:textId="77777777" w:rsidR="0093250C" w:rsidRDefault="0093250C" w:rsidP="0093250C">
      <w:r>
        <w:rPr>
          <w:rStyle w:val="FootnoteReference"/>
        </w:rPr>
        <w:footnoteRef/>
      </w:r>
      <w:r>
        <w:t xml:space="preserve"> Durkheim, Emile, </w:t>
      </w:r>
      <w:r>
        <w:rPr>
          <w:i/>
          <w:iCs/>
        </w:rPr>
        <w:t xml:space="preserve">The Elementary Forms of Religious Life, A new translation by Carol </w:t>
      </w:r>
      <w:proofErr w:type="spellStart"/>
      <w:r>
        <w:rPr>
          <w:i/>
          <w:iCs/>
        </w:rPr>
        <w:t>Cosman</w:t>
      </w:r>
      <w:proofErr w:type="spellEnd"/>
      <w:r>
        <w:rPr>
          <w:i/>
          <w:iCs/>
        </w:rPr>
        <w:t xml:space="preserve">, </w:t>
      </w:r>
      <w:r>
        <w:t xml:space="preserve">Oxford University Press, New York, (2001), p. xxii. </w:t>
      </w:r>
    </w:p>
  </w:footnote>
  <w:footnote w:id="64">
    <w:p w14:paraId="6918E30D" w14:textId="77777777" w:rsidR="0093250C" w:rsidRDefault="0093250C" w:rsidP="0093250C">
      <w:pPr>
        <w:pStyle w:val="FootnoteText"/>
      </w:pPr>
      <w:r>
        <w:rPr>
          <w:rStyle w:val="FootnoteReference"/>
        </w:rPr>
        <w:footnoteRef/>
      </w:r>
      <w:r>
        <w:t xml:space="preserve"> Durkheim, E. (1995 [1912]). The Elementary Forms of Religious Life. New York. Free Press. P. xxi. </w:t>
      </w:r>
    </w:p>
  </w:footnote>
  <w:footnote w:id="65">
    <w:p w14:paraId="7ACB5F35" w14:textId="77777777" w:rsidR="0093250C" w:rsidRDefault="0093250C" w:rsidP="0093250C">
      <w:r>
        <w:rPr>
          <w:rStyle w:val="FootnoteReference"/>
        </w:rPr>
        <w:footnoteRef/>
      </w:r>
      <w:r>
        <w:t xml:space="preserve"> Eliade, Mircea, </w:t>
      </w:r>
      <w:r>
        <w:rPr>
          <w:i/>
          <w:iCs/>
        </w:rPr>
        <w:t xml:space="preserve">The Sacred and the Profane, The Nature of Religion, </w:t>
      </w:r>
      <w:r>
        <w:t>Harcourt, New York, (1987 [1957</w:t>
      </w:r>
      <w:proofErr w:type="gramStart"/>
      <w:r>
        <w:t>])p.</w:t>
      </w:r>
      <w:proofErr w:type="gramEnd"/>
      <w:r>
        <w:t>65</w:t>
      </w:r>
    </w:p>
  </w:footnote>
  <w:footnote w:id="66">
    <w:p w14:paraId="67106D43" w14:textId="77777777" w:rsidR="0093250C" w:rsidRDefault="0093250C" w:rsidP="0093250C">
      <w:pPr>
        <w:pStyle w:val="FootnoteText"/>
      </w:pPr>
      <w:r>
        <w:rPr>
          <w:rStyle w:val="FootnoteReference"/>
        </w:rPr>
        <w:footnoteRef/>
      </w:r>
      <w:r>
        <w:t xml:space="preserve"> Durkheim, E. (1995 [1912]). The Elementary Forms of Religious Life. New York. Free Press. P. xxxviii.</w:t>
      </w:r>
    </w:p>
  </w:footnote>
  <w:footnote w:id="67">
    <w:p w14:paraId="7C3C8AAA" w14:textId="77777777" w:rsidR="0093250C" w:rsidRDefault="0093250C" w:rsidP="0093250C">
      <w:pPr>
        <w:pStyle w:val="FootnoteText"/>
      </w:pPr>
      <w:r>
        <w:rPr>
          <w:rStyle w:val="FootnoteReference"/>
        </w:rPr>
        <w:footnoteRef/>
      </w:r>
      <w:r>
        <w:t xml:space="preserve"> Durkheim, E. (1995 [1912]). The Elementary Forms of Religious Life. New York. Free </w:t>
      </w:r>
      <w:proofErr w:type="spellStart"/>
      <w:r>
        <w:t>Press.p</w:t>
      </w:r>
      <w:proofErr w:type="spellEnd"/>
      <w:r>
        <w:t>. xxix.</w:t>
      </w:r>
    </w:p>
  </w:footnote>
  <w:footnote w:id="68">
    <w:p w14:paraId="38FECF93" w14:textId="5BA339CB" w:rsidR="0017161E" w:rsidRDefault="0017161E">
      <w:pPr>
        <w:pStyle w:val="FootnoteText"/>
      </w:pPr>
      <w:r>
        <w:rPr>
          <w:rStyle w:val="FootnoteReference"/>
        </w:rPr>
        <w:footnoteRef/>
      </w:r>
      <w:r>
        <w:t xml:space="preserve"> </w:t>
      </w:r>
      <w:r w:rsidRPr="00DB1535">
        <w:rPr>
          <w:rFonts w:eastAsia="Times New Roman" w:cstheme="minorHAnsi"/>
          <w:lang w:eastAsia="en-GB"/>
        </w:rPr>
        <w:t xml:space="preserve">Hardenberg, Roland. “From Durkheim to </w:t>
      </w:r>
      <w:proofErr w:type="spellStart"/>
      <w:r w:rsidRPr="00DB1535">
        <w:rPr>
          <w:rFonts w:eastAsia="Times New Roman" w:cstheme="minorHAnsi"/>
          <w:lang w:eastAsia="en-GB"/>
        </w:rPr>
        <w:t>Hocart</w:t>
      </w:r>
      <w:proofErr w:type="spellEnd"/>
      <w:r w:rsidRPr="00DB1535">
        <w:rPr>
          <w:rFonts w:eastAsia="Times New Roman" w:cstheme="minorHAnsi"/>
          <w:lang w:eastAsia="en-GB"/>
        </w:rPr>
        <w:t xml:space="preserve">: Sacred Resources and the Quest for ‘Life.’” </w:t>
      </w:r>
      <w:r w:rsidRPr="00DB1535">
        <w:rPr>
          <w:rFonts w:eastAsia="Times New Roman" w:cstheme="minorHAnsi"/>
          <w:i/>
          <w:iCs/>
          <w:lang w:eastAsia="en-GB"/>
        </w:rPr>
        <w:t xml:space="preserve">Durkheimian Studies / Études </w:t>
      </w:r>
      <w:proofErr w:type="spellStart"/>
      <w:r w:rsidRPr="00DB1535">
        <w:rPr>
          <w:rFonts w:eastAsia="Times New Roman" w:cstheme="minorHAnsi"/>
          <w:i/>
          <w:iCs/>
          <w:lang w:eastAsia="en-GB"/>
        </w:rPr>
        <w:t>Durkheimiennes</w:t>
      </w:r>
      <w:proofErr w:type="spellEnd"/>
      <w:r w:rsidRPr="00DB1535">
        <w:rPr>
          <w:rFonts w:eastAsia="Times New Roman" w:cstheme="minorHAnsi"/>
          <w:lang w:eastAsia="en-GB"/>
        </w:rPr>
        <w:t xml:space="preserve">, vol. 23, 2017, pp. 40–56. </w:t>
      </w:r>
      <w:r w:rsidRPr="00DB1535">
        <w:rPr>
          <w:rFonts w:eastAsia="Times New Roman" w:cstheme="minorHAnsi"/>
          <w:i/>
          <w:iCs/>
          <w:lang w:eastAsia="en-GB"/>
        </w:rPr>
        <w:t>JSTOR</w:t>
      </w:r>
      <w:r w:rsidRPr="00DB1535">
        <w:rPr>
          <w:rFonts w:eastAsia="Times New Roman" w:cstheme="minorHAnsi"/>
          <w:lang w:eastAsia="en-GB"/>
        </w:rPr>
        <w:t xml:space="preserve">, </w:t>
      </w:r>
      <w:hyperlink r:id="rId11" w:history="1">
        <w:r w:rsidRPr="009A02FA">
          <w:rPr>
            <w:rStyle w:val="Hyperlink"/>
            <w:rFonts w:eastAsia="Times New Roman" w:cstheme="minorHAnsi"/>
            <w:lang w:eastAsia="en-GB"/>
          </w:rPr>
          <w:t>http://www.jstor.org/stable/45173964.p</w:t>
        </w:r>
      </w:hyperlink>
      <w:r>
        <w:rPr>
          <w:rFonts w:eastAsia="Times New Roman" w:cstheme="minorHAnsi"/>
          <w:lang w:eastAsia="en-GB"/>
        </w:rPr>
        <w:t>. 41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A1D"/>
    <w:rsid w:val="00030D65"/>
    <w:rsid w:val="00077A1D"/>
    <w:rsid w:val="00077E5A"/>
    <w:rsid w:val="000850F5"/>
    <w:rsid w:val="000A35C5"/>
    <w:rsid w:val="000F4191"/>
    <w:rsid w:val="0017161E"/>
    <w:rsid w:val="001838A0"/>
    <w:rsid w:val="001962B2"/>
    <w:rsid w:val="001A15C6"/>
    <w:rsid w:val="001C4126"/>
    <w:rsid w:val="001E631E"/>
    <w:rsid w:val="001E73E0"/>
    <w:rsid w:val="002036E6"/>
    <w:rsid w:val="0022462C"/>
    <w:rsid w:val="00283FDF"/>
    <w:rsid w:val="00295EE8"/>
    <w:rsid w:val="002D3047"/>
    <w:rsid w:val="00323DE5"/>
    <w:rsid w:val="0033695E"/>
    <w:rsid w:val="003377F3"/>
    <w:rsid w:val="00340E9A"/>
    <w:rsid w:val="00360234"/>
    <w:rsid w:val="00405A8A"/>
    <w:rsid w:val="00424F91"/>
    <w:rsid w:val="0049215A"/>
    <w:rsid w:val="00492EE6"/>
    <w:rsid w:val="004C118D"/>
    <w:rsid w:val="004D0FAD"/>
    <w:rsid w:val="0051585C"/>
    <w:rsid w:val="0058059A"/>
    <w:rsid w:val="00582135"/>
    <w:rsid w:val="005A0EC8"/>
    <w:rsid w:val="00641024"/>
    <w:rsid w:val="00663706"/>
    <w:rsid w:val="00691F14"/>
    <w:rsid w:val="00742162"/>
    <w:rsid w:val="007774A0"/>
    <w:rsid w:val="00790255"/>
    <w:rsid w:val="007B1FD3"/>
    <w:rsid w:val="007C53E5"/>
    <w:rsid w:val="007D5EF7"/>
    <w:rsid w:val="007E0CC2"/>
    <w:rsid w:val="007F173E"/>
    <w:rsid w:val="008228DF"/>
    <w:rsid w:val="00844793"/>
    <w:rsid w:val="008504FF"/>
    <w:rsid w:val="00854216"/>
    <w:rsid w:val="00883A83"/>
    <w:rsid w:val="008A6A95"/>
    <w:rsid w:val="008C46A4"/>
    <w:rsid w:val="008E21B9"/>
    <w:rsid w:val="00917500"/>
    <w:rsid w:val="00926D1F"/>
    <w:rsid w:val="0093250C"/>
    <w:rsid w:val="009341E8"/>
    <w:rsid w:val="009A0911"/>
    <w:rsid w:val="009A445B"/>
    <w:rsid w:val="009B3872"/>
    <w:rsid w:val="009D36EF"/>
    <w:rsid w:val="00A86BD0"/>
    <w:rsid w:val="00B0316F"/>
    <w:rsid w:val="00B31B72"/>
    <w:rsid w:val="00B33B63"/>
    <w:rsid w:val="00B4128C"/>
    <w:rsid w:val="00BE1EC9"/>
    <w:rsid w:val="00BE43B4"/>
    <w:rsid w:val="00BF44AE"/>
    <w:rsid w:val="00C0551E"/>
    <w:rsid w:val="00C41846"/>
    <w:rsid w:val="00C915D4"/>
    <w:rsid w:val="00CA4FAA"/>
    <w:rsid w:val="00CA691F"/>
    <w:rsid w:val="00CD541F"/>
    <w:rsid w:val="00D1723B"/>
    <w:rsid w:val="00D46AA0"/>
    <w:rsid w:val="00D959EC"/>
    <w:rsid w:val="00DE77AF"/>
    <w:rsid w:val="00E05439"/>
    <w:rsid w:val="00E73460"/>
    <w:rsid w:val="00E7624E"/>
    <w:rsid w:val="00E908BC"/>
    <w:rsid w:val="00EA3717"/>
    <w:rsid w:val="00EB066C"/>
    <w:rsid w:val="00EE7704"/>
    <w:rsid w:val="00F771D8"/>
    <w:rsid w:val="00FA7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7ED8D"/>
  <w15:chartTrackingRefBased/>
  <w15:docId w15:val="{211CD9FC-66EF-47D5-887D-7FF8DFDC6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7A1D"/>
  </w:style>
  <w:style w:type="paragraph" w:styleId="Heading1">
    <w:name w:val="heading 1"/>
    <w:basedOn w:val="Normal"/>
    <w:next w:val="Normal"/>
    <w:link w:val="Heading1Char"/>
    <w:uiPriority w:val="9"/>
    <w:qFormat/>
    <w:rsid w:val="00C055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F41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213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7A1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0316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24F91"/>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77A1D"/>
    <w:rPr>
      <w:rFonts w:asciiTheme="majorHAnsi" w:eastAsiaTheme="majorEastAsia" w:hAnsiTheme="majorHAnsi" w:cstheme="majorBidi"/>
      <w:i/>
      <w:iCs/>
      <w:color w:val="2F5496" w:themeColor="accent1" w:themeShade="BF"/>
    </w:rPr>
  </w:style>
  <w:style w:type="paragraph" w:styleId="FootnoteText">
    <w:name w:val="footnote text"/>
    <w:basedOn w:val="Normal"/>
    <w:link w:val="FootnoteTextChar"/>
    <w:uiPriority w:val="99"/>
    <w:semiHidden/>
    <w:unhideWhenUsed/>
    <w:rsid w:val="003602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234"/>
    <w:rPr>
      <w:sz w:val="20"/>
      <w:szCs w:val="20"/>
    </w:rPr>
  </w:style>
  <w:style w:type="character" w:styleId="FootnoteReference">
    <w:name w:val="footnote reference"/>
    <w:basedOn w:val="DefaultParagraphFont"/>
    <w:uiPriority w:val="99"/>
    <w:semiHidden/>
    <w:unhideWhenUsed/>
    <w:rsid w:val="00360234"/>
    <w:rPr>
      <w:vertAlign w:val="superscript"/>
    </w:rPr>
  </w:style>
  <w:style w:type="character" w:styleId="Hyperlink">
    <w:name w:val="Hyperlink"/>
    <w:basedOn w:val="DefaultParagraphFont"/>
    <w:uiPriority w:val="99"/>
    <w:unhideWhenUsed/>
    <w:rsid w:val="00360234"/>
    <w:rPr>
      <w:color w:val="0563C1" w:themeColor="hyperlink"/>
      <w:u w:val="single"/>
    </w:rPr>
  </w:style>
  <w:style w:type="character" w:styleId="UnresolvedMention">
    <w:name w:val="Unresolved Mention"/>
    <w:basedOn w:val="DefaultParagraphFont"/>
    <w:uiPriority w:val="99"/>
    <w:semiHidden/>
    <w:unhideWhenUsed/>
    <w:rsid w:val="00360234"/>
    <w:rPr>
      <w:color w:val="605E5C"/>
      <w:shd w:val="clear" w:color="auto" w:fill="E1DFDD"/>
    </w:rPr>
  </w:style>
  <w:style w:type="character" w:customStyle="1" w:styleId="Heading2Char">
    <w:name w:val="Heading 2 Char"/>
    <w:basedOn w:val="DefaultParagraphFont"/>
    <w:link w:val="Heading2"/>
    <w:uiPriority w:val="9"/>
    <w:rsid w:val="000F4191"/>
    <w:rPr>
      <w:rFonts w:asciiTheme="majorHAnsi" w:eastAsiaTheme="majorEastAsia" w:hAnsiTheme="majorHAnsi" w:cstheme="majorBidi"/>
      <w:color w:val="2F5496" w:themeColor="accent1" w:themeShade="BF"/>
      <w:sz w:val="26"/>
      <w:szCs w:val="26"/>
    </w:rPr>
  </w:style>
  <w:style w:type="character" w:customStyle="1" w:styleId="Heading5Char">
    <w:name w:val="Heading 5 Char"/>
    <w:basedOn w:val="DefaultParagraphFont"/>
    <w:link w:val="Heading5"/>
    <w:uiPriority w:val="9"/>
    <w:rsid w:val="00B0316F"/>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C0551E"/>
    <w:rPr>
      <w:rFonts w:asciiTheme="majorHAnsi" w:eastAsiaTheme="majorEastAsia" w:hAnsiTheme="majorHAnsi" w:cstheme="majorBidi"/>
      <w:color w:val="2F5496" w:themeColor="accent1" w:themeShade="BF"/>
      <w:sz w:val="32"/>
      <w:szCs w:val="32"/>
    </w:rPr>
  </w:style>
  <w:style w:type="character" w:customStyle="1" w:styleId="Heading6Char">
    <w:name w:val="Heading 6 Char"/>
    <w:basedOn w:val="DefaultParagraphFont"/>
    <w:link w:val="Heading6"/>
    <w:uiPriority w:val="9"/>
    <w:rsid w:val="00424F91"/>
    <w:rPr>
      <w:rFonts w:asciiTheme="majorHAnsi" w:eastAsiaTheme="majorEastAsia" w:hAnsiTheme="majorHAnsi" w:cstheme="majorBidi"/>
      <w:color w:val="1F3763" w:themeColor="accent1" w:themeShade="7F"/>
    </w:rPr>
  </w:style>
  <w:style w:type="character" w:customStyle="1" w:styleId="Heading3Char">
    <w:name w:val="Heading 3 Char"/>
    <w:basedOn w:val="DefaultParagraphFont"/>
    <w:link w:val="Heading3"/>
    <w:uiPriority w:val="9"/>
    <w:rsid w:val="00582135"/>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www.jstor.org/stable/1201635.%20Accessed%2021%20Sep.%202022" TargetMode="External"/><Relationship Id="rId3" Type="http://schemas.openxmlformats.org/officeDocument/2006/relationships/hyperlink" Target="https://doi.org/10.2307/2802277" TargetMode="External"/><Relationship Id="rId7" Type="http://schemas.openxmlformats.org/officeDocument/2006/relationships/hyperlink" Target="http://www.jstor.org/stable/1201635.%20Accessed%2021%20Sep.%202022" TargetMode="External"/><Relationship Id="rId2" Type="http://schemas.openxmlformats.org/officeDocument/2006/relationships/hyperlink" Target="https://doi.org/10.2307/j.ctt1v2xvw6.9" TargetMode="External"/><Relationship Id="rId1" Type="http://schemas.openxmlformats.org/officeDocument/2006/relationships/hyperlink" Target="http://www.jstor.org/stable/3176542" TargetMode="External"/><Relationship Id="rId6" Type="http://schemas.openxmlformats.org/officeDocument/2006/relationships/hyperlink" Target="http://www.jstor.org/stable/45173964" TargetMode="External"/><Relationship Id="rId11" Type="http://schemas.openxmlformats.org/officeDocument/2006/relationships/hyperlink" Target="http://www.jstor.org/stable/45173964.p" TargetMode="External"/><Relationship Id="rId5" Type="http://schemas.openxmlformats.org/officeDocument/2006/relationships/hyperlink" Target="http://www.jstor.org/stable/1201635.%20Accessed%2021%20Sep.%202022" TargetMode="External"/><Relationship Id="rId10" Type="http://schemas.openxmlformats.org/officeDocument/2006/relationships/hyperlink" Target="https://doi.org/10.2307/2802277" TargetMode="External"/><Relationship Id="rId4" Type="http://schemas.openxmlformats.org/officeDocument/2006/relationships/hyperlink" Target="https://doi.org/10.2307/2802277" TargetMode="External"/><Relationship Id="rId9" Type="http://schemas.openxmlformats.org/officeDocument/2006/relationships/hyperlink" Target="https://doi.org/10.2307/28022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46F01-3557-4F64-840B-E0B0D3FEE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TotalTime>
  <Pages>9</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Allen (2008524)</dc:creator>
  <cp:keywords/>
  <dc:description/>
  <cp:lastModifiedBy>Christine Allen (2008524)</cp:lastModifiedBy>
  <cp:revision>19</cp:revision>
  <dcterms:created xsi:type="dcterms:W3CDTF">2022-11-10T16:06:00Z</dcterms:created>
  <dcterms:modified xsi:type="dcterms:W3CDTF">2022-11-13T12:42:00Z</dcterms:modified>
</cp:coreProperties>
</file>