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27F2" w:rsidRPr="00415DCC" w:rsidRDefault="00B227F2" w:rsidP="00B227F2">
      <w:pPr>
        <w:pStyle w:val="Title"/>
        <w:spacing w:line="480" w:lineRule="auto"/>
        <w:rPr>
          <w:rFonts w:ascii="Times New Roman" w:hAnsi="Times New Roman" w:cs="Times New Roman"/>
          <w:sz w:val="56"/>
        </w:rPr>
      </w:pPr>
      <w:r w:rsidRPr="00415DCC">
        <w:rPr>
          <w:rFonts w:ascii="Times New Roman" w:hAnsi="Times New Roman" w:cs="Times New Roman"/>
          <w:sz w:val="56"/>
        </w:rPr>
        <w:t>Programme: BA International Hotel Management</w:t>
      </w:r>
    </w:p>
    <w:p w:rsidR="004C778C" w:rsidRDefault="00B227F2" w:rsidP="00B227F2">
      <w:pPr>
        <w:pStyle w:val="Default"/>
        <w:rPr>
          <w:rFonts w:cs="Times New Roman"/>
          <w:b/>
          <w:sz w:val="32"/>
          <w:szCs w:val="22"/>
        </w:rPr>
      </w:pPr>
      <w:r w:rsidRPr="00415DCC">
        <w:rPr>
          <w:rFonts w:cs="Times New Roman"/>
          <w:b/>
          <w:sz w:val="32"/>
        </w:rPr>
        <w:t xml:space="preserve">Module: </w:t>
      </w:r>
      <w:r w:rsidRPr="00B227F2">
        <w:rPr>
          <w:rFonts w:cs="Times New Roman"/>
          <w:b/>
          <w:sz w:val="32"/>
          <w:szCs w:val="22"/>
        </w:rPr>
        <w:t>Personnel Resourcing and Development</w:t>
      </w:r>
    </w:p>
    <w:p w:rsidR="00B227F2" w:rsidRPr="00B227F2" w:rsidRDefault="00B227F2" w:rsidP="00B227F2">
      <w:pPr>
        <w:pStyle w:val="Default"/>
      </w:pPr>
    </w:p>
    <w:p w:rsidR="00B227F2" w:rsidRPr="00415DCC" w:rsidRDefault="004C778C" w:rsidP="00B227F2">
      <w:pPr>
        <w:spacing w:line="480" w:lineRule="auto"/>
        <w:ind w:firstLine="0"/>
        <w:rPr>
          <w:rFonts w:cs="Times New Roman"/>
          <w:b/>
          <w:sz w:val="32"/>
        </w:rPr>
      </w:pPr>
      <w:r>
        <w:rPr>
          <w:rFonts w:cs="Times New Roman"/>
          <w:b/>
          <w:sz w:val="32"/>
        </w:rPr>
        <w:t>Assignment No.: 1</w:t>
      </w:r>
    </w:p>
    <w:p w:rsidR="004C778C" w:rsidRPr="004C778C" w:rsidRDefault="00B227F2" w:rsidP="004C778C">
      <w:pPr>
        <w:pStyle w:val="Default"/>
        <w:rPr>
          <w:rFonts w:cs="Times New Roman"/>
          <w:b/>
          <w:sz w:val="32"/>
          <w:szCs w:val="22"/>
        </w:rPr>
      </w:pPr>
      <w:r w:rsidRPr="00415DCC">
        <w:rPr>
          <w:rFonts w:cs="Times New Roman"/>
          <w:b/>
          <w:sz w:val="32"/>
        </w:rPr>
        <w:t xml:space="preserve">Assignment Title: </w:t>
      </w:r>
      <w:r w:rsidR="004C778C" w:rsidRPr="004C778C">
        <w:rPr>
          <w:rFonts w:cs="Times New Roman"/>
          <w:b/>
          <w:sz w:val="32"/>
          <w:szCs w:val="22"/>
        </w:rPr>
        <w:t xml:space="preserve">Essay: Employee Engagement </w:t>
      </w:r>
    </w:p>
    <w:p w:rsidR="004C778C" w:rsidRDefault="004C778C" w:rsidP="004C778C">
      <w:pPr>
        <w:pStyle w:val="Default"/>
        <w:rPr>
          <w:rFonts w:cs="Times New Roman"/>
          <w:b/>
          <w:sz w:val="32"/>
          <w:szCs w:val="22"/>
        </w:rPr>
      </w:pPr>
      <w:r w:rsidRPr="004C778C">
        <w:rPr>
          <w:rFonts w:cs="Times New Roman"/>
          <w:b/>
          <w:sz w:val="32"/>
          <w:szCs w:val="22"/>
        </w:rPr>
        <w:t xml:space="preserve">How to handle disengaged/ill-engaged employees in a large organisation with reference to the employee lifecycle. </w:t>
      </w:r>
    </w:p>
    <w:p w:rsidR="004C778C" w:rsidRDefault="004C778C" w:rsidP="004C778C">
      <w:pPr>
        <w:pStyle w:val="Default"/>
        <w:rPr>
          <w:rFonts w:cs="Times New Roman"/>
          <w:b/>
          <w:sz w:val="32"/>
          <w:szCs w:val="22"/>
        </w:rPr>
      </w:pPr>
    </w:p>
    <w:p w:rsidR="00B227F2" w:rsidRPr="00415DCC" w:rsidRDefault="00B227F2" w:rsidP="004C778C">
      <w:pPr>
        <w:pStyle w:val="Default"/>
        <w:rPr>
          <w:rFonts w:cs="Times New Roman"/>
          <w:b/>
          <w:sz w:val="32"/>
        </w:rPr>
      </w:pPr>
      <w:r w:rsidRPr="00415DCC">
        <w:rPr>
          <w:rFonts w:cs="Times New Roman"/>
          <w:b/>
          <w:sz w:val="32"/>
        </w:rPr>
        <w:t>Student ID Number: 2120533</w:t>
      </w: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B227F2" w:rsidRDefault="00B227F2" w:rsidP="00EC2397">
      <w:pPr>
        <w:jc w:val="center"/>
        <w:rPr>
          <w:rFonts w:ascii="Times New Roman" w:hAnsi="Times New Roman" w:cs="Times New Roman"/>
          <w:b/>
          <w:sz w:val="36"/>
        </w:rPr>
      </w:pPr>
    </w:p>
    <w:p w:rsidR="00EC2397" w:rsidRPr="005B7CA4" w:rsidRDefault="00EC2397" w:rsidP="004C778C">
      <w:pPr>
        <w:ind w:firstLine="0"/>
        <w:rPr>
          <w:rFonts w:ascii="Times New Roman" w:hAnsi="Times New Roman" w:cs="Times New Roman"/>
          <w:b/>
          <w:sz w:val="36"/>
        </w:rPr>
      </w:pPr>
    </w:p>
    <w:p w:rsidR="00EC2397" w:rsidRPr="005B7CA4" w:rsidRDefault="00EC2397" w:rsidP="004C778C">
      <w:pPr>
        <w:ind w:firstLine="0"/>
        <w:rPr>
          <w:rFonts w:ascii="Times New Roman" w:hAnsi="Times New Roman" w:cs="Times New Roman"/>
          <w:b/>
          <w:sz w:val="36"/>
        </w:rPr>
      </w:pPr>
    </w:p>
    <w:sdt>
      <w:sdtPr>
        <w:rPr>
          <w:rFonts w:ascii="Times New Roman" w:eastAsiaTheme="minorHAnsi" w:hAnsi="Times New Roman" w:cs="Times New Roman"/>
          <w:color w:val="auto"/>
          <w:sz w:val="24"/>
          <w:szCs w:val="22"/>
          <w:lang w:val="en-GB"/>
        </w:rPr>
        <w:id w:val="-377560296"/>
        <w:docPartObj>
          <w:docPartGallery w:val="Table of Contents"/>
          <w:docPartUnique/>
        </w:docPartObj>
      </w:sdtPr>
      <w:sdtEndPr>
        <w:rPr>
          <w:b/>
          <w:bCs/>
          <w:noProof/>
        </w:rPr>
      </w:sdtEndPr>
      <w:sdtContent>
        <w:p w:rsidR="00EC2397" w:rsidRPr="005B7CA4" w:rsidRDefault="00EC2397" w:rsidP="00EC2397">
          <w:pPr>
            <w:pStyle w:val="TOCHeading"/>
            <w:jc w:val="center"/>
            <w:rPr>
              <w:rFonts w:ascii="Times New Roman" w:hAnsi="Times New Roman" w:cs="Times New Roman"/>
              <w:b/>
              <w:color w:val="auto"/>
            </w:rPr>
          </w:pPr>
          <w:r w:rsidRPr="005B7CA4">
            <w:rPr>
              <w:rFonts w:ascii="Times New Roman" w:hAnsi="Times New Roman" w:cs="Times New Roman"/>
              <w:b/>
              <w:color w:val="auto"/>
            </w:rPr>
            <w:t>Table of Contents</w:t>
          </w:r>
        </w:p>
        <w:p w:rsidR="00E458BC" w:rsidRPr="005B7CA4" w:rsidRDefault="00525766">
          <w:pPr>
            <w:pStyle w:val="TOC1"/>
            <w:tabs>
              <w:tab w:val="right" w:leader="dot" w:pos="9016"/>
            </w:tabs>
            <w:rPr>
              <w:rFonts w:ascii="Times New Roman" w:eastAsiaTheme="minorEastAsia" w:hAnsi="Times New Roman" w:cs="Times New Roman"/>
              <w:noProof/>
              <w:sz w:val="22"/>
              <w:lang w:eastAsia="en-GB"/>
            </w:rPr>
          </w:pPr>
          <w:r w:rsidRPr="005B7CA4">
            <w:rPr>
              <w:rFonts w:ascii="Times New Roman" w:hAnsi="Times New Roman" w:cs="Times New Roman"/>
            </w:rPr>
            <w:fldChar w:fldCharType="begin"/>
          </w:r>
          <w:r w:rsidR="00EC2397" w:rsidRPr="005B7CA4">
            <w:rPr>
              <w:rFonts w:ascii="Times New Roman" w:hAnsi="Times New Roman" w:cs="Times New Roman"/>
            </w:rPr>
            <w:instrText xml:space="preserve"> TOC \o "1-3" \h \z \u </w:instrText>
          </w:r>
          <w:r w:rsidRPr="005B7CA4">
            <w:rPr>
              <w:rFonts w:ascii="Times New Roman" w:hAnsi="Times New Roman" w:cs="Times New Roman"/>
            </w:rPr>
            <w:fldChar w:fldCharType="separate"/>
          </w:r>
          <w:hyperlink w:anchor="_Toc151001634" w:history="1">
            <w:r w:rsidR="00E458BC" w:rsidRPr="005B7CA4">
              <w:rPr>
                <w:rStyle w:val="Hyperlink"/>
                <w:rFonts w:ascii="Times New Roman" w:hAnsi="Times New Roman" w:cs="Times New Roman"/>
                <w:noProof/>
              </w:rPr>
              <w:t>Introduction</w:t>
            </w:r>
            <w:r w:rsidR="00E458BC" w:rsidRPr="005B7CA4">
              <w:rPr>
                <w:rFonts w:ascii="Times New Roman" w:hAnsi="Times New Roman" w:cs="Times New Roman"/>
                <w:noProof/>
                <w:webHidden/>
              </w:rPr>
              <w:tab/>
            </w:r>
            <w:r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_Toc151001634 \h </w:instrText>
            </w:r>
            <w:r w:rsidRPr="005B7CA4">
              <w:rPr>
                <w:rFonts w:ascii="Times New Roman" w:hAnsi="Times New Roman" w:cs="Times New Roman"/>
                <w:noProof/>
                <w:webHidden/>
              </w:rPr>
            </w:r>
            <w:r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3</w:t>
            </w:r>
            <w:r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35" w:history="1">
            <w:r w:rsidR="00E458BC" w:rsidRPr="005B7CA4">
              <w:rPr>
                <w:rStyle w:val="Hyperlink"/>
                <w:rFonts w:ascii="Times New Roman" w:hAnsi="Times New Roman" w:cs="Times New Roman"/>
                <w:noProof/>
              </w:rPr>
              <w:t>Role of Human Resource in Employee Engagement</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_Toc151001635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3</w:t>
            </w:r>
            <w:r w:rsidR="00525766"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36" w:history="1">
            <w:r w:rsidR="00E458BC" w:rsidRPr="005B7CA4">
              <w:rPr>
                <w:rStyle w:val="Hyperlink"/>
                <w:rFonts w:ascii="Times New Roman" w:hAnsi="Times New Roman" w:cs="Times New Roman"/>
                <w:noProof/>
              </w:rPr>
              <w:t>Advantages of Engaging team</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_Toc151001636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5</w:t>
            </w:r>
            <w:r w:rsidR="00525766"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37" w:history="1">
            <w:r w:rsidR="00E458BC" w:rsidRPr="005B7CA4">
              <w:rPr>
                <w:rStyle w:val="Hyperlink"/>
                <w:rFonts w:ascii="Times New Roman" w:hAnsi="Times New Roman" w:cs="Times New Roman"/>
                <w:noProof/>
              </w:rPr>
              <w:t>Strategies to Engage Employees</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_Toc151001637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5</w:t>
            </w:r>
            <w:r w:rsidR="00525766" w:rsidRPr="005B7CA4">
              <w:rPr>
                <w:rFonts w:ascii="Times New Roman" w:hAnsi="Times New Roman" w:cs="Times New Roman"/>
                <w:noProof/>
                <w:webHidden/>
              </w:rPr>
              <w:fldChar w:fldCharType="end"/>
            </w:r>
          </w:hyperlink>
        </w:p>
        <w:p w:rsidR="00E458BC" w:rsidRPr="005B7CA4" w:rsidRDefault="007B6D88">
          <w:pPr>
            <w:pStyle w:val="TOC3"/>
            <w:tabs>
              <w:tab w:val="right" w:leader="dot" w:pos="9016"/>
            </w:tabs>
            <w:rPr>
              <w:rFonts w:ascii="Times New Roman" w:hAnsi="Times New Roman" w:cs="Times New Roman"/>
              <w:noProof/>
            </w:rPr>
          </w:pPr>
          <w:hyperlink w:anchor="_Toc151001638" w:history="1">
            <w:r w:rsidR="00E458BC" w:rsidRPr="005B7CA4">
              <w:rPr>
                <w:rStyle w:val="Hyperlink"/>
                <w:rFonts w:ascii="Times New Roman" w:hAnsi="Times New Roman" w:cs="Times New Roman"/>
                <w:noProof/>
              </w:rPr>
              <w:t>Internal Communication</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_Toc151001638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5</w:t>
            </w:r>
            <w:r w:rsidR="00525766" w:rsidRPr="005B7CA4">
              <w:rPr>
                <w:rFonts w:ascii="Times New Roman" w:hAnsi="Times New Roman" w:cs="Times New Roman"/>
                <w:noProof/>
                <w:webHidden/>
              </w:rPr>
              <w:fldChar w:fldCharType="end"/>
            </w:r>
          </w:hyperlink>
        </w:p>
        <w:p w:rsidR="00E458BC" w:rsidRPr="005B7CA4" w:rsidRDefault="007B6D88">
          <w:pPr>
            <w:pStyle w:val="TOC3"/>
            <w:tabs>
              <w:tab w:val="right" w:leader="dot" w:pos="9016"/>
            </w:tabs>
            <w:rPr>
              <w:rFonts w:ascii="Times New Roman" w:hAnsi="Times New Roman" w:cs="Times New Roman"/>
              <w:noProof/>
            </w:rPr>
          </w:pPr>
          <w:hyperlink w:anchor="_Toc151001639" w:history="1">
            <w:r w:rsidR="00E458BC" w:rsidRPr="005B7CA4">
              <w:rPr>
                <w:rStyle w:val="Hyperlink"/>
                <w:rFonts w:ascii="Times New Roman" w:hAnsi="Times New Roman" w:cs="Times New Roman"/>
                <w:noProof/>
              </w:rPr>
              <w:t>Reward System</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_Toc151001639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5</w:t>
            </w:r>
            <w:r w:rsidR="00525766" w:rsidRPr="005B7CA4">
              <w:rPr>
                <w:rFonts w:ascii="Times New Roman" w:hAnsi="Times New Roman" w:cs="Times New Roman"/>
                <w:noProof/>
                <w:webHidden/>
              </w:rPr>
              <w:fldChar w:fldCharType="end"/>
            </w:r>
          </w:hyperlink>
        </w:p>
        <w:p w:rsidR="00E458BC" w:rsidRPr="005B7CA4" w:rsidRDefault="007B6D88">
          <w:pPr>
            <w:pStyle w:val="TOC3"/>
            <w:tabs>
              <w:tab w:val="right" w:leader="dot" w:pos="9016"/>
            </w:tabs>
            <w:rPr>
              <w:rFonts w:ascii="Times New Roman" w:hAnsi="Times New Roman" w:cs="Times New Roman"/>
              <w:noProof/>
            </w:rPr>
          </w:pPr>
          <w:hyperlink w:anchor="_Toc151001640" w:history="1">
            <w:r w:rsidR="00E458BC" w:rsidRPr="005B7CA4">
              <w:rPr>
                <w:rStyle w:val="Hyperlink"/>
                <w:rFonts w:ascii="Times New Roman" w:hAnsi="Times New Roman" w:cs="Times New Roman"/>
                <w:noProof/>
              </w:rPr>
              <w:t>Leadership styles</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_Toc151001640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5</w:t>
            </w:r>
            <w:r w:rsidR="00525766"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41" w:history="1">
            <w:r w:rsidR="00E458BC" w:rsidRPr="005B7CA4">
              <w:rPr>
                <w:rStyle w:val="Hyperlink"/>
                <w:rFonts w:ascii="Times New Roman" w:hAnsi="Times New Roman" w:cs="Times New Roman"/>
                <w:noProof/>
              </w:rPr>
              <w:t>Employee life cycle Stages</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_Toc151001641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6</w:t>
            </w:r>
            <w:r w:rsidR="00525766" w:rsidRPr="005B7CA4">
              <w:rPr>
                <w:rFonts w:ascii="Times New Roman" w:hAnsi="Times New Roman" w:cs="Times New Roman"/>
                <w:noProof/>
                <w:webHidden/>
              </w:rPr>
              <w:fldChar w:fldCharType="end"/>
            </w:r>
          </w:hyperlink>
        </w:p>
        <w:p w:rsidR="00E458BC" w:rsidRPr="005B7CA4" w:rsidRDefault="007B6D88">
          <w:pPr>
            <w:pStyle w:val="TOC3"/>
            <w:tabs>
              <w:tab w:val="right" w:leader="dot" w:pos="9016"/>
            </w:tabs>
            <w:rPr>
              <w:rFonts w:ascii="Times New Roman" w:hAnsi="Times New Roman" w:cs="Times New Roman"/>
              <w:noProof/>
            </w:rPr>
          </w:pPr>
          <w:hyperlink w:anchor="_Toc151001642" w:history="1">
            <w:r w:rsidR="00E458BC" w:rsidRPr="005B7CA4">
              <w:rPr>
                <w:rStyle w:val="Hyperlink"/>
                <w:rFonts w:ascii="Times New Roman" w:hAnsi="Times New Roman" w:cs="Times New Roman"/>
                <w:noProof/>
              </w:rPr>
              <w:t>Induction</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_Toc151001642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6</w:t>
            </w:r>
            <w:r w:rsidR="00525766" w:rsidRPr="005B7CA4">
              <w:rPr>
                <w:rFonts w:ascii="Times New Roman" w:hAnsi="Times New Roman" w:cs="Times New Roman"/>
                <w:noProof/>
                <w:webHidden/>
              </w:rPr>
              <w:fldChar w:fldCharType="end"/>
            </w:r>
          </w:hyperlink>
        </w:p>
        <w:p w:rsidR="00E458BC" w:rsidRPr="005B7CA4" w:rsidRDefault="007B6D88">
          <w:pPr>
            <w:pStyle w:val="TOC3"/>
            <w:tabs>
              <w:tab w:val="right" w:leader="dot" w:pos="9016"/>
            </w:tabs>
            <w:rPr>
              <w:rFonts w:ascii="Times New Roman" w:hAnsi="Times New Roman" w:cs="Times New Roman"/>
              <w:noProof/>
            </w:rPr>
          </w:pPr>
          <w:hyperlink w:anchor="_Toc151001643" w:history="1">
            <w:r w:rsidR="00E458BC" w:rsidRPr="005B7CA4">
              <w:rPr>
                <w:rStyle w:val="Hyperlink"/>
                <w:rFonts w:ascii="Times New Roman" w:hAnsi="Times New Roman" w:cs="Times New Roman"/>
                <w:noProof/>
              </w:rPr>
              <w:t>Promotion</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_Toc151001643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6</w:t>
            </w:r>
            <w:r w:rsidR="00525766" w:rsidRPr="005B7CA4">
              <w:rPr>
                <w:rFonts w:ascii="Times New Roman" w:hAnsi="Times New Roman" w:cs="Times New Roman"/>
                <w:noProof/>
                <w:webHidden/>
              </w:rPr>
              <w:fldChar w:fldCharType="end"/>
            </w:r>
          </w:hyperlink>
        </w:p>
        <w:p w:rsidR="00E458BC" w:rsidRPr="005B7CA4" w:rsidRDefault="007B6D88">
          <w:pPr>
            <w:pStyle w:val="TOC3"/>
            <w:tabs>
              <w:tab w:val="right" w:leader="dot" w:pos="9016"/>
            </w:tabs>
            <w:rPr>
              <w:rFonts w:ascii="Times New Roman" w:hAnsi="Times New Roman" w:cs="Times New Roman"/>
              <w:noProof/>
            </w:rPr>
          </w:pPr>
          <w:hyperlink w:anchor="_Toc151001644" w:history="1">
            <w:r w:rsidR="00E458BC" w:rsidRPr="005B7CA4">
              <w:rPr>
                <w:rStyle w:val="Hyperlink"/>
                <w:rFonts w:ascii="Times New Roman" w:hAnsi="Times New Roman" w:cs="Times New Roman"/>
                <w:noProof/>
              </w:rPr>
              <w:t>Retention</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_Toc151001644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7</w:t>
            </w:r>
            <w:r w:rsidR="00525766"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45" w:history="1">
            <w:r w:rsidR="00E458BC" w:rsidRPr="005B7CA4">
              <w:rPr>
                <w:rStyle w:val="Hyperlink"/>
                <w:rFonts w:ascii="Times New Roman" w:hAnsi="Times New Roman" w:cs="Times New Roman"/>
                <w:noProof/>
              </w:rPr>
              <w:t>Team Engagement Examples</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_Toc151001645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7</w:t>
            </w:r>
            <w:r w:rsidR="00525766"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46" w:history="1">
            <w:r w:rsidR="00E458BC" w:rsidRPr="005B7CA4">
              <w:rPr>
                <w:rStyle w:val="Hyperlink"/>
                <w:rFonts w:ascii="Times New Roman" w:hAnsi="Times New Roman" w:cs="Times New Roman"/>
                <w:noProof/>
              </w:rPr>
              <w:t>Aon Hewitt’s Model of Employee Engagement</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_Toc151001646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7</w:t>
            </w:r>
            <w:r w:rsidR="00525766" w:rsidRPr="005B7CA4">
              <w:rPr>
                <w:rFonts w:ascii="Times New Roman" w:hAnsi="Times New Roman" w:cs="Times New Roman"/>
                <w:noProof/>
                <w:webHidden/>
              </w:rPr>
              <w:fldChar w:fldCharType="end"/>
            </w:r>
          </w:hyperlink>
        </w:p>
        <w:p w:rsidR="00E458BC" w:rsidRPr="005B7CA4" w:rsidRDefault="007B6D88">
          <w:pPr>
            <w:pStyle w:val="TOC2"/>
            <w:tabs>
              <w:tab w:val="right" w:leader="dot" w:pos="9016"/>
            </w:tabs>
            <w:rPr>
              <w:rFonts w:ascii="Times New Roman" w:eastAsiaTheme="minorEastAsia" w:hAnsi="Times New Roman" w:cs="Times New Roman"/>
              <w:noProof/>
              <w:sz w:val="22"/>
              <w:lang w:eastAsia="en-GB"/>
            </w:rPr>
          </w:pPr>
          <w:hyperlink w:anchor="_Toc151001647" w:history="1">
            <w:r w:rsidR="00E458BC" w:rsidRPr="005B7CA4">
              <w:rPr>
                <w:rStyle w:val="Hyperlink"/>
                <w:rFonts w:ascii="Times New Roman" w:hAnsi="Times New Roman" w:cs="Times New Roman"/>
                <w:noProof/>
              </w:rPr>
              <w:t>Examples from Industry</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_Toc151001647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8</w:t>
            </w:r>
            <w:r w:rsidR="00525766" w:rsidRPr="005B7CA4">
              <w:rPr>
                <w:rFonts w:ascii="Times New Roman" w:hAnsi="Times New Roman" w:cs="Times New Roman"/>
                <w:noProof/>
                <w:webHidden/>
              </w:rPr>
              <w:fldChar w:fldCharType="end"/>
            </w:r>
          </w:hyperlink>
        </w:p>
        <w:p w:rsidR="00E458BC" w:rsidRPr="005B7CA4" w:rsidRDefault="007B6D88">
          <w:pPr>
            <w:pStyle w:val="TOC1"/>
            <w:tabs>
              <w:tab w:val="right" w:leader="dot" w:pos="9016"/>
            </w:tabs>
            <w:rPr>
              <w:rFonts w:ascii="Times New Roman" w:eastAsiaTheme="minorEastAsia" w:hAnsi="Times New Roman" w:cs="Times New Roman"/>
              <w:noProof/>
              <w:sz w:val="22"/>
              <w:lang w:eastAsia="en-GB"/>
            </w:rPr>
          </w:pPr>
          <w:hyperlink w:anchor="_Toc151001648" w:history="1">
            <w:r w:rsidR="00E458BC" w:rsidRPr="005B7CA4">
              <w:rPr>
                <w:rStyle w:val="Hyperlink"/>
                <w:rFonts w:ascii="Times New Roman" w:hAnsi="Times New Roman" w:cs="Times New Roman"/>
                <w:noProof/>
              </w:rPr>
              <w:t>Conclusion</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_Toc151001648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9</w:t>
            </w:r>
            <w:r w:rsidR="00525766" w:rsidRPr="005B7CA4">
              <w:rPr>
                <w:rFonts w:ascii="Times New Roman" w:hAnsi="Times New Roman" w:cs="Times New Roman"/>
                <w:noProof/>
                <w:webHidden/>
              </w:rPr>
              <w:fldChar w:fldCharType="end"/>
            </w:r>
          </w:hyperlink>
        </w:p>
        <w:p w:rsidR="00E458BC" w:rsidRPr="005B7CA4" w:rsidRDefault="007B6D88">
          <w:pPr>
            <w:pStyle w:val="TOC1"/>
            <w:tabs>
              <w:tab w:val="right" w:leader="dot" w:pos="9016"/>
            </w:tabs>
            <w:rPr>
              <w:rFonts w:ascii="Times New Roman" w:eastAsiaTheme="minorEastAsia" w:hAnsi="Times New Roman" w:cs="Times New Roman"/>
              <w:noProof/>
              <w:sz w:val="22"/>
              <w:lang w:eastAsia="en-GB"/>
            </w:rPr>
          </w:pPr>
          <w:hyperlink w:anchor="_Toc151001649" w:history="1">
            <w:r w:rsidR="00E458BC" w:rsidRPr="005B7CA4">
              <w:rPr>
                <w:rStyle w:val="Hyperlink"/>
                <w:rFonts w:ascii="Times New Roman" w:hAnsi="Times New Roman" w:cs="Times New Roman"/>
                <w:noProof/>
              </w:rPr>
              <w:t>References</w:t>
            </w:r>
            <w:r w:rsidR="00E458BC" w:rsidRPr="005B7CA4">
              <w:rPr>
                <w:rFonts w:ascii="Times New Roman" w:hAnsi="Times New Roman" w:cs="Times New Roman"/>
                <w:noProof/>
                <w:webHidden/>
              </w:rPr>
              <w:tab/>
            </w:r>
            <w:r w:rsidR="00525766" w:rsidRPr="005B7CA4">
              <w:rPr>
                <w:rFonts w:ascii="Times New Roman" w:hAnsi="Times New Roman" w:cs="Times New Roman"/>
                <w:noProof/>
                <w:webHidden/>
              </w:rPr>
              <w:fldChar w:fldCharType="begin"/>
            </w:r>
            <w:r w:rsidR="00E458BC" w:rsidRPr="005B7CA4">
              <w:rPr>
                <w:rFonts w:ascii="Times New Roman" w:hAnsi="Times New Roman" w:cs="Times New Roman"/>
                <w:noProof/>
                <w:webHidden/>
              </w:rPr>
              <w:instrText xml:space="preserve"> PAGEREF _Toc151001649 \h </w:instrText>
            </w:r>
            <w:r w:rsidR="00525766" w:rsidRPr="005B7CA4">
              <w:rPr>
                <w:rFonts w:ascii="Times New Roman" w:hAnsi="Times New Roman" w:cs="Times New Roman"/>
                <w:noProof/>
                <w:webHidden/>
              </w:rPr>
            </w:r>
            <w:r w:rsidR="00525766" w:rsidRPr="005B7CA4">
              <w:rPr>
                <w:rFonts w:ascii="Times New Roman" w:hAnsi="Times New Roman" w:cs="Times New Roman"/>
                <w:noProof/>
                <w:webHidden/>
              </w:rPr>
              <w:fldChar w:fldCharType="separate"/>
            </w:r>
            <w:r w:rsidR="00E458BC" w:rsidRPr="005B7CA4">
              <w:rPr>
                <w:rFonts w:ascii="Times New Roman" w:hAnsi="Times New Roman" w:cs="Times New Roman"/>
                <w:noProof/>
                <w:webHidden/>
              </w:rPr>
              <w:t>10</w:t>
            </w:r>
            <w:r w:rsidR="00525766" w:rsidRPr="005B7CA4">
              <w:rPr>
                <w:rFonts w:ascii="Times New Roman" w:hAnsi="Times New Roman" w:cs="Times New Roman"/>
                <w:noProof/>
                <w:webHidden/>
              </w:rPr>
              <w:fldChar w:fldCharType="end"/>
            </w:r>
          </w:hyperlink>
        </w:p>
        <w:p w:rsidR="00EC2397" w:rsidRPr="005B7CA4" w:rsidRDefault="00525766">
          <w:pPr>
            <w:rPr>
              <w:rFonts w:ascii="Times New Roman" w:hAnsi="Times New Roman" w:cs="Times New Roman"/>
            </w:rPr>
          </w:pPr>
          <w:r w:rsidRPr="005B7CA4">
            <w:rPr>
              <w:rFonts w:ascii="Times New Roman" w:hAnsi="Times New Roman" w:cs="Times New Roman"/>
              <w:b/>
              <w:bCs/>
              <w:noProof/>
            </w:rPr>
            <w:fldChar w:fldCharType="end"/>
          </w:r>
        </w:p>
      </w:sdtContent>
    </w:sdt>
    <w:p w:rsidR="00EC2397" w:rsidRPr="005B7CA4" w:rsidRDefault="00EC2397" w:rsidP="00EC2397">
      <w:pPr>
        <w:pStyle w:val="Heading1"/>
        <w:rPr>
          <w:rFonts w:ascii="Times New Roman" w:hAnsi="Times New Roman" w:cs="Times New Roman"/>
        </w:rPr>
      </w:pPr>
    </w:p>
    <w:p w:rsidR="009F4F0E" w:rsidRPr="005B7CA4" w:rsidRDefault="009F4F0E" w:rsidP="009F4F0E">
      <w:pPr>
        <w:rPr>
          <w:rFonts w:ascii="Times New Roman" w:hAnsi="Times New Roman" w:cs="Times New Roman"/>
        </w:rPr>
      </w:pPr>
    </w:p>
    <w:p w:rsidR="009F4F0E" w:rsidRPr="005B7CA4" w:rsidRDefault="009F4F0E" w:rsidP="009F4F0E">
      <w:pPr>
        <w:rPr>
          <w:rFonts w:ascii="Times New Roman" w:hAnsi="Times New Roman" w:cs="Times New Roman"/>
        </w:rPr>
      </w:pPr>
    </w:p>
    <w:p w:rsidR="009F4F0E" w:rsidRPr="005B7CA4" w:rsidRDefault="009F4F0E" w:rsidP="009F4F0E">
      <w:pPr>
        <w:rPr>
          <w:rFonts w:ascii="Times New Roman" w:hAnsi="Times New Roman" w:cs="Times New Roman"/>
        </w:rPr>
      </w:pPr>
    </w:p>
    <w:p w:rsidR="009F4F0E" w:rsidRPr="005B7CA4" w:rsidRDefault="009F4F0E" w:rsidP="009F4F0E">
      <w:pPr>
        <w:rPr>
          <w:rFonts w:ascii="Times New Roman" w:hAnsi="Times New Roman" w:cs="Times New Roman"/>
        </w:rPr>
      </w:pPr>
    </w:p>
    <w:p w:rsidR="009F4F0E" w:rsidRPr="005B7CA4" w:rsidRDefault="009F4F0E" w:rsidP="009F4F0E">
      <w:pPr>
        <w:rPr>
          <w:rFonts w:ascii="Times New Roman" w:hAnsi="Times New Roman" w:cs="Times New Roman"/>
        </w:rPr>
      </w:pPr>
    </w:p>
    <w:p w:rsidR="009F4F0E" w:rsidRPr="005B7CA4" w:rsidRDefault="009F4F0E" w:rsidP="009F4F0E">
      <w:pPr>
        <w:rPr>
          <w:rFonts w:ascii="Times New Roman" w:hAnsi="Times New Roman" w:cs="Times New Roman"/>
        </w:rPr>
      </w:pPr>
    </w:p>
    <w:p w:rsidR="009F4F0E" w:rsidRPr="005B7CA4" w:rsidRDefault="009F4F0E" w:rsidP="00E458BC">
      <w:pPr>
        <w:ind w:firstLine="0"/>
        <w:rPr>
          <w:rFonts w:ascii="Times New Roman" w:hAnsi="Times New Roman" w:cs="Times New Roman"/>
        </w:rPr>
      </w:pPr>
    </w:p>
    <w:p w:rsidR="00EC2397" w:rsidRPr="008B17A1" w:rsidRDefault="00EC2397" w:rsidP="008B17A1">
      <w:pPr>
        <w:pStyle w:val="Heading1"/>
        <w:ind w:firstLine="0"/>
        <w:jc w:val="both"/>
        <w:rPr>
          <w:rFonts w:ascii="Times New Roman" w:hAnsi="Times New Roman" w:cs="Times New Roman"/>
          <w:i/>
        </w:rPr>
      </w:pPr>
      <w:bookmarkStart w:id="0" w:name="_Toc151001634"/>
      <w:r w:rsidRPr="008B17A1">
        <w:rPr>
          <w:rFonts w:ascii="Times New Roman" w:hAnsi="Times New Roman" w:cs="Times New Roman"/>
          <w:i/>
        </w:rPr>
        <w:lastRenderedPageBreak/>
        <w:t>Introduction</w:t>
      </w:r>
      <w:bookmarkEnd w:id="0"/>
    </w:p>
    <w:p w:rsidR="00EC2397" w:rsidRPr="005B7CA4" w:rsidRDefault="00EC2397" w:rsidP="008B17A1">
      <w:pPr>
        <w:ind w:firstLine="0"/>
        <w:rPr>
          <w:rFonts w:ascii="Times New Roman" w:hAnsi="Times New Roman" w:cs="Times New Roman"/>
        </w:rPr>
      </w:pPr>
      <w:r w:rsidRPr="005B7CA4">
        <w:rPr>
          <w:rFonts w:ascii="Times New Roman" w:hAnsi="Times New Roman" w:cs="Times New Roman"/>
        </w:rPr>
        <w:t xml:space="preserve">Employee engagement is a pivotal component within the realm of human resources, exerting a significant influence on the efficiency, well-being, and sense of satisfaction experienced by employees. Employee engagement refers to the extent to which employees are actively involved and connected with corporate information, policies, and direct communication with the Human Resources department. Organizations with engaged workforces tend to exhibit superior performance compared to those with disengaged workforces, resulting in heightened levels </w:t>
      </w:r>
      <w:r w:rsidR="009F4F0E" w:rsidRPr="005B7CA4">
        <w:rPr>
          <w:rFonts w:ascii="Times New Roman" w:hAnsi="Times New Roman" w:cs="Times New Roman"/>
        </w:rPr>
        <w:t>of production and profitability</w:t>
      </w:r>
      <w:r w:rsidRPr="005B7CA4">
        <w:rPr>
          <w:rFonts w:ascii="Times New Roman" w:hAnsi="Times New Roman" w:cs="Times New Roman"/>
        </w:rPr>
        <w:t xml:space="preserve">. This, in turn, can contribute to enhanced customer ratings and increased sales. Increased levels of employee engagement are associated with elevated levels of employee satisfaction, which in turn contribute to enhanced employee retention rates and reduced staff turnover. </w:t>
      </w:r>
      <w:r w:rsidR="00E458BC" w:rsidRPr="005B7CA4">
        <w:rPr>
          <w:rFonts w:ascii="Times New Roman" w:hAnsi="Times New Roman" w:cs="Times New Roman"/>
        </w:rPr>
        <w:t>HR</w:t>
      </w:r>
      <w:r w:rsidRPr="005B7CA4">
        <w:rPr>
          <w:rFonts w:ascii="Times New Roman" w:hAnsi="Times New Roman" w:cs="Times New Roman"/>
        </w:rPr>
        <w:t xml:space="preserve"> plays a pivotal role in fostering a highly engaged workforce by facilitating employers' comprehension of the factors that drive employee engagement and optimizing the associated advantages.</w:t>
      </w:r>
    </w:p>
    <w:p w:rsidR="00EC2397" w:rsidRPr="005B7CA4" w:rsidRDefault="00EC2397" w:rsidP="008B17A1">
      <w:pPr>
        <w:ind w:firstLine="0"/>
        <w:rPr>
          <w:rFonts w:ascii="Times New Roman" w:hAnsi="Times New Roman" w:cs="Times New Roman"/>
        </w:rPr>
      </w:pPr>
      <w:r w:rsidRPr="005B7CA4">
        <w:rPr>
          <w:rFonts w:ascii="Times New Roman" w:hAnsi="Times New Roman" w:cs="Times New Roman"/>
        </w:rPr>
        <w:t xml:space="preserve">This essay examines the significant role played by the </w:t>
      </w:r>
      <w:r w:rsidR="00E458BC" w:rsidRPr="005B7CA4">
        <w:rPr>
          <w:rFonts w:ascii="Times New Roman" w:hAnsi="Times New Roman" w:cs="Times New Roman"/>
        </w:rPr>
        <w:t>HR</w:t>
      </w:r>
      <w:r w:rsidRPr="005B7CA4">
        <w:rPr>
          <w:rFonts w:ascii="Times New Roman" w:hAnsi="Times New Roman" w:cs="Times New Roman"/>
        </w:rPr>
        <w:t xml:space="preserve"> department in big hotel establishments. It explores the complex tactics and interventions required to address employee disengagement at various phases of the employee lifecycle in changing field of hospitality, through an analysis of HR's impact on recruitment, </w:t>
      </w:r>
      <w:r w:rsidR="009F4F0E" w:rsidRPr="005B7CA4">
        <w:rPr>
          <w:rFonts w:ascii="Times New Roman" w:hAnsi="Times New Roman" w:cs="Times New Roman"/>
        </w:rPr>
        <w:t>on boarding</w:t>
      </w:r>
      <w:r w:rsidRPr="005B7CA4">
        <w:rPr>
          <w:rFonts w:ascii="Times New Roman" w:hAnsi="Times New Roman" w:cs="Times New Roman"/>
        </w:rPr>
        <w:t>, development, retention, and separation management.</w:t>
      </w:r>
      <w:r w:rsidR="009F4F0E" w:rsidRPr="005B7CA4">
        <w:rPr>
          <w:rFonts w:ascii="Times New Roman" w:hAnsi="Times New Roman" w:cs="Times New Roman"/>
        </w:rPr>
        <w:t xml:space="preserve"> X2 references</w:t>
      </w:r>
    </w:p>
    <w:p w:rsidR="008B17A1" w:rsidRDefault="008B17A1" w:rsidP="008B17A1">
      <w:pPr>
        <w:pStyle w:val="Heading2"/>
        <w:ind w:firstLine="0"/>
        <w:rPr>
          <w:rFonts w:ascii="Times New Roman" w:hAnsi="Times New Roman" w:cs="Times New Roman"/>
        </w:rPr>
      </w:pPr>
      <w:bookmarkStart w:id="1" w:name="_Toc151001635"/>
    </w:p>
    <w:p w:rsidR="009F4F0E" w:rsidRPr="008B17A1" w:rsidRDefault="009F4F0E" w:rsidP="008B17A1">
      <w:pPr>
        <w:pStyle w:val="Heading2"/>
        <w:ind w:firstLine="0"/>
        <w:rPr>
          <w:rFonts w:ascii="Times New Roman" w:hAnsi="Times New Roman" w:cs="Times New Roman"/>
          <w:i/>
        </w:rPr>
      </w:pPr>
      <w:r w:rsidRPr="008B17A1">
        <w:rPr>
          <w:rFonts w:ascii="Times New Roman" w:hAnsi="Times New Roman" w:cs="Times New Roman"/>
          <w:i/>
        </w:rPr>
        <w:t>Role of H</w:t>
      </w:r>
      <w:r w:rsidR="00E458BC" w:rsidRPr="008B17A1">
        <w:rPr>
          <w:rFonts w:ascii="Times New Roman" w:hAnsi="Times New Roman" w:cs="Times New Roman"/>
          <w:i/>
        </w:rPr>
        <w:t xml:space="preserve">uman </w:t>
      </w:r>
      <w:r w:rsidRPr="008B17A1">
        <w:rPr>
          <w:rFonts w:ascii="Times New Roman" w:hAnsi="Times New Roman" w:cs="Times New Roman"/>
          <w:i/>
        </w:rPr>
        <w:t>R</w:t>
      </w:r>
      <w:r w:rsidR="00E458BC" w:rsidRPr="008B17A1">
        <w:rPr>
          <w:rFonts w:ascii="Times New Roman" w:hAnsi="Times New Roman" w:cs="Times New Roman"/>
          <w:i/>
        </w:rPr>
        <w:t>esource</w:t>
      </w:r>
      <w:r w:rsidRPr="008B17A1">
        <w:rPr>
          <w:rFonts w:ascii="Times New Roman" w:hAnsi="Times New Roman" w:cs="Times New Roman"/>
          <w:i/>
        </w:rPr>
        <w:t xml:space="preserve"> in Employee Engagement</w:t>
      </w:r>
      <w:bookmarkEnd w:id="1"/>
    </w:p>
    <w:p w:rsidR="00A83129" w:rsidRPr="005B7CA4" w:rsidRDefault="00E458BC" w:rsidP="008B17A1">
      <w:pPr>
        <w:ind w:firstLine="0"/>
        <w:rPr>
          <w:rFonts w:ascii="Times New Roman" w:hAnsi="Times New Roman" w:cs="Times New Roman"/>
        </w:rPr>
      </w:pPr>
      <w:r w:rsidRPr="005B7CA4">
        <w:rPr>
          <w:rFonts w:ascii="Times New Roman" w:hAnsi="Times New Roman" w:cs="Times New Roman"/>
        </w:rPr>
        <w:t>HR</w:t>
      </w:r>
      <w:r w:rsidR="00A83129" w:rsidRPr="005B7CA4">
        <w:rPr>
          <w:rFonts w:ascii="Times New Roman" w:hAnsi="Times New Roman" w:cs="Times New Roman"/>
        </w:rPr>
        <w:t xml:space="preserve"> teams play a crucial role in developing employee engagement strategies for organizations, especially in the dynamic and employee-focused hospitality sector. Their duties encompass diverse phases of the employee lifecycle, and each is essential in establishing and maintaining an environment that promotes active participation.Employee engagement requires training and development to assist employers learn job-related skills. Khan and Altaf (2015) discovered a substantial association between employee engagement and training and development, whereas Tahir, Yousafzai, Jan, and Hashim (2014) identified a link between training and productivity. Rashid, Asad, and Ashraf (2011) examined employee engagement and organizational and personal performance in Pakistani banks.</w:t>
      </w:r>
    </w:p>
    <w:p w:rsidR="00C33E9D" w:rsidRPr="005B7CA4" w:rsidRDefault="00C33E9D" w:rsidP="008B17A1">
      <w:pPr>
        <w:ind w:firstLine="0"/>
        <w:rPr>
          <w:rFonts w:ascii="Times New Roman" w:hAnsi="Times New Roman" w:cs="Times New Roman"/>
        </w:rPr>
      </w:pPr>
      <w:r w:rsidRPr="005B7CA4">
        <w:rPr>
          <w:rFonts w:ascii="Times New Roman" w:hAnsi="Times New Roman" w:cs="Times New Roman"/>
        </w:rPr>
        <w:t xml:space="preserve">By ensuring that employee roles and expectations are in line with the organization's objectives and values, HR plays a vital role in fostering employee engagement. By ensuring that human resources policies, practices, and initiatives align with the mission, vision, and </w:t>
      </w:r>
      <w:r w:rsidRPr="005B7CA4">
        <w:rPr>
          <w:rFonts w:ascii="Times New Roman" w:hAnsi="Times New Roman" w:cs="Times New Roman"/>
        </w:rPr>
        <w:lastRenderedPageBreak/>
        <w:t xml:space="preserve">culture of the organization, they instill in employees a </w:t>
      </w:r>
      <w:r w:rsidR="00E458BC" w:rsidRPr="005B7CA4">
        <w:rPr>
          <w:rFonts w:ascii="Times New Roman" w:hAnsi="Times New Roman" w:cs="Times New Roman"/>
        </w:rPr>
        <w:t>sense of direction and purpose. HR</w:t>
      </w:r>
      <w:r w:rsidRPr="005B7CA4">
        <w:rPr>
          <w:rFonts w:ascii="Times New Roman" w:hAnsi="Times New Roman" w:cs="Times New Roman"/>
        </w:rPr>
        <w:t xml:space="preserve"> endeavors to recruit candidates who not only possess the necessary skills but also demonstrate a compatibility with the organizational culture. An effectively organized induction procedure fosters a heightened sense of affiliation and dedication among recently recruited personnel.</w:t>
      </w:r>
    </w:p>
    <w:p w:rsidR="00C33E9D" w:rsidRPr="005B7CA4" w:rsidRDefault="00E458BC" w:rsidP="008B17A1">
      <w:pPr>
        <w:ind w:firstLine="0"/>
        <w:rPr>
          <w:rFonts w:ascii="Times New Roman" w:hAnsi="Times New Roman" w:cs="Times New Roman"/>
        </w:rPr>
      </w:pPr>
      <w:r w:rsidRPr="005B7CA4">
        <w:rPr>
          <w:rFonts w:ascii="Times New Roman" w:hAnsi="Times New Roman" w:cs="Times New Roman"/>
        </w:rPr>
        <w:t>HR</w:t>
      </w:r>
      <w:r w:rsidR="00C33E9D" w:rsidRPr="005B7CA4">
        <w:rPr>
          <w:rFonts w:ascii="Times New Roman" w:hAnsi="Times New Roman" w:cs="Times New Roman"/>
        </w:rPr>
        <w:t xml:space="preserve"> is responsible for the design and implementation of training and development initiatives that improve the skills and competencies of employees, thereby demonstrating the organization's commitment to their achievement. In order to implement performance management systems and feedback mechanisms that are routinely assessed, organizations cultivate an environment that promotes ongoing enhancement</w:t>
      </w:r>
      <w:r w:rsidR="001300ED">
        <w:rPr>
          <w:rFonts w:ascii="Times New Roman" w:hAnsi="Times New Roman" w:cs="Times New Roman"/>
        </w:rPr>
        <w:t xml:space="preserve"> </w:t>
      </w:r>
      <w:r w:rsidR="00924C6A" w:rsidRPr="005B7CA4">
        <w:rPr>
          <w:rFonts w:ascii="Times New Roman" w:hAnsi="Times New Roman" w:cs="Times New Roman"/>
        </w:rPr>
        <w:t>(Salas‐Vallina, Alegre &amp; López‐Cabrales 2020)</w:t>
      </w:r>
      <w:r w:rsidR="00C33E9D" w:rsidRPr="005B7CA4">
        <w:rPr>
          <w:rFonts w:ascii="Times New Roman" w:hAnsi="Times New Roman" w:cs="Times New Roman"/>
        </w:rPr>
        <w:t>. The purpose of recognition and rewards programs is to honor the accomplishments of employees and foster a culture of gratitude, thereby increasing employee morale and engagement.</w:t>
      </w:r>
    </w:p>
    <w:p w:rsidR="00C33E9D" w:rsidRPr="005B7CA4" w:rsidRDefault="00C33E9D" w:rsidP="001300ED">
      <w:pPr>
        <w:ind w:firstLine="0"/>
        <w:rPr>
          <w:rFonts w:ascii="Times New Roman" w:hAnsi="Times New Roman" w:cs="Times New Roman"/>
        </w:rPr>
      </w:pPr>
      <w:r w:rsidRPr="005B7CA4">
        <w:rPr>
          <w:rFonts w:ascii="Times New Roman" w:hAnsi="Times New Roman" w:cs="Times New Roman"/>
        </w:rPr>
        <w:t xml:space="preserve">Human resources initiatives frequently introduce wellness programs, flexible work arrangements, and initiatives that address the physical and mental health requirements of employees in an effort to promote work-life balance and employee well-being. </w:t>
      </w:r>
      <w:r w:rsidR="00E458BC" w:rsidRPr="005B7CA4">
        <w:rPr>
          <w:rFonts w:ascii="Times New Roman" w:hAnsi="Times New Roman" w:cs="Times New Roman"/>
        </w:rPr>
        <w:t>HR</w:t>
      </w:r>
      <w:r w:rsidRPr="005B7CA4">
        <w:rPr>
          <w:rFonts w:ascii="Times New Roman" w:hAnsi="Times New Roman" w:cs="Times New Roman"/>
        </w:rPr>
        <w:t xml:space="preserve"> plays a critical role in conflict resolution and employee advocacy by ensuring equitable and impartial resolutions and championing the rights of employees.To retain top talent, retention strategies are formulated and executed with the intention of identifying and proactively addressing factors that contribute to employee attrition. This process improves employee engagement and decreases attrition rates.</w:t>
      </w:r>
    </w:p>
    <w:p w:rsidR="009F4F0E" w:rsidRPr="001300ED" w:rsidRDefault="009F4F0E" w:rsidP="001300ED">
      <w:pPr>
        <w:pStyle w:val="Heading2"/>
        <w:ind w:firstLine="0"/>
        <w:rPr>
          <w:rFonts w:ascii="Times New Roman" w:hAnsi="Times New Roman" w:cs="Times New Roman"/>
          <w:i/>
        </w:rPr>
      </w:pPr>
      <w:bookmarkStart w:id="2" w:name="_Toc151001636"/>
      <w:r w:rsidRPr="001300ED">
        <w:rPr>
          <w:rFonts w:ascii="Times New Roman" w:hAnsi="Times New Roman" w:cs="Times New Roman"/>
          <w:i/>
        </w:rPr>
        <w:t>Advantages of Engaging team</w:t>
      </w:r>
      <w:bookmarkEnd w:id="2"/>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Employee engagement is widely recognized for the beneficial effects it has on organizations. It is hypothesized to be associated with the attitudes, intentions, and behaviors of individuals. According to research conducted by Kahn (1990) and</w:t>
      </w:r>
      <w:r w:rsidR="001300ED">
        <w:rPr>
          <w:rFonts w:ascii="Times New Roman" w:hAnsi="Times New Roman" w:cs="Times New Roman"/>
        </w:rPr>
        <w:t xml:space="preserve"> </w:t>
      </w:r>
      <w:r w:rsidR="00924C6A" w:rsidRPr="005B7CA4">
        <w:rPr>
          <w:rFonts w:ascii="Times New Roman" w:hAnsi="Times New Roman" w:cs="Times New Roman"/>
        </w:rPr>
        <w:t xml:space="preserve">Karatepe, Rezapouraghdam &amp; Hassannia (2020), </w:t>
      </w:r>
      <w:r w:rsidRPr="005B7CA4">
        <w:rPr>
          <w:rFonts w:ascii="Times New Roman" w:hAnsi="Times New Roman" w:cs="Times New Roman"/>
        </w:rPr>
        <w:t xml:space="preserve">engagement influences organizational and individual outcomes, including work quality and productivity. According to the paradigm of </w:t>
      </w:r>
      <w:r w:rsidR="00924C6A" w:rsidRPr="005B7CA4">
        <w:rPr>
          <w:rFonts w:ascii="Times New Roman" w:hAnsi="Times New Roman" w:cs="Times New Roman"/>
        </w:rPr>
        <w:t>(Karatepe, Rezapouraghdam &amp; Hassannia 2020)</w:t>
      </w:r>
      <w:r w:rsidRPr="005B7CA4">
        <w:rPr>
          <w:rFonts w:ascii="Times New Roman" w:hAnsi="Times New Roman" w:cs="Times New Roman"/>
        </w:rPr>
        <w:t>, engagement acts as a mediator in the connection between work conditions and a range of outcomes, including exhaustion. A positive affective state known as employment satisfaction is elicited when individuals evaluate their professional experiences. Anxiety and cognition are emphasized in Locke's definition. It is anticipated that engagement will have an impact on work outcomes, given that it entails a gratifying and optimistic work-</w:t>
      </w:r>
      <w:r w:rsidRPr="005B7CA4">
        <w:rPr>
          <w:rFonts w:ascii="Times New Roman" w:hAnsi="Times New Roman" w:cs="Times New Roman"/>
        </w:rPr>
        <w:lastRenderedPageBreak/>
        <w:t>related mindset and experience, which is associated with favorable physical well-being and constructive work emotions.</w:t>
      </w:r>
    </w:p>
    <w:p w:rsidR="009F4F0E" w:rsidRPr="001300ED" w:rsidRDefault="009F4F0E" w:rsidP="001300ED">
      <w:pPr>
        <w:pStyle w:val="Heading2"/>
        <w:ind w:firstLine="0"/>
        <w:rPr>
          <w:rFonts w:ascii="Times New Roman" w:hAnsi="Times New Roman" w:cs="Times New Roman"/>
          <w:i/>
        </w:rPr>
      </w:pPr>
      <w:bookmarkStart w:id="3" w:name="_Toc151001637"/>
      <w:r w:rsidRPr="001300ED">
        <w:rPr>
          <w:rFonts w:ascii="Times New Roman" w:hAnsi="Times New Roman" w:cs="Times New Roman"/>
          <w:i/>
        </w:rPr>
        <w:t>Strategies to Engage Employees</w:t>
      </w:r>
      <w:bookmarkEnd w:id="3"/>
    </w:p>
    <w:p w:rsidR="00C33E9D" w:rsidRPr="001300ED" w:rsidRDefault="00C33E9D" w:rsidP="001300ED">
      <w:pPr>
        <w:pStyle w:val="Heading3"/>
        <w:ind w:firstLine="0"/>
        <w:rPr>
          <w:rFonts w:ascii="Times New Roman" w:hAnsi="Times New Roman" w:cs="Times New Roman"/>
          <w:i/>
        </w:rPr>
      </w:pPr>
      <w:bookmarkStart w:id="4" w:name="_Toc151001638"/>
      <w:r w:rsidRPr="001300ED">
        <w:rPr>
          <w:rFonts w:ascii="Times New Roman" w:hAnsi="Times New Roman" w:cs="Times New Roman"/>
          <w:i/>
        </w:rPr>
        <w:t>Internal Communication</w:t>
      </w:r>
      <w:bookmarkEnd w:id="4"/>
    </w:p>
    <w:p w:rsidR="00C33E9D" w:rsidRPr="005B7CA4" w:rsidRDefault="00C33E9D" w:rsidP="001300ED">
      <w:pPr>
        <w:ind w:firstLine="0"/>
        <w:rPr>
          <w:rFonts w:ascii="Times New Roman" w:hAnsi="Times New Roman" w:cs="Times New Roman"/>
        </w:rPr>
      </w:pPr>
      <w:r w:rsidRPr="005B7CA4">
        <w:rPr>
          <w:rFonts w:ascii="Times New Roman" w:hAnsi="Times New Roman" w:cs="Times New Roman"/>
        </w:rPr>
        <w:t xml:space="preserve">Employee engagement also depends on internal communication, which builds trust and community. </w:t>
      </w:r>
      <w:r w:rsidR="00924C6A" w:rsidRPr="005B7CA4">
        <w:rPr>
          <w:rFonts w:ascii="Times New Roman" w:hAnsi="Times New Roman" w:cs="Times New Roman"/>
        </w:rPr>
        <w:t>(Karatepe, Rezapouraghdam &amp; Hassannia 2020)</w:t>
      </w:r>
      <w:r w:rsidRPr="005B7CA4">
        <w:rPr>
          <w:rFonts w:ascii="Times New Roman" w:hAnsi="Times New Roman" w:cs="Times New Roman"/>
        </w:rPr>
        <w:t xml:space="preserve">examined how organizational and communication characteristics affect employee engagement in Indian commercial banks. </w:t>
      </w:r>
      <w:r w:rsidR="00924C6A" w:rsidRPr="005B7CA4">
        <w:rPr>
          <w:rFonts w:ascii="Times New Roman" w:hAnsi="Times New Roman" w:cs="Times New Roman"/>
        </w:rPr>
        <w:t>(Nikolova, Schaufeli &amp; Notelaers 2019)</w:t>
      </w:r>
      <w:r w:rsidRPr="005B7CA4">
        <w:rPr>
          <w:rFonts w:ascii="Times New Roman" w:hAnsi="Times New Roman" w:cs="Times New Roman"/>
        </w:rPr>
        <w:t>found that internal communication increases employee engagement.</w:t>
      </w:r>
    </w:p>
    <w:p w:rsidR="00C33E9D" w:rsidRPr="001300ED" w:rsidRDefault="00C33E9D" w:rsidP="001300ED">
      <w:pPr>
        <w:pStyle w:val="Heading3"/>
        <w:ind w:firstLine="0"/>
        <w:rPr>
          <w:rFonts w:ascii="Times New Roman" w:hAnsi="Times New Roman" w:cs="Times New Roman"/>
          <w:i/>
        </w:rPr>
      </w:pPr>
      <w:bookmarkStart w:id="5" w:name="_Toc151001639"/>
      <w:r w:rsidRPr="001300ED">
        <w:rPr>
          <w:rFonts w:ascii="Times New Roman" w:hAnsi="Times New Roman" w:cs="Times New Roman"/>
          <w:i/>
        </w:rPr>
        <w:t>Reward System</w:t>
      </w:r>
      <w:bookmarkEnd w:id="5"/>
    </w:p>
    <w:p w:rsidR="00C33E9D" w:rsidRPr="005B7CA4" w:rsidRDefault="00C33E9D" w:rsidP="001300ED">
      <w:pPr>
        <w:ind w:firstLine="0"/>
        <w:rPr>
          <w:rFonts w:ascii="Times New Roman" w:hAnsi="Times New Roman" w:cs="Times New Roman"/>
        </w:rPr>
      </w:pPr>
      <w:r w:rsidRPr="005B7CA4">
        <w:rPr>
          <w:rFonts w:ascii="Times New Roman" w:hAnsi="Times New Roman" w:cs="Times New Roman"/>
        </w:rPr>
        <w:t xml:space="preserve">Rewards systems encourage, excite, interest, and align employees with the company's aims. </w:t>
      </w:r>
      <w:r w:rsidR="00924C6A" w:rsidRPr="005B7CA4">
        <w:rPr>
          <w:rFonts w:ascii="Times New Roman" w:hAnsi="Times New Roman" w:cs="Times New Roman"/>
        </w:rPr>
        <w:t>Nikolova, Schaufeli &amp; Notelaers (2019)</w:t>
      </w:r>
      <w:r w:rsidRPr="005B7CA4">
        <w:rPr>
          <w:rFonts w:ascii="Times New Roman" w:hAnsi="Times New Roman" w:cs="Times New Roman"/>
        </w:rPr>
        <w:t xml:space="preserve">explored how psychological empowerment, perceived organization support, and incentive system affect employee happiness via engagement. </w:t>
      </w:r>
      <w:r w:rsidR="00924C6A" w:rsidRPr="005B7CA4">
        <w:rPr>
          <w:rFonts w:ascii="Times New Roman" w:hAnsi="Times New Roman" w:cs="Times New Roman"/>
        </w:rPr>
        <w:t xml:space="preserve">Budriene and Diskiene (2020) </w:t>
      </w:r>
      <w:r w:rsidRPr="005B7CA4">
        <w:rPr>
          <w:rFonts w:ascii="Times New Roman" w:hAnsi="Times New Roman" w:cs="Times New Roman"/>
        </w:rPr>
        <w:t>found a high positive association between extrinsic and intrinsic employee engagement and compensation in the Jordanian sector.</w:t>
      </w:r>
    </w:p>
    <w:p w:rsidR="00C33E9D" w:rsidRPr="001300ED" w:rsidRDefault="00C33E9D" w:rsidP="001300ED">
      <w:pPr>
        <w:pStyle w:val="Heading3"/>
        <w:ind w:firstLine="0"/>
        <w:rPr>
          <w:rFonts w:ascii="Times New Roman" w:hAnsi="Times New Roman" w:cs="Times New Roman"/>
          <w:i/>
        </w:rPr>
      </w:pPr>
      <w:bookmarkStart w:id="6" w:name="_Toc151001640"/>
      <w:r w:rsidRPr="001300ED">
        <w:rPr>
          <w:rFonts w:ascii="Times New Roman" w:hAnsi="Times New Roman" w:cs="Times New Roman"/>
          <w:i/>
        </w:rPr>
        <w:t>Leadership styles</w:t>
      </w:r>
      <w:bookmarkEnd w:id="6"/>
    </w:p>
    <w:p w:rsidR="00C33E9D" w:rsidRPr="005B7CA4" w:rsidRDefault="00C33E9D" w:rsidP="001300ED">
      <w:pPr>
        <w:ind w:firstLine="0"/>
        <w:rPr>
          <w:rFonts w:ascii="Times New Roman" w:hAnsi="Times New Roman" w:cs="Times New Roman"/>
        </w:rPr>
      </w:pPr>
      <w:r w:rsidRPr="005B7CA4">
        <w:rPr>
          <w:rFonts w:ascii="Times New Roman" w:hAnsi="Times New Roman" w:cs="Times New Roman"/>
        </w:rPr>
        <w:t xml:space="preserve">By using multiple leadership styles, executives may boost employee engagement. </w:t>
      </w:r>
      <w:r w:rsidR="00924C6A" w:rsidRPr="005B7CA4">
        <w:rPr>
          <w:rFonts w:ascii="Times New Roman" w:hAnsi="Times New Roman" w:cs="Times New Roman"/>
        </w:rPr>
        <w:t>Budriene and Diskiene (2020)</w:t>
      </w:r>
      <w:r w:rsidRPr="005B7CA4">
        <w:rPr>
          <w:rFonts w:ascii="Times New Roman" w:hAnsi="Times New Roman" w:cs="Times New Roman"/>
        </w:rPr>
        <w:t xml:space="preserve">studied how transformational leadership affects employee engagement, whereas </w:t>
      </w:r>
      <w:r w:rsidR="00924C6A" w:rsidRPr="005B7CA4">
        <w:rPr>
          <w:rFonts w:ascii="Times New Roman" w:hAnsi="Times New Roman" w:cs="Times New Roman"/>
        </w:rPr>
        <w:t>Afrahi et al. (2021)</w:t>
      </w:r>
      <w:r w:rsidRPr="005B7CA4">
        <w:rPr>
          <w:rFonts w:ascii="Times New Roman" w:hAnsi="Times New Roman" w:cs="Times New Roman"/>
        </w:rPr>
        <w:t xml:space="preserve">researched how supportive leadership and engagement affect corporate citizenship behavior. </w:t>
      </w:r>
      <w:r w:rsidR="00924C6A" w:rsidRPr="005B7CA4">
        <w:rPr>
          <w:rFonts w:ascii="Times New Roman" w:hAnsi="Times New Roman" w:cs="Times New Roman"/>
        </w:rPr>
        <w:t>Othman and Mahmood (2019)</w:t>
      </w:r>
      <w:r w:rsidRPr="005B7CA4">
        <w:rPr>
          <w:rFonts w:ascii="Times New Roman" w:hAnsi="Times New Roman" w:cs="Times New Roman"/>
        </w:rPr>
        <w:t xml:space="preserve">found a substantial positive link between leader actions and workforce engagement. </w:t>
      </w:r>
    </w:p>
    <w:p w:rsidR="00C33E9D" w:rsidRPr="005B7CA4" w:rsidRDefault="00C33E9D" w:rsidP="001300ED">
      <w:pPr>
        <w:ind w:firstLine="0"/>
        <w:rPr>
          <w:rFonts w:ascii="Times New Roman" w:hAnsi="Times New Roman" w:cs="Times New Roman"/>
        </w:rPr>
      </w:pPr>
      <w:r w:rsidRPr="005B7CA4">
        <w:rPr>
          <w:rFonts w:ascii="Times New Roman" w:hAnsi="Times New Roman" w:cs="Times New Roman"/>
        </w:rPr>
        <w:t>Training and development, internal communication, incentives, leadership, and leadership styles all affect employee engagement. Understanding these variables and executing successful measures may help firms assist their people and create a healthy, engaged workplace.</w:t>
      </w:r>
    </w:p>
    <w:p w:rsidR="00A83129" w:rsidRPr="005B7CA4" w:rsidRDefault="00A83129" w:rsidP="00A83129">
      <w:pPr>
        <w:rPr>
          <w:rFonts w:ascii="Times New Roman" w:hAnsi="Times New Roman" w:cs="Times New Roman"/>
        </w:rPr>
      </w:pPr>
    </w:p>
    <w:p w:rsidR="009F4F0E" w:rsidRPr="001300ED" w:rsidRDefault="009F4F0E" w:rsidP="001300ED">
      <w:pPr>
        <w:pStyle w:val="Heading2"/>
        <w:ind w:firstLine="0"/>
        <w:rPr>
          <w:rFonts w:ascii="Times New Roman" w:hAnsi="Times New Roman" w:cs="Times New Roman"/>
          <w:i/>
        </w:rPr>
      </w:pPr>
      <w:bookmarkStart w:id="7" w:name="_Toc151001641"/>
      <w:r w:rsidRPr="001300ED">
        <w:rPr>
          <w:rFonts w:ascii="Times New Roman" w:hAnsi="Times New Roman" w:cs="Times New Roman"/>
          <w:i/>
        </w:rPr>
        <w:t>Employee life cycle Stages</w:t>
      </w:r>
      <w:bookmarkEnd w:id="7"/>
    </w:p>
    <w:p w:rsidR="00A83129" w:rsidRPr="005B7CA4" w:rsidRDefault="00E458BC" w:rsidP="001300ED">
      <w:pPr>
        <w:ind w:firstLine="0"/>
        <w:rPr>
          <w:rFonts w:ascii="Times New Roman" w:hAnsi="Times New Roman" w:cs="Times New Roman"/>
        </w:rPr>
      </w:pPr>
      <w:r w:rsidRPr="005B7CA4">
        <w:rPr>
          <w:rFonts w:ascii="Times New Roman" w:hAnsi="Times New Roman" w:cs="Times New Roman"/>
        </w:rPr>
        <w:t>HR</w:t>
      </w:r>
      <w:r w:rsidR="00A83129" w:rsidRPr="005B7CA4">
        <w:rPr>
          <w:rFonts w:ascii="Times New Roman" w:hAnsi="Times New Roman" w:cs="Times New Roman"/>
        </w:rPr>
        <w:t xml:space="preserve"> significantly influences the level of engagement established during the attraction and recruitment phases. Professionals in this field create persuasive job descriptions that not only delineate the duties of the position but also express the culture and values of the organization. </w:t>
      </w:r>
      <w:r w:rsidR="00A83129" w:rsidRPr="005B7CA4">
        <w:rPr>
          <w:rFonts w:ascii="Times New Roman" w:hAnsi="Times New Roman" w:cs="Times New Roman"/>
        </w:rPr>
        <w:lastRenderedPageBreak/>
        <w:t xml:space="preserve">Through the process of harmonizing these elements with the anticipations of prospective candidates, human resources </w:t>
      </w:r>
      <w:r w:rsidR="001300ED" w:rsidRPr="005B7CA4">
        <w:rPr>
          <w:rFonts w:ascii="Times New Roman" w:hAnsi="Times New Roman" w:cs="Times New Roman"/>
        </w:rPr>
        <w:t>establish</w:t>
      </w:r>
      <w:r w:rsidR="00A83129" w:rsidRPr="005B7CA4">
        <w:rPr>
          <w:rFonts w:ascii="Times New Roman" w:hAnsi="Times New Roman" w:cs="Times New Roman"/>
        </w:rPr>
        <w:t xml:space="preserve"> the groundwork for subsequent involvement.</w:t>
      </w:r>
    </w:p>
    <w:p w:rsidR="00C33E9D" w:rsidRPr="001300ED" w:rsidRDefault="00C33E9D" w:rsidP="001300ED">
      <w:pPr>
        <w:pStyle w:val="Heading3"/>
        <w:ind w:firstLine="0"/>
        <w:rPr>
          <w:rFonts w:ascii="Times New Roman" w:hAnsi="Times New Roman" w:cs="Times New Roman"/>
          <w:i/>
        </w:rPr>
      </w:pPr>
      <w:bookmarkStart w:id="8" w:name="_Toc151001642"/>
      <w:r w:rsidRPr="001300ED">
        <w:rPr>
          <w:rFonts w:ascii="Times New Roman" w:hAnsi="Times New Roman" w:cs="Times New Roman"/>
          <w:i/>
        </w:rPr>
        <w:t>Induction</w:t>
      </w:r>
      <w:bookmarkEnd w:id="8"/>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The induction process is an essential stage during which human resources acquaints newly hired personnel with the values, procedures, and anticipations of the organization. Human resources develops all-encompassing orientation programs that serve the dual purpose of acquainting newly hired personnel with their respective positions and facilitating their assimilation into the wider organizational culture. Through the provision of a congenial and hospitable induction experience, human resources cultivates an initial feeling of inclusion and dedication.</w:t>
      </w:r>
    </w:p>
    <w:p w:rsidR="00C33E9D" w:rsidRPr="001300ED" w:rsidRDefault="00C33E9D" w:rsidP="001300ED">
      <w:pPr>
        <w:pStyle w:val="Heading3"/>
        <w:ind w:firstLine="0"/>
        <w:rPr>
          <w:rFonts w:ascii="Times New Roman" w:hAnsi="Times New Roman" w:cs="Times New Roman"/>
          <w:i/>
        </w:rPr>
      </w:pPr>
      <w:bookmarkStart w:id="9" w:name="_Toc151001643"/>
      <w:r w:rsidRPr="001300ED">
        <w:rPr>
          <w:rFonts w:ascii="Times New Roman" w:hAnsi="Times New Roman" w:cs="Times New Roman"/>
          <w:i/>
        </w:rPr>
        <w:t>Promotion</w:t>
      </w:r>
      <w:bookmarkEnd w:id="9"/>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 xml:space="preserve">HR is at the forefront of </w:t>
      </w:r>
      <w:r w:rsidR="001300ED" w:rsidRPr="005B7CA4">
        <w:rPr>
          <w:rFonts w:ascii="Times New Roman" w:hAnsi="Times New Roman" w:cs="Times New Roman"/>
        </w:rPr>
        <w:t>endeavours</w:t>
      </w:r>
      <w:r w:rsidRPr="005B7CA4">
        <w:rPr>
          <w:rFonts w:ascii="Times New Roman" w:hAnsi="Times New Roman" w:cs="Times New Roman"/>
        </w:rPr>
        <w:t xml:space="preserve"> promoting ongoing learning and development, providing opportunities for professional growth through training programs, seminars, and career advancement. Skills deficits are identified and opportunities are provided to employees in order to enhance their capabilities. Through allocating resources towards employee development, human resources not only fosters a proficient labor force but also conveys the organization's dedication to their career achievements, consequently bolstering levels of employee engagement.</w:t>
      </w:r>
    </w:p>
    <w:p w:rsidR="00A83129" w:rsidRPr="001300ED" w:rsidRDefault="00C33E9D" w:rsidP="001300ED">
      <w:pPr>
        <w:pStyle w:val="Heading3"/>
        <w:ind w:firstLine="0"/>
        <w:rPr>
          <w:rFonts w:ascii="Times New Roman" w:hAnsi="Times New Roman" w:cs="Times New Roman"/>
          <w:i/>
        </w:rPr>
      </w:pPr>
      <w:bookmarkStart w:id="10" w:name="_Toc151001644"/>
      <w:r w:rsidRPr="001300ED">
        <w:rPr>
          <w:rFonts w:ascii="Times New Roman" w:hAnsi="Times New Roman" w:cs="Times New Roman"/>
          <w:i/>
        </w:rPr>
        <w:t>Retention</w:t>
      </w:r>
      <w:bookmarkEnd w:id="10"/>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 xml:space="preserve">The retention of committed personnel is an HR priority. An assortment of retention strategies are implemented, including the establishment of a </w:t>
      </w:r>
      <w:r w:rsidR="001300ED" w:rsidRPr="005B7CA4">
        <w:rPr>
          <w:rFonts w:ascii="Times New Roman" w:hAnsi="Times New Roman" w:cs="Times New Roman"/>
        </w:rPr>
        <w:t>favourable</w:t>
      </w:r>
      <w:r w:rsidRPr="005B7CA4">
        <w:rPr>
          <w:rFonts w:ascii="Times New Roman" w:hAnsi="Times New Roman" w:cs="Times New Roman"/>
        </w:rPr>
        <w:t xml:space="preserve"> work environment, performance feedback mechanisms, and employee recognition programs. Human resources is responsible for actively attending to employee concerns, resolving grievances, and maintaining a work environment that fosters a sense of worth and recognition among staff</w:t>
      </w:r>
      <w:r w:rsidR="001300ED">
        <w:rPr>
          <w:rFonts w:ascii="Times New Roman" w:hAnsi="Times New Roman" w:cs="Times New Roman"/>
        </w:rPr>
        <w:t xml:space="preserve"> (Othman and Mahmood</w:t>
      </w:r>
      <w:r w:rsidR="00924C6A" w:rsidRPr="005B7CA4">
        <w:rPr>
          <w:rFonts w:ascii="Times New Roman" w:hAnsi="Times New Roman" w:cs="Times New Roman"/>
        </w:rPr>
        <w:t>,</w:t>
      </w:r>
      <w:r w:rsidR="001300ED">
        <w:rPr>
          <w:rFonts w:ascii="Times New Roman" w:hAnsi="Times New Roman" w:cs="Times New Roman"/>
        </w:rPr>
        <w:t xml:space="preserve"> </w:t>
      </w:r>
      <w:r w:rsidR="00924C6A" w:rsidRPr="005B7CA4">
        <w:rPr>
          <w:rFonts w:ascii="Times New Roman" w:hAnsi="Times New Roman" w:cs="Times New Roman"/>
        </w:rPr>
        <w:t>2019)</w:t>
      </w:r>
      <w:r w:rsidRPr="005B7CA4">
        <w:rPr>
          <w:rFonts w:ascii="Times New Roman" w:hAnsi="Times New Roman" w:cs="Times New Roman"/>
        </w:rPr>
        <w:t>.</w:t>
      </w:r>
    </w:p>
    <w:p w:rsidR="009F4F0E" w:rsidRPr="001300ED" w:rsidRDefault="009F4F0E" w:rsidP="001300ED">
      <w:pPr>
        <w:pStyle w:val="Heading2"/>
        <w:ind w:firstLine="0"/>
        <w:rPr>
          <w:rFonts w:ascii="Times New Roman" w:hAnsi="Times New Roman" w:cs="Times New Roman"/>
          <w:i/>
        </w:rPr>
      </w:pPr>
      <w:bookmarkStart w:id="11" w:name="_Toc151001645"/>
      <w:r w:rsidRPr="001300ED">
        <w:rPr>
          <w:rFonts w:ascii="Times New Roman" w:hAnsi="Times New Roman" w:cs="Times New Roman"/>
          <w:i/>
        </w:rPr>
        <w:t>Team Engagement Examples</w:t>
      </w:r>
      <w:bookmarkEnd w:id="11"/>
    </w:p>
    <w:p w:rsidR="00E458BC" w:rsidRPr="005B7CA4" w:rsidRDefault="00E458BC" w:rsidP="001300ED">
      <w:pPr>
        <w:ind w:firstLine="0"/>
        <w:rPr>
          <w:rFonts w:ascii="Times New Roman" w:hAnsi="Times New Roman" w:cs="Times New Roman"/>
        </w:rPr>
      </w:pPr>
      <w:r w:rsidRPr="005B7CA4">
        <w:rPr>
          <w:rFonts w:ascii="Times New Roman" w:hAnsi="Times New Roman" w:cs="Times New Roman"/>
        </w:rPr>
        <w:t>In order to effectively engage a team, it is crucial to establish transparent communication channels, align individual goals with broader organizational objectives, delegate tasks and responsibilities, acknowledge and value achievements, provide professional development opportunities, arrange team-building activities, offer flexible work arrangements, and support wellness initiatives. Regular individual meetings have the potential to offer valuable feedback and tackle any concerns, nurturing an environment that promotes ongoing enhancement. When it is appropriate, involving team members in decision-making processes empowers them and demonstrates the value of their opinions. By promoting cross-functional collaboration and projects, team members have the opportunity to collaborate with various departments, expanding their skillset and nurturing unity within the organization. Leading by example is a powerful way to showcase transparency, integrity, and enthusiasm, which in turn establishes a positive work culture. Further enhancing the effectiveness of these strategies can be achieved by tailoring them to suit the dynamics of the team and the individual preferences of its members. In order to effectively engage a team, it is crucial to maintain open lines of communication, provide unwavering support, and demonstrate a sincere interest in their overall well-being and personal development.</w:t>
      </w:r>
    </w:p>
    <w:p w:rsidR="00A83129" w:rsidRPr="001300ED" w:rsidRDefault="009F4F0E" w:rsidP="001300ED">
      <w:pPr>
        <w:pStyle w:val="Heading2"/>
        <w:ind w:firstLine="0"/>
        <w:rPr>
          <w:rFonts w:ascii="Times New Roman" w:hAnsi="Times New Roman" w:cs="Times New Roman"/>
          <w:i/>
        </w:rPr>
      </w:pPr>
      <w:bookmarkStart w:id="12" w:name="_Toc151001646"/>
      <w:r w:rsidRPr="001300ED">
        <w:rPr>
          <w:rFonts w:ascii="Times New Roman" w:hAnsi="Times New Roman" w:cs="Times New Roman"/>
          <w:i/>
        </w:rPr>
        <w:t>Aon Hewitt’s Model of Employee Engagement</w:t>
      </w:r>
      <w:bookmarkEnd w:id="12"/>
    </w:p>
    <w:p w:rsidR="009F4F0E" w:rsidRPr="005B7CA4" w:rsidRDefault="00A83129" w:rsidP="001300ED">
      <w:pPr>
        <w:ind w:firstLine="0"/>
        <w:rPr>
          <w:rFonts w:ascii="Times New Roman" w:hAnsi="Times New Roman" w:cs="Times New Roman"/>
        </w:rPr>
      </w:pPr>
      <w:r w:rsidRPr="005B7CA4">
        <w:rPr>
          <w:rFonts w:ascii="Times New Roman" w:hAnsi="Times New Roman" w:cs="Times New Roman"/>
        </w:rPr>
        <w:t>The Aon Hewitt model (2011) examines the notion of engagement, which refers to a condition of emotional and cognitive investment that stimulates people to exhibit optimal performance in their tasks. This particular model, which has been substantiated through more than 15 years of study conducted in the field of organizational psychology, delineates six key factors that foster engagement, as well as 22 organizational precursors that play a role in shaping individual engagement within an organization. The aforementioned factors encompass several aspects such as quality of life, work environment, interpersonal dynamics, professional growth chances, comprehensive incentives systems, and organizational practices. The human aspect has paramount importance in influencing the other components, and the drivers of engagement are interconnected and do not function independently. The worldwide validation of the model provides empirical evidence for its conclusions within the domain of organizational psychology</w:t>
      </w:r>
      <w:r w:rsidR="001300ED">
        <w:rPr>
          <w:rFonts w:ascii="Times New Roman" w:hAnsi="Times New Roman" w:cs="Times New Roman"/>
        </w:rPr>
        <w:t xml:space="preserve"> </w:t>
      </w:r>
      <w:r w:rsidR="00924C6A" w:rsidRPr="005B7CA4">
        <w:rPr>
          <w:rFonts w:ascii="Times New Roman" w:hAnsi="Times New Roman" w:cs="Times New Roman"/>
        </w:rPr>
        <w:t>(Afrahi et al. 2021)</w:t>
      </w:r>
      <w:r w:rsidRPr="005B7CA4">
        <w:rPr>
          <w:rFonts w:ascii="Times New Roman" w:hAnsi="Times New Roman" w:cs="Times New Roman"/>
        </w:rPr>
        <w:t>.</w:t>
      </w:r>
    </w:p>
    <w:p w:rsidR="009F4F0E" w:rsidRPr="005B7CA4" w:rsidRDefault="009F4F0E" w:rsidP="009F4F0E">
      <w:pPr>
        <w:rPr>
          <w:rFonts w:ascii="Times New Roman" w:hAnsi="Times New Roman" w:cs="Times New Roman"/>
        </w:rPr>
      </w:pPr>
      <w:r w:rsidRPr="005B7CA4">
        <w:rPr>
          <w:rFonts w:ascii="Times New Roman" w:hAnsi="Times New Roman" w:cs="Times New Roman"/>
          <w:noProof/>
          <w:lang w:val="en-US"/>
        </w:rPr>
        <w:drawing>
          <wp:inline distT="0" distB="0" distL="0" distR="0">
            <wp:extent cx="4628834" cy="342265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34094" cy="3426540"/>
                    </a:xfrm>
                    <a:prstGeom prst="rect">
                      <a:avLst/>
                    </a:prstGeom>
                  </pic:spPr>
                </pic:pic>
              </a:graphicData>
            </a:graphic>
          </wp:inline>
        </w:drawing>
      </w:r>
    </w:p>
    <w:p w:rsidR="009F4F0E" w:rsidRPr="001300ED" w:rsidRDefault="009F4F0E" w:rsidP="001300ED">
      <w:pPr>
        <w:pStyle w:val="Heading2"/>
        <w:ind w:firstLine="0"/>
        <w:rPr>
          <w:rFonts w:ascii="Times New Roman" w:hAnsi="Times New Roman" w:cs="Times New Roman"/>
          <w:i/>
        </w:rPr>
      </w:pPr>
      <w:bookmarkStart w:id="13" w:name="_Toc151001647"/>
      <w:r w:rsidRPr="001300ED">
        <w:rPr>
          <w:rFonts w:ascii="Times New Roman" w:hAnsi="Times New Roman" w:cs="Times New Roman"/>
          <w:i/>
        </w:rPr>
        <w:t>Examples from Industry</w:t>
      </w:r>
      <w:bookmarkEnd w:id="13"/>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The hospitality industry has introduced a range of strategies and programs aimed at enhancing employee engagement and happiness. The aforementioned elements encompass organized mentoring programs, adaptable work schedules, programs for recognition and awards, efforts aimed at empowering employees, chances for training and development, and wellness programs.</w:t>
      </w:r>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Mentoring networks, activities and sessions play a crucial role in enabling the assimilation of newly hired staff into the hotel's organizational culture by offering continuous advice, support, and fostering a sense of camaraderie. The use of flexible work schedules enables employees to effectively manage their professional responsibilities alongside personal commitments, so fostering a more optimal equilibrium between work and personal life. This not only has the potential to promote employee happiness, but also has the capacity to lower stress levels, bolster productivity, and foster more involvement</w:t>
      </w:r>
      <w:r w:rsidR="001300ED">
        <w:rPr>
          <w:rFonts w:ascii="Times New Roman" w:hAnsi="Times New Roman" w:cs="Times New Roman"/>
        </w:rPr>
        <w:t xml:space="preserve"> (Othman and Mahmood, </w:t>
      </w:r>
      <w:r w:rsidR="00924C6A" w:rsidRPr="005B7CA4">
        <w:rPr>
          <w:rFonts w:ascii="Times New Roman" w:hAnsi="Times New Roman" w:cs="Times New Roman"/>
        </w:rPr>
        <w:t>2019)</w:t>
      </w:r>
      <w:r w:rsidRPr="005B7CA4">
        <w:rPr>
          <w:rFonts w:ascii="Times New Roman" w:hAnsi="Times New Roman" w:cs="Times New Roman"/>
        </w:rPr>
        <w:t>.</w:t>
      </w:r>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Recognition and incentives programs serve as a means to acknowledge and commemorate outstanding employee performance, therefore strengthening a workplace environment that values and acknowledges achievements. Employee empowerment efforts encompass the involvement of workers in decision-making processes, hence fostering a sense of worth and active engagement. This practice not only enhances employee morale but also fosters a sense of ownership and dedication towards the achievement of the organization's objectives.</w:t>
      </w:r>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Hotels prioritize the provision of training and development opportunities, demonstrating their commitment by investing in comprehensive programs, workshops, and educational initiatives that are specifically designed to align with the career pathways of their workers. These programs serve to not only augment the abilities of employees, but also serve as a manifestation of the organization's dedication to their sustained prosperity, resulting in increased levels of engagement and retention.</w:t>
      </w:r>
    </w:p>
    <w:p w:rsidR="00A83129" w:rsidRPr="005B7CA4" w:rsidRDefault="00A83129" w:rsidP="001300ED">
      <w:pPr>
        <w:ind w:firstLine="0"/>
        <w:rPr>
          <w:rFonts w:ascii="Times New Roman" w:hAnsi="Times New Roman" w:cs="Times New Roman"/>
        </w:rPr>
      </w:pPr>
      <w:r w:rsidRPr="005B7CA4">
        <w:rPr>
          <w:rFonts w:ascii="Times New Roman" w:hAnsi="Times New Roman" w:cs="Times New Roman"/>
        </w:rPr>
        <w:t>Health and well-being initiatives are implemented to foster physical and mental health among individuals. These initiatives encompass many activities such as providing gym memberships, conducting stress management seminars, organizing mindfulness sessions, and offering counseling services. These tactics have a role in fostering a culture that places importance on the well-being of personnel, resulting in heightened levels of engagement and productivity.</w:t>
      </w:r>
    </w:p>
    <w:p w:rsidR="00EC2397" w:rsidRPr="001300ED" w:rsidRDefault="00EC2397" w:rsidP="001300ED">
      <w:pPr>
        <w:pStyle w:val="Heading1"/>
        <w:ind w:firstLine="0"/>
        <w:jc w:val="both"/>
        <w:rPr>
          <w:rFonts w:ascii="Times New Roman" w:hAnsi="Times New Roman" w:cs="Times New Roman"/>
          <w:i/>
        </w:rPr>
      </w:pPr>
      <w:bookmarkStart w:id="14" w:name="_Toc151001648"/>
      <w:r w:rsidRPr="001300ED">
        <w:rPr>
          <w:rFonts w:ascii="Times New Roman" w:hAnsi="Times New Roman" w:cs="Times New Roman"/>
          <w:i/>
        </w:rPr>
        <w:t>Conclusion</w:t>
      </w:r>
      <w:bookmarkEnd w:id="14"/>
    </w:p>
    <w:p w:rsidR="00A83129" w:rsidRDefault="00E458BC" w:rsidP="001300ED">
      <w:pPr>
        <w:ind w:firstLine="0"/>
        <w:rPr>
          <w:rFonts w:ascii="Times New Roman" w:hAnsi="Times New Roman" w:cs="Times New Roman"/>
        </w:rPr>
      </w:pPr>
      <w:r w:rsidRPr="005B7CA4">
        <w:rPr>
          <w:rFonts w:ascii="Times New Roman" w:hAnsi="Times New Roman" w:cs="Times New Roman"/>
        </w:rPr>
        <w:t>E</w:t>
      </w:r>
      <w:r w:rsidR="00A83129" w:rsidRPr="005B7CA4">
        <w:rPr>
          <w:rFonts w:ascii="Times New Roman" w:hAnsi="Times New Roman" w:cs="Times New Roman"/>
        </w:rPr>
        <w:t>mployee engagement is influenced by various factors, including training and development, internal communication, rewards, leadership, and leadership styles. By understanding these factors and implementing effective strategies, organizations can better support their employees and foster a healthy work environment that supports employee engagement</w:t>
      </w:r>
      <w:r w:rsidR="00924C6A" w:rsidRPr="005B7CA4">
        <w:rPr>
          <w:rFonts w:ascii="Times New Roman" w:hAnsi="Times New Roman" w:cs="Times New Roman"/>
        </w:rPr>
        <w:t>(Afrahi et al. 2021)</w:t>
      </w:r>
      <w:r w:rsidR="00A83129" w:rsidRPr="005B7CA4">
        <w:rPr>
          <w:rFonts w:ascii="Times New Roman" w:hAnsi="Times New Roman" w:cs="Times New Roman"/>
        </w:rPr>
        <w:t>.</w:t>
      </w:r>
      <w:r w:rsidRPr="005B7CA4">
        <w:rPr>
          <w:rFonts w:ascii="Times New Roman" w:hAnsi="Times New Roman" w:cs="Times New Roman"/>
        </w:rPr>
        <w:t>Employee engagement is an essential factor in determining the success of an organization, especially within the hospitality sector. Human Resources (HR) is of utmost importance in fostering and maintaining employee engagement at every stage of their employment. Human resources orchestrates the integration of organizational goals with personal ambitions, thereby establishing the foundation for endeavors driven by purpose. HR strategically designs and coordinates employee experiences that cultivate a sense of affiliation and dedication, spanning from the recruitment process to separation. Human resources' varied approaches, including onboarding, training, recognition, and cultivating a supportive atmosphere, function as catalysts for elevated levels of employee engagement. Through the promotion of a culture that values empowerment, open communication, and employee well-being, human resources establishes an environment conducive to the growth and success of its staff. Human resources remains an advocate for employee engagement, fostering a culture that promotes unity among employees and ensures every person feels appreciated and contributes to the overall achievement.</w:t>
      </w:r>
    </w:p>
    <w:p w:rsidR="005B7CA4" w:rsidRPr="005B7CA4" w:rsidRDefault="005B7CA4" w:rsidP="00A83129">
      <w:pPr>
        <w:rPr>
          <w:rFonts w:ascii="Times New Roman" w:hAnsi="Times New Roman" w:cs="Times New Roman"/>
        </w:rPr>
      </w:pPr>
    </w:p>
    <w:p w:rsidR="00EC2397" w:rsidRPr="001300ED" w:rsidRDefault="00EC2397" w:rsidP="001300ED">
      <w:pPr>
        <w:pStyle w:val="Heading1"/>
        <w:ind w:firstLine="0"/>
        <w:jc w:val="both"/>
        <w:rPr>
          <w:rFonts w:ascii="Times New Roman" w:hAnsi="Times New Roman" w:cs="Times New Roman"/>
          <w:i/>
        </w:rPr>
      </w:pPr>
      <w:bookmarkStart w:id="15" w:name="_Toc151001649"/>
      <w:r w:rsidRPr="001300ED">
        <w:rPr>
          <w:rFonts w:ascii="Times New Roman" w:hAnsi="Times New Roman" w:cs="Times New Roman"/>
          <w:i/>
        </w:rPr>
        <w:t>References</w:t>
      </w:r>
      <w:bookmarkEnd w:id="15"/>
    </w:p>
    <w:p w:rsidR="00E458BC" w:rsidRPr="005B7CA4" w:rsidRDefault="00E458BC" w:rsidP="00E458BC">
      <w:pPr>
        <w:pStyle w:val="NormalWeb"/>
        <w:spacing w:before="0" w:beforeAutospacing="0" w:after="240" w:afterAutospacing="0" w:line="360" w:lineRule="auto"/>
      </w:pPr>
      <w:r w:rsidRPr="005B7CA4">
        <w:t>Afrahi, B, Blenkinsopp, J, Fernandez d</w:t>
      </w:r>
      <w:r w:rsidR="00B44BAB" w:rsidRPr="005B7CA4">
        <w:t>e Arroyabe, JC &amp; Karim, MS.</w:t>
      </w:r>
      <w:r w:rsidR="00114A29">
        <w:t>,</w:t>
      </w:r>
      <w:r w:rsidR="00B44BAB" w:rsidRPr="005B7CA4">
        <w:t xml:space="preserve"> 2021 </w:t>
      </w:r>
      <w:r w:rsidRPr="005B7CA4">
        <w:t>Work disengageme</w:t>
      </w:r>
      <w:r w:rsidR="00B44BAB" w:rsidRPr="005B7CA4">
        <w:t>nt: A review of the literature.</w:t>
      </w:r>
      <w:r w:rsidRPr="005B7CA4">
        <w:t xml:space="preserve"> </w:t>
      </w:r>
      <w:r w:rsidRPr="005B7CA4">
        <w:rPr>
          <w:i/>
          <w:iCs/>
        </w:rPr>
        <w:t>Human Resource Management Review</w:t>
      </w:r>
      <w:r w:rsidRPr="005B7CA4">
        <w:t>, vol. 32, no. 2, p. 100822.</w:t>
      </w:r>
    </w:p>
    <w:p w:rsidR="00E458BC" w:rsidRPr="005B7CA4" w:rsidRDefault="00B44BAB" w:rsidP="00E458BC">
      <w:pPr>
        <w:pStyle w:val="NormalWeb"/>
        <w:spacing w:before="0" w:beforeAutospacing="0" w:after="240" w:afterAutospacing="0" w:line="360" w:lineRule="auto"/>
      </w:pPr>
      <w:r w:rsidRPr="005B7CA4">
        <w:t>Bedarkar, M</w:t>
      </w:r>
      <w:r w:rsidR="00114A29">
        <w:t>.</w:t>
      </w:r>
      <w:r w:rsidRPr="005B7CA4">
        <w:t xml:space="preserve"> &amp; Pandita, D.</w:t>
      </w:r>
      <w:r w:rsidR="00114A29">
        <w:t>,</w:t>
      </w:r>
      <w:r w:rsidRPr="005B7CA4">
        <w:t xml:space="preserve"> 2014 </w:t>
      </w:r>
      <w:r w:rsidR="00E458BC" w:rsidRPr="005B7CA4">
        <w:t xml:space="preserve">A Study on the Drivers of Employee Engagement </w:t>
      </w:r>
      <w:r w:rsidRPr="005B7CA4">
        <w:t>Impacting Employee Performance.</w:t>
      </w:r>
      <w:r w:rsidR="00E458BC" w:rsidRPr="005B7CA4">
        <w:t xml:space="preserve"> </w:t>
      </w:r>
      <w:r w:rsidR="00E458BC" w:rsidRPr="005B7CA4">
        <w:rPr>
          <w:i/>
          <w:iCs/>
        </w:rPr>
        <w:t>Procedia - Social and Behavioral Sciences</w:t>
      </w:r>
      <w:r w:rsidR="00E458BC" w:rsidRPr="005B7CA4">
        <w:t>, vol. 133, no. 1, pp. 106–115.</w:t>
      </w:r>
    </w:p>
    <w:p w:rsidR="00E458BC" w:rsidRPr="005B7CA4" w:rsidRDefault="00E458BC" w:rsidP="00E458BC">
      <w:pPr>
        <w:pStyle w:val="NormalWeb"/>
        <w:spacing w:before="0" w:beforeAutospacing="0" w:after="240" w:afterAutospacing="0" w:line="360" w:lineRule="auto"/>
      </w:pPr>
      <w:r w:rsidRPr="005B7CA4">
        <w:t xml:space="preserve">Budriene, </w:t>
      </w:r>
      <w:r w:rsidR="00B44BAB" w:rsidRPr="005B7CA4">
        <w:t>D</w:t>
      </w:r>
      <w:r w:rsidR="00114A29">
        <w:t>.</w:t>
      </w:r>
      <w:r w:rsidR="00B44BAB" w:rsidRPr="005B7CA4">
        <w:t xml:space="preserve"> &amp; Diskiene, D.</w:t>
      </w:r>
      <w:r w:rsidR="00114A29">
        <w:t>,</w:t>
      </w:r>
      <w:r w:rsidR="00B44BAB" w:rsidRPr="005B7CA4">
        <w:t xml:space="preserve"> 2020 </w:t>
      </w:r>
      <w:r w:rsidRPr="005B7CA4">
        <w:t>EMPLOYEE ENGAGEMENT: TYPES, LEVELS AND REL</w:t>
      </w:r>
      <w:r w:rsidR="00B44BAB" w:rsidRPr="005B7CA4">
        <w:t>ATIONSHIP WITH PRACTICE OF HRM.</w:t>
      </w:r>
      <w:r w:rsidRPr="005B7CA4">
        <w:t xml:space="preserve"> </w:t>
      </w:r>
      <w:r w:rsidRPr="005B7CA4">
        <w:rPr>
          <w:i/>
          <w:iCs/>
        </w:rPr>
        <w:t>Malaysian E Commerce Journal</w:t>
      </w:r>
      <w:r w:rsidRPr="005B7CA4">
        <w:t>, vol. 4, no. 2, pp. 42–47.</w:t>
      </w:r>
    </w:p>
    <w:p w:rsidR="00E458BC" w:rsidRPr="005B7CA4" w:rsidRDefault="00B44BAB" w:rsidP="00E458BC">
      <w:pPr>
        <w:pStyle w:val="NormalWeb"/>
        <w:spacing w:before="0" w:beforeAutospacing="0" w:after="240" w:afterAutospacing="0" w:line="360" w:lineRule="auto"/>
      </w:pPr>
      <w:r w:rsidRPr="005B7CA4">
        <w:t>Chiang, C-C.</w:t>
      </w:r>
      <w:r w:rsidR="00114A29">
        <w:t>,</w:t>
      </w:r>
      <w:r w:rsidRPr="005B7CA4">
        <w:t xml:space="preserve"> 2010</w:t>
      </w:r>
      <w:r w:rsidR="00E458BC" w:rsidRPr="005B7CA4">
        <w:t xml:space="preserve"> </w:t>
      </w:r>
      <w:r w:rsidR="00E458BC" w:rsidRPr="005B7CA4">
        <w:rPr>
          <w:iCs/>
        </w:rPr>
        <w:t>How corporate social responsibility influences employee job How corporate social responsibility influences employee job satisfaction in the hotel industry satisfaction in the hotel industry Part of the Business Law, Public Res</w:t>
      </w:r>
      <w:r w:rsidRPr="005B7CA4">
        <w:rPr>
          <w:iCs/>
        </w:rPr>
        <w:t>ponsibility, and Ethics Commons</w:t>
      </w:r>
      <w:r w:rsidRPr="005B7CA4">
        <w:rPr>
          <w:i/>
          <w:iCs/>
        </w:rPr>
        <w:t>.</w:t>
      </w:r>
      <w:r w:rsidR="00E458BC" w:rsidRPr="005B7CA4">
        <w:rPr>
          <w:i/>
          <w:iCs/>
        </w:rPr>
        <w:t xml:space="preserve"> Hospitality Administration and Management Commons, and the Human Resources Management Commons</w:t>
      </w:r>
      <w:r w:rsidR="00E458BC" w:rsidRPr="005B7CA4">
        <w:t>.</w:t>
      </w:r>
    </w:p>
    <w:p w:rsidR="00E458BC" w:rsidRPr="005B7CA4" w:rsidRDefault="00B44BAB" w:rsidP="00E458BC">
      <w:pPr>
        <w:pStyle w:val="NormalWeb"/>
        <w:spacing w:before="0" w:beforeAutospacing="0" w:after="240" w:afterAutospacing="0" w:line="360" w:lineRule="auto"/>
      </w:pPr>
      <w:r w:rsidRPr="005B7CA4">
        <w:t>Ercantan, O</w:t>
      </w:r>
      <w:r w:rsidR="00114A29">
        <w:t>.</w:t>
      </w:r>
      <w:r w:rsidRPr="005B7CA4">
        <w:t xml:space="preserve"> &amp; Eyupoglu, S.</w:t>
      </w:r>
      <w:r w:rsidR="00114A29">
        <w:t>,</w:t>
      </w:r>
      <w:r w:rsidRPr="005B7CA4">
        <w:t xml:space="preserve"> 2022 </w:t>
      </w:r>
      <w:r w:rsidR="00E458BC" w:rsidRPr="005B7CA4">
        <w:t>How Do Green Human Resource Management Practices Encourage Employees to Engage in Green Behavior? Perceptions of University Stu</w:t>
      </w:r>
      <w:r w:rsidRPr="005B7CA4">
        <w:t>dents as Prospective Employees.</w:t>
      </w:r>
      <w:r w:rsidR="00E458BC" w:rsidRPr="005B7CA4">
        <w:t xml:space="preserve"> </w:t>
      </w:r>
      <w:r w:rsidR="00E458BC" w:rsidRPr="005B7CA4">
        <w:rPr>
          <w:i/>
          <w:iCs/>
        </w:rPr>
        <w:t>Sustainability</w:t>
      </w:r>
      <w:r w:rsidR="00E458BC" w:rsidRPr="005B7CA4">
        <w:t>, vol. 14, no. 3, p. 1718.</w:t>
      </w:r>
    </w:p>
    <w:p w:rsidR="00E458BC" w:rsidRPr="005B7CA4" w:rsidRDefault="00114A29" w:rsidP="00E458BC">
      <w:pPr>
        <w:pStyle w:val="NormalWeb"/>
        <w:spacing w:before="0" w:beforeAutospacing="0" w:after="240" w:afterAutospacing="0" w:line="360" w:lineRule="auto"/>
      </w:pPr>
      <w:r>
        <w:t>Karatepe, OM.</w:t>
      </w:r>
      <w:r w:rsidR="00E458BC" w:rsidRPr="005B7CA4">
        <w:t xml:space="preserve"> Rezapo</w:t>
      </w:r>
      <w:r w:rsidR="00B44BAB" w:rsidRPr="005B7CA4">
        <w:t>uraghdam, H &amp; Hassannia, R.</w:t>
      </w:r>
      <w:r>
        <w:t>,</w:t>
      </w:r>
      <w:r w:rsidR="00B44BAB" w:rsidRPr="005B7CA4">
        <w:t xml:space="preserve"> 2020 </w:t>
      </w:r>
      <w:r w:rsidR="00E458BC" w:rsidRPr="005B7CA4">
        <w:t>Does employee engagement mediate the influence of psychological contract breach on pro-environmental behaviors and intent to remain with the organization in the hotel industry?</w:t>
      </w:r>
      <w:r w:rsidR="00B44BAB" w:rsidRPr="005B7CA4">
        <w:t xml:space="preserve"> </w:t>
      </w:r>
      <w:r w:rsidR="00E458BC" w:rsidRPr="005B7CA4">
        <w:rPr>
          <w:i/>
          <w:iCs/>
        </w:rPr>
        <w:t>Journal of Hospitality Marketing &amp; Management</w:t>
      </w:r>
      <w:r w:rsidR="00E458BC" w:rsidRPr="005B7CA4">
        <w:t>, pp. 1–28.</w:t>
      </w:r>
    </w:p>
    <w:p w:rsidR="00E458BC" w:rsidRPr="005B7CA4" w:rsidRDefault="00E458BC" w:rsidP="00E458BC">
      <w:pPr>
        <w:pStyle w:val="NormalWeb"/>
        <w:spacing w:before="0" w:beforeAutospacing="0" w:after="240" w:afterAutospacing="0" w:line="360" w:lineRule="auto"/>
      </w:pPr>
      <w:r w:rsidRPr="005B7CA4">
        <w:t>Nikolova, I, S</w:t>
      </w:r>
      <w:r w:rsidR="00B44BAB" w:rsidRPr="005B7CA4">
        <w:t>chaufeli, W &amp; Notelaers, G.</w:t>
      </w:r>
      <w:r w:rsidR="00114A29">
        <w:t>,</w:t>
      </w:r>
      <w:r w:rsidR="00B44BAB" w:rsidRPr="005B7CA4">
        <w:t xml:space="preserve"> 2019 </w:t>
      </w:r>
      <w:r w:rsidRPr="005B7CA4">
        <w:t>Engaging leader – Engaged employees? A cross-lagge</w:t>
      </w:r>
      <w:r w:rsidR="00B44BAB" w:rsidRPr="005B7CA4">
        <w:t>d study on employee engagement.</w:t>
      </w:r>
      <w:r w:rsidRPr="005B7CA4">
        <w:t xml:space="preserve"> </w:t>
      </w:r>
      <w:r w:rsidRPr="005B7CA4">
        <w:rPr>
          <w:i/>
          <w:iCs/>
        </w:rPr>
        <w:t>European Management Journal</w:t>
      </w:r>
      <w:r w:rsidRPr="005B7CA4">
        <w:t>, vol. 37, no. 6.</w:t>
      </w:r>
    </w:p>
    <w:p w:rsidR="00E458BC" w:rsidRPr="005B7CA4" w:rsidRDefault="00B44BAB" w:rsidP="00E458BC">
      <w:pPr>
        <w:pStyle w:val="NormalWeb"/>
        <w:spacing w:before="0" w:beforeAutospacing="0" w:after="240" w:afterAutospacing="0" w:line="360" w:lineRule="auto"/>
      </w:pPr>
      <w:r w:rsidRPr="005B7CA4">
        <w:t>Othman, S</w:t>
      </w:r>
      <w:r w:rsidR="00114A29">
        <w:t>.</w:t>
      </w:r>
      <w:r w:rsidRPr="005B7CA4">
        <w:t xml:space="preserve"> &amp; Mahmood, N.</w:t>
      </w:r>
      <w:r w:rsidR="00114A29">
        <w:t>,</w:t>
      </w:r>
      <w:r w:rsidRPr="005B7CA4">
        <w:t xml:space="preserve"> 2019 </w:t>
      </w:r>
      <w:r w:rsidR="00E458BC" w:rsidRPr="005B7CA4">
        <w:t>Linking employee engagement towards individual work performance through human resource management practice: From high pot</w:t>
      </w:r>
      <w:r w:rsidRPr="005B7CA4">
        <w:t>ential employee’s perspectives.</w:t>
      </w:r>
      <w:r w:rsidR="00E458BC" w:rsidRPr="005B7CA4">
        <w:t xml:space="preserve"> </w:t>
      </w:r>
      <w:r w:rsidR="00E458BC" w:rsidRPr="005B7CA4">
        <w:rPr>
          <w:i/>
          <w:iCs/>
        </w:rPr>
        <w:t>Management Science Letters</w:t>
      </w:r>
      <w:r w:rsidR="00E458BC" w:rsidRPr="005B7CA4">
        <w:t>, vol. 9, no. 7, pp. 1083–1092.</w:t>
      </w:r>
    </w:p>
    <w:p w:rsidR="00E458BC" w:rsidRPr="005B7CA4" w:rsidRDefault="00B44BAB" w:rsidP="00E458BC">
      <w:pPr>
        <w:pStyle w:val="NormalWeb"/>
        <w:spacing w:before="0" w:beforeAutospacing="0" w:after="240" w:afterAutospacing="0" w:line="360" w:lineRule="auto"/>
      </w:pPr>
      <w:r w:rsidRPr="005B7CA4">
        <w:t>Padhi, B</w:t>
      </w:r>
      <w:r w:rsidR="00114A29">
        <w:t>.</w:t>
      </w:r>
      <w:r w:rsidRPr="005B7CA4">
        <w:t xml:space="preserve"> &amp; Panda, DAK.</w:t>
      </w:r>
      <w:r w:rsidR="00114A29">
        <w:t>,</w:t>
      </w:r>
      <w:r w:rsidRPr="005B7CA4">
        <w:t xml:space="preserve"> 2015</w:t>
      </w:r>
      <w:r w:rsidR="00E458BC" w:rsidRPr="005B7CA4">
        <w:t xml:space="preserve"> </w:t>
      </w:r>
      <w:r w:rsidR="00E458BC" w:rsidRPr="005B7CA4">
        <w:rPr>
          <w:iCs/>
        </w:rPr>
        <w:t>A Study on Employee Engagement Models for Sustainability of Organisation</w:t>
      </w:r>
      <w:r w:rsidRPr="005B7CA4">
        <w:rPr>
          <w:iCs/>
        </w:rPr>
        <w:t>.</w:t>
      </w:r>
      <w:r w:rsidRPr="005B7CA4">
        <w:t xml:space="preserve"> </w:t>
      </w:r>
      <w:r w:rsidRPr="005B7CA4">
        <w:rPr>
          <w:i/>
        </w:rPr>
        <w:t>P</w:t>
      </w:r>
      <w:r w:rsidR="00E458BC" w:rsidRPr="005B7CA4">
        <w:rPr>
          <w:i/>
        </w:rPr>
        <w:t>apers.ssrn.com, Rochester, NY.</w:t>
      </w:r>
    </w:p>
    <w:p w:rsidR="00E458BC" w:rsidRPr="005B7CA4" w:rsidRDefault="00B44BAB" w:rsidP="00E458BC">
      <w:pPr>
        <w:pStyle w:val="NormalWeb"/>
        <w:spacing w:before="0" w:beforeAutospacing="0" w:after="240" w:afterAutospacing="0" w:line="360" w:lineRule="auto"/>
      </w:pPr>
      <w:r w:rsidRPr="005B7CA4">
        <w:t>Patonangi, A</w:t>
      </w:r>
      <w:r w:rsidR="00114A29">
        <w:t>.</w:t>
      </w:r>
      <w:r w:rsidRPr="005B7CA4">
        <w:t xml:space="preserve"> &amp; Gustomo, A.</w:t>
      </w:r>
      <w:r w:rsidR="00114A29">
        <w:t>,</w:t>
      </w:r>
      <w:r w:rsidRPr="005B7CA4">
        <w:t xml:space="preserve"> 2019 </w:t>
      </w:r>
      <w:r w:rsidR="00E458BC" w:rsidRPr="005B7CA4">
        <w:t>Improving Aon Hewitt Indonesia Employee Engagement Survey Product Usin</w:t>
      </w:r>
      <w:r w:rsidRPr="005B7CA4">
        <w:t>g Engagement-Job Burnout Model.</w:t>
      </w:r>
      <w:r w:rsidR="00E458BC" w:rsidRPr="005B7CA4">
        <w:t xml:space="preserve"> </w:t>
      </w:r>
      <w:r w:rsidR="00E458BC" w:rsidRPr="005B7CA4">
        <w:rPr>
          <w:i/>
          <w:iCs/>
        </w:rPr>
        <w:t>Jurnal Manajemen Indonesia</w:t>
      </w:r>
      <w:r w:rsidR="00E458BC" w:rsidRPr="005B7CA4">
        <w:t>, vol. 18, no. 3, p. 251.</w:t>
      </w:r>
    </w:p>
    <w:p w:rsidR="00E458BC" w:rsidRPr="005B7CA4" w:rsidRDefault="00114A29" w:rsidP="00E458BC">
      <w:pPr>
        <w:pStyle w:val="NormalWeb"/>
        <w:spacing w:before="0" w:beforeAutospacing="0" w:after="240" w:afterAutospacing="0" w:line="360" w:lineRule="auto"/>
      </w:pPr>
      <w:r>
        <w:t>Salas‐Vallina, A.</w:t>
      </w:r>
      <w:r w:rsidR="00E458BC" w:rsidRPr="005B7CA4">
        <w:t xml:space="preserve"> Alegre, J</w:t>
      </w:r>
      <w:r>
        <w:t>.</w:t>
      </w:r>
      <w:r w:rsidR="00E458BC" w:rsidRPr="005B7CA4">
        <w:t xml:space="preserve"> &amp; López‐Cabrales, Á</w:t>
      </w:r>
      <w:r w:rsidR="00B44BAB" w:rsidRPr="005B7CA4">
        <w:t>.</w:t>
      </w:r>
      <w:r>
        <w:t>,</w:t>
      </w:r>
      <w:r w:rsidR="00B44BAB" w:rsidRPr="005B7CA4">
        <w:t xml:space="preserve"> 2020 </w:t>
      </w:r>
      <w:r w:rsidR="00E458BC" w:rsidRPr="005B7CA4">
        <w:t>The challenge of increasing employees’ well‐being and performance: How human resource management practices and engaging leadership work toge</w:t>
      </w:r>
      <w:r w:rsidR="00B44BAB" w:rsidRPr="005B7CA4">
        <w:t>ther toward reaching this goal.</w:t>
      </w:r>
      <w:r w:rsidR="00E458BC" w:rsidRPr="005B7CA4">
        <w:t xml:space="preserve"> </w:t>
      </w:r>
      <w:r w:rsidR="00E458BC" w:rsidRPr="005B7CA4">
        <w:rPr>
          <w:i/>
          <w:iCs/>
        </w:rPr>
        <w:t>Human Resource Management</w:t>
      </w:r>
      <w:r w:rsidR="00E458BC" w:rsidRPr="005B7CA4">
        <w:t>, vol. 60, no. 3.</w:t>
      </w:r>
    </w:p>
    <w:p w:rsidR="00E458BC" w:rsidRPr="005B7CA4" w:rsidRDefault="00B44BAB" w:rsidP="00E458BC">
      <w:pPr>
        <w:pStyle w:val="NormalWeb"/>
        <w:spacing w:before="0" w:beforeAutospacing="0" w:after="240" w:afterAutospacing="0" w:line="360" w:lineRule="auto"/>
      </w:pPr>
      <w:r w:rsidRPr="005B7CA4">
        <w:t>Stephanie &amp; Gustomo, A.</w:t>
      </w:r>
      <w:r w:rsidR="00114A29">
        <w:t>,</w:t>
      </w:r>
      <w:r w:rsidRPr="005B7CA4">
        <w:t xml:space="preserve"> 2015 </w:t>
      </w:r>
      <w:r w:rsidR="00E458BC" w:rsidRPr="005B7CA4">
        <w:t xml:space="preserve">Proposal to Improve Employee Engagement in PT Maju Sentosa by AON Hewitt Model and Mercer Model’, </w:t>
      </w:r>
      <w:r w:rsidR="00E458BC" w:rsidRPr="005B7CA4">
        <w:rPr>
          <w:i/>
          <w:iCs/>
        </w:rPr>
        <w:t>Procedia - Social and Behavioral Sciences</w:t>
      </w:r>
      <w:r w:rsidR="00E458BC" w:rsidRPr="005B7CA4">
        <w:t>, vol. 169, pp. 363–370.</w:t>
      </w:r>
    </w:p>
    <w:p w:rsidR="00E458BC" w:rsidRPr="005B7CA4" w:rsidRDefault="00E458BC" w:rsidP="00E458BC">
      <w:pPr>
        <w:pStyle w:val="NormalWeb"/>
        <w:spacing w:before="0" w:beforeAutospacing="0" w:after="240" w:afterAutospacing="0" w:line="360" w:lineRule="auto"/>
      </w:pPr>
      <w:r w:rsidRPr="005B7CA4">
        <w:t>Stoyanova, T</w:t>
      </w:r>
      <w:r w:rsidR="00114A29">
        <w:t>.</w:t>
      </w:r>
      <w:r w:rsidRPr="005B7CA4">
        <w:t xml:space="preserve"> &amp;</w:t>
      </w:r>
      <w:r w:rsidR="00B44BAB" w:rsidRPr="005B7CA4">
        <w:t xml:space="preserve"> Iliev, I.</w:t>
      </w:r>
      <w:r w:rsidR="00114A29">
        <w:t>,</w:t>
      </w:r>
      <w:r w:rsidR="00B44BAB" w:rsidRPr="005B7CA4">
        <w:t xml:space="preserve"> 2017 </w:t>
      </w:r>
      <w:r w:rsidRPr="005B7CA4">
        <w:t>Employee engagement factor</w:t>
      </w:r>
      <w:r w:rsidR="00B44BAB" w:rsidRPr="005B7CA4">
        <w:t xml:space="preserve"> for organizational excellence.</w:t>
      </w:r>
      <w:r w:rsidRPr="005B7CA4">
        <w:t xml:space="preserve"> </w:t>
      </w:r>
      <w:r w:rsidRPr="005B7CA4">
        <w:rPr>
          <w:i/>
          <w:iCs/>
        </w:rPr>
        <w:t>International Journal of Business and Economic Sciences Applied Research (IJBESAR)</w:t>
      </w:r>
      <w:r w:rsidRPr="005B7CA4">
        <w:t>, vol. 10, no. 1, pp. 23–29.</w:t>
      </w:r>
    </w:p>
    <w:p w:rsidR="00E458BC" w:rsidRPr="005B7CA4" w:rsidRDefault="00E458BC" w:rsidP="00E458BC">
      <w:pPr>
        <w:pStyle w:val="NormalWeb"/>
        <w:spacing w:before="0" w:beforeAutospacing="0" w:after="240" w:afterAutospacing="0" w:line="360" w:lineRule="auto"/>
      </w:pPr>
      <w:r w:rsidRPr="005B7CA4">
        <w:t>Yi, L, Uddin, MdA, Das, AK, Mahmood, M</w:t>
      </w:r>
      <w:r w:rsidR="00114A29">
        <w:t>.</w:t>
      </w:r>
      <w:r w:rsidRPr="005B7CA4">
        <w:t xml:space="preserve"> &amp; Sohel, SM</w:t>
      </w:r>
      <w:r w:rsidR="00B44BAB" w:rsidRPr="005B7CA4">
        <w:t>.</w:t>
      </w:r>
      <w:r w:rsidR="00114A29">
        <w:t>,</w:t>
      </w:r>
      <w:r w:rsidR="00B44BAB" w:rsidRPr="005B7CA4">
        <w:t xml:space="preserve"> 2019 </w:t>
      </w:r>
      <w:r w:rsidRPr="005B7CA4">
        <w:t xml:space="preserve">Do Transformational Leaders Engage Employees in Sustainable Innovative Work Behaviour? </w:t>
      </w:r>
      <w:r w:rsidRPr="005B7CA4">
        <w:rPr>
          <w:i/>
        </w:rPr>
        <w:t xml:space="preserve">Perspective from a Developing Country’, </w:t>
      </w:r>
      <w:r w:rsidRPr="005B7CA4">
        <w:rPr>
          <w:i/>
          <w:iCs/>
        </w:rPr>
        <w:t>Sustainability</w:t>
      </w:r>
      <w:r w:rsidRPr="005B7CA4">
        <w:rPr>
          <w:i/>
        </w:rPr>
        <w:t>, vol. 11, no. 9, p. 2485.</w:t>
      </w:r>
    </w:p>
    <w:p w:rsidR="00E458BC" w:rsidRPr="005B7CA4" w:rsidRDefault="00B44BAB" w:rsidP="00E458BC">
      <w:pPr>
        <w:pStyle w:val="NormalWeb"/>
        <w:spacing w:before="0" w:beforeAutospacing="0" w:after="240" w:afterAutospacing="0" w:line="360" w:lineRule="auto"/>
      </w:pPr>
      <w:r w:rsidRPr="005B7CA4">
        <w:t>Zhao, R. &amp; Sheng, Y.</w:t>
      </w:r>
      <w:r w:rsidR="00114A29">
        <w:t>,</w:t>
      </w:r>
      <w:r w:rsidRPr="005B7CA4">
        <w:t xml:space="preserve"> 2019 </w:t>
      </w:r>
      <w:r w:rsidR="00E458BC" w:rsidRPr="005B7CA4">
        <w:t xml:space="preserve">The Effect of Leadership Style on Employee Engagement: the Moderating Role of Task Structure’, </w:t>
      </w:r>
      <w:r w:rsidR="00E458BC" w:rsidRPr="005B7CA4">
        <w:rPr>
          <w:i/>
          <w:iCs/>
        </w:rPr>
        <w:t>Open Journal of Social Sciences</w:t>
      </w:r>
      <w:r w:rsidR="00E458BC" w:rsidRPr="005B7CA4">
        <w:t>, vol. 07, no. 07, pp. 404–420.</w:t>
      </w:r>
    </w:p>
    <w:p w:rsidR="00E458BC" w:rsidRPr="005B7CA4" w:rsidRDefault="00E458BC" w:rsidP="00E458BC">
      <w:pPr>
        <w:rPr>
          <w:rFonts w:ascii="Times New Roman" w:hAnsi="Times New Roman" w:cs="Times New Roman"/>
        </w:rPr>
      </w:pPr>
    </w:p>
    <w:p w:rsidR="00EC2397" w:rsidRPr="005B7CA4" w:rsidRDefault="00EC2397" w:rsidP="00EC2397">
      <w:pPr>
        <w:jc w:val="center"/>
        <w:rPr>
          <w:rFonts w:ascii="Times New Roman" w:hAnsi="Times New Roman" w:cs="Times New Roman"/>
          <w:b/>
          <w:sz w:val="36"/>
        </w:rPr>
      </w:pPr>
    </w:p>
    <w:p w:rsidR="00EC2397" w:rsidRPr="005B7CA4" w:rsidRDefault="00EC2397" w:rsidP="00114A29">
      <w:pPr>
        <w:ind w:firstLine="0"/>
        <w:rPr>
          <w:rFonts w:ascii="Times New Roman" w:hAnsi="Times New Roman" w:cs="Times New Roman"/>
          <w:b/>
          <w:sz w:val="36"/>
        </w:rPr>
      </w:pPr>
    </w:p>
    <w:sectPr w:rsidR="00EC2397" w:rsidRPr="005B7CA4" w:rsidSect="00AA487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56B1" w:rsidRDefault="00DE56B1" w:rsidP="00E458BC">
      <w:pPr>
        <w:spacing w:after="0" w:line="240" w:lineRule="auto"/>
      </w:pPr>
      <w:r>
        <w:separator/>
      </w:r>
    </w:p>
  </w:endnote>
  <w:endnote w:type="continuationSeparator" w:id="0">
    <w:p w:rsidR="00DE56B1" w:rsidRDefault="00DE56B1" w:rsidP="00E45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927463"/>
      <w:docPartObj>
        <w:docPartGallery w:val="Page Numbers (Bottom of Page)"/>
        <w:docPartUnique/>
      </w:docPartObj>
    </w:sdtPr>
    <w:sdtEndPr>
      <w:rPr>
        <w:noProof/>
      </w:rPr>
    </w:sdtEndPr>
    <w:sdtContent>
      <w:p w:rsidR="00E458BC" w:rsidRDefault="00525766">
        <w:pPr>
          <w:pStyle w:val="Footer"/>
          <w:jc w:val="right"/>
        </w:pPr>
        <w:r>
          <w:fldChar w:fldCharType="begin"/>
        </w:r>
        <w:r w:rsidR="00E458BC">
          <w:instrText xml:space="preserve"> PAGE   \* MERGEFORMAT </w:instrText>
        </w:r>
        <w:r>
          <w:fldChar w:fldCharType="separate"/>
        </w:r>
        <w:r w:rsidR="00114A29">
          <w:rPr>
            <w:noProof/>
          </w:rPr>
          <w:t>11</w:t>
        </w:r>
        <w:r>
          <w:rPr>
            <w:noProof/>
          </w:rPr>
          <w:fldChar w:fldCharType="end"/>
        </w:r>
      </w:p>
    </w:sdtContent>
  </w:sdt>
  <w:p w:rsidR="00E458BC" w:rsidRDefault="00E45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56B1" w:rsidRDefault="00DE56B1" w:rsidP="00E458BC">
      <w:pPr>
        <w:spacing w:after="0" w:line="240" w:lineRule="auto"/>
      </w:pPr>
      <w:r>
        <w:separator/>
      </w:r>
    </w:p>
  </w:footnote>
  <w:footnote w:type="continuationSeparator" w:id="0">
    <w:p w:rsidR="00DE56B1" w:rsidRDefault="00DE56B1" w:rsidP="00E458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397"/>
    <w:rsid w:val="00067F59"/>
    <w:rsid w:val="00114A29"/>
    <w:rsid w:val="001300ED"/>
    <w:rsid w:val="00346D2D"/>
    <w:rsid w:val="004C778C"/>
    <w:rsid w:val="00525766"/>
    <w:rsid w:val="005B7CA4"/>
    <w:rsid w:val="007B6BBE"/>
    <w:rsid w:val="007B6D88"/>
    <w:rsid w:val="008B17A1"/>
    <w:rsid w:val="00924C6A"/>
    <w:rsid w:val="009F4F0E"/>
    <w:rsid w:val="00A71B4A"/>
    <w:rsid w:val="00A83129"/>
    <w:rsid w:val="00AA4873"/>
    <w:rsid w:val="00B227F2"/>
    <w:rsid w:val="00B44BAB"/>
    <w:rsid w:val="00C33E9D"/>
    <w:rsid w:val="00DE56B1"/>
    <w:rsid w:val="00E458BC"/>
    <w:rsid w:val="00EC239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7F64E38-5725-6D44-BE8A-4CECF807E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397"/>
    <w:pPr>
      <w:spacing w:line="360" w:lineRule="auto"/>
      <w:ind w:firstLine="709"/>
      <w:jc w:val="both"/>
    </w:pPr>
    <w:rPr>
      <w:rFonts w:ascii="Arial" w:hAnsi="Arial"/>
      <w:sz w:val="24"/>
    </w:rPr>
  </w:style>
  <w:style w:type="paragraph" w:styleId="Heading1">
    <w:name w:val="heading 1"/>
    <w:basedOn w:val="Normal"/>
    <w:next w:val="Normal"/>
    <w:link w:val="Heading1Char"/>
    <w:uiPriority w:val="9"/>
    <w:qFormat/>
    <w:rsid w:val="00EC2397"/>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83129"/>
    <w:pPr>
      <w:keepNext/>
      <w:keepLines/>
      <w:spacing w:before="280" w:after="24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33E9D"/>
    <w:pPr>
      <w:keepNext/>
      <w:keepLines/>
      <w:spacing w:before="40" w:after="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397"/>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A83129"/>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EC2397"/>
    <w:pPr>
      <w:spacing w:line="259" w:lineRule="auto"/>
      <w:ind w:firstLine="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C2397"/>
    <w:pPr>
      <w:spacing w:after="100"/>
    </w:pPr>
  </w:style>
  <w:style w:type="character" w:styleId="Hyperlink">
    <w:name w:val="Hyperlink"/>
    <w:basedOn w:val="DefaultParagraphFont"/>
    <w:uiPriority w:val="99"/>
    <w:unhideWhenUsed/>
    <w:rsid w:val="00EC2397"/>
    <w:rPr>
      <w:color w:val="0563C1" w:themeColor="hyperlink"/>
      <w:u w:val="single"/>
    </w:rPr>
  </w:style>
  <w:style w:type="paragraph" w:styleId="TOC2">
    <w:name w:val="toc 2"/>
    <w:basedOn w:val="Normal"/>
    <w:next w:val="Normal"/>
    <w:autoRedefine/>
    <w:uiPriority w:val="39"/>
    <w:unhideWhenUsed/>
    <w:rsid w:val="009F4F0E"/>
    <w:pPr>
      <w:spacing w:after="100"/>
      <w:ind w:left="240"/>
    </w:pPr>
  </w:style>
  <w:style w:type="character" w:customStyle="1" w:styleId="Heading3Char">
    <w:name w:val="Heading 3 Char"/>
    <w:basedOn w:val="DefaultParagraphFont"/>
    <w:link w:val="Heading3"/>
    <w:uiPriority w:val="9"/>
    <w:rsid w:val="00C33E9D"/>
    <w:rPr>
      <w:rFonts w:ascii="Arial" w:eastAsiaTheme="majorEastAsia" w:hAnsi="Arial" w:cstheme="majorBidi"/>
      <w:b/>
      <w:sz w:val="24"/>
      <w:szCs w:val="24"/>
      <w:u w:val="single"/>
    </w:rPr>
  </w:style>
  <w:style w:type="paragraph" w:styleId="TOC3">
    <w:name w:val="toc 3"/>
    <w:basedOn w:val="Normal"/>
    <w:next w:val="Normal"/>
    <w:autoRedefine/>
    <w:uiPriority w:val="39"/>
    <w:unhideWhenUsed/>
    <w:rsid w:val="00E458BC"/>
    <w:pPr>
      <w:spacing w:after="100"/>
      <w:ind w:left="480"/>
    </w:pPr>
  </w:style>
  <w:style w:type="paragraph" w:styleId="Header">
    <w:name w:val="header"/>
    <w:basedOn w:val="Normal"/>
    <w:link w:val="HeaderChar"/>
    <w:uiPriority w:val="99"/>
    <w:unhideWhenUsed/>
    <w:rsid w:val="00E45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8BC"/>
    <w:rPr>
      <w:rFonts w:ascii="Arial" w:hAnsi="Arial"/>
      <w:sz w:val="24"/>
    </w:rPr>
  </w:style>
  <w:style w:type="paragraph" w:styleId="Footer">
    <w:name w:val="footer"/>
    <w:basedOn w:val="Normal"/>
    <w:link w:val="FooterChar"/>
    <w:uiPriority w:val="99"/>
    <w:unhideWhenUsed/>
    <w:rsid w:val="00E45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8BC"/>
    <w:rPr>
      <w:rFonts w:ascii="Arial" w:hAnsi="Arial"/>
      <w:sz w:val="24"/>
    </w:rPr>
  </w:style>
  <w:style w:type="paragraph" w:styleId="NormalWeb">
    <w:name w:val="Normal (Web)"/>
    <w:basedOn w:val="Normal"/>
    <w:uiPriority w:val="99"/>
    <w:semiHidden/>
    <w:unhideWhenUsed/>
    <w:rsid w:val="00E458BC"/>
    <w:pPr>
      <w:spacing w:before="100" w:beforeAutospacing="1" w:after="100" w:afterAutospacing="1" w:line="240" w:lineRule="auto"/>
      <w:ind w:firstLine="0"/>
      <w:jc w:val="left"/>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B44B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BAB"/>
    <w:rPr>
      <w:rFonts w:ascii="Tahoma" w:hAnsi="Tahoma" w:cs="Tahoma"/>
      <w:sz w:val="16"/>
      <w:szCs w:val="16"/>
    </w:rPr>
  </w:style>
  <w:style w:type="paragraph" w:styleId="Title">
    <w:name w:val="Title"/>
    <w:basedOn w:val="Normal"/>
    <w:next w:val="Normal"/>
    <w:link w:val="TitleChar"/>
    <w:uiPriority w:val="10"/>
    <w:qFormat/>
    <w:rsid w:val="00B227F2"/>
    <w:pPr>
      <w:pBdr>
        <w:bottom w:val="single" w:sz="8" w:space="4" w:color="5B9BD5" w:themeColor="accent1"/>
      </w:pBdr>
      <w:spacing w:after="300" w:line="240" w:lineRule="auto"/>
      <w:ind w:firstLine="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227F2"/>
    <w:rPr>
      <w:rFonts w:asciiTheme="majorHAnsi" w:eastAsiaTheme="majorEastAsia" w:hAnsiTheme="majorHAnsi" w:cstheme="majorBidi"/>
      <w:color w:val="323E4F" w:themeColor="text2" w:themeShade="BF"/>
      <w:spacing w:val="5"/>
      <w:kern w:val="28"/>
      <w:sz w:val="52"/>
      <w:szCs w:val="52"/>
    </w:rPr>
  </w:style>
  <w:style w:type="paragraph" w:customStyle="1" w:styleId="Default">
    <w:name w:val="Default"/>
    <w:rsid w:val="00B227F2"/>
    <w:pPr>
      <w:autoSpaceDE w:val="0"/>
      <w:autoSpaceDN w:val="0"/>
      <w:adjustRightInd w:val="0"/>
      <w:spacing w:after="0" w:line="240" w:lineRule="auto"/>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397317">
      <w:bodyDiv w:val="1"/>
      <w:marLeft w:val="0"/>
      <w:marRight w:val="0"/>
      <w:marTop w:val="0"/>
      <w:marBottom w:val="0"/>
      <w:divBdr>
        <w:top w:val="none" w:sz="0" w:space="0" w:color="auto"/>
        <w:left w:val="none" w:sz="0" w:space="0" w:color="auto"/>
        <w:bottom w:val="none" w:sz="0" w:space="0" w:color="auto"/>
        <w:right w:val="none" w:sz="0" w:space="0" w:color="auto"/>
      </w:divBdr>
      <w:divsChild>
        <w:div w:id="1471631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F43F87-6033-4ECA-86D6-B81261E8CE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3048</Words>
  <Characters>17376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Ruksana Begum</cp:lastModifiedBy>
  <cp:revision>2</cp:revision>
  <dcterms:created xsi:type="dcterms:W3CDTF">2023-11-18T21:54:00Z</dcterms:created>
  <dcterms:modified xsi:type="dcterms:W3CDTF">2023-11-18T21:54:00Z</dcterms:modified>
</cp:coreProperties>
</file>