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42810" w14:textId="36263A6A" w:rsidR="001C3B2E" w:rsidRDefault="00B605EF" w:rsidP="001C3B2E">
      <w:pPr>
        <w:pStyle w:val="Title"/>
        <w:rPr>
          <w:shd w:val="clear" w:color="auto" w:fill="FFFFFF"/>
        </w:rPr>
      </w:pPr>
      <w:bookmarkStart w:id="0" w:name="_Toc130656901"/>
      <w:r>
        <w:rPr>
          <w:shd w:val="clear" w:color="auto" w:fill="FFFFFF"/>
        </w:rPr>
        <w:t>LCBB5002</w:t>
      </w:r>
    </w:p>
    <w:p w14:paraId="7423B4EB" w14:textId="32DA063F" w:rsidR="001C3B2E" w:rsidRPr="001C3B2E" w:rsidRDefault="00B605EF" w:rsidP="001C3B2E">
      <w:pPr>
        <w:pStyle w:val="Title"/>
        <w:rPr>
          <w:shd w:val="clear" w:color="auto" w:fill="FFFFFF"/>
        </w:rPr>
      </w:pPr>
      <w:r>
        <w:rPr>
          <w:shd w:val="clear" w:color="auto" w:fill="FFFFFF"/>
        </w:rPr>
        <w:t>MANAGEMENT ACCOUNTING</w:t>
      </w:r>
    </w:p>
    <w:p w14:paraId="1D90DAF7" w14:textId="0146FA08" w:rsidR="002E590C" w:rsidRDefault="001C3B2E" w:rsidP="001C3B2E">
      <w:pPr>
        <w:jc w:val="center"/>
      </w:pPr>
      <w:r w:rsidRPr="001C3B2E">
        <w:rPr>
          <w:b/>
          <w:bCs/>
          <w:sz w:val="40"/>
          <w:szCs w:val="40"/>
        </w:rPr>
        <w:t xml:space="preserve"> </w:t>
      </w:r>
      <w:r w:rsidR="00B605EF" w:rsidRPr="001C3B2E">
        <w:rPr>
          <w:b/>
          <w:bCs/>
          <w:sz w:val="40"/>
          <w:szCs w:val="40"/>
        </w:rPr>
        <w:t>Student Name:</w:t>
      </w:r>
      <w:r w:rsidR="00B605EF" w:rsidRPr="00B605EF">
        <w:rPr>
          <w:b/>
          <w:bCs/>
        </w:rPr>
        <w:t xml:space="preserve"> </w:t>
      </w:r>
      <w:r>
        <w:rPr>
          <w:b/>
          <w:bCs/>
          <w:sz w:val="40"/>
          <w:szCs w:val="40"/>
        </w:rPr>
        <w:t>Corina Tiseanu</w:t>
      </w:r>
      <w:r w:rsidR="002E590C">
        <w:br w:type="page"/>
      </w:r>
    </w:p>
    <w:sdt>
      <w:sdtPr>
        <w:rPr>
          <w:rFonts w:ascii="Arial" w:eastAsiaTheme="minorHAnsi" w:hAnsi="Arial" w:cs="Arial"/>
          <w:color w:val="auto"/>
          <w:sz w:val="24"/>
          <w:szCs w:val="22"/>
          <w:lang w:val="en-IN"/>
        </w:rPr>
        <w:id w:val="892083016"/>
        <w:docPartObj>
          <w:docPartGallery w:val="Table of Contents"/>
          <w:docPartUnique/>
        </w:docPartObj>
      </w:sdtPr>
      <w:sdtEndPr>
        <w:rPr>
          <w:rFonts w:ascii="Times New Roman" w:hAnsi="Times New Roman" w:cstheme="minorBidi"/>
          <w:b/>
          <w:bCs/>
          <w:noProof/>
        </w:rPr>
      </w:sdtEndPr>
      <w:sdtContent>
        <w:p w14:paraId="2F6BADA1" w14:textId="194C2E3A" w:rsidR="002E590C" w:rsidRPr="002E590C" w:rsidRDefault="002E590C">
          <w:pPr>
            <w:pStyle w:val="TOCHeading"/>
            <w:rPr>
              <w:rFonts w:ascii="Arial" w:hAnsi="Arial" w:cs="Arial"/>
              <w:color w:val="auto"/>
            </w:rPr>
          </w:pPr>
          <w:r w:rsidRPr="002E590C">
            <w:rPr>
              <w:rFonts w:ascii="Arial" w:hAnsi="Arial" w:cs="Arial"/>
              <w:color w:val="auto"/>
            </w:rPr>
            <w:t>Table of Contents</w:t>
          </w:r>
        </w:p>
        <w:p w14:paraId="728EA4A0" w14:textId="37A0D816" w:rsidR="002E590C" w:rsidRDefault="002E590C">
          <w:pPr>
            <w:pStyle w:val="TOC1"/>
            <w:tabs>
              <w:tab w:val="right" w:leader="dot" w:pos="9016"/>
            </w:tabs>
            <w:rPr>
              <w:noProof/>
            </w:rPr>
          </w:pPr>
          <w:r>
            <w:fldChar w:fldCharType="begin"/>
          </w:r>
          <w:r>
            <w:instrText xml:space="preserve"> TOC \o "1-3" \h \z \u </w:instrText>
          </w:r>
          <w:r>
            <w:fldChar w:fldCharType="separate"/>
          </w:r>
          <w:hyperlink w:anchor="_Toc140673957" w:history="1">
            <w:r w:rsidRPr="00EF34F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_Toc140673957 \h </w:instrText>
            </w:r>
            <w:r>
              <w:rPr>
                <w:noProof/>
                <w:webHidden/>
              </w:rPr>
            </w:r>
            <w:r>
              <w:rPr>
                <w:noProof/>
                <w:webHidden/>
              </w:rPr>
              <w:fldChar w:fldCharType="separate"/>
            </w:r>
            <w:r>
              <w:rPr>
                <w:noProof/>
                <w:webHidden/>
              </w:rPr>
              <w:t>3</w:t>
            </w:r>
            <w:r>
              <w:rPr>
                <w:noProof/>
                <w:webHidden/>
              </w:rPr>
              <w:fldChar w:fldCharType="end"/>
            </w:r>
          </w:hyperlink>
        </w:p>
        <w:p w14:paraId="654E8423" w14:textId="1BAB4248" w:rsidR="002E590C" w:rsidRDefault="00000000">
          <w:pPr>
            <w:pStyle w:val="TOC1"/>
            <w:tabs>
              <w:tab w:val="right" w:leader="dot" w:pos="9016"/>
            </w:tabs>
            <w:rPr>
              <w:noProof/>
            </w:rPr>
          </w:pPr>
          <w:hyperlink w:anchor="_Toc140673958" w:history="1">
            <w:r w:rsidR="002E590C" w:rsidRPr="00EF34F8">
              <w:rPr>
                <w:rStyle w:val="Hyperlink"/>
                <w:rFonts w:ascii="Arial" w:hAnsi="Arial" w:cs="Arial"/>
                <w:noProof/>
              </w:rPr>
              <w:t>1.1CALCULATION OF FIXED AND VARIABLE OVERHEADS USING HIGH/LOW METHOD</w:t>
            </w:r>
            <w:r w:rsidR="002E590C">
              <w:rPr>
                <w:noProof/>
                <w:webHidden/>
              </w:rPr>
              <w:tab/>
            </w:r>
            <w:r w:rsidR="002E590C">
              <w:rPr>
                <w:noProof/>
                <w:webHidden/>
              </w:rPr>
              <w:fldChar w:fldCharType="begin"/>
            </w:r>
            <w:r w:rsidR="002E590C">
              <w:rPr>
                <w:noProof/>
                <w:webHidden/>
              </w:rPr>
              <w:instrText xml:space="preserve"> PAGEREF _Toc140673958 \h </w:instrText>
            </w:r>
            <w:r w:rsidR="002E590C">
              <w:rPr>
                <w:noProof/>
                <w:webHidden/>
              </w:rPr>
            </w:r>
            <w:r w:rsidR="002E590C">
              <w:rPr>
                <w:noProof/>
                <w:webHidden/>
              </w:rPr>
              <w:fldChar w:fldCharType="separate"/>
            </w:r>
            <w:r w:rsidR="002E590C">
              <w:rPr>
                <w:noProof/>
                <w:webHidden/>
              </w:rPr>
              <w:t>4</w:t>
            </w:r>
            <w:r w:rsidR="002E590C">
              <w:rPr>
                <w:noProof/>
                <w:webHidden/>
              </w:rPr>
              <w:fldChar w:fldCharType="end"/>
            </w:r>
          </w:hyperlink>
        </w:p>
        <w:p w14:paraId="10300FDB" w14:textId="1BEC30E6" w:rsidR="002E590C" w:rsidRDefault="00000000">
          <w:pPr>
            <w:pStyle w:val="TOC1"/>
            <w:tabs>
              <w:tab w:val="right" w:leader="dot" w:pos="9016"/>
            </w:tabs>
            <w:rPr>
              <w:noProof/>
            </w:rPr>
          </w:pPr>
          <w:hyperlink w:anchor="_Toc140673959" w:history="1">
            <w:r w:rsidR="002E590C" w:rsidRPr="00EF34F8">
              <w:rPr>
                <w:rStyle w:val="Hyperlink"/>
                <w:rFonts w:ascii="Arial" w:hAnsi="Arial" w:cs="Arial"/>
                <w:noProof/>
              </w:rPr>
              <w:t>1.2 If budget contract is honoured</w:t>
            </w:r>
            <w:r w:rsidR="002E590C">
              <w:rPr>
                <w:noProof/>
                <w:webHidden/>
              </w:rPr>
              <w:tab/>
            </w:r>
            <w:r w:rsidR="002E590C">
              <w:rPr>
                <w:noProof/>
                <w:webHidden/>
              </w:rPr>
              <w:fldChar w:fldCharType="begin"/>
            </w:r>
            <w:r w:rsidR="002E590C">
              <w:rPr>
                <w:noProof/>
                <w:webHidden/>
              </w:rPr>
              <w:instrText xml:space="preserve"> PAGEREF _Toc140673959 \h </w:instrText>
            </w:r>
            <w:r w:rsidR="002E590C">
              <w:rPr>
                <w:noProof/>
                <w:webHidden/>
              </w:rPr>
            </w:r>
            <w:r w:rsidR="002E590C">
              <w:rPr>
                <w:noProof/>
                <w:webHidden/>
              </w:rPr>
              <w:fldChar w:fldCharType="separate"/>
            </w:r>
            <w:r w:rsidR="002E590C">
              <w:rPr>
                <w:noProof/>
                <w:webHidden/>
              </w:rPr>
              <w:t>5</w:t>
            </w:r>
            <w:r w:rsidR="002E590C">
              <w:rPr>
                <w:noProof/>
                <w:webHidden/>
              </w:rPr>
              <w:fldChar w:fldCharType="end"/>
            </w:r>
          </w:hyperlink>
        </w:p>
        <w:p w14:paraId="1EDCEF92" w14:textId="1D354430" w:rsidR="002E590C" w:rsidRDefault="00000000">
          <w:pPr>
            <w:pStyle w:val="TOC1"/>
            <w:tabs>
              <w:tab w:val="right" w:leader="dot" w:pos="9016"/>
            </w:tabs>
            <w:rPr>
              <w:noProof/>
            </w:rPr>
          </w:pPr>
          <w:hyperlink w:anchor="_Toc140673960" w:history="1">
            <w:r w:rsidR="002E590C" w:rsidRPr="00EF34F8">
              <w:rPr>
                <w:rStyle w:val="Hyperlink"/>
                <w:rFonts w:ascii="Arial" w:hAnsi="Arial" w:cs="Arial"/>
                <w:noProof/>
              </w:rPr>
              <w:t>1.3 If budget contract is not honoured</w:t>
            </w:r>
            <w:r w:rsidR="002E590C">
              <w:rPr>
                <w:noProof/>
                <w:webHidden/>
              </w:rPr>
              <w:tab/>
            </w:r>
            <w:r w:rsidR="002E590C">
              <w:rPr>
                <w:noProof/>
                <w:webHidden/>
              </w:rPr>
              <w:fldChar w:fldCharType="begin"/>
            </w:r>
            <w:r w:rsidR="002E590C">
              <w:rPr>
                <w:noProof/>
                <w:webHidden/>
              </w:rPr>
              <w:instrText xml:space="preserve"> PAGEREF _Toc140673960 \h </w:instrText>
            </w:r>
            <w:r w:rsidR="002E590C">
              <w:rPr>
                <w:noProof/>
                <w:webHidden/>
              </w:rPr>
            </w:r>
            <w:r w:rsidR="002E590C">
              <w:rPr>
                <w:noProof/>
                <w:webHidden/>
              </w:rPr>
              <w:fldChar w:fldCharType="separate"/>
            </w:r>
            <w:r w:rsidR="002E590C">
              <w:rPr>
                <w:noProof/>
                <w:webHidden/>
              </w:rPr>
              <w:t>5</w:t>
            </w:r>
            <w:r w:rsidR="002E590C">
              <w:rPr>
                <w:noProof/>
                <w:webHidden/>
              </w:rPr>
              <w:fldChar w:fldCharType="end"/>
            </w:r>
          </w:hyperlink>
        </w:p>
        <w:p w14:paraId="1CDF718F" w14:textId="0F8D57A2" w:rsidR="002E590C" w:rsidRDefault="00000000">
          <w:pPr>
            <w:pStyle w:val="TOC1"/>
            <w:tabs>
              <w:tab w:val="right" w:leader="dot" w:pos="9016"/>
            </w:tabs>
            <w:rPr>
              <w:noProof/>
            </w:rPr>
          </w:pPr>
          <w:hyperlink w:anchor="_Toc140673961" w:history="1">
            <w:r w:rsidR="002E590C" w:rsidRPr="00EF34F8">
              <w:rPr>
                <w:rStyle w:val="Hyperlink"/>
                <w:rFonts w:ascii="Arial" w:hAnsi="Arial" w:cs="Arial"/>
                <w:noProof/>
              </w:rPr>
              <w:t>1.4 Qualitative and Quantitative Factors Analysis</w:t>
            </w:r>
            <w:r w:rsidR="002E590C">
              <w:rPr>
                <w:noProof/>
                <w:webHidden/>
              </w:rPr>
              <w:tab/>
            </w:r>
            <w:r w:rsidR="002E590C">
              <w:rPr>
                <w:noProof/>
                <w:webHidden/>
              </w:rPr>
              <w:fldChar w:fldCharType="begin"/>
            </w:r>
            <w:r w:rsidR="002E590C">
              <w:rPr>
                <w:noProof/>
                <w:webHidden/>
              </w:rPr>
              <w:instrText xml:space="preserve"> PAGEREF _Toc140673961 \h </w:instrText>
            </w:r>
            <w:r w:rsidR="002E590C">
              <w:rPr>
                <w:noProof/>
                <w:webHidden/>
              </w:rPr>
            </w:r>
            <w:r w:rsidR="002E590C">
              <w:rPr>
                <w:noProof/>
                <w:webHidden/>
              </w:rPr>
              <w:fldChar w:fldCharType="separate"/>
            </w:r>
            <w:r w:rsidR="002E590C">
              <w:rPr>
                <w:noProof/>
                <w:webHidden/>
              </w:rPr>
              <w:t>6</w:t>
            </w:r>
            <w:r w:rsidR="002E590C">
              <w:rPr>
                <w:noProof/>
                <w:webHidden/>
              </w:rPr>
              <w:fldChar w:fldCharType="end"/>
            </w:r>
          </w:hyperlink>
        </w:p>
        <w:p w14:paraId="4314334C" w14:textId="7F0257F0" w:rsidR="002E590C" w:rsidRDefault="00000000">
          <w:pPr>
            <w:pStyle w:val="TOC1"/>
            <w:tabs>
              <w:tab w:val="right" w:leader="dot" w:pos="9016"/>
            </w:tabs>
            <w:rPr>
              <w:noProof/>
            </w:rPr>
          </w:pPr>
          <w:hyperlink w:anchor="_Toc140673962" w:history="1">
            <w:r w:rsidR="002E590C" w:rsidRPr="00EF34F8">
              <w:rPr>
                <w:rStyle w:val="Hyperlink"/>
                <w:rFonts w:ascii="Arial" w:hAnsi="Arial" w:cs="Arial"/>
                <w:noProof/>
              </w:rPr>
              <w:t>1.5 Limiting factors and its assumptions and limitations</w:t>
            </w:r>
            <w:r w:rsidR="002E590C">
              <w:rPr>
                <w:noProof/>
                <w:webHidden/>
              </w:rPr>
              <w:tab/>
            </w:r>
            <w:r w:rsidR="002E590C">
              <w:rPr>
                <w:noProof/>
                <w:webHidden/>
              </w:rPr>
              <w:fldChar w:fldCharType="begin"/>
            </w:r>
            <w:r w:rsidR="002E590C">
              <w:rPr>
                <w:noProof/>
                <w:webHidden/>
              </w:rPr>
              <w:instrText xml:space="preserve"> PAGEREF _Toc140673962 \h </w:instrText>
            </w:r>
            <w:r w:rsidR="002E590C">
              <w:rPr>
                <w:noProof/>
                <w:webHidden/>
              </w:rPr>
            </w:r>
            <w:r w:rsidR="002E590C">
              <w:rPr>
                <w:noProof/>
                <w:webHidden/>
              </w:rPr>
              <w:fldChar w:fldCharType="separate"/>
            </w:r>
            <w:r w:rsidR="002E590C">
              <w:rPr>
                <w:noProof/>
                <w:webHidden/>
              </w:rPr>
              <w:t>8</w:t>
            </w:r>
            <w:r w:rsidR="002E590C">
              <w:rPr>
                <w:noProof/>
                <w:webHidden/>
              </w:rPr>
              <w:fldChar w:fldCharType="end"/>
            </w:r>
          </w:hyperlink>
        </w:p>
        <w:p w14:paraId="7900B4DC" w14:textId="18C0F4C3" w:rsidR="002E590C" w:rsidRDefault="00000000">
          <w:pPr>
            <w:pStyle w:val="TOC1"/>
            <w:tabs>
              <w:tab w:val="right" w:leader="dot" w:pos="9016"/>
            </w:tabs>
            <w:rPr>
              <w:noProof/>
            </w:rPr>
          </w:pPr>
          <w:hyperlink w:anchor="_Toc140673963" w:history="1">
            <w:r w:rsidR="002E590C" w:rsidRPr="00EF34F8">
              <w:rPr>
                <w:rStyle w:val="Hyperlink"/>
                <w:rFonts w:ascii="Arial" w:hAnsi="Arial" w:cs="Arial"/>
                <w:noProof/>
              </w:rPr>
              <w:t>Conclusion</w:t>
            </w:r>
            <w:r w:rsidR="002E590C">
              <w:rPr>
                <w:noProof/>
                <w:webHidden/>
              </w:rPr>
              <w:tab/>
            </w:r>
            <w:r w:rsidR="002E590C">
              <w:rPr>
                <w:noProof/>
                <w:webHidden/>
              </w:rPr>
              <w:fldChar w:fldCharType="begin"/>
            </w:r>
            <w:r w:rsidR="002E590C">
              <w:rPr>
                <w:noProof/>
                <w:webHidden/>
              </w:rPr>
              <w:instrText xml:space="preserve"> PAGEREF _Toc140673963 \h </w:instrText>
            </w:r>
            <w:r w:rsidR="002E590C">
              <w:rPr>
                <w:noProof/>
                <w:webHidden/>
              </w:rPr>
            </w:r>
            <w:r w:rsidR="002E590C">
              <w:rPr>
                <w:noProof/>
                <w:webHidden/>
              </w:rPr>
              <w:fldChar w:fldCharType="separate"/>
            </w:r>
            <w:r w:rsidR="002E590C">
              <w:rPr>
                <w:noProof/>
                <w:webHidden/>
              </w:rPr>
              <w:t>10</w:t>
            </w:r>
            <w:r w:rsidR="002E590C">
              <w:rPr>
                <w:noProof/>
                <w:webHidden/>
              </w:rPr>
              <w:fldChar w:fldCharType="end"/>
            </w:r>
          </w:hyperlink>
        </w:p>
        <w:p w14:paraId="2B275C5A" w14:textId="041965F3" w:rsidR="002E590C" w:rsidRDefault="00000000">
          <w:pPr>
            <w:pStyle w:val="TOC1"/>
            <w:tabs>
              <w:tab w:val="right" w:leader="dot" w:pos="9016"/>
            </w:tabs>
            <w:rPr>
              <w:noProof/>
            </w:rPr>
          </w:pPr>
          <w:hyperlink w:anchor="_Toc140673964" w:history="1">
            <w:r w:rsidR="002E590C" w:rsidRPr="00EF34F8">
              <w:rPr>
                <w:rStyle w:val="Hyperlink"/>
                <w:rFonts w:ascii="Arial" w:hAnsi="Arial" w:cs="Arial"/>
                <w:noProof/>
              </w:rPr>
              <w:t>References</w:t>
            </w:r>
            <w:r w:rsidR="002E590C">
              <w:rPr>
                <w:noProof/>
                <w:webHidden/>
              </w:rPr>
              <w:tab/>
            </w:r>
            <w:r w:rsidR="002E590C">
              <w:rPr>
                <w:noProof/>
                <w:webHidden/>
              </w:rPr>
              <w:fldChar w:fldCharType="begin"/>
            </w:r>
            <w:r w:rsidR="002E590C">
              <w:rPr>
                <w:noProof/>
                <w:webHidden/>
              </w:rPr>
              <w:instrText xml:space="preserve"> PAGEREF _Toc140673964 \h </w:instrText>
            </w:r>
            <w:r w:rsidR="002E590C">
              <w:rPr>
                <w:noProof/>
                <w:webHidden/>
              </w:rPr>
            </w:r>
            <w:r w:rsidR="002E590C">
              <w:rPr>
                <w:noProof/>
                <w:webHidden/>
              </w:rPr>
              <w:fldChar w:fldCharType="separate"/>
            </w:r>
            <w:r w:rsidR="002E590C">
              <w:rPr>
                <w:noProof/>
                <w:webHidden/>
              </w:rPr>
              <w:t>11</w:t>
            </w:r>
            <w:r w:rsidR="002E590C">
              <w:rPr>
                <w:noProof/>
                <w:webHidden/>
              </w:rPr>
              <w:fldChar w:fldCharType="end"/>
            </w:r>
          </w:hyperlink>
        </w:p>
        <w:p w14:paraId="50F0C46A" w14:textId="5D68D1F9" w:rsidR="002E590C" w:rsidRDefault="002E590C">
          <w:r>
            <w:rPr>
              <w:b/>
              <w:bCs/>
              <w:noProof/>
            </w:rPr>
            <w:fldChar w:fldCharType="end"/>
          </w:r>
        </w:p>
      </w:sdtContent>
    </w:sdt>
    <w:p w14:paraId="1EB79CA6" w14:textId="05014A6D" w:rsidR="002E590C" w:rsidRDefault="002E590C">
      <w:pPr>
        <w:spacing w:line="259" w:lineRule="auto"/>
        <w:jc w:val="left"/>
        <w:rPr>
          <w:rFonts w:ascii="Arial" w:eastAsiaTheme="majorEastAsia" w:hAnsi="Arial" w:cs="Arial"/>
          <w:b/>
          <w:sz w:val="28"/>
          <w:szCs w:val="32"/>
        </w:rPr>
      </w:pPr>
      <w:r>
        <w:rPr>
          <w:rFonts w:ascii="Arial" w:hAnsi="Arial" w:cs="Arial"/>
        </w:rPr>
        <w:br w:type="page"/>
      </w:r>
    </w:p>
    <w:p w14:paraId="55037B5D" w14:textId="67C57F75" w:rsidR="00D6161F" w:rsidRPr="002E590C" w:rsidRDefault="00D6161F" w:rsidP="00454E08">
      <w:pPr>
        <w:pStyle w:val="Heading1"/>
        <w:rPr>
          <w:rFonts w:ascii="Arial" w:hAnsi="Arial" w:cs="Arial"/>
        </w:rPr>
      </w:pPr>
      <w:bookmarkStart w:id="1" w:name="_Toc140673957"/>
      <w:r w:rsidRPr="002E590C">
        <w:rPr>
          <w:rFonts w:ascii="Arial" w:hAnsi="Arial" w:cs="Arial"/>
        </w:rPr>
        <w:lastRenderedPageBreak/>
        <w:t>Introduction</w:t>
      </w:r>
      <w:bookmarkEnd w:id="0"/>
      <w:bookmarkEnd w:id="1"/>
      <w:r w:rsidRPr="002E590C">
        <w:rPr>
          <w:rFonts w:ascii="Arial" w:hAnsi="Arial" w:cs="Arial"/>
        </w:rPr>
        <w:t xml:space="preserve"> </w:t>
      </w:r>
    </w:p>
    <w:p w14:paraId="5D106015" w14:textId="77777777" w:rsidR="009E216B" w:rsidRPr="002E590C" w:rsidRDefault="009E216B" w:rsidP="000E7A92">
      <w:pPr>
        <w:rPr>
          <w:rFonts w:ascii="Arial" w:hAnsi="Arial" w:cs="Arial"/>
          <w:sz w:val="22"/>
        </w:rPr>
      </w:pPr>
      <w:r w:rsidRPr="002E590C">
        <w:rPr>
          <w:rFonts w:ascii="Arial" w:hAnsi="Arial" w:cs="Arial"/>
          <w:sz w:val="22"/>
        </w:rPr>
        <w:t xml:space="preserve">The purpose of this report is to help management in taking decision if it is better for business to dishonour a contract and pay the associated penalty, or to honour the contract and avoid the penalty. STG will have to make this decision due to a predicted shortage of special strengthening wire in 2022–2023. This limitation means that the corporation must use the Cost-Volume-Profit management approach to decide </w:t>
      </w:r>
      <w:proofErr w:type="gramStart"/>
      <w:r w:rsidRPr="002E590C">
        <w:rPr>
          <w:rFonts w:ascii="Arial" w:hAnsi="Arial" w:cs="Arial"/>
          <w:sz w:val="22"/>
        </w:rPr>
        <w:t>whether or not</w:t>
      </w:r>
      <w:proofErr w:type="gramEnd"/>
      <w:r w:rsidRPr="002E590C">
        <w:rPr>
          <w:rFonts w:ascii="Arial" w:hAnsi="Arial" w:cs="Arial"/>
          <w:sz w:val="22"/>
        </w:rPr>
        <w:t xml:space="preserve"> to accept a contract that the sales director has already signed. Different computations will be carried out using the various approaches. The High-Low approach will be used to separate semi-variable overhead costs into fixed costs and variable cost. The cost of fulfilling or failing to fulfil the budgeted contract will then be calculated. The board of directors will be presented with a variety of qualitative and quantitative reason from which to choose. The importance of the limiting factor concept in STG will be explored. The CVP method's assumptions and limitations will also be explored. </w:t>
      </w:r>
    </w:p>
    <w:p w14:paraId="015670FD" w14:textId="77777777" w:rsidR="00116676" w:rsidRPr="002E590C" w:rsidRDefault="00116676" w:rsidP="000E7A92">
      <w:pPr>
        <w:rPr>
          <w:rFonts w:ascii="Arial" w:hAnsi="Arial" w:cs="Arial"/>
          <w:sz w:val="22"/>
        </w:rPr>
      </w:pPr>
      <w:r w:rsidRPr="002E590C">
        <w:rPr>
          <w:rFonts w:ascii="Arial" w:hAnsi="Arial" w:cs="Arial"/>
          <w:sz w:val="22"/>
        </w:rPr>
        <w:br w:type="page"/>
      </w:r>
    </w:p>
    <w:p w14:paraId="51F4FA36" w14:textId="7F053DE5" w:rsidR="006132E7" w:rsidRPr="002E590C" w:rsidRDefault="00454E08" w:rsidP="00454E08">
      <w:pPr>
        <w:pStyle w:val="Heading1"/>
        <w:rPr>
          <w:rFonts w:ascii="Arial" w:hAnsi="Arial" w:cs="Arial"/>
        </w:rPr>
      </w:pPr>
      <w:bookmarkStart w:id="2" w:name="_Toc140673958"/>
      <w:r w:rsidRPr="002E590C">
        <w:rPr>
          <w:rFonts w:ascii="Arial" w:hAnsi="Arial" w:cs="Arial"/>
        </w:rPr>
        <w:lastRenderedPageBreak/>
        <w:t>1.1</w:t>
      </w:r>
      <w:r w:rsidR="00B60E2E" w:rsidRPr="002E590C">
        <w:rPr>
          <w:rFonts w:ascii="Arial" w:hAnsi="Arial" w:cs="Arial"/>
        </w:rPr>
        <w:t xml:space="preserve">CALCULATION OF FIXED AND VARIABLE OVERHEADS </w:t>
      </w:r>
      <w:r w:rsidR="003874D5" w:rsidRPr="002E590C">
        <w:rPr>
          <w:rFonts w:ascii="Arial" w:hAnsi="Arial" w:cs="Arial"/>
        </w:rPr>
        <w:t>USING HIGH/LOW METHOD</w:t>
      </w:r>
      <w:bookmarkEnd w:id="2"/>
    </w:p>
    <w:tbl>
      <w:tblPr>
        <w:tblW w:w="0" w:type="auto"/>
        <w:tblLook w:val="04A0" w:firstRow="1" w:lastRow="0" w:firstColumn="1" w:lastColumn="0" w:noHBand="0" w:noVBand="1"/>
      </w:tblPr>
      <w:tblGrid>
        <w:gridCol w:w="5544"/>
        <w:gridCol w:w="1134"/>
        <w:gridCol w:w="1170"/>
        <w:gridCol w:w="1158"/>
      </w:tblGrid>
      <w:tr w:rsidR="00412BBD" w:rsidRPr="00412BBD" w14:paraId="4D7EF0E6" w14:textId="77777777" w:rsidTr="00412BBD">
        <w:trPr>
          <w:trHeight w:val="300"/>
        </w:trPr>
        <w:tc>
          <w:tcPr>
            <w:tcW w:w="0" w:type="auto"/>
            <w:tcBorders>
              <w:top w:val="single" w:sz="8" w:space="0" w:color="auto"/>
              <w:left w:val="single" w:sz="8" w:space="0" w:color="auto"/>
              <w:bottom w:val="single" w:sz="8" w:space="0" w:color="auto"/>
              <w:right w:val="nil"/>
            </w:tcBorders>
            <w:shd w:val="clear" w:color="4472C4" w:fill="4472C4"/>
            <w:noWrap/>
            <w:vAlign w:val="bottom"/>
            <w:hideMark/>
          </w:tcPr>
          <w:p w14:paraId="60591053" w14:textId="77777777" w:rsidR="00412BBD" w:rsidRPr="00412BBD" w:rsidRDefault="00412BBD" w:rsidP="000E7A92">
            <w:pPr>
              <w:spacing w:after="0"/>
              <w:rPr>
                <w:rFonts w:ascii="Arial" w:eastAsia="Times New Roman" w:hAnsi="Arial" w:cs="Arial"/>
                <w:b/>
                <w:bCs/>
                <w:color w:val="FFFFFF"/>
                <w:sz w:val="22"/>
                <w:lang w:eastAsia="en-IN"/>
              </w:rPr>
            </w:pPr>
          </w:p>
        </w:tc>
        <w:tc>
          <w:tcPr>
            <w:tcW w:w="0" w:type="auto"/>
            <w:tcBorders>
              <w:top w:val="single" w:sz="8" w:space="0" w:color="auto"/>
              <w:left w:val="single" w:sz="8" w:space="0" w:color="auto"/>
              <w:bottom w:val="single" w:sz="8" w:space="0" w:color="auto"/>
              <w:right w:val="single" w:sz="8" w:space="0" w:color="auto"/>
            </w:tcBorders>
            <w:shd w:val="clear" w:color="4472C4" w:fill="4472C4"/>
            <w:noWrap/>
            <w:vAlign w:val="bottom"/>
            <w:hideMark/>
          </w:tcPr>
          <w:p w14:paraId="53D438C9" w14:textId="77777777" w:rsidR="00412BBD" w:rsidRPr="00412BBD" w:rsidRDefault="00412BBD" w:rsidP="000E7A92">
            <w:pPr>
              <w:spacing w:after="0"/>
              <w:rPr>
                <w:rFonts w:ascii="Arial" w:eastAsia="Times New Roman" w:hAnsi="Arial" w:cs="Arial"/>
                <w:b/>
                <w:bCs/>
                <w:color w:val="FFFFFF"/>
                <w:sz w:val="22"/>
                <w:lang w:eastAsia="en-IN"/>
              </w:rPr>
            </w:pPr>
            <w:r w:rsidRPr="00412BBD">
              <w:rPr>
                <w:rFonts w:ascii="Arial" w:eastAsia="Times New Roman" w:hAnsi="Arial" w:cs="Arial"/>
                <w:b/>
                <w:bCs/>
                <w:color w:val="FFFFFF"/>
                <w:sz w:val="22"/>
                <w:lang w:eastAsia="en-IN"/>
              </w:rPr>
              <w:t xml:space="preserve">Budget </w:t>
            </w:r>
          </w:p>
        </w:tc>
        <w:tc>
          <w:tcPr>
            <w:tcW w:w="0" w:type="auto"/>
            <w:tcBorders>
              <w:top w:val="single" w:sz="8" w:space="0" w:color="auto"/>
              <w:left w:val="nil"/>
              <w:bottom w:val="single" w:sz="8" w:space="0" w:color="auto"/>
              <w:right w:val="nil"/>
            </w:tcBorders>
            <w:shd w:val="clear" w:color="4472C4" w:fill="4472C4"/>
            <w:noWrap/>
            <w:vAlign w:val="bottom"/>
            <w:hideMark/>
          </w:tcPr>
          <w:p w14:paraId="0F9361CC" w14:textId="77777777" w:rsidR="00412BBD" w:rsidRPr="00412BBD" w:rsidRDefault="00412BBD" w:rsidP="000E7A92">
            <w:pPr>
              <w:spacing w:after="0"/>
              <w:rPr>
                <w:rFonts w:ascii="Arial" w:eastAsia="Times New Roman" w:hAnsi="Arial" w:cs="Arial"/>
                <w:b/>
                <w:bCs/>
                <w:color w:val="FFFFFF"/>
                <w:sz w:val="22"/>
                <w:lang w:eastAsia="en-IN"/>
              </w:rPr>
            </w:pPr>
            <w:r w:rsidRPr="00412BBD">
              <w:rPr>
                <w:rFonts w:ascii="Arial" w:eastAsia="Times New Roman" w:hAnsi="Arial" w:cs="Arial"/>
                <w:b/>
                <w:bCs/>
                <w:color w:val="FFFFFF"/>
                <w:sz w:val="22"/>
                <w:lang w:eastAsia="en-IN"/>
              </w:rPr>
              <w:t xml:space="preserve">Standard </w:t>
            </w:r>
          </w:p>
        </w:tc>
        <w:tc>
          <w:tcPr>
            <w:tcW w:w="0" w:type="auto"/>
            <w:tcBorders>
              <w:top w:val="single" w:sz="8" w:space="0" w:color="auto"/>
              <w:left w:val="single" w:sz="8" w:space="0" w:color="auto"/>
              <w:bottom w:val="single" w:sz="8" w:space="0" w:color="auto"/>
              <w:right w:val="single" w:sz="8" w:space="0" w:color="auto"/>
            </w:tcBorders>
            <w:shd w:val="clear" w:color="4472C4" w:fill="4472C4"/>
            <w:noWrap/>
            <w:vAlign w:val="bottom"/>
            <w:hideMark/>
          </w:tcPr>
          <w:p w14:paraId="241B7C5E" w14:textId="77777777" w:rsidR="00412BBD" w:rsidRPr="00412BBD" w:rsidRDefault="00412BBD" w:rsidP="000E7A92">
            <w:pPr>
              <w:spacing w:after="0"/>
              <w:rPr>
                <w:rFonts w:ascii="Arial" w:eastAsia="Times New Roman" w:hAnsi="Arial" w:cs="Arial"/>
                <w:b/>
                <w:bCs/>
                <w:color w:val="FFFFFF"/>
                <w:sz w:val="22"/>
                <w:lang w:eastAsia="en-IN"/>
              </w:rPr>
            </w:pPr>
            <w:r w:rsidRPr="00412BBD">
              <w:rPr>
                <w:rFonts w:ascii="Arial" w:eastAsia="Times New Roman" w:hAnsi="Arial" w:cs="Arial"/>
                <w:b/>
                <w:bCs/>
                <w:color w:val="FFFFFF"/>
                <w:sz w:val="22"/>
                <w:lang w:eastAsia="en-IN"/>
              </w:rPr>
              <w:t xml:space="preserve">Premium </w:t>
            </w:r>
          </w:p>
        </w:tc>
      </w:tr>
      <w:tr w:rsidR="00412BBD" w:rsidRPr="00412BBD" w14:paraId="04D05C14" w14:textId="77777777" w:rsidTr="00412BBD">
        <w:trPr>
          <w:trHeight w:val="288"/>
        </w:trPr>
        <w:tc>
          <w:tcPr>
            <w:tcW w:w="0" w:type="auto"/>
            <w:tcBorders>
              <w:top w:val="single" w:sz="4" w:space="0" w:color="auto"/>
              <w:left w:val="single" w:sz="8" w:space="0" w:color="auto"/>
              <w:bottom w:val="single" w:sz="4" w:space="0" w:color="auto"/>
              <w:right w:val="nil"/>
            </w:tcBorders>
            <w:shd w:val="clear" w:color="D9E1F2" w:fill="D9E1F2"/>
            <w:noWrap/>
            <w:vAlign w:val="bottom"/>
            <w:hideMark/>
          </w:tcPr>
          <w:p w14:paraId="19EC7DBA"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xml:space="preserve">Lowest Unit </w:t>
            </w:r>
          </w:p>
        </w:tc>
        <w:tc>
          <w:tcPr>
            <w:tcW w:w="0" w:type="auto"/>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209FF7B4"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1460.00</w:t>
            </w:r>
          </w:p>
        </w:tc>
        <w:tc>
          <w:tcPr>
            <w:tcW w:w="0" w:type="auto"/>
            <w:tcBorders>
              <w:top w:val="single" w:sz="4" w:space="0" w:color="auto"/>
              <w:left w:val="nil"/>
              <w:bottom w:val="single" w:sz="4" w:space="0" w:color="auto"/>
              <w:right w:val="nil"/>
            </w:tcBorders>
            <w:shd w:val="clear" w:color="D9E1F2" w:fill="D9E1F2"/>
            <w:noWrap/>
            <w:vAlign w:val="bottom"/>
            <w:hideMark/>
          </w:tcPr>
          <w:p w14:paraId="33EE7188"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1180.00</w:t>
            </w:r>
          </w:p>
        </w:tc>
        <w:tc>
          <w:tcPr>
            <w:tcW w:w="0" w:type="auto"/>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5D8650A3"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670.00</w:t>
            </w:r>
          </w:p>
        </w:tc>
      </w:tr>
      <w:tr w:rsidR="00412BBD" w:rsidRPr="00412BBD" w14:paraId="7E7257D8" w14:textId="77777777" w:rsidTr="00412BBD">
        <w:trPr>
          <w:trHeight w:val="288"/>
        </w:trPr>
        <w:tc>
          <w:tcPr>
            <w:tcW w:w="0" w:type="auto"/>
            <w:tcBorders>
              <w:top w:val="single" w:sz="4" w:space="0" w:color="8EA9DB"/>
              <w:left w:val="single" w:sz="8" w:space="0" w:color="auto"/>
              <w:bottom w:val="single" w:sz="4" w:space="0" w:color="auto"/>
              <w:right w:val="nil"/>
            </w:tcBorders>
            <w:shd w:val="clear" w:color="auto" w:fill="auto"/>
            <w:noWrap/>
            <w:vAlign w:val="bottom"/>
            <w:hideMark/>
          </w:tcPr>
          <w:p w14:paraId="48691D18"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xml:space="preserve">Highest Unit </w:t>
            </w:r>
          </w:p>
        </w:tc>
        <w:tc>
          <w:tcPr>
            <w:tcW w:w="0" w:type="auto"/>
            <w:tcBorders>
              <w:top w:val="single" w:sz="4" w:space="0" w:color="8EA9DB"/>
              <w:left w:val="single" w:sz="8" w:space="0" w:color="auto"/>
              <w:bottom w:val="single" w:sz="4" w:space="0" w:color="auto"/>
              <w:right w:val="single" w:sz="8" w:space="0" w:color="auto"/>
            </w:tcBorders>
            <w:shd w:val="clear" w:color="auto" w:fill="auto"/>
            <w:noWrap/>
            <w:vAlign w:val="bottom"/>
            <w:hideMark/>
          </w:tcPr>
          <w:p w14:paraId="038DF38B"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1700.00</w:t>
            </w:r>
          </w:p>
        </w:tc>
        <w:tc>
          <w:tcPr>
            <w:tcW w:w="0" w:type="auto"/>
            <w:tcBorders>
              <w:top w:val="single" w:sz="4" w:space="0" w:color="8EA9DB"/>
              <w:left w:val="nil"/>
              <w:bottom w:val="single" w:sz="4" w:space="0" w:color="auto"/>
              <w:right w:val="nil"/>
            </w:tcBorders>
            <w:shd w:val="clear" w:color="auto" w:fill="auto"/>
            <w:noWrap/>
            <w:vAlign w:val="bottom"/>
            <w:hideMark/>
          </w:tcPr>
          <w:p w14:paraId="77C4DC75"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1240.00</w:t>
            </w:r>
          </w:p>
        </w:tc>
        <w:tc>
          <w:tcPr>
            <w:tcW w:w="0" w:type="auto"/>
            <w:tcBorders>
              <w:top w:val="single" w:sz="4" w:space="0" w:color="8EA9DB"/>
              <w:left w:val="single" w:sz="8" w:space="0" w:color="auto"/>
              <w:bottom w:val="single" w:sz="4" w:space="0" w:color="auto"/>
              <w:right w:val="single" w:sz="8" w:space="0" w:color="auto"/>
            </w:tcBorders>
            <w:shd w:val="clear" w:color="auto" w:fill="auto"/>
            <w:noWrap/>
            <w:vAlign w:val="bottom"/>
            <w:hideMark/>
          </w:tcPr>
          <w:p w14:paraId="564A60D9"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760.00</w:t>
            </w:r>
          </w:p>
        </w:tc>
      </w:tr>
      <w:tr w:rsidR="00412BBD" w:rsidRPr="00412BBD" w14:paraId="24DEBB36" w14:textId="77777777" w:rsidTr="00412BBD">
        <w:trPr>
          <w:trHeight w:val="288"/>
        </w:trPr>
        <w:tc>
          <w:tcPr>
            <w:tcW w:w="0" w:type="auto"/>
            <w:tcBorders>
              <w:top w:val="single" w:sz="4" w:space="0" w:color="auto"/>
              <w:left w:val="single" w:sz="8" w:space="0" w:color="auto"/>
              <w:bottom w:val="single" w:sz="4" w:space="0" w:color="auto"/>
              <w:right w:val="nil"/>
            </w:tcBorders>
            <w:shd w:val="clear" w:color="D9E1F2" w:fill="D9E1F2"/>
            <w:noWrap/>
            <w:vAlign w:val="bottom"/>
            <w:hideMark/>
          </w:tcPr>
          <w:p w14:paraId="03A0F2B5"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Total cost of Low Unit Activity (TCLA)</w:t>
            </w:r>
          </w:p>
        </w:tc>
        <w:tc>
          <w:tcPr>
            <w:tcW w:w="0" w:type="auto"/>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508BB955"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16545.00</w:t>
            </w:r>
          </w:p>
        </w:tc>
        <w:tc>
          <w:tcPr>
            <w:tcW w:w="0" w:type="auto"/>
            <w:tcBorders>
              <w:top w:val="single" w:sz="4" w:space="0" w:color="auto"/>
              <w:left w:val="nil"/>
              <w:bottom w:val="single" w:sz="4" w:space="0" w:color="auto"/>
              <w:right w:val="nil"/>
            </w:tcBorders>
            <w:shd w:val="clear" w:color="D9E1F2" w:fill="D9E1F2"/>
            <w:noWrap/>
            <w:vAlign w:val="bottom"/>
            <w:hideMark/>
          </w:tcPr>
          <w:p w14:paraId="1B51D8D5"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13900.00</w:t>
            </w:r>
          </w:p>
        </w:tc>
        <w:tc>
          <w:tcPr>
            <w:tcW w:w="0" w:type="auto"/>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2DF82CE3"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11455.00</w:t>
            </w:r>
          </w:p>
        </w:tc>
      </w:tr>
      <w:tr w:rsidR="00412BBD" w:rsidRPr="00412BBD" w14:paraId="793DC0E9" w14:textId="77777777" w:rsidTr="00412BBD">
        <w:trPr>
          <w:trHeight w:val="288"/>
        </w:trPr>
        <w:tc>
          <w:tcPr>
            <w:tcW w:w="0" w:type="auto"/>
            <w:tcBorders>
              <w:top w:val="single" w:sz="4" w:space="0" w:color="auto"/>
              <w:left w:val="single" w:sz="8" w:space="0" w:color="auto"/>
              <w:bottom w:val="single" w:sz="4" w:space="0" w:color="auto"/>
              <w:right w:val="nil"/>
            </w:tcBorders>
            <w:shd w:val="clear" w:color="auto" w:fill="auto"/>
            <w:noWrap/>
            <w:vAlign w:val="bottom"/>
            <w:hideMark/>
          </w:tcPr>
          <w:p w14:paraId="0FC0C9AE"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Total cost of High Unit Activity (TCHA)</w:t>
            </w:r>
          </w:p>
        </w:tc>
        <w:tc>
          <w:tcPr>
            <w:tcW w:w="0" w:type="auto"/>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205E17D"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18200.00</w:t>
            </w:r>
          </w:p>
        </w:tc>
        <w:tc>
          <w:tcPr>
            <w:tcW w:w="0" w:type="auto"/>
            <w:tcBorders>
              <w:top w:val="single" w:sz="4" w:space="0" w:color="auto"/>
              <w:left w:val="nil"/>
              <w:bottom w:val="single" w:sz="4" w:space="0" w:color="auto"/>
              <w:right w:val="nil"/>
            </w:tcBorders>
            <w:shd w:val="clear" w:color="auto" w:fill="auto"/>
            <w:noWrap/>
            <w:vAlign w:val="bottom"/>
            <w:hideMark/>
          </w:tcPr>
          <w:p w14:paraId="66A86AF9"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14400.00</w:t>
            </w:r>
          </w:p>
        </w:tc>
        <w:tc>
          <w:tcPr>
            <w:tcW w:w="0" w:type="auto"/>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661CC851"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12600.00</w:t>
            </w:r>
          </w:p>
        </w:tc>
      </w:tr>
      <w:tr w:rsidR="00412BBD" w:rsidRPr="00412BBD" w14:paraId="57B6A5A3" w14:textId="77777777" w:rsidTr="00412BBD">
        <w:trPr>
          <w:trHeight w:val="288"/>
        </w:trPr>
        <w:tc>
          <w:tcPr>
            <w:tcW w:w="0" w:type="auto"/>
            <w:tcBorders>
              <w:top w:val="single" w:sz="4" w:space="0" w:color="auto"/>
              <w:left w:val="single" w:sz="8" w:space="0" w:color="auto"/>
              <w:bottom w:val="single" w:sz="4" w:space="0" w:color="auto"/>
              <w:right w:val="nil"/>
            </w:tcBorders>
            <w:shd w:val="clear" w:color="D9E1F2" w:fill="D9E1F2"/>
            <w:noWrap/>
            <w:vAlign w:val="bottom"/>
            <w:hideMark/>
          </w:tcPr>
          <w:p w14:paraId="511EA3A7"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w:t>
            </w:r>
          </w:p>
        </w:tc>
        <w:tc>
          <w:tcPr>
            <w:tcW w:w="0" w:type="auto"/>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1F7924FF"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w:t>
            </w:r>
          </w:p>
        </w:tc>
        <w:tc>
          <w:tcPr>
            <w:tcW w:w="0" w:type="auto"/>
            <w:tcBorders>
              <w:top w:val="single" w:sz="4" w:space="0" w:color="auto"/>
              <w:left w:val="nil"/>
              <w:bottom w:val="single" w:sz="4" w:space="0" w:color="auto"/>
              <w:right w:val="nil"/>
            </w:tcBorders>
            <w:shd w:val="clear" w:color="D9E1F2" w:fill="D9E1F2"/>
            <w:noWrap/>
            <w:vAlign w:val="bottom"/>
            <w:hideMark/>
          </w:tcPr>
          <w:p w14:paraId="058D10A0"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w:t>
            </w:r>
          </w:p>
        </w:tc>
        <w:tc>
          <w:tcPr>
            <w:tcW w:w="0" w:type="auto"/>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0FC37044"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w:t>
            </w:r>
          </w:p>
        </w:tc>
      </w:tr>
      <w:tr w:rsidR="00412BBD" w:rsidRPr="00412BBD" w14:paraId="708BD0CA" w14:textId="77777777" w:rsidTr="00412BBD">
        <w:trPr>
          <w:trHeight w:val="864"/>
        </w:trPr>
        <w:tc>
          <w:tcPr>
            <w:tcW w:w="0" w:type="auto"/>
            <w:tcBorders>
              <w:top w:val="single" w:sz="4" w:space="0" w:color="auto"/>
              <w:left w:val="single" w:sz="8" w:space="0" w:color="auto"/>
              <w:bottom w:val="single" w:sz="4" w:space="0" w:color="auto"/>
              <w:right w:val="nil"/>
            </w:tcBorders>
            <w:shd w:val="clear" w:color="auto" w:fill="auto"/>
            <w:vAlign w:val="bottom"/>
            <w:hideMark/>
          </w:tcPr>
          <w:p w14:paraId="14FD3C41"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xml:space="preserve">Per Unit </w:t>
            </w:r>
            <w:r w:rsidRPr="00412BBD">
              <w:rPr>
                <w:rFonts w:ascii="Arial" w:eastAsia="Times New Roman" w:hAnsi="Arial" w:cs="Arial"/>
                <w:b/>
                <w:bCs/>
                <w:color w:val="000000"/>
                <w:sz w:val="22"/>
                <w:lang w:eastAsia="en-IN"/>
              </w:rPr>
              <w:t>Variable overheads</w:t>
            </w:r>
            <w:r w:rsidRPr="00412BBD">
              <w:rPr>
                <w:rFonts w:ascii="Arial" w:eastAsia="Times New Roman" w:hAnsi="Arial" w:cs="Arial"/>
                <w:color w:val="000000"/>
                <w:sz w:val="22"/>
                <w:lang w:eastAsia="en-IN"/>
              </w:rPr>
              <w:t xml:space="preserve"> in semi variable overhead = (TCHA-TCLA)</w:t>
            </w:r>
            <w:proofErr w:type="gramStart"/>
            <w:r w:rsidRPr="00412BBD">
              <w:rPr>
                <w:rFonts w:ascii="Arial" w:eastAsia="Times New Roman" w:hAnsi="Arial" w:cs="Arial"/>
                <w:color w:val="000000"/>
                <w:sz w:val="22"/>
                <w:lang w:eastAsia="en-IN"/>
              </w:rPr>
              <w:t>/(</w:t>
            </w:r>
            <w:proofErr w:type="gramEnd"/>
            <w:r w:rsidRPr="00412BBD">
              <w:rPr>
                <w:rFonts w:ascii="Arial" w:eastAsia="Times New Roman" w:hAnsi="Arial" w:cs="Arial"/>
                <w:color w:val="000000"/>
                <w:sz w:val="22"/>
                <w:lang w:eastAsia="en-IN"/>
              </w:rPr>
              <w:t>Highest Unit - Lowest Unit)</w:t>
            </w:r>
          </w:p>
        </w:tc>
        <w:tc>
          <w:tcPr>
            <w:tcW w:w="0" w:type="auto"/>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1FD3B84"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6.90</w:t>
            </w:r>
          </w:p>
        </w:tc>
        <w:tc>
          <w:tcPr>
            <w:tcW w:w="0" w:type="auto"/>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AE10FBD"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8.33</w:t>
            </w:r>
          </w:p>
        </w:tc>
        <w:tc>
          <w:tcPr>
            <w:tcW w:w="0" w:type="auto"/>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725CF3B"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12.72</w:t>
            </w:r>
          </w:p>
        </w:tc>
      </w:tr>
      <w:tr w:rsidR="00412BBD" w:rsidRPr="00412BBD" w14:paraId="36D25E8B" w14:textId="77777777" w:rsidTr="00412BBD">
        <w:trPr>
          <w:trHeight w:val="288"/>
        </w:trPr>
        <w:tc>
          <w:tcPr>
            <w:tcW w:w="0" w:type="auto"/>
            <w:tcBorders>
              <w:top w:val="single" w:sz="4" w:space="0" w:color="auto"/>
              <w:left w:val="single" w:sz="8" w:space="0" w:color="auto"/>
              <w:bottom w:val="single" w:sz="4" w:space="0" w:color="auto"/>
              <w:right w:val="nil"/>
            </w:tcBorders>
            <w:shd w:val="clear" w:color="D9E1F2" w:fill="D9E1F2"/>
            <w:noWrap/>
            <w:vAlign w:val="bottom"/>
            <w:hideMark/>
          </w:tcPr>
          <w:p w14:paraId="3ED5C4BA"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w:t>
            </w:r>
          </w:p>
        </w:tc>
        <w:tc>
          <w:tcPr>
            <w:tcW w:w="0" w:type="auto"/>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29E8EA6A"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w:t>
            </w:r>
          </w:p>
        </w:tc>
        <w:tc>
          <w:tcPr>
            <w:tcW w:w="0" w:type="auto"/>
            <w:tcBorders>
              <w:top w:val="single" w:sz="4" w:space="0" w:color="auto"/>
              <w:left w:val="nil"/>
              <w:bottom w:val="single" w:sz="4" w:space="0" w:color="auto"/>
              <w:right w:val="nil"/>
            </w:tcBorders>
            <w:shd w:val="clear" w:color="D9E1F2" w:fill="D9E1F2"/>
            <w:noWrap/>
            <w:vAlign w:val="bottom"/>
            <w:hideMark/>
          </w:tcPr>
          <w:p w14:paraId="6775ABFD"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w:t>
            </w:r>
          </w:p>
        </w:tc>
        <w:tc>
          <w:tcPr>
            <w:tcW w:w="0" w:type="auto"/>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2853EDB1"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w:t>
            </w:r>
          </w:p>
        </w:tc>
      </w:tr>
      <w:tr w:rsidR="00412BBD" w:rsidRPr="00412BBD" w14:paraId="43D8A36B" w14:textId="77777777" w:rsidTr="00412BBD">
        <w:trPr>
          <w:trHeight w:val="1152"/>
        </w:trPr>
        <w:tc>
          <w:tcPr>
            <w:tcW w:w="0" w:type="auto"/>
            <w:tcBorders>
              <w:top w:val="single" w:sz="4" w:space="0" w:color="auto"/>
              <w:left w:val="single" w:sz="8" w:space="0" w:color="auto"/>
              <w:bottom w:val="single" w:sz="8" w:space="0" w:color="auto"/>
              <w:right w:val="nil"/>
            </w:tcBorders>
            <w:shd w:val="clear" w:color="auto" w:fill="auto"/>
            <w:vAlign w:val="bottom"/>
            <w:hideMark/>
          </w:tcPr>
          <w:p w14:paraId="3F81B9A9" w14:textId="149A14B0"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 xml:space="preserve">Total </w:t>
            </w:r>
            <w:r w:rsidRPr="00412BBD">
              <w:rPr>
                <w:rFonts w:ascii="Arial" w:eastAsia="Times New Roman" w:hAnsi="Arial" w:cs="Arial"/>
                <w:b/>
                <w:bCs/>
                <w:color w:val="000000"/>
                <w:sz w:val="22"/>
                <w:lang w:eastAsia="en-IN"/>
              </w:rPr>
              <w:t>Fixed Overheads</w:t>
            </w:r>
            <w:r w:rsidRPr="00412BBD">
              <w:rPr>
                <w:rFonts w:ascii="Arial" w:eastAsia="Times New Roman" w:hAnsi="Arial" w:cs="Arial"/>
                <w:color w:val="000000"/>
                <w:sz w:val="22"/>
                <w:lang w:eastAsia="en-IN"/>
              </w:rPr>
              <w:t xml:space="preserve"> included in Semi variable overheads = Total Cost of High Unit Activity - (Per unit Variable </w:t>
            </w:r>
            <w:r w:rsidR="00C93C03" w:rsidRPr="002E590C">
              <w:rPr>
                <w:rFonts w:ascii="Arial" w:eastAsia="Times New Roman" w:hAnsi="Arial" w:cs="Arial"/>
                <w:color w:val="000000"/>
                <w:sz w:val="22"/>
                <w:lang w:eastAsia="en-IN"/>
              </w:rPr>
              <w:t>Overheads</w:t>
            </w:r>
            <w:r w:rsidRPr="00412BBD">
              <w:rPr>
                <w:rFonts w:ascii="Arial" w:eastAsia="Times New Roman" w:hAnsi="Arial" w:cs="Arial"/>
                <w:color w:val="000000"/>
                <w:sz w:val="22"/>
                <w:lang w:eastAsia="en-IN"/>
              </w:rPr>
              <w:t>*Highest Unit)</w:t>
            </w:r>
          </w:p>
        </w:tc>
        <w:tc>
          <w:tcPr>
            <w:tcW w:w="0" w:type="auto"/>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6EBC66F4"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6470.00</w:t>
            </w:r>
          </w:p>
        </w:tc>
        <w:tc>
          <w:tcPr>
            <w:tcW w:w="0" w:type="auto"/>
            <w:tcBorders>
              <w:top w:val="single" w:sz="4" w:space="0" w:color="auto"/>
              <w:left w:val="nil"/>
              <w:bottom w:val="single" w:sz="8" w:space="0" w:color="auto"/>
              <w:right w:val="nil"/>
            </w:tcBorders>
            <w:shd w:val="clear" w:color="auto" w:fill="auto"/>
            <w:noWrap/>
            <w:vAlign w:val="bottom"/>
            <w:hideMark/>
          </w:tcPr>
          <w:p w14:paraId="4CC68152"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4070.80</w:t>
            </w:r>
          </w:p>
        </w:tc>
        <w:tc>
          <w:tcPr>
            <w:tcW w:w="0" w:type="auto"/>
            <w:tcBorders>
              <w:top w:val="single" w:sz="4" w:space="0" w:color="auto"/>
              <w:left w:val="single" w:sz="8" w:space="0" w:color="auto"/>
              <w:bottom w:val="single" w:sz="8" w:space="0" w:color="auto"/>
              <w:right w:val="single" w:sz="8" w:space="0" w:color="auto"/>
            </w:tcBorders>
            <w:shd w:val="clear" w:color="auto" w:fill="auto"/>
            <w:noWrap/>
            <w:vAlign w:val="bottom"/>
            <w:hideMark/>
          </w:tcPr>
          <w:p w14:paraId="765C092B" w14:textId="77777777" w:rsidR="00412BBD" w:rsidRPr="00412BBD" w:rsidRDefault="00412BBD" w:rsidP="000E7A92">
            <w:pPr>
              <w:spacing w:after="0"/>
              <w:rPr>
                <w:rFonts w:ascii="Arial" w:eastAsia="Times New Roman" w:hAnsi="Arial" w:cs="Arial"/>
                <w:color w:val="000000"/>
                <w:sz w:val="22"/>
                <w:lang w:eastAsia="en-IN"/>
              </w:rPr>
            </w:pPr>
            <w:r w:rsidRPr="00412BBD">
              <w:rPr>
                <w:rFonts w:ascii="Arial" w:eastAsia="Times New Roman" w:hAnsi="Arial" w:cs="Arial"/>
                <w:color w:val="000000"/>
                <w:sz w:val="22"/>
                <w:lang w:eastAsia="en-IN"/>
              </w:rPr>
              <w:t>2932.80</w:t>
            </w:r>
          </w:p>
        </w:tc>
      </w:tr>
    </w:tbl>
    <w:p w14:paraId="756FE731" w14:textId="77777777" w:rsidR="00412BBD" w:rsidRPr="002E590C" w:rsidRDefault="00412BBD" w:rsidP="000E7A92">
      <w:pPr>
        <w:rPr>
          <w:rFonts w:ascii="Arial" w:hAnsi="Arial" w:cs="Arial"/>
          <w:b/>
          <w:bCs/>
          <w:sz w:val="22"/>
        </w:rPr>
      </w:pPr>
    </w:p>
    <w:p w14:paraId="791B924D" w14:textId="57B013CC" w:rsidR="00412BBD" w:rsidRPr="002E590C" w:rsidRDefault="00614CDD" w:rsidP="000E7A92">
      <w:pPr>
        <w:rPr>
          <w:rFonts w:ascii="Arial" w:hAnsi="Arial" w:cs="Arial"/>
          <w:b/>
          <w:bCs/>
          <w:sz w:val="22"/>
        </w:rPr>
      </w:pPr>
      <w:r w:rsidRPr="002E590C">
        <w:rPr>
          <w:rFonts w:ascii="Arial" w:hAnsi="Arial" w:cs="Arial"/>
          <w:b/>
          <w:bCs/>
          <w:sz w:val="22"/>
        </w:rPr>
        <w:t xml:space="preserve">Calculation of </w:t>
      </w:r>
      <w:r w:rsidR="00B93AC7" w:rsidRPr="002E590C">
        <w:rPr>
          <w:rFonts w:ascii="Arial" w:hAnsi="Arial" w:cs="Arial"/>
          <w:b/>
          <w:bCs/>
          <w:sz w:val="22"/>
        </w:rPr>
        <w:t xml:space="preserve">variable cost per unit, </w:t>
      </w:r>
      <w:r w:rsidR="00C85BFD" w:rsidRPr="002E590C">
        <w:rPr>
          <w:rFonts w:ascii="Arial" w:hAnsi="Arial" w:cs="Arial"/>
          <w:b/>
          <w:bCs/>
          <w:sz w:val="22"/>
        </w:rPr>
        <w:t xml:space="preserve">Total Fixed Cost, Contribution per unit and contribution per unit of scarce resources </w:t>
      </w:r>
    </w:p>
    <w:tbl>
      <w:tblPr>
        <w:tblW w:w="9940" w:type="dxa"/>
        <w:tblLook w:val="04A0" w:firstRow="1" w:lastRow="0" w:firstColumn="1" w:lastColumn="0" w:noHBand="0" w:noVBand="1"/>
      </w:tblPr>
      <w:tblGrid>
        <w:gridCol w:w="3700"/>
        <w:gridCol w:w="1480"/>
        <w:gridCol w:w="1659"/>
        <w:gridCol w:w="1660"/>
        <w:gridCol w:w="1480"/>
      </w:tblGrid>
      <w:tr w:rsidR="006132E7" w:rsidRPr="006132E7" w14:paraId="63B1A3C1" w14:textId="77777777" w:rsidTr="006132E7">
        <w:trPr>
          <w:trHeight w:val="300"/>
        </w:trPr>
        <w:tc>
          <w:tcPr>
            <w:tcW w:w="3700" w:type="dxa"/>
            <w:tcBorders>
              <w:top w:val="single" w:sz="8" w:space="0" w:color="auto"/>
              <w:left w:val="single" w:sz="8" w:space="0" w:color="auto"/>
              <w:bottom w:val="single" w:sz="8" w:space="0" w:color="auto"/>
              <w:right w:val="single" w:sz="4" w:space="0" w:color="auto"/>
            </w:tcBorders>
            <w:shd w:val="clear" w:color="4472C4" w:fill="4472C4"/>
            <w:noWrap/>
            <w:vAlign w:val="bottom"/>
            <w:hideMark/>
          </w:tcPr>
          <w:p w14:paraId="02D203B7" w14:textId="77777777" w:rsidR="006132E7" w:rsidRPr="006132E7" w:rsidRDefault="006132E7" w:rsidP="000E7A92">
            <w:pPr>
              <w:spacing w:after="0"/>
              <w:rPr>
                <w:rFonts w:ascii="Arial" w:eastAsia="Times New Roman" w:hAnsi="Arial" w:cs="Arial"/>
                <w:b/>
                <w:bCs/>
                <w:color w:val="FFFFFF"/>
                <w:sz w:val="22"/>
                <w:lang w:eastAsia="en-IN"/>
              </w:rPr>
            </w:pPr>
          </w:p>
        </w:tc>
        <w:tc>
          <w:tcPr>
            <w:tcW w:w="1480" w:type="dxa"/>
            <w:tcBorders>
              <w:top w:val="single" w:sz="8" w:space="0" w:color="auto"/>
              <w:left w:val="single" w:sz="4" w:space="0" w:color="auto"/>
              <w:bottom w:val="single" w:sz="8" w:space="0" w:color="auto"/>
              <w:right w:val="single" w:sz="4" w:space="0" w:color="auto"/>
            </w:tcBorders>
            <w:shd w:val="clear" w:color="4472C4" w:fill="4472C4"/>
            <w:noWrap/>
            <w:vAlign w:val="bottom"/>
            <w:hideMark/>
          </w:tcPr>
          <w:p w14:paraId="4DE52F63" w14:textId="77777777" w:rsidR="006132E7" w:rsidRPr="006132E7" w:rsidRDefault="006132E7" w:rsidP="000E7A92">
            <w:pPr>
              <w:spacing w:after="0"/>
              <w:rPr>
                <w:rFonts w:ascii="Arial" w:eastAsia="Times New Roman" w:hAnsi="Arial" w:cs="Arial"/>
                <w:b/>
                <w:bCs/>
                <w:color w:val="FFFFFF"/>
                <w:sz w:val="22"/>
                <w:lang w:eastAsia="en-IN"/>
              </w:rPr>
            </w:pPr>
            <w:r w:rsidRPr="006132E7">
              <w:rPr>
                <w:rFonts w:ascii="Arial" w:eastAsia="Times New Roman" w:hAnsi="Arial" w:cs="Arial"/>
                <w:b/>
                <w:bCs/>
                <w:color w:val="FFFFFF"/>
                <w:sz w:val="22"/>
                <w:lang w:eastAsia="en-IN"/>
              </w:rPr>
              <w:t xml:space="preserve">Budget/Unit </w:t>
            </w:r>
          </w:p>
        </w:tc>
        <w:tc>
          <w:tcPr>
            <w:tcW w:w="1620" w:type="dxa"/>
            <w:tcBorders>
              <w:top w:val="single" w:sz="8" w:space="0" w:color="auto"/>
              <w:left w:val="single" w:sz="4" w:space="0" w:color="auto"/>
              <w:bottom w:val="single" w:sz="8" w:space="0" w:color="auto"/>
              <w:right w:val="single" w:sz="4" w:space="0" w:color="auto"/>
            </w:tcBorders>
            <w:shd w:val="clear" w:color="4472C4" w:fill="4472C4"/>
            <w:noWrap/>
            <w:vAlign w:val="bottom"/>
            <w:hideMark/>
          </w:tcPr>
          <w:p w14:paraId="6C57D3BD" w14:textId="77777777" w:rsidR="006132E7" w:rsidRPr="006132E7" w:rsidRDefault="006132E7" w:rsidP="000E7A92">
            <w:pPr>
              <w:spacing w:after="0"/>
              <w:rPr>
                <w:rFonts w:ascii="Arial" w:eastAsia="Times New Roman" w:hAnsi="Arial" w:cs="Arial"/>
                <w:b/>
                <w:bCs/>
                <w:color w:val="FFFFFF"/>
                <w:sz w:val="22"/>
                <w:lang w:eastAsia="en-IN"/>
              </w:rPr>
            </w:pPr>
            <w:r w:rsidRPr="006132E7">
              <w:rPr>
                <w:rFonts w:ascii="Arial" w:eastAsia="Times New Roman" w:hAnsi="Arial" w:cs="Arial"/>
                <w:b/>
                <w:bCs/>
                <w:color w:val="FFFFFF"/>
                <w:sz w:val="22"/>
                <w:lang w:eastAsia="en-IN"/>
              </w:rPr>
              <w:t>Standard/Unit</w:t>
            </w:r>
          </w:p>
        </w:tc>
        <w:tc>
          <w:tcPr>
            <w:tcW w:w="1660" w:type="dxa"/>
            <w:tcBorders>
              <w:top w:val="single" w:sz="8" w:space="0" w:color="auto"/>
              <w:left w:val="single" w:sz="4" w:space="0" w:color="auto"/>
              <w:bottom w:val="single" w:sz="8" w:space="0" w:color="auto"/>
              <w:right w:val="nil"/>
            </w:tcBorders>
            <w:shd w:val="clear" w:color="4472C4" w:fill="4472C4"/>
            <w:noWrap/>
            <w:vAlign w:val="bottom"/>
            <w:hideMark/>
          </w:tcPr>
          <w:p w14:paraId="0062E44A" w14:textId="77777777" w:rsidR="006132E7" w:rsidRPr="006132E7" w:rsidRDefault="006132E7" w:rsidP="000E7A92">
            <w:pPr>
              <w:spacing w:after="0"/>
              <w:rPr>
                <w:rFonts w:ascii="Arial" w:eastAsia="Times New Roman" w:hAnsi="Arial" w:cs="Arial"/>
                <w:b/>
                <w:bCs/>
                <w:color w:val="FFFFFF"/>
                <w:sz w:val="22"/>
                <w:lang w:eastAsia="en-IN"/>
              </w:rPr>
            </w:pPr>
            <w:r w:rsidRPr="006132E7">
              <w:rPr>
                <w:rFonts w:ascii="Arial" w:eastAsia="Times New Roman" w:hAnsi="Arial" w:cs="Arial"/>
                <w:b/>
                <w:bCs/>
                <w:color w:val="FFFFFF"/>
                <w:sz w:val="22"/>
                <w:lang w:eastAsia="en-IN"/>
              </w:rPr>
              <w:t>Premium /Unit</w:t>
            </w:r>
          </w:p>
        </w:tc>
        <w:tc>
          <w:tcPr>
            <w:tcW w:w="1480" w:type="dxa"/>
            <w:tcBorders>
              <w:top w:val="single" w:sz="8" w:space="0" w:color="auto"/>
              <w:left w:val="single" w:sz="8" w:space="0" w:color="auto"/>
              <w:bottom w:val="single" w:sz="8" w:space="0" w:color="auto"/>
              <w:right w:val="single" w:sz="8" w:space="0" w:color="auto"/>
            </w:tcBorders>
            <w:shd w:val="clear" w:color="4472C4" w:fill="4472C4"/>
            <w:noWrap/>
            <w:vAlign w:val="bottom"/>
            <w:hideMark/>
          </w:tcPr>
          <w:p w14:paraId="6CDC8A46" w14:textId="77777777" w:rsidR="006132E7" w:rsidRPr="006132E7" w:rsidRDefault="006132E7" w:rsidP="000E7A92">
            <w:pPr>
              <w:spacing w:after="0"/>
              <w:rPr>
                <w:rFonts w:ascii="Arial" w:eastAsia="Times New Roman" w:hAnsi="Arial" w:cs="Arial"/>
                <w:b/>
                <w:bCs/>
                <w:color w:val="FFFFFF"/>
                <w:sz w:val="22"/>
                <w:lang w:eastAsia="en-IN"/>
              </w:rPr>
            </w:pPr>
            <w:r w:rsidRPr="006132E7">
              <w:rPr>
                <w:rFonts w:ascii="Arial" w:eastAsia="Times New Roman" w:hAnsi="Arial" w:cs="Arial"/>
                <w:b/>
                <w:bCs/>
                <w:color w:val="FFFFFF"/>
                <w:sz w:val="22"/>
                <w:lang w:eastAsia="en-IN"/>
              </w:rPr>
              <w:t>Total/Unit</w:t>
            </w:r>
          </w:p>
        </w:tc>
      </w:tr>
      <w:tr w:rsidR="006132E7" w:rsidRPr="006132E7" w14:paraId="7F30B598" w14:textId="77777777" w:rsidTr="006132E7">
        <w:trPr>
          <w:trHeight w:val="288"/>
        </w:trPr>
        <w:tc>
          <w:tcPr>
            <w:tcW w:w="3700" w:type="dxa"/>
            <w:tcBorders>
              <w:top w:val="single" w:sz="8" w:space="0" w:color="auto"/>
              <w:left w:val="single" w:sz="8" w:space="0" w:color="auto"/>
              <w:bottom w:val="single" w:sz="4" w:space="0" w:color="auto"/>
              <w:right w:val="single" w:sz="4" w:space="0" w:color="auto"/>
            </w:tcBorders>
            <w:shd w:val="clear" w:color="D9E1F2" w:fill="D9E1F2"/>
            <w:noWrap/>
            <w:vAlign w:val="bottom"/>
            <w:hideMark/>
          </w:tcPr>
          <w:p w14:paraId="30E402CC"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xml:space="preserve">Sales Unit </w:t>
            </w:r>
          </w:p>
        </w:tc>
        <w:tc>
          <w:tcPr>
            <w:tcW w:w="1480" w:type="dxa"/>
            <w:tcBorders>
              <w:top w:val="single" w:sz="8" w:space="0" w:color="auto"/>
              <w:left w:val="single" w:sz="4" w:space="0" w:color="auto"/>
              <w:bottom w:val="single" w:sz="4" w:space="0" w:color="auto"/>
              <w:right w:val="single" w:sz="4" w:space="0" w:color="auto"/>
            </w:tcBorders>
            <w:shd w:val="clear" w:color="D9E1F2" w:fill="D9E1F2"/>
            <w:noWrap/>
            <w:vAlign w:val="bottom"/>
            <w:hideMark/>
          </w:tcPr>
          <w:p w14:paraId="364C243A"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2200.00</w:t>
            </w:r>
          </w:p>
        </w:tc>
        <w:tc>
          <w:tcPr>
            <w:tcW w:w="1620" w:type="dxa"/>
            <w:tcBorders>
              <w:top w:val="single" w:sz="8" w:space="0" w:color="auto"/>
              <w:left w:val="single" w:sz="4" w:space="0" w:color="auto"/>
              <w:bottom w:val="single" w:sz="4" w:space="0" w:color="auto"/>
              <w:right w:val="single" w:sz="4" w:space="0" w:color="auto"/>
            </w:tcBorders>
            <w:shd w:val="clear" w:color="D9E1F2" w:fill="D9E1F2"/>
            <w:noWrap/>
            <w:vAlign w:val="bottom"/>
            <w:hideMark/>
          </w:tcPr>
          <w:p w14:paraId="22168FED"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1600.00</w:t>
            </w:r>
          </w:p>
        </w:tc>
        <w:tc>
          <w:tcPr>
            <w:tcW w:w="1660" w:type="dxa"/>
            <w:tcBorders>
              <w:top w:val="single" w:sz="8" w:space="0" w:color="auto"/>
              <w:left w:val="single" w:sz="4" w:space="0" w:color="auto"/>
              <w:bottom w:val="single" w:sz="4" w:space="0" w:color="auto"/>
              <w:right w:val="nil"/>
            </w:tcBorders>
            <w:shd w:val="clear" w:color="D9E1F2" w:fill="D9E1F2"/>
            <w:noWrap/>
            <w:vAlign w:val="bottom"/>
            <w:hideMark/>
          </w:tcPr>
          <w:p w14:paraId="569C3C2E"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900.00</w:t>
            </w:r>
          </w:p>
        </w:tc>
        <w:tc>
          <w:tcPr>
            <w:tcW w:w="1480" w:type="dxa"/>
            <w:tcBorders>
              <w:top w:val="single" w:sz="8" w:space="0" w:color="auto"/>
              <w:left w:val="single" w:sz="8" w:space="0" w:color="auto"/>
              <w:bottom w:val="single" w:sz="4" w:space="0" w:color="auto"/>
              <w:right w:val="single" w:sz="8" w:space="0" w:color="auto"/>
            </w:tcBorders>
            <w:shd w:val="clear" w:color="D9E1F2" w:fill="D9E1F2"/>
            <w:noWrap/>
            <w:vAlign w:val="bottom"/>
            <w:hideMark/>
          </w:tcPr>
          <w:p w14:paraId="42BD9CAF"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4700.00</w:t>
            </w:r>
          </w:p>
        </w:tc>
      </w:tr>
      <w:tr w:rsidR="006132E7" w:rsidRPr="006132E7" w14:paraId="28333C9B" w14:textId="77777777" w:rsidTr="006132E7">
        <w:trPr>
          <w:trHeight w:val="288"/>
        </w:trPr>
        <w:tc>
          <w:tcPr>
            <w:tcW w:w="370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AB38820"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9E980"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FF9DFA"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w:t>
            </w:r>
          </w:p>
        </w:tc>
        <w:tc>
          <w:tcPr>
            <w:tcW w:w="1660" w:type="dxa"/>
            <w:tcBorders>
              <w:top w:val="single" w:sz="4" w:space="0" w:color="auto"/>
              <w:left w:val="single" w:sz="4" w:space="0" w:color="auto"/>
              <w:bottom w:val="single" w:sz="4" w:space="0" w:color="auto"/>
              <w:right w:val="nil"/>
            </w:tcBorders>
            <w:shd w:val="clear" w:color="auto" w:fill="auto"/>
            <w:noWrap/>
            <w:vAlign w:val="bottom"/>
            <w:hideMark/>
          </w:tcPr>
          <w:p w14:paraId="305C6ECA"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w:t>
            </w:r>
          </w:p>
        </w:tc>
        <w:tc>
          <w:tcPr>
            <w:tcW w:w="14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651315AB"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w:t>
            </w:r>
          </w:p>
        </w:tc>
      </w:tr>
      <w:tr w:rsidR="006132E7" w:rsidRPr="006132E7" w14:paraId="7631F982" w14:textId="77777777" w:rsidTr="006132E7">
        <w:trPr>
          <w:trHeight w:val="288"/>
        </w:trPr>
        <w:tc>
          <w:tcPr>
            <w:tcW w:w="3700" w:type="dxa"/>
            <w:tcBorders>
              <w:top w:val="single" w:sz="4" w:space="0" w:color="auto"/>
              <w:left w:val="single" w:sz="8" w:space="0" w:color="auto"/>
              <w:bottom w:val="single" w:sz="4" w:space="0" w:color="auto"/>
              <w:right w:val="single" w:sz="4" w:space="0" w:color="auto"/>
            </w:tcBorders>
            <w:shd w:val="clear" w:color="D9E1F2" w:fill="D9E1F2"/>
            <w:noWrap/>
            <w:vAlign w:val="bottom"/>
            <w:hideMark/>
          </w:tcPr>
          <w:p w14:paraId="50A8C6F9"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Sales</w:t>
            </w:r>
          </w:p>
        </w:tc>
        <w:tc>
          <w:tcPr>
            <w:tcW w:w="14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5E60EED"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60.00</w:t>
            </w:r>
          </w:p>
        </w:tc>
        <w:tc>
          <w:tcPr>
            <w:tcW w:w="16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5D79D73"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90.00</w:t>
            </w:r>
          </w:p>
        </w:tc>
        <w:tc>
          <w:tcPr>
            <w:tcW w:w="1660" w:type="dxa"/>
            <w:tcBorders>
              <w:top w:val="single" w:sz="4" w:space="0" w:color="auto"/>
              <w:left w:val="single" w:sz="4" w:space="0" w:color="auto"/>
              <w:bottom w:val="single" w:sz="4" w:space="0" w:color="auto"/>
              <w:right w:val="nil"/>
            </w:tcBorders>
            <w:shd w:val="clear" w:color="D9E1F2" w:fill="D9E1F2"/>
            <w:noWrap/>
            <w:vAlign w:val="bottom"/>
            <w:hideMark/>
          </w:tcPr>
          <w:p w14:paraId="0BC0084B"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120.00</w:t>
            </w:r>
          </w:p>
        </w:tc>
        <w:tc>
          <w:tcPr>
            <w:tcW w:w="1480" w:type="dxa"/>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610ACB9C"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270.00</w:t>
            </w:r>
          </w:p>
        </w:tc>
      </w:tr>
      <w:tr w:rsidR="006132E7" w:rsidRPr="006132E7" w14:paraId="671194B8" w14:textId="77777777" w:rsidTr="006132E7">
        <w:trPr>
          <w:trHeight w:val="288"/>
        </w:trPr>
        <w:tc>
          <w:tcPr>
            <w:tcW w:w="370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63DE842"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xml:space="preserve">Variable Overheads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042BE1"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6.90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432F9"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8.33</w:t>
            </w:r>
          </w:p>
        </w:tc>
        <w:tc>
          <w:tcPr>
            <w:tcW w:w="1660" w:type="dxa"/>
            <w:tcBorders>
              <w:top w:val="single" w:sz="4" w:space="0" w:color="auto"/>
              <w:left w:val="single" w:sz="4" w:space="0" w:color="auto"/>
              <w:bottom w:val="single" w:sz="4" w:space="0" w:color="auto"/>
              <w:right w:val="nil"/>
            </w:tcBorders>
            <w:shd w:val="clear" w:color="auto" w:fill="auto"/>
            <w:noWrap/>
            <w:vAlign w:val="bottom"/>
            <w:hideMark/>
          </w:tcPr>
          <w:p w14:paraId="50F46B4C"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12.72</w:t>
            </w:r>
          </w:p>
        </w:tc>
        <w:tc>
          <w:tcPr>
            <w:tcW w:w="14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4BC531BA"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27.95</w:t>
            </w:r>
          </w:p>
        </w:tc>
      </w:tr>
      <w:tr w:rsidR="006132E7" w:rsidRPr="006132E7" w14:paraId="4EC6D600" w14:textId="77777777" w:rsidTr="006132E7">
        <w:trPr>
          <w:trHeight w:val="288"/>
        </w:trPr>
        <w:tc>
          <w:tcPr>
            <w:tcW w:w="3700" w:type="dxa"/>
            <w:tcBorders>
              <w:top w:val="single" w:sz="4" w:space="0" w:color="auto"/>
              <w:left w:val="single" w:sz="8" w:space="0" w:color="auto"/>
              <w:bottom w:val="single" w:sz="4" w:space="0" w:color="auto"/>
              <w:right w:val="single" w:sz="4" w:space="0" w:color="auto"/>
            </w:tcBorders>
            <w:shd w:val="clear" w:color="D9E1F2" w:fill="D9E1F2"/>
            <w:noWrap/>
            <w:vAlign w:val="bottom"/>
            <w:hideMark/>
          </w:tcPr>
          <w:p w14:paraId="2883431E"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Other raw material</w:t>
            </w:r>
          </w:p>
        </w:tc>
        <w:tc>
          <w:tcPr>
            <w:tcW w:w="14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EB29B6E"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27.53</w:t>
            </w:r>
          </w:p>
        </w:tc>
        <w:tc>
          <w:tcPr>
            <w:tcW w:w="16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501BA61"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31.13</w:t>
            </w:r>
          </w:p>
        </w:tc>
        <w:tc>
          <w:tcPr>
            <w:tcW w:w="1660" w:type="dxa"/>
            <w:tcBorders>
              <w:top w:val="single" w:sz="4" w:space="0" w:color="auto"/>
              <w:left w:val="single" w:sz="4" w:space="0" w:color="auto"/>
              <w:bottom w:val="single" w:sz="4" w:space="0" w:color="auto"/>
              <w:right w:val="nil"/>
            </w:tcBorders>
            <w:shd w:val="clear" w:color="D9E1F2" w:fill="D9E1F2"/>
            <w:noWrap/>
            <w:vAlign w:val="bottom"/>
            <w:hideMark/>
          </w:tcPr>
          <w:p w14:paraId="1E57F8E7"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24.08</w:t>
            </w:r>
          </w:p>
        </w:tc>
        <w:tc>
          <w:tcPr>
            <w:tcW w:w="1480" w:type="dxa"/>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2FF46B58"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82.74</w:t>
            </w:r>
          </w:p>
        </w:tc>
      </w:tr>
      <w:tr w:rsidR="006132E7" w:rsidRPr="006132E7" w14:paraId="349A8DB1" w14:textId="77777777" w:rsidTr="006132E7">
        <w:trPr>
          <w:trHeight w:val="288"/>
        </w:trPr>
        <w:tc>
          <w:tcPr>
            <w:tcW w:w="3700" w:type="dxa"/>
            <w:tcBorders>
              <w:top w:val="single" w:sz="4" w:space="0" w:color="auto"/>
              <w:left w:val="single" w:sz="8" w:space="0" w:color="auto"/>
              <w:bottom w:val="single" w:sz="4" w:space="0" w:color="auto"/>
              <w:right w:val="single" w:sz="4" w:space="0" w:color="auto"/>
            </w:tcBorders>
            <w:shd w:val="clear" w:color="D9E1F2" w:fill="D9E1F2"/>
            <w:noWrap/>
            <w:vAlign w:val="bottom"/>
            <w:hideMark/>
          </w:tcPr>
          <w:p w14:paraId="3D0C9F55"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xml:space="preserve">Labour cost </w:t>
            </w:r>
          </w:p>
        </w:tc>
        <w:tc>
          <w:tcPr>
            <w:tcW w:w="14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84957D9"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14.35</w:t>
            </w:r>
          </w:p>
        </w:tc>
        <w:tc>
          <w:tcPr>
            <w:tcW w:w="16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0BBDCC0"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23.31</w:t>
            </w:r>
          </w:p>
        </w:tc>
        <w:tc>
          <w:tcPr>
            <w:tcW w:w="1660" w:type="dxa"/>
            <w:tcBorders>
              <w:top w:val="single" w:sz="4" w:space="0" w:color="auto"/>
              <w:left w:val="single" w:sz="4" w:space="0" w:color="auto"/>
              <w:bottom w:val="single" w:sz="4" w:space="0" w:color="auto"/>
              <w:right w:val="nil"/>
            </w:tcBorders>
            <w:shd w:val="clear" w:color="D9E1F2" w:fill="D9E1F2"/>
            <w:noWrap/>
            <w:vAlign w:val="bottom"/>
            <w:hideMark/>
          </w:tcPr>
          <w:p w14:paraId="62107F13"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31.84</w:t>
            </w:r>
          </w:p>
        </w:tc>
        <w:tc>
          <w:tcPr>
            <w:tcW w:w="1480" w:type="dxa"/>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2DE7E720"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69.50</w:t>
            </w:r>
          </w:p>
        </w:tc>
      </w:tr>
      <w:tr w:rsidR="006132E7" w:rsidRPr="006132E7" w14:paraId="6A65780A" w14:textId="77777777" w:rsidTr="006132E7">
        <w:trPr>
          <w:trHeight w:val="288"/>
        </w:trPr>
        <w:tc>
          <w:tcPr>
            <w:tcW w:w="3700" w:type="dxa"/>
            <w:tcBorders>
              <w:top w:val="single" w:sz="4" w:space="0" w:color="auto"/>
              <w:left w:val="single" w:sz="8" w:space="0" w:color="auto"/>
              <w:bottom w:val="single" w:sz="4" w:space="0" w:color="auto"/>
              <w:right w:val="single" w:sz="4" w:space="0" w:color="auto"/>
            </w:tcBorders>
            <w:shd w:val="clear" w:color="D9E1F2" w:fill="D9E1F2"/>
            <w:noWrap/>
            <w:vAlign w:val="bottom"/>
            <w:hideMark/>
          </w:tcPr>
          <w:p w14:paraId="283A9BB0"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Total Variable cost</w:t>
            </w:r>
          </w:p>
        </w:tc>
        <w:tc>
          <w:tcPr>
            <w:tcW w:w="14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B73875A"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48.78</w:t>
            </w:r>
          </w:p>
        </w:tc>
        <w:tc>
          <w:tcPr>
            <w:tcW w:w="162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A1C6E6C"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62.77</w:t>
            </w:r>
          </w:p>
        </w:tc>
        <w:tc>
          <w:tcPr>
            <w:tcW w:w="166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FC50046"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68.64</w:t>
            </w:r>
          </w:p>
        </w:tc>
        <w:tc>
          <w:tcPr>
            <w:tcW w:w="1480" w:type="dxa"/>
            <w:tcBorders>
              <w:top w:val="single" w:sz="4" w:space="0" w:color="auto"/>
              <w:left w:val="single" w:sz="8" w:space="0" w:color="auto"/>
              <w:bottom w:val="single" w:sz="4" w:space="0" w:color="auto"/>
              <w:right w:val="single" w:sz="8" w:space="0" w:color="auto"/>
            </w:tcBorders>
            <w:shd w:val="clear" w:color="D9E1F2" w:fill="D9E1F2"/>
            <w:noWrap/>
            <w:vAlign w:val="bottom"/>
            <w:hideMark/>
          </w:tcPr>
          <w:p w14:paraId="03A84B82"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180.19</w:t>
            </w:r>
          </w:p>
        </w:tc>
      </w:tr>
      <w:tr w:rsidR="006132E7" w:rsidRPr="006132E7" w14:paraId="40909424" w14:textId="77777777" w:rsidTr="006132E7">
        <w:trPr>
          <w:trHeight w:val="288"/>
        </w:trPr>
        <w:tc>
          <w:tcPr>
            <w:tcW w:w="370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1BB1237"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xml:space="preserve">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B6A81E"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5C3C19"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xml:space="preserve">  </w:t>
            </w:r>
          </w:p>
        </w:tc>
        <w:tc>
          <w:tcPr>
            <w:tcW w:w="1660" w:type="dxa"/>
            <w:tcBorders>
              <w:top w:val="single" w:sz="4" w:space="0" w:color="auto"/>
              <w:left w:val="single" w:sz="4" w:space="0" w:color="auto"/>
              <w:bottom w:val="single" w:sz="4" w:space="0" w:color="auto"/>
              <w:right w:val="nil"/>
            </w:tcBorders>
            <w:shd w:val="clear" w:color="auto" w:fill="auto"/>
            <w:noWrap/>
            <w:vAlign w:val="bottom"/>
            <w:hideMark/>
          </w:tcPr>
          <w:p w14:paraId="4F7A6392"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w:t>
            </w:r>
          </w:p>
        </w:tc>
        <w:tc>
          <w:tcPr>
            <w:tcW w:w="1480"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54AC5BC"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 xml:space="preserve"> </w:t>
            </w:r>
          </w:p>
        </w:tc>
      </w:tr>
      <w:tr w:rsidR="006132E7" w:rsidRPr="006132E7" w14:paraId="22AF347D" w14:textId="77777777" w:rsidTr="006132E7">
        <w:trPr>
          <w:trHeight w:val="300"/>
        </w:trPr>
        <w:tc>
          <w:tcPr>
            <w:tcW w:w="3700" w:type="dxa"/>
            <w:tcBorders>
              <w:top w:val="single" w:sz="4" w:space="0" w:color="auto"/>
              <w:left w:val="single" w:sz="8" w:space="0" w:color="auto"/>
              <w:bottom w:val="single" w:sz="8" w:space="0" w:color="auto"/>
              <w:right w:val="single" w:sz="4" w:space="0" w:color="auto"/>
            </w:tcBorders>
            <w:shd w:val="clear" w:color="D9E1F2" w:fill="D9E1F2"/>
            <w:noWrap/>
            <w:vAlign w:val="bottom"/>
            <w:hideMark/>
          </w:tcPr>
          <w:p w14:paraId="058FF090"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 xml:space="preserve">Contribution/Unit = sales - variable cost </w:t>
            </w:r>
          </w:p>
        </w:tc>
        <w:tc>
          <w:tcPr>
            <w:tcW w:w="1480" w:type="dxa"/>
            <w:tcBorders>
              <w:top w:val="single" w:sz="4" w:space="0" w:color="auto"/>
              <w:left w:val="single" w:sz="4" w:space="0" w:color="auto"/>
              <w:bottom w:val="single" w:sz="8" w:space="0" w:color="auto"/>
              <w:right w:val="single" w:sz="4" w:space="0" w:color="auto"/>
            </w:tcBorders>
            <w:shd w:val="clear" w:color="D9E1F2" w:fill="D9E1F2"/>
            <w:noWrap/>
            <w:vAlign w:val="bottom"/>
            <w:hideMark/>
          </w:tcPr>
          <w:p w14:paraId="7E0C82B9"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11.22</w:t>
            </w:r>
          </w:p>
        </w:tc>
        <w:tc>
          <w:tcPr>
            <w:tcW w:w="1620" w:type="dxa"/>
            <w:tcBorders>
              <w:top w:val="single" w:sz="4" w:space="0" w:color="auto"/>
              <w:left w:val="single" w:sz="4" w:space="0" w:color="auto"/>
              <w:bottom w:val="single" w:sz="8" w:space="0" w:color="auto"/>
              <w:right w:val="single" w:sz="4" w:space="0" w:color="auto"/>
            </w:tcBorders>
            <w:shd w:val="clear" w:color="D9E1F2" w:fill="D9E1F2"/>
            <w:noWrap/>
            <w:vAlign w:val="bottom"/>
            <w:hideMark/>
          </w:tcPr>
          <w:p w14:paraId="40FFFF2C"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27.23</w:t>
            </w:r>
          </w:p>
        </w:tc>
        <w:tc>
          <w:tcPr>
            <w:tcW w:w="1660" w:type="dxa"/>
            <w:tcBorders>
              <w:top w:val="single" w:sz="4" w:space="0" w:color="auto"/>
              <w:left w:val="single" w:sz="4" w:space="0" w:color="auto"/>
              <w:bottom w:val="single" w:sz="8" w:space="0" w:color="auto"/>
              <w:right w:val="nil"/>
            </w:tcBorders>
            <w:shd w:val="clear" w:color="D9E1F2" w:fill="D9E1F2"/>
            <w:noWrap/>
            <w:vAlign w:val="bottom"/>
            <w:hideMark/>
          </w:tcPr>
          <w:p w14:paraId="37ED2083"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51.36</w:t>
            </w:r>
          </w:p>
        </w:tc>
        <w:tc>
          <w:tcPr>
            <w:tcW w:w="1480" w:type="dxa"/>
            <w:tcBorders>
              <w:top w:val="single" w:sz="4" w:space="0" w:color="auto"/>
              <w:left w:val="single" w:sz="8" w:space="0" w:color="auto"/>
              <w:bottom w:val="single" w:sz="8" w:space="0" w:color="auto"/>
              <w:right w:val="single" w:sz="8" w:space="0" w:color="auto"/>
            </w:tcBorders>
            <w:shd w:val="clear" w:color="D9E1F2" w:fill="D9E1F2"/>
            <w:noWrap/>
            <w:vAlign w:val="bottom"/>
            <w:hideMark/>
          </w:tcPr>
          <w:p w14:paraId="1F052027"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89.81</w:t>
            </w:r>
          </w:p>
        </w:tc>
      </w:tr>
      <w:tr w:rsidR="006132E7" w:rsidRPr="006132E7" w14:paraId="4A2065E2" w14:textId="77777777" w:rsidTr="006132E7">
        <w:trPr>
          <w:trHeight w:val="876"/>
        </w:trPr>
        <w:tc>
          <w:tcPr>
            <w:tcW w:w="3700" w:type="dxa"/>
            <w:tcBorders>
              <w:top w:val="single" w:sz="4" w:space="0" w:color="8EA9DB"/>
              <w:left w:val="single" w:sz="8" w:space="0" w:color="auto"/>
              <w:bottom w:val="single" w:sz="4" w:space="0" w:color="8EA9DB"/>
              <w:right w:val="single" w:sz="4" w:space="0" w:color="auto"/>
            </w:tcBorders>
            <w:shd w:val="clear" w:color="auto" w:fill="auto"/>
            <w:vAlign w:val="bottom"/>
            <w:hideMark/>
          </w:tcPr>
          <w:p w14:paraId="367D5B5B"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b/>
                <w:bCs/>
                <w:color w:val="000000"/>
                <w:sz w:val="22"/>
                <w:lang w:eastAsia="en-IN"/>
              </w:rPr>
              <w:t xml:space="preserve">Contribution of strengthening wire per unit </w:t>
            </w:r>
            <w:r w:rsidRPr="006132E7">
              <w:rPr>
                <w:rFonts w:ascii="Arial" w:eastAsia="Times New Roman" w:hAnsi="Arial" w:cs="Arial"/>
                <w:color w:val="000000"/>
                <w:sz w:val="22"/>
                <w:lang w:eastAsia="en-IN"/>
              </w:rPr>
              <w:t>= Contribution per unit/ strengthening wire per unit used</w:t>
            </w:r>
          </w:p>
        </w:tc>
        <w:tc>
          <w:tcPr>
            <w:tcW w:w="148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02267187"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2.81</w:t>
            </w:r>
          </w:p>
        </w:tc>
        <w:tc>
          <w:tcPr>
            <w:tcW w:w="1620" w:type="dxa"/>
            <w:tcBorders>
              <w:top w:val="single" w:sz="4" w:space="0" w:color="8EA9DB"/>
              <w:left w:val="single" w:sz="4" w:space="0" w:color="auto"/>
              <w:bottom w:val="single" w:sz="4" w:space="0" w:color="8EA9DB"/>
              <w:right w:val="single" w:sz="4" w:space="0" w:color="auto"/>
            </w:tcBorders>
            <w:shd w:val="clear" w:color="auto" w:fill="auto"/>
            <w:noWrap/>
            <w:vAlign w:val="bottom"/>
            <w:hideMark/>
          </w:tcPr>
          <w:p w14:paraId="17DDF5C1"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4.54</w:t>
            </w:r>
          </w:p>
        </w:tc>
        <w:tc>
          <w:tcPr>
            <w:tcW w:w="1660" w:type="dxa"/>
            <w:tcBorders>
              <w:top w:val="single" w:sz="4" w:space="0" w:color="8EA9DB"/>
              <w:left w:val="single" w:sz="4" w:space="0" w:color="auto"/>
              <w:bottom w:val="single" w:sz="4" w:space="0" w:color="8EA9DB"/>
              <w:right w:val="nil"/>
            </w:tcBorders>
            <w:shd w:val="clear" w:color="auto" w:fill="auto"/>
            <w:noWrap/>
            <w:vAlign w:val="bottom"/>
            <w:hideMark/>
          </w:tcPr>
          <w:p w14:paraId="392998F3"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4.28</w:t>
            </w:r>
          </w:p>
        </w:tc>
        <w:tc>
          <w:tcPr>
            <w:tcW w:w="1480" w:type="dxa"/>
            <w:tcBorders>
              <w:top w:val="single" w:sz="4" w:space="0" w:color="8EA9DB"/>
              <w:left w:val="single" w:sz="8" w:space="0" w:color="auto"/>
              <w:bottom w:val="single" w:sz="4" w:space="0" w:color="8EA9DB"/>
              <w:right w:val="single" w:sz="8" w:space="0" w:color="auto"/>
            </w:tcBorders>
            <w:shd w:val="clear" w:color="auto" w:fill="auto"/>
            <w:noWrap/>
            <w:vAlign w:val="bottom"/>
            <w:hideMark/>
          </w:tcPr>
          <w:p w14:paraId="0BDD76BA" w14:textId="77777777" w:rsidR="006132E7" w:rsidRPr="006132E7" w:rsidRDefault="006132E7" w:rsidP="000E7A92">
            <w:pPr>
              <w:spacing w:after="0"/>
              <w:rPr>
                <w:rFonts w:ascii="Arial" w:eastAsia="Times New Roman" w:hAnsi="Arial" w:cs="Arial"/>
                <w:color w:val="000000"/>
                <w:sz w:val="22"/>
                <w:lang w:eastAsia="en-IN"/>
              </w:rPr>
            </w:pPr>
            <w:r w:rsidRPr="006132E7">
              <w:rPr>
                <w:rFonts w:ascii="Arial" w:eastAsia="Times New Roman" w:hAnsi="Arial" w:cs="Arial"/>
                <w:color w:val="000000"/>
                <w:sz w:val="22"/>
                <w:lang w:eastAsia="en-IN"/>
              </w:rPr>
              <w:t>11.62</w:t>
            </w:r>
          </w:p>
        </w:tc>
      </w:tr>
      <w:tr w:rsidR="006132E7" w:rsidRPr="006132E7" w14:paraId="6D05BB24" w14:textId="77777777" w:rsidTr="006132E7">
        <w:trPr>
          <w:trHeight w:val="576"/>
        </w:trPr>
        <w:tc>
          <w:tcPr>
            <w:tcW w:w="3700" w:type="dxa"/>
            <w:tcBorders>
              <w:top w:val="single" w:sz="8" w:space="0" w:color="auto"/>
              <w:left w:val="single" w:sz="8" w:space="0" w:color="auto"/>
              <w:bottom w:val="single" w:sz="8" w:space="0" w:color="auto"/>
              <w:right w:val="single" w:sz="4" w:space="0" w:color="auto"/>
            </w:tcBorders>
            <w:shd w:val="clear" w:color="D9E1F2" w:fill="D9E1F2"/>
            <w:vAlign w:val="bottom"/>
            <w:hideMark/>
          </w:tcPr>
          <w:p w14:paraId="57F15E4D"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lastRenderedPageBreak/>
              <w:t>Total fixed overheads as calculated from High-Low Method</w:t>
            </w:r>
          </w:p>
        </w:tc>
        <w:tc>
          <w:tcPr>
            <w:tcW w:w="1480" w:type="dxa"/>
            <w:tcBorders>
              <w:top w:val="single" w:sz="8" w:space="0" w:color="auto"/>
              <w:left w:val="single" w:sz="4" w:space="0" w:color="auto"/>
              <w:bottom w:val="single" w:sz="8" w:space="0" w:color="auto"/>
              <w:right w:val="single" w:sz="4" w:space="0" w:color="auto"/>
            </w:tcBorders>
            <w:shd w:val="clear" w:color="D9E1F2" w:fill="D9E1F2"/>
            <w:noWrap/>
            <w:vAlign w:val="bottom"/>
            <w:hideMark/>
          </w:tcPr>
          <w:p w14:paraId="61BB8996"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6470.00</w:t>
            </w:r>
          </w:p>
        </w:tc>
        <w:tc>
          <w:tcPr>
            <w:tcW w:w="1620" w:type="dxa"/>
            <w:tcBorders>
              <w:top w:val="single" w:sz="8" w:space="0" w:color="auto"/>
              <w:left w:val="single" w:sz="4" w:space="0" w:color="auto"/>
              <w:bottom w:val="single" w:sz="8" w:space="0" w:color="auto"/>
              <w:right w:val="single" w:sz="4" w:space="0" w:color="auto"/>
            </w:tcBorders>
            <w:shd w:val="clear" w:color="D9E1F2" w:fill="D9E1F2"/>
            <w:noWrap/>
            <w:vAlign w:val="bottom"/>
            <w:hideMark/>
          </w:tcPr>
          <w:p w14:paraId="729A229F"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4070.80</w:t>
            </w:r>
          </w:p>
        </w:tc>
        <w:tc>
          <w:tcPr>
            <w:tcW w:w="1660" w:type="dxa"/>
            <w:tcBorders>
              <w:top w:val="single" w:sz="8" w:space="0" w:color="auto"/>
              <w:left w:val="single" w:sz="4" w:space="0" w:color="auto"/>
              <w:bottom w:val="single" w:sz="8" w:space="0" w:color="auto"/>
              <w:right w:val="nil"/>
            </w:tcBorders>
            <w:shd w:val="clear" w:color="D9E1F2" w:fill="D9E1F2"/>
            <w:noWrap/>
            <w:vAlign w:val="bottom"/>
            <w:hideMark/>
          </w:tcPr>
          <w:p w14:paraId="1E2F1384"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2932.80</w:t>
            </w:r>
          </w:p>
        </w:tc>
        <w:tc>
          <w:tcPr>
            <w:tcW w:w="1480" w:type="dxa"/>
            <w:tcBorders>
              <w:top w:val="single" w:sz="8" w:space="0" w:color="auto"/>
              <w:left w:val="single" w:sz="8" w:space="0" w:color="auto"/>
              <w:bottom w:val="single" w:sz="8" w:space="0" w:color="auto"/>
              <w:right w:val="single" w:sz="8" w:space="0" w:color="auto"/>
            </w:tcBorders>
            <w:shd w:val="clear" w:color="D9E1F2" w:fill="D9E1F2"/>
            <w:noWrap/>
            <w:vAlign w:val="bottom"/>
            <w:hideMark/>
          </w:tcPr>
          <w:p w14:paraId="0F0C7C35" w14:textId="77777777" w:rsidR="006132E7" w:rsidRPr="006132E7" w:rsidRDefault="006132E7" w:rsidP="000E7A92">
            <w:pPr>
              <w:spacing w:after="0"/>
              <w:rPr>
                <w:rFonts w:ascii="Arial" w:eastAsia="Times New Roman" w:hAnsi="Arial" w:cs="Arial"/>
                <w:b/>
                <w:bCs/>
                <w:color w:val="000000"/>
                <w:sz w:val="22"/>
                <w:lang w:eastAsia="en-IN"/>
              </w:rPr>
            </w:pPr>
            <w:r w:rsidRPr="006132E7">
              <w:rPr>
                <w:rFonts w:ascii="Arial" w:eastAsia="Times New Roman" w:hAnsi="Arial" w:cs="Arial"/>
                <w:b/>
                <w:bCs/>
                <w:color w:val="000000"/>
                <w:sz w:val="22"/>
                <w:lang w:eastAsia="en-IN"/>
              </w:rPr>
              <w:t>13473.60</w:t>
            </w:r>
          </w:p>
        </w:tc>
      </w:tr>
    </w:tbl>
    <w:p w14:paraId="2AD26FB7" w14:textId="77777777" w:rsidR="006132E7" w:rsidRPr="002E590C" w:rsidRDefault="006132E7" w:rsidP="000E7A92">
      <w:pPr>
        <w:rPr>
          <w:rFonts w:ascii="Arial" w:hAnsi="Arial" w:cs="Arial"/>
          <w:b/>
          <w:bCs/>
          <w:sz w:val="22"/>
        </w:rPr>
      </w:pPr>
    </w:p>
    <w:p w14:paraId="3F8FEFAD" w14:textId="36FBB493" w:rsidR="008B163F" w:rsidRPr="002E590C" w:rsidRDefault="00681C31" w:rsidP="000E7A92">
      <w:pPr>
        <w:rPr>
          <w:rFonts w:ascii="Arial" w:hAnsi="Arial" w:cs="Arial"/>
          <w:b/>
          <w:bCs/>
          <w:sz w:val="22"/>
        </w:rPr>
      </w:pPr>
      <w:r w:rsidRPr="002E590C">
        <w:rPr>
          <w:rFonts w:ascii="Arial" w:hAnsi="Arial" w:cs="Arial"/>
          <w:b/>
          <w:bCs/>
          <w:sz w:val="22"/>
        </w:rPr>
        <w:t xml:space="preserve">Ranking of Tyres as per Contribution </w:t>
      </w:r>
    </w:p>
    <w:p w14:paraId="3DAB7298" w14:textId="7E9D32A0" w:rsidR="00253915" w:rsidRPr="002E590C" w:rsidRDefault="00253915" w:rsidP="000E7A92">
      <w:pPr>
        <w:pStyle w:val="ListParagraph"/>
        <w:numPr>
          <w:ilvl w:val="0"/>
          <w:numId w:val="2"/>
        </w:numPr>
        <w:rPr>
          <w:rFonts w:ascii="Arial" w:hAnsi="Arial" w:cs="Arial"/>
          <w:sz w:val="22"/>
        </w:rPr>
      </w:pPr>
      <w:r w:rsidRPr="002E590C">
        <w:rPr>
          <w:rFonts w:ascii="Arial" w:hAnsi="Arial" w:cs="Arial"/>
          <w:sz w:val="22"/>
        </w:rPr>
        <w:t xml:space="preserve">Premium tyre </w:t>
      </w:r>
      <w:r w:rsidR="00FA5BE2" w:rsidRPr="002E590C">
        <w:rPr>
          <w:rFonts w:ascii="Arial" w:hAnsi="Arial" w:cs="Arial"/>
          <w:sz w:val="22"/>
        </w:rPr>
        <w:t xml:space="preserve">is </w:t>
      </w:r>
      <w:r w:rsidRPr="002E590C">
        <w:rPr>
          <w:rFonts w:ascii="Arial" w:hAnsi="Arial" w:cs="Arial"/>
          <w:sz w:val="22"/>
        </w:rPr>
        <w:t xml:space="preserve">given rank 1, as it has the highest contribution per unit. </w:t>
      </w:r>
    </w:p>
    <w:p w14:paraId="582E9ED2" w14:textId="65456699" w:rsidR="00253915" w:rsidRPr="002E590C" w:rsidRDefault="00FA5BE2" w:rsidP="000E7A92">
      <w:pPr>
        <w:pStyle w:val="ListParagraph"/>
        <w:numPr>
          <w:ilvl w:val="0"/>
          <w:numId w:val="2"/>
        </w:numPr>
        <w:rPr>
          <w:rFonts w:ascii="Arial" w:hAnsi="Arial" w:cs="Arial"/>
          <w:sz w:val="22"/>
        </w:rPr>
      </w:pPr>
      <w:r w:rsidRPr="002E590C">
        <w:rPr>
          <w:rFonts w:ascii="Arial" w:hAnsi="Arial" w:cs="Arial"/>
          <w:sz w:val="22"/>
        </w:rPr>
        <w:t xml:space="preserve">Standard Tyre is given rank 2, as it has </w:t>
      </w:r>
      <w:r w:rsidR="00067388" w:rsidRPr="002E590C">
        <w:rPr>
          <w:rFonts w:ascii="Arial" w:hAnsi="Arial" w:cs="Arial"/>
          <w:sz w:val="22"/>
        </w:rPr>
        <w:t xml:space="preserve">second highest contribution. </w:t>
      </w:r>
    </w:p>
    <w:p w14:paraId="2254632F" w14:textId="1CBE5C3D" w:rsidR="00067388" w:rsidRPr="002E590C" w:rsidRDefault="00067388" w:rsidP="000E7A92">
      <w:pPr>
        <w:pStyle w:val="ListParagraph"/>
        <w:numPr>
          <w:ilvl w:val="0"/>
          <w:numId w:val="2"/>
        </w:numPr>
        <w:rPr>
          <w:rFonts w:ascii="Arial" w:hAnsi="Arial" w:cs="Arial"/>
          <w:sz w:val="22"/>
        </w:rPr>
      </w:pPr>
      <w:r w:rsidRPr="002E590C">
        <w:rPr>
          <w:rFonts w:ascii="Arial" w:hAnsi="Arial" w:cs="Arial"/>
          <w:sz w:val="22"/>
        </w:rPr>
        <w:t xml:space="preserve">The lowest contribution is given by the budgeted </w:t>
      </w:r>
      <w:proofErr w:type="gramStart"/>
      <w:r w:rsidRPr="002E590C">
        <w:rPr>
          <w:rFonts w:ascii="Arial" w:hAnsi="Arial" w:cs="Arial"/>
          <w:sz w:val="22"/>
        </w:rPr>
        <w:t>tyre,</w:t>
      </w:r>
      <w:proofErr w:type="gramEnd"/>
      <w:r w:rsidRPr="002E590C">
        <w:rPr>
          <w:rFonts w:ascii="Arial" w:hAnsi="Arial" w:cs="Arial"/>
          <w:sz w:val="22"/>
        </w:rPr>
        <w:t xml:space="preserve"> hence it would be given third priority. </w:t>
      </w:r>
    </w:p>
    <w:p w14:paraId="4FFBFA47" w14:textId="77777777" w:rsidR="00A67C1D" w:rsidRPr="002E590C" w:rsidRDefault="00A67C1D" w:rsidP="000E7A92">
      <w:pPr>
        <w:rPr>
          <w:rFonts w:ascii="Arial" w:hAnsi="Arial" w:cs="Arial"/>
          <w:sz w:val="22"/>
        </w:rPr>
      </w:pPr>
    </w:p>
    <w:p w14:paraId="5FDAA8BB" w14:textId="0549F168" w:rsidR="00A67C1D" w:rsidRPr="002E590C" w:rsidRDefault="00454E08" w:rsidP="00454E08">
      <w:pPr>
        <w:pStyle w:val="Heading1"/>
        <w:rPr>
          <w:rFonts w:ascii="Arial" w:hAnsi="Arial" w:cs="Arial"/>
        </w:rPr>
      </w:pPr>
      <w:bookmarkStart w:id="3" w:name="_Toc140673959"/>
      <w:r w:rsidRPr="002E590C">
        <w:rPr>
          <w:rFonts w:ascii="Arial" w:hAnsi="Arial" w:cs="Arial"/>
        </w:rPr>
        <w:t xml:space="preserve">1.2 </w:t>
      </w:r>
      <w:r w:rsidR="00917D17" w:rsidRPr="002E590C">
        <w:rPr>
          <w:rFonts w:ascii="Arial" w:hAnsi="Arial" w:cs="Arial"/>
        </w:rPr>
        <w:t xml:space="preserve">If budget contract is </w:t>
      </w:r>
      <w:proofErr w:type="gramStart"/>
      <w:r w:rsidR="00917D17" w:rsidRPr="002E590C">
        <w:rPr>
          <w:rFonts w:ascii="Arial" w:hAnsi="Arial" w:cs="Arial"/>
        </w:rPr>
        <w:t>honoured</w:t>
      </w:r>
      <w:bookmarkEnd w:id="3"/>
      <w:proofErr w:type="gramEnd"/>
      <w:r w:rsidR="00917D17" w:rsidRPr="002E590C">
        <w:rPr>
          <w:rFonts w:ascii="Arial" w:hAnsi="Arial" w:cs="Arial"/>
        </w:rPr>
        <w:t xml:space="preserve"> </w:t>
      </w:r>
    </w:p>
    <w:p w14:paraId="6EAEA6A6" w14:textId="5E5D0C0F" w:rsidR="0019050F" w:rsidRPr="002E590C" w:rsidRDefault="008B2222" w:rsidP="000E7A92">
      <w:pPr>
        <w:rPr>
          <w:rFonts w:ascii="Arial" w:hAnsi="Arial" w:cs="Arial"/>
          <w:sz w:val="22"/>
        </w:rPr>
      </w:pPr>
      <w:r w:rsidRPr="002E590C">
        <w:rPr>
          <w:rFonts w:ascii="Arial" w:hAnsi="Arial" w:cs="Arial"/>
          <w:sz w:val="22"/>
        </w:rPr>
        <w:t xml:space="preserve">As the supply of </w:t>
      </w:r>
      <w:r w:rsidR="00817AB4" w:rsidRPr="002E590C">
        <w:rPr>
          <w:rFonts w:ascii="Arial" w:hAnsi="Arial" w:cs="Arial"/>
          <w:sz w:val="22"/>
        </w:rPr>
        <w:t>special strengt</w:t>
      </w:r>
      <w:r w:rsidR="00917ABE" w:rsidRPr="002E590C">
        <w:rPr>
          <w:rFonts w:ascii="Arial" w:hAnsi="Arial" w:cs="Arial"/>
          <w:sz w:val="22"/>
        </w:rPr>
        <w:t>he</w:t>
      </w:r>
      <w:r w:rsidR="00817AB4" w:rsidRPr="002E590C">
        <w:rPr>
          <w:rFonts w:ascii="Arial" w:hAnsi="Arial" w:cs="Arial"/>
          <w:sz w:val="22"/>
        </w:rPr>
        <w:t xml:space="preserve">ning </w:t>
      </w:r>
      <w:r w:rsidR="00917ABE" w:rsidRPr="002E590C">
        <w:rPr>
          <w:rFonts w:ascii="Arial" w:hAnsi="Arial" w:cs="Arial"/>
          <w:sz w:val="22"/>
        </w:rPr>
        <w:t xml:space="preserve">wire would be limited to 25140 </w:t>
      </w:r>
      <w:r w:rsidR="000223D9" w:rsidRPr="002E590C">
        <w:rPr>
          <w:rFonts w:ascii="Arial" w:hAnsi="Arial" w:cs="Arial"/>
          <w:sz w:val="22"/>
        </w:rPr>
        <w:t>metres</w:t>
      </w:r>
      <w:r w:rsidR="00917ABE" w:rsidRPr="002E590C">
        <w:rPr>
          <w:rFonts w:ascii="Arial" w:hAnsi="Arial" w:cs="Arial"/>
          <w:sz w:val="22"/>
        </w:rPr>
        <w:t xml:space="preserve"> only in </w:t>
      </w:r>
      <w:r w:rsidR="00AB122F" w:rsidRPr="002E590C">
        <w:rPr>
          <w:rFonts w:ascii="Arial" w:hAnsi="Arial" w:cs="Arial"/>
          <w:sz w:val="22"/>
        </w:rPr>
        <w:t>financial year 2023</w:t>
      </w:r>
      <w:r w:rsidR="000223D9" w:rsidRPr="002E590C">
        <w:rPr>
          <w:rFonts w:ascii="Arial" w:hAnsi="Arial" w:cs="Arial"/>
          <w:sz w:val="22"/>
        </w:rPr>
        <w:t xml:space="preserve">, hence the material required </w:t>
      </w:r>
      <w:r w:rsidR="0087602C" w:rsidRPr="002E590C">
        <w:rPr>
          <w:rFonts w:ascii="Arial" w:hAnsi="Arial" w:cs="Arial"/>
          <w:sz w:val="22"/>
        </w:rPr>
        <w:t>to produce</w:t>
      </w:r>
      <w:r w:rsidR="000223D9" w:rsidRPr="002E590C">
        <w:rPr>
          <w:rFonts w:ascii="Arial" w:hAnsi="Arial" w:cs="Arial"/>
          <w:sz w:val="22"/>
        </w:rPr>
        <w:t xml:space="preserve"> all the three products</w:t>
      </w:r>
      <w:r w:rsidR="00430698" w:rsidRPr="002E590C">
        <w:rPr>
          <w:rFonts w:ascii="Arial" w:hAnsi="Arial" w:cs="Arial"/>
          <w:sz w:val="22"/>
        </w:rPr>
        <w:t xml:space="preserve"> would be limited</w:t>
      </w:r>
      <w:r w:rsidR="00BD3568" w:rsidRPr="002E590C">
        <w:rPr>
          <w:rFonts w:ascii="Arial" w:hAnsi="Arial" w:cs="Arial"/>
          <w:sz w:val="22"/>
        </w:rPr>
        <w:t xml:space="preserve">. </w:t>
      </w:r>
      <w:proofErr w:type="gramStart"/>
      <w:r w:rsidR="005B1302" w:rsidRPr="002E590C">
        <w:rPr>
          <w:rFonts w:ascii="Arial" w:hAnsi="Arial" w:cs="Arial"/>
          <w:sz w:val="22"/>
        </w:rPr>
        <w:t>First of all</w:t>
      </w:r>
      <w:proofErr w:type="gramEnd"/>
      <w:r w:rsidR="005B1302" w:rsidRPr="002E590C">
        <w:rPr>
          <w:rFonts w:ascii="Arial" w:hAnsi="Arial" w:cs="Arial"/>
          <w:sz w:val="22"/>
        </w:rPr>
        <w:t xml:space="preserve">, already taken order of 1200 </w:t>
      </w:r>
      <w:r w:rsidR="002531EA" w:rsidRPr="002E590C">
        <w:rPr>
          <w:rFonts w:ascii="Arial" w:hAnsi="Arial" w:cs="Arial"/>
          <w:sz w:val="22"/>
        </w:rPr>
        <w:t>budgeted</w:t>
      </w:r>
      <w:r w:rsidR="005B1302" w:rsidRPr="002E590C">
        <w:rPr>
          <w:rFonts w:ascii="Arial" w:hAnsi="Arial" w:cs="Arial"/>
          <w:sz w:val="22"/>
        </w:rPr>
        <w:t xml:space="preserve"> units </w:t>
      </w:r>
      <w:r w:rsidR="002531EA" w:rsidRPr="002E590C">
        <w:rPr>
          <w:rFonts w:ascii="Arial" w:hAnsi="Arial" w:cs="Arial"/>
          <w:sz w:val="22"/>
        </w:rPr>
        <w:t xml:space="preserve">will be </w:t>
      </w:r>
      <w:r w:rsidR="00EE040D" w:rsidRPr="002E590C">
        <w:rPr>
          <w:rFonts w:ascii="Arial" w:hAnsi="Arial" w:cs="Arial"/>
          <w:sz w:val="22"/>
        </w:rPr>
        <w:t xml:space="preserve">completed which will consume 4800 m </w:t>
      </w:r>
      <w:r w:rsidR="0087602C" w:rsidRPr="002E590C">
        <w:rPr>
          <w:rFonts w:ascii="Arial" w:hAnsi="Arial" w:cs="Arial"/>
          <w:sz w:val="22"/>
        </w:rPr>
        <w:t xml:space="preserve">wire. After this, </w:t>
      </w:r>
      <w:r w:rsidR="00AF21E8" w:rsidRPr="002E590C">
        <w:rPr>
          <w:rFonts w:ascii="Arial" w:hAnsi="Arial" w:cs="Arial"/>
          <w:sz w:val="22"/>
        </w:rPr>
        <w:t xml:space="preserve">900 units of </w:t>
      </w:r>
      <w:r w:rsidR="0087602C" w:rsidRPr="002E590C">
        <w:rPr>
          <w:rFonts w:ascii="Arial" w:hAnsi="Arial" w:cs="Arial"/>
          <w:sz w:val="22"/>
        </w:rPr>
        <w:t xml:space="preserve">premium tyre will be produced </w:t>
      </w:r>
      <w:r w:rsidR="00AF21E8" w:rsidRPr="002E590C">
        <w:rPr>
          <w:rFonts w:ascii="Arial" w:hAnsi="Arial" w:cs="Arial"/>
          <w:sz w:val="22"/>
        </w:rPr>
        <w:t xml:space="preserve">which will use </w:t>
      </w:r>
      <w:r w:rsidR="00851702" w:rsidRPr="002E590C">
        <w:rPr>
          <w:rFonts w:ascii="Arial" w:hAnsi="Arial" w:cs="Arial"/>
          <w:sz w:val="22"/>
        </w:rPr>
        <w:t xml:space="preserve">10800 m wire. Remaining </w:t>
      </w:r>
      <w:r w:rsidR="00830F61" w:rsidRPr="002E590C">
        <w:rPr>
          <w:rFonts w:ascii="Arial" w:hAnsi="Arial" w:cs="Arial"/>
          <w:sz w:val="22"/>
        </w:rPr>
        <w:t xml:space="preserve">9540 m of wire will be used to produce 1590 </w:t>
      </w:r>
      <w:r w:rsidR="002A5EFA" w:rsidRPr="002E590C">
        <w:rPr>
          <w:rFonts w:ascii="Arial" w:hAnsi="Arial" w:cs="Arial"/>
          <w:sz w:val="22"/>
        </w:rPr>
        <w:t xml:space="preserve">units of standard tyre instead of 1600 units. </w:t>
      </w:r>
    </w:p>
    <w:p w14:paraId="4203C153" w14:textId="59A422E3" w:rsidR="0019050F" w:rsidRPr="002E590C" w:rsidRDefault="0019050F" w:rsidP="000E7A92">
      <w:pPr>
        <w:rPr>
          <w:rFonts w:ascii="Arial" w:hAnsi="Arial" w:cs="Arial"/>
          <w:sz w:val="22"/>
        </w:rPr>
      </w:pPr>
      <w:r w:rsidRPr="002E590C">
        <w:rPr>
          <w:rFonts w:ascii="Arial" w:hAnsi="Arial" w:cs="Arial"/>
          <w:noProof/>
          <w:sz w:val="22"/>
        </w:rPr>
        <w:drawing>
          <wp:inline distT="0" distB="0" distL="0" distR="0" wp14:anchorId="589644F2" wp14:editId="3620B080">
            <wp:extent cx="5731510" cy="802640"/>
            <wp:effectExtent l="0" t="0" r="2540" b="0"/>
            <wp:docPr id="666090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802640"/>
                    </a:xfrm>
                    <a:prstGeom prst="rect">
                      <a:avLst/>
                    </a:prstGeom>
                    <a:noFill/>
                    <a:ln>
                      <a:noFill/>
                    </a:ln>
                  </pic:spPr>
                </pic:pic>
              </a:graphicData>
            </a:graphic>
          </wp:inline>
        </w:drawing>
      </w:r>
    </w:p>
    <w:p w14:paraId="112E0233" w14:textId="028E3D45" w:rsidR="00E8149B" w:rsidRPr="002E590C" w:rsidRDefault="00E8149B" w:rsidP="000E7A92">
      <w:pPr>
        <w:rPr>
          <w:rFonts w:ascii="Arial" w:hAnsi="Arial" w:cs="Arial"/>
          <w:b/>
          <w:bCs/>
          <w:sz w:val="22"/>
        </w:rPr>
      </w:pPr>
      <w:r w:rsidRPr="002E590C">
        <w:rPr>
          <w:rFonts w:ascii="Arial" w:hAnsi="Arial" w:cs="Arial"/>
          <w:b/>
          <w:bCs/>
          <w:sz w:val="22"/>
        </w:rPr>
        <w:t xml:space="preserve">Income statement if honoured </w:t>
      </w:r>
    </w:p>
    <w:p w14:paraId="676B556F" w14:textId="29FA00A6" w:rsidR="00E8149B" w:rsidRPr="002E590C" w:rsidRDefault="00760D92" w:rsidP="000E7A92">
      <w:pPr>
        <w:rPr>
          <w:rFonts w:ascii="Arial" w:hAnsi="Arial" w:cs="Arial"/>
          <w:b/>
          <w:bCs/>
          <w:sz w:val="22"/>
        </w:rPr>
      </w:pPr>
      <w:r w:rsidRPr="002E590C">
        <w:rPr>
          <w:rFonts w:ascii="Arial" w:hAnsi="Arial" w:cs="Arial"/>
          <w:noProof/>
          <w:sz w:val="22"/>
        </w:rPr>
        <w:drawing>
          <wp:inline distT="0" distB="0" distL="0" distR="0" wp14:anchorId="380E6717" wp14:editId="2814E0FA">
            <wp:extent cx="5731510" cy="1441450"/>
            <wp:effectExtent l="0" t="0" r="2540" b="6350"/>
            <wp:docPr id="1323194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441450"/>
                    </a:xfrm>
                    <a:prstGeom prst="rect">
                      <a:avLst/>
                    </a:prstGeom>
                    <a:noFill/>
                    <a:ln>
                      <a:noFill/>
                    </a:ln>
                  </pic:spPr>
                </pic:pic>
              </a:graphicData>
            </a:graphic>
          </wp:inline>
        </w:drawing>
      </w:r>
    </w:p>
    <w:p w14:paraId="6BBFB5AA" w14:textId="77777777" w:rsidR="00E8149B" w:rsidRPr="002E590C" w:rsidRDefault="00E8149B" w:rsidP="000E7A92">
      <w:pPr>
        <w:rPr>
          <w:rFonts w:ascii="Arial" w:hAnsi="Arial" w:cs="Arial"/>
          <w:b/>
          <w:bCs/>
          <w:sz w:val="22"/>
        </w:rPr>
      </w:pPr>
    </w:p>
    <w:p w14:paraId="33D24A7E" w14:textId="7679BF18" w:rsidR="00C10C57" w:rsidRPr="002E590C" w:rsidRDefault="002D64CC" w:rsidP="00454E08">
      <w:pPr>
        <w:pStyle w:val="Heading1"/>
        <w:rPr>
          <w:rFonts w:ascii="Arial" w:hAnsi="Arial" w:cs="Arial"/>
        </w:rPr>
      </w:pPr>
      <w:bookmarkStart w:id="4" w:name="_Toc140673960"/>
      <w:r w:rsidRPr="002E590C">
        <w:rPr>
          <w:rFonts w:ascii="Arial" w:hAnsi="Arial" w:cs="Arial"/>
        </w:rPr>
        <w:t xml:space="preserve">1.3 </w:t>
      </w:r>
      <w:r w:rsidR="00B93284" w:rsidRPr="002E590C">
        <w:rPr>
          <w:rFonts w:ascii="Arial" w:hAnsi="Arial" w:cs="Arial"/>
        </w:rPr>
        <w:t xml:space="preserve">If budget </w:t>
      </w:r>
      <w:r w:rsidR="00C10C57" w:rsidRPr="002E590C">
        <w:rPr>
          <w:rFonts w:ascii="Arial" w:hAnsi="Arial" w:cs="Arial"/>
        </w:rPr>
        <w:t xml:space="preserve">contract is not </w:t>
      </w:r>
      <w:proofErr w:type="gramStart"/>
      <w:r w:rsidR="00C10C57" w:rsidRPr="002E590C">
        <w:rPr>
          <w:rFonts w:ascii="Arial" w:hAnsi="Arial" w:cs="Arial"/>
        </w:rPr>
        <w:t>honoured</w:t>
      </w:r>
      <w:bookmarkEnd w:id="4"/>
      <w:proofErr w:type="gramEnd"/>
    </w:p>
    <w:p w14:paraId="263F5CE0" w14:textId="77777777" w:rsidR="003166B1" w:rsidRPr="002E590C" w:rsidRDefault="00E716F4" w:rsidP="000E7A92">
      <w:pPr>
        <w:rPr>
          <w:rFonts w:ascii="Arial" w:hAnsi="Arial" w:cs="Arial"/>
          <w:sz w:val="22"/>
        </w:rPr>
      </w:pPr>
      <w:r w:rsidRPr="002E590C">
        <w:rPr>
          <w:rFonts w:ascii="Arial" w:hAnsi="Arial" w:cs="Arial"/>
          <w:sz w:val="22"/>
        </w:rPr>
        <w:t xml:space="preserve">In the case, if contract is not honoured then priority to premium tyres will </w:t>
      </w:r>
      <w:r w:rsidR="00227B73" w:rsidRPr="002E590C">
        <w:rPr>
          <w:rFonts w:ascii="Arial" w:hAnsi="Arial" w:cs="Arial"/>
          <w:sz w:val="22"/>
        </w:rPr>
        <w:t xml:space="preserve">be </w:t>
      </w:r>
      <w:r w:rsidRPr="002E590C">
        <w:rPr>
          <w:rFonts w:ascii="Arial" w:hAnsi="Arial" w:cs="Arial"/>
          <w:sz w:val="22"/>
        </w:rPr>
        <w:t>given</w:t>
      </w:r>
      <w:r w:rsidR="00227B73" w:rsidRPr="002E590C">
        <w:rPr>
          <w:rFonts w:ascii="Arial" w:hAnsi="Arial" w:cs="Arial"/>
          <w:sz w:val="22"/>
        </w:rPr>
        <w:t xml:space="preserve"> and this will use 10800m </w:t>
      </w:r>
      <w:r w:rsidR="002F6EBB" w:rsidRPr="002E590C">
        <w:rPr>
          <w:rFonts w:ascii="Arial" w:hAnsi="Arial" w:cs="Arial"/>
          <w:sz w:val="22"/>
        </w:rPr>
        <w:t xml:space="preserve">of </w:t>
      </w:r>
      <w:r w:rsidR="00227B73" w:rsidRPr="002E590C">
        <w:rPr>
          <w:rFonts w:ascii="Arial" w:hAnsi="Arial" w:cs="Arial"/>
          <w:sz w:val="22"/>
        </w:rPr>
        <w:t>wire</w:t>
      </w:r>
      <w:r w:rsidR="004A78D1" w:rsidRPr="002E590C">
        <w:rPr>
          <w:rFonts w:ascii="Arial" w:hAnsi="Arial" w:cs="Arial"/>
          <w:sz w:val="22"/>
        </w:rPr>
        <w:t>. The second priority</w:t>
      </w:r>
      <w:r w:rsidR="00F81A3B" w:rsidRPr="002E590C">
        <w:rPr>
          <w:rFonts w:ascii="Arial" w:hAnsi="Arial" w:cs="Arial"/>
          <w:sz w:val="22"/>
        </w:rPr>
        <w:t xml:space="preserve"> will be given to standard tyre which will use </w:t>
      </w:r>
      <w:r w:rsidR="00FA157C" w:rsidRPr="002E590C">
        <w:rPr>
          <w:rFonts w:ascii="Arial" w:hAnsi="Arial" w:cs="Arial"/>
          <w:sz w:val="22"/>
        </w:rPr>
        <w:t xml:space="preserve">9600 </w:t>
      </w:r>
      <w:r w:rsidR="00FA157C" w:rsidRPr="002E590C">
        <w:rPr>
          <w:rFonts w:ascii="Arial" w:hAnsi="Arial" w:cs="Arial"/>
          <w:sz w:val="22"/>
        </w:rPr>
        <w:lastRenderedPageBreak/>
        <w:t xml:space="preserve">meter of </w:t>
      </w:r>
      <w:r w:rsidR="00DA52D3" w:rsidRPr="002E590C">
        <w:rPr>
          <w:rFonts w:ascii="Arial" w:hAnsi="Arial" w:cs="Arial"/>
          <w:sz w:val="22"/>
        </w:rPr>
        <w:t xml:space="preserve">wire and in last the remaining wire of 4740 meter will be used to produce 1185 units of budgeted </w:t>
      </w:r>
      <w:r w:rsidR="003166B1" w:rsidRPr="002E590C">
        <w:rPr>
          <w:rFonts w:ascii="Arial" w:hAnsi="Arial" w:cs="Arial"/>
          <w:sz w:val="22"/>
        </w:rPr>
        <w:t xml:space="preserve">tyres. </w:t>
      </w:r>
    </w:p>
    <w:p w14:paraId="683C7931" w14:textId="77777777" w:rsidR="002C1339" w:rsidRPr="002E590C" w:rsidRDefault="002C1339" w:rsidP="000E7A92">
      <w:pPr>
        <w:rPr>
          <w:rFonts w:ascii="Arial" w:hAnsi="Arial" w:cs="Arial"/>
          <w:sz w:val="22"/>
        </w:rPr>
      </w:pPr>
      <w:r w:rsidRPr="002E590C">
        <w:rPr>
          <w:rFonts w:ascii="Arial" w:hAnsi="Arial" w:cs="Arial"/>
          <w:noProof/>
          <w:sz w:val="22"/>
        </w:rPr>
        <w:drawing>
          <wp:inline distT="0" distB="0" distL="0" distR="0" wp14:anchorId="124539AE" wp14:editId="0296D3A9">
            <wp:extent cx="5731510" cy="802640"/>
            <wp:effectExtent l="0" t="0" r="2540" b="0"/>
            <wp:docPr id="20998447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802640"/>
                    </a:xfrm>
                    <a:prstGeom prst="rect">
                      <a:avLst/>
                    </a:prstGeom>
                    <a:noFill/>
                    <a:ln>
                      <a:noFill/>
                    </a:ln>
                  </pic:spPr>
                </pic:pic>
              </a:graphicData>
            </a:graphic>
          </wp:inline>
        </w:drawing>
      </w:r>
      <w:r w:rsidRPr="002E590C">
        <w:rPr>
          <w:rFonts w:ascii="Arial" w:hAnsi="Arial" w:cs="Arial"/>
          <w:sz w:val="22"/>
        </w:rPr>
        <w:t xml:space="preserve"> </w:t>
      </w:r>
    </w:p>
    <w:p w14:paraId="3757334F" w14:textId="77777777" w:rsidR="002C1339" w:rsidRPr="002E590C" w:rsidRDefault="002C1339" w:rsidP="000E7A92">
      <w:pPr>
        <w:rPr>
          <w:rFonts w:ascii="Arial" w:hAnsi="Arial" w:cs="Arial"/>
          <w:sz w:val="22"/>
        </w:rPr>
      </w:pPr>
    </w:p>
    <w:p w14:paraId="7B385EC1" w14:textId="77777777" w:rsidR="002C1339" w:rsidRPr="002E590C" w:rsidRDefault="002C1339" w:rsidP="000E7A92">
      <w:pPr>
        <w:rPr>
          <w:rFonts w:ascii="Arial" w:hAnsi="Arial" w:cs="Arial"/>
          <w:sz w:val="22"/>
        </w:rPr>
      </w:pPr>
    </w:p>
    <w:p w14:paraId="5A4FE1AC" w14:textId="77777777" w:rsidR="00721A13" w:rsidRPr="002E590C" w:rsidRDefault="002C1339" w:rsidP="000E7A92">
      <w:pPr>
        <w:rPr>
          <w:rFonts w:ascii="Arial" w:hAnsi="Arial" w:cs="Arial"/>
          <w:b/>
          <w:bCs/>
          <w:sz w:val="22"/>
        </w:rPr>
      </w:pPr>
      <w:r w:rsidRPr="002E590C">
        <w:rPr>
          <w:rFonts w:ascii="Arial" w:hAnsi="Arial" w:cs="Arial"/>
          <w:b/>
          <w:bCs/>
          <w:sz w:val="22"/>
        </w:rPr>
        <w:t xml:space="preserve">Income statement </w:t>
      </w:r>
      <w:r w:rsidR="00721A13" w:rsidRPr="002E590C">
        <w:rPr>
          <w:rFonts w:ascii="Arial" w:hAnsi="Arial" w:cs="Arial"/>
          <w:b/>
          <w:bCs/>
          <w:sz w:val="22"/>
        </w:rPr>
        <w:t xml:space="preserve">when contract is not </w:t>
      </w:r>
      <w:proofErr w:type="gramStart"/>
      <w:r w:rsidR="00721A13" w:rsidRPr="002E590C">
        <w:rPr>
          <w:rFonts w:ascii="Arial" w:hAnsi="Arial" w:cs="Arial"/>
          <w:b/>
          <w:bCs/>
          <w:sz w:val="22"/>
        </w:rPr>
        <w:t>honoured</w:t>
      </w:r>
      <w:proofErr w:type="gramEnd"/>
    </w:p>
    <w:p w14:paraId="184DEE54" w14:textId="77777777" w:rsidR="00721A13" w:rsidRPr="002E590C" w:rsidRDefault="00721A13" w:rsidP="000E7A92">
      <w:pPr>
        <w:rPr>
          <w:rFonts w:ascii="Arial" w:hAnsi="Arial" w:cs="Arial"/>
          <w:sz w:val="22"/>
        </w:rPr>
      </w:pPr>
      <w:r w:rsidRPr="002E590C">
        <w:rPr>
          <w:rFonts w:ascii="Arial" w:hAnsi="Arial" w:cs="Arial"/>
          <w:noProof/>
          <w:sz w:val="22"/>
        </w:rPr>
        <w:drawing>
          <wp:inline distT="0" distB="0" distL="0" distR="0" wp14:anchorId="440F3CA2" wp14:editId="35C08782">
            <wp:extent cx="5731510" cy="1585595"/>
            <wp:effectExtent l="0" t="0" r="2540" b="0"/>
            <wp:docPr id="3446988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585595"/>
                    </a:xfrm>
                    <a:prstGeom prst="rect">
                      <a:avLst/>
                    </a:prstGeom>
                    <a:noFill/>
                    <a:ln>
                      <a:noFill/>
                    </a:ln>
                  </pic:spPr>
                </pic:pic>
              </a:graphicData>
            </a:graphic>
          </wp:inline>
        </w:drawing>
      </w:r>
    </w:p>
    <w:p w14:paraId="63778C72" w14:textId="77777777" w:rsidR="00721A13" w:rsidRPr="002E590C" w:rsidRDefault="00721A13" w:rsidP="000E7A92">
      <w:pPr>
        <w:rPr>
          <w:rFonts w:ascii="Arial" w:hAnsi="Arial" w:cs="Arial"/>
          <w:sz w:val="22"/>
        </w:rPr>
      </w:pPr>
    </w:p>
    <w:p w14:paraId="70565D0A" w14:textId="7C40E21A" w:rsidR="00D158BD" w:rsidRPr="002E590C" w:rsidRDefault="00721A13" w:rsidP="0042303A">
      <w:pPr>
        <w:pStyle w:val="Heading1"/>
        <w:rPr>
          <w:rFonts w:ascii="Arial" w:hAnsi="Arial" w:cs="Arial"/>
          <w:szCs w:val="22"/>
        </w:rPr>
      </w:pPr>
      <w:r w:rsidRPr="002E590C">
        <w:rPr>
          <w:rFonts w:ascii="Arial" w:hAnsi="Arial" w:cs="Arial"/>
          <w:szCs w:val="22"/>
        </w:rPr>
        <w:t xml:space="preserve"> </w:t>
      </w:r>
      <w:bookmarkStart w:id="5" w:name="_Toc140673961"/>
      <w:r w:rsidR="00D158BD" w:rsidRPr="002E590C">
        <w:rPr>
          <w:rFonts w:ascii="Arial" w:hAnsi="Arial" w:cs="Arial"/>
          <w:szCs w:val="22"/>
        </w:rPr>
        <w:t xml:space="preserve">1.4 </w:t>
      </w:r>
      <w:r w:rsidR="0042303A" w:rsidRPr="002E590C">
        <w:rPr>
          <w:rFonts w:ascii="Arial" w:hAnsi="Arial" w:cs="Arial"/>
        </w:rPr>
        <w:t>Qualitative and Quantitative Factors Analysis</w:t>
      </w:r>
      <w:bookmarkEnd w:id="5"/>
      <w:r w:rsidR="0042303A" w:rsidRPr="002E590C">
        <w:rPr>
          <w:rFonts w:ascii="Arial" w:hAnsi="Arial" w:cs="Arial"/>
        </w:rPr>
        <w:t xml:space="preserve"> </w:t>
      </w:r>
    </w:p>
    <w:p w14:paraId="47C37EEC" w14:textId="77777777" w:rsidR="00D34C6E" w:rsidRPr="002E590C" w:rsidRDefault="00D34C6E" w:rsidP="000E7A92">
      <w:pPr>
        <w:rPr>
          <w:rFonts w:ascii="Arial" w:hAnsi="Arial" w:cs="Arial"/>
          <w:sz w:val="22"/>
        </w:rPr>
      </w:pPr>
      <w:r w:rsidRPr="002E590C">
        <w:rPr>
          <w:rFonts w:ascii="Arial" w:hAnsi="Arial" w:cs="Arial"/>
          <w:sz w:val="22"/>
        </w:rPr>
        <w:t>According to the calculation, the directors of STG should approve the contract and give top priority to delivering the agreed-upon units. The potential profits from this technique would be higher those from violating the contract conditions.</w:t>
      </w:r>
    </w:p>
    <w:p w14:paraId="3B6CE09F" w14:textId="56259250" w:rsidR="00D158BD" w:rsidRPr="002E590C" w:rsidRDefault="00D158BD" w:rsidP="000E7A92">
      <w:pPr>
        <w:rPr>
          <w:rFonts w:ascii="Arial" w:hAnsi="Arial" w:cs="Arial"/>
          <w:b/>
          <w:bCs/>
          <w:sz w:val="22"/>
        </w:rPr>
      </w:pPr>
      <w:r w:rsidRPr="002E590C">
        <w:rPr>
          <w:rFonts w:ascii="Arial" w:hAnsi="Arial" w:cs="Arial"/>
          <w:b/>
          <w:bCs/>
          <w:sz w:val="22"/>
        </w:rPr>
        <w:t>Quantitative Reasons</w:t>
      </w:r>
    </w:p>
    <w:p w14:paraId="6D193F7F" w14:textId="77777777" w:rsidR="00FC5852" w:rsidRPr="002E590C" w:rsidRDefault="00FC5852" w:rsidP="000E7A92">
      <w:pPr>
        <w:rPr>
          <w:rFonts w:ascii="Arial" w:hAnsi="Arial" w:cs="Arial"/>
          <w:sz w:val="22"/>
        </w:rPr>
      </w:pPr>
      <w:r w:rsidRPr="002E590C">
        <w:rPr>
          <w:rFonts w:ascii="Arial" w:hAnsi="Arial" w:cs="Arial"/>
          <w:sz w:val="22"/>
        </w:rPr>
        <w:t>If contract is honoured, the firm would manufacture 1200 units of budget tyres using 4800 metres of strengthening wire. With the remaining wire, the company could make 900 premium tyres and 1590 units of standard tyres.</w:t>
      </w:r>
    </w:p>
    <w:p w14:paraId="03ACC115" w14:textId="77777777" w:rsidR="00FC5852" w:rsidRPr="002E590C" w:rsidRDefault="00FC5852" w:rsidP="000E7A92">
      <w:pPr>
        <w:rPr>
          <w:rFonts w:ascii="Arial" w:hAnsi="Arial" w:cs="Arial"/>
          <w:sz w:val="22"/>
        </w:rPr>
      </w:pPr>
      <w:r w:rsidRPr="002E590C">
        <w:rPr>
          <w:rFonts w:ascii="Arial" w:hAnsi="Arial" w:cs="Arial"/>
          <w:sz w:val="22"/>
        </w:rPr>
        <w:t>Production would be determined entirely by tyre ranking in the absence of adherence to the contract. The output in this case would be as follows: 900 units premium tyres, 1600 units standard tyres, and 1185 units budget tyres.</w:t>
      </w:r>
    </w:p>
    <w:p w14:paraId="34C4CB85" w14:textId="77777777" w:rsidR="00FC5852" w:rsidRPr="002E590C" w:rsidRDefault="00FC5852" w:rsidP="000E7A92">
      <w:pPr>
        <w:rPr>
          <w:rFonts w:ascii="Arial" w:hAnsi="Arial" w:cs="Arial"/>
          <w:sz w:val="22"/>
        </w:rPr>
      </w:pPr>
      <w:r w:rsidRPr="002E590C">
        <w:rPr>
          <w:rFonts w:ascii="Arial" w:hAnsi="Arial" w:cs="Arial"/>
          <w:sz w:val="22"/>
        </w:rPr>
        <w:t>If the contract is fulfilled, revenues would be £323,100, manufacturing expenses would be about £220,115.19, and fixed costs would be £13,473.6. In 2023, after subtracting fixed expenditures, this would result in a profit of £89,511.21 and a contribution of £102,984.81.</w:t>
      </w:r>
    </w:p>
    <w:p w14:paraId="7D1448FB" w14:textId="56FE3467" w:rsidR="00FC5852" w:rsidRPr="002E590C" w:rsidRDefault="00FC5852" w:rsidP="000E7A92">
      <w:pPr>
        <w:rPr>
          <w:rFonts w:ascii="Arial" w:hAnsi="Arial" w:cs="Arial"/>
          <w:sz w:val="22"/>
        </w:rPr>
      </w:pPr>
      <w:r w:rsidRPr="002E590C">
        <w:rPr>
          <w:rFonts w:ascii="Arial" w:hAnsi="Arial" w:cs="Arial"/>
          <w:sz w:val="22"/>
        </w:rPr>
        <w:lastRenderedPageBreak/>
        <w:t xml:space="preserve">Total revenues would still be £323,100, with variable expenses of £220,011.2, even if the contract is not honoured. There would be a transfer of £103,088.8 to the business. After factoring in the fixed expenditures and the penalty of breaching the contract would be £14,000, the net profit would be £75,615.19. This profit is lower than of the profit achieved by accepting the contract </w:t>
      </w:r>
      <w:proofErr w:type="gramStart"/>
      <w:r w:rsidRPr="002E590C">
        <w:rPr>
          <w:rFonts w:ascii="Arial" w:hAnsi="Arial" w:cs="Arial"/>
          <w:sz w:val="22"/>
        </w:rPr>
        <w:t>and also</w:t>
      </w:r>
      <w:proofErr w:type="gramEnd"/>
      <w:r w:rsidRPr="002E590C">
        <w:rPr>
          <w:rFonts w:ascii="Arial" w:hAnsi="Arial" w:cs="Arial"/>
          <w:sz w:val="22"/>
        </w:rPr>
        <w:t>, considerably lower than the profit earned in 2022</w:t>
      </w:r>
      <w:r w:rsidR="00921CC4" w:rsidRPr="002E590C">
        <w:rPr>
          <w:rFonts w:ascii="Arial" w:hAnsi="Arial" w:cs="Arial"/>
          <w:sz w:val="22"/>
        </w:rPr>
        <w:t xml:space="preserve"> </w:t>
      </w:r>
      <w:r w:rsidR="00921CC4" w:rsidRPr="002E590C">
        <w:rPr>
          <w:rFonts w:ascii="Arial" w:hAnsi="Arial" w:cs="Arial"/>
          <w:color w:val="222222"/>
          <w:sz w:val="22"/>
          <w:shd w:val="clear" w:color="auto" w:fill="FFFFFF"/>
        </w:rPr>
        <w:t>(Chien, et. al., 2020)</w:t>
      </w:r>
      <w:r w:rsidRPr="002E590C">
        <w:rPr>
          <w:rFonts w:ascii="Arial" w:hAnsi="Arial" w:cs="Arial"/>
          <w:sz w:val="22"/>
        </w:rPr>
        <w:t>.</w:t>
      </w:r>
    </w:p>
    <w:p w14:paraId="65F837AD" w14:textId="77777777" w:rsidR="00FC5852" w:rsidRPr="002E590C" w:rsidRDefault="00FC5852" w:rsidP="000E7A92">
      <w:pPr>
        <w:rPr>
          <w:rFonts w:ascii="Arial" w:hAnsi="Arial" w:cs="Arial"/>
          <w:sz w:val="22"/>
        </w:rPr>
      </w:pPr>
      <w:r w:rsidRPr="002E590C">
        <w:rPr>
          <w:rFonts w:ascii="Arial" w:hAnsi="Arial" w:cs="Arial"/>
          <w:sz w:val="22"/>
        </w:rPr>
        <w:t>Quantitative research shows that it is more profitable to accept the contract and begin production in accordance with its conditions rather than reject them.</w:t>
      </w:r>
    </w:p>
    <w:p w14:paraId="55E16A0E" w14:textId="77777777" w:rsidR="00D158BD" w:rsidRPr="002E590C" w:rsidRDefault="00D158BD" w:rsidP="000E7A92">
      <w:pPr>
        <w:rPr>
          <w:rFonts w:ascii="Arial" w:hAnsi="Arial" w:cs="Arial"/>
          <w:sz w:val="22"/>
        </w:rPr>
      </w:pPr>
    </w:p>
    <w:p w14:paraId="7031BBE0" w14:textId="64B32DFB" w:rsidR="00D158BD" w:rsidRPr="002E590C" w:rsidRDefault="00D158BD" w:rsidP="000E7A92">
      <w:pPr>
        <w:rPr>
          <w:rFonts w:ascii="Arial" w:hAnsi="Arial" w:cs="Arial"/>
          <w:b/>
          <w:bCs/>
          <w:sz w:val="22"/>
        </w:rPr>
      </w:pPr>
      <w:r w:rsidRPr="002E590C">
        <w:rPr>
          <w:rFonts w:ascii="Arial" w:hAnsi="Arial" w:cs="Arial"/>
          <w:b/>
          <w:bCs/>
          <w:sz w:val="22"/>
        </w:rPr>
        <w:t>Qualitative Reasons</w:t>
      </w:r>
    </w:p>
    <w:p w14:paraId="390B5874" w14:textId="77777777" w:rsidR="00111D18" w:rsidRPr="002E590C" w:rsidRDefault="00111D18" w:rsidP="000E7A92">
      <w:pPr>
        <w:rPr>
          <w:rFonts w:ascii="Arial" w:hAnsi="Arial" w:cs="Arial"/>
          <w:sz w:val="22"/>
        </w:rPr>
      </w:pPr>
      <w:r w:rsidRPr="002E590C">
        <w:rPr>
          <w:rFonts w:ascii="Arial" w:hAnsi="Arial" w:cs="Arial"/>
          <w:sz w:val="22"/>
        </w:rPr>
        <w:t>Along with the quantitative reasons, qualitative factors are too considered. Taking up the contract would be a morally sound move that would help STG in the long run. If the firm follows through on its promise to provide 1,200 budget tyres, it will enhance its connection with a key client who offers a sizable portion of budget tyre sales in 2023.</w:t>
      </w:r>
    </w:p>
    <w:p w14:paraId="41F2CB53" w14:textId="43788936" w:rsidR="00111D18" w:rsidRPr="002E590C" w:rsidRDefault="00111D18" w:rsidP="000E7A92">
      <w:pPr>
        <w:rPr>
          <w:rFonts w:ascii="Arial" w:hAnsi="Arial" w:cs="Arial"/>
          <w:sz w:val="22"/>
        </w:rPr>
      </w:pPr>
      <w:r w:rsidRPr="002E590C">
        <w:rPr>
          <w:rFonts w:ascii="Arial" w:hAnsi="Arial" w:cs="Arial"/>
          <w:sz w:val="22"/>
        </w:rPr>
        <w:t>To keep regular consumers with the company and reducing them from going to competitors, it is essential to keep their loyalty. There is a chance of losing present clients if their supply needs are not satisfied in whole or in part, but there is also a chance of forming a long-lasting relation with such customer who is giving large orders</w:t>
      </w:r>
      <w:r w:rsidR="00BF4C4C" w:rsidRPr="002E590C">
        <w:rPr>
          <w:rFonts w:ascii="Arial" w:hAnsi="Arial" w:cs="Arial"/>
          <w:sz w:val="22"/>
        </w:rPr>
        <w:t xml:space="preserve"> </w:t>
      </w:r>
      <w:r w:rsidR="00BF4C4C" w:rsidRPr="002E590C">
        <w:rPr>
          <w:rFonts w:ascii="Arial" w:hAnsi="Arial" w:cs="Arial"/>
          <w:color w:val="222222"/>
          <w:sz w:val="22"/>
          <w:shd w:val="clear" w:color="auto" w:fill="FFFFFF"/>
        </w:rPr>
        <w:t>(</w:t>
      </w:r>
      <w:proofErr w:type="gramStart"/>
      <w:r w:rsidR="00BF4C4C" w:rsidRPr="002E590C">
        <w:rPr>
          <w:rFonts w:ascii="Arial" w:hAnsi="Arial" w:cs="Arial"/>
          <w:color w:val="222222"/>
          <w:sz w:val="22"/>
          <w:shd w:val="clear" w:color="auto" w:fill="FFFFFF"/>
        </w:rPr>
        <w:t>Tan,et</w:t>
      </w:r>
      <w:proofErr w:type="gramEnd"/>
      <w:r w:rsidR="00BF4C4C" w:rsidRPr="002E590C">
        <w:rPr>
          <w:rFonts w:ascii="Arial" w:hAnsi="Arial" w:cs="Arial"/>
          <w:color w:val="222222"/>
          <w:sz w:val="22"/>
          <w:shd w:val="clear" w:color="auto" w:fill="FFFFFF"/>
        </w:rPr>
        <w:t>. al., 2021)</w:t>
      </w:r>
      <w:r w:rsidRPr="002E590C">
        <w:rPr>
          <w:rFonts w:ascii="Arial" w:hAnsi="Arial" w:cs="Arial"/>
          <w:sz w:val="22"/>
        </w:rPr>
        <w:t>.</w:t>
      </w:r>
    </w:p>
    <w:p w14:paraId="2FB06CD9" w14:textId="0A496503" w:rsidR="00111D18" w:rsidRPr="002E590C" w:rsidRDefault="00111D18" w:rsidP="000E7A92">
      <w:pPr>
        <w:rPr>
          <w:rFonts w:ascii="Arial" w:hAnsi="Arial" w:cs="Arial"/>
          <w:sz w:val="22"/>
        </w:rPr>
      </w:pPr>
      <w:r w:rsidRPr="002E590C">
        <w:rPr>
          <w:rFonts w:ascii="Arial" w:hAnsi="Arial" w:cs="Arial"/>
          <w:sz w:val="22"/>
        </w:rPr>
        <w:t>Additionally, by keeping to the terms of the agreement, STG will strengthen its reputation in front of customers showing the ability of customers to fulfil its promises. The effects of such a positive perception may have long lasting benefits</w:t>
      </w:r>
      <w:r w:rsidR="00BB4582" w:rsidRPr="002E590C">
        <w:rPr>
          <w:rFonts w:ascii="Arial" w:hAnsi="Arial" w:cs="Arial"/>
          <w:sz w:val="22"/>
        </w:rPr>
        <w:t xml:space="preserve"> </w:t>
      </w:r>
      <w:r w:rsidR="00BB4582" w:rsidRPr="002E590C">
        <w:rPr>
          <w:rFonts w:ascii="Arial" w:hAnsi="Arial" w:cs="Arial"/>
          <w:color w:val="222222"/>
          <w:sz w:val="22"/>
          <w:shd w:val="clear" w:color="auto" w:fill="FFFFFF"/>
        </w:rPr>
        <w:t>(Hegazy and Salama, 2022)</w:t>
      </w:r>
      <w:r w:rsidRPr="002E590C">
        <w:rPr>
          <w:rFonts w:ascii="Arial" w:hAnsi="Arial" w:cs="Arial"/>
          <w:sz w:val="22"/>
        </w:rPr>
        <w:t>.</w:t>
      </w:r>
    </w:p>
    <w:p w14:paraId="79BD0256" w14:textId="77777777" w:rsidR="00111D18" w:rsidRPr="002E590C" w:rsidRDefault="00111D18" w:rsidP="000E7A92">
      <w:pPr>
        <w:rPr>
          <w:rFonts w:ascii="Arial" w:hAnsi="Arial" w:cs="Arial"/>
          <w:sz w:val="22"/>
        </w:rPr>
      </w:pPr>
      <w:r w:rsidRPr="002E590C">
        <w:rPr>
          <w:rFonts w:ascii="Arial" w:hAnsi="Arial" w:cs="Arial"/>
          <w:sz w:val="22"/>
        </w:rPr>
        <w:t>Finally, the company's long-term development, customer loyalty, and reputation all benefit by honouring the offer.</w:t>
      </w:r>
    </w:p>
    <w:p w14:paraId="2498625A" w14:textId="77777777" w:rsidR="00D158BD" w:rsidRPr="002E590C" w:rsidRDefault="00D158BD" w:rsidP="000E7A92">
      <w:pPr>
        <w:rPr>
          <w:rFonts w:ascii="Arial" w:hAnsi="Arial" w:cs="Arial"/>
          <w:sz w:val="22"/>
        </w:rPr>
      </w:pPr>
    </w:p>
    <w:p w14:paraId="0501C9A7" w14:textId="77777777" w:rsidR="00D158BD" w:rsidRPr="002E590C" w:rsidRDefault="00D158BD" w:rsidP="000E7A92">
      <w:pPr>
        <w:rPr>
          <w:rFonts w:ascii="Arial" w:hAnsi="Arial" w:cs="Arial"/>
          <w:sz w:val="22"/>
        </w:rPr>
      </w:pPr>
    </w:p>
    <w:p w14:paraId="740C0B3D" w14:textId="77777777" w:rsidR="00D158BD" w:rsidRPr="002E590C" w:rsidRDefault="00D158BD" w:rsidP="000E7A92">
      <w:pPr>
        <w:rPr>
          <w:rFonts w:ascii="Arial" w:hAnsi="Arial" w:cs="Arial"/>
          <w:b/>
          <w:bCs/>
          <w:sz w:val="22"/>
        </w:rPr>
      </w:pPr>
      <w:r w:rsidRPr="002E590C">
        <w:rPr>
          <w:rFonts w:ascii="Arial" w:hAnsi="Arial" w:cs="Arial"/>
          <w:b/>
          <w:bCs/>
          <w:sz w:val="22"/>
        </w:rPr>
        <w:br w:type="page"/>
      </w:r>
    </w:p>
    <w:p w14:paraId="30A1AC90" w14:textId="5071E3A8" w:rsidR="00D158BD" w:rsidRPr="002E590C" w:rsidRDefault="00D158BD" w:rsidP="002E590C">
      <w:pPr>
        <w:pStyle w:val="Heading1"/>
        <w:rPr>
          <w:rFonts w:ascii="Arial" w:hAnsi="Arial" w:cs="Arial"/>
          <w:szCs w:val="22"/>
        </w:rPr>
      </w:pPr>
      <w:bookmarkStart w:id="6" w:name="_Toc140673962"/>
      <w:r w:rsidRPr="002E590C">
        <w:rPr>
          <w:rFonts w:ascii="Arial" w:hAnsi="Arial" w:cs="Arial"/>
          <w:szCs w:val="22"/>
        </w:rPr>
        <w:lastRenderedPageBreak/>
        <w:t xml:space="preserve">1.5 </w:t>
      </w:r>
      <w:r w:rsidR="002E590C" w:rsidRPr="002E590C">
        <w:rPr>
          <w:rFonts w:ascii="Arial" w:hAnsi="Arial" w:cs="Arial"/>
        </w:rPr>
        <w:t xml:space="preserve">Limiting factors and its assumptions and </w:t>
      </w:r>
      <w:proofErr w:type="gramStart"/>
      <w:r w:rsidR="002E590C" w:rsidRPr="002E590C">
        <w:rPr>
          <w:rFonts w:ascii="Arial" w:hAnsi="Arial" w:cs="Arial"/>
        </w:rPr>
        <w:t>limitations</w:t>
      </w:r>
      <w:bookmarkEnd w:id="6"/>
      <w:proofErr w:type="gramEnd"/>
      <w:r w:rsidR="002E590C" w:rsidRPr="002E590C">
        <w:rPr>
          <w:rFonts w:ascii="Arial" w:hAnsi="Arial" w:cs="Arial"/>
        </w:rPr>
        <w:t xml:space="preserve"> </w:t>
      </w:r>
    </w:p>
    <w:p w14:paraId="02A0AEF5" w14:textId="5A911591" w:rsidR="00EC7EC3" w:rsidRPr="002E590C" w:rsidRDefault="00D158BD" w:rsidP="000E7A92">
      <w:pPr>
        <w:rPr>
          <w:rFonts w:ascii="Arial" w:hAnsi="Arial" w:cs="Arial"/>
          <w:b/>
          <w:bCs/>
          <w:sz w:val="22"/>
        </w:rPr>
      </w:pPr>
      <w:r w:rsidRPr="002E590C">
        <w:rPr>
          <w:rFonts w:ascii="Arial" w:hAnsi="Arial" w:cs="Arial"/>
          <w:b/>
          <w:bCs/>
          <w:sz w:val="22"/>
        </w:rPr>
        <w:t xml:space="preserve">1.5.1 Limiting factor and its relevance to </w:t>
      </w:r>
      <w:proofErr w:type="gramStart"/>
      <w:r w:rsidRPr="002E590C">
        <w:rPr>
          <w:rFonts w:ascii="Arial" w:hAnsi="Arial" w:cs="Arial"/>
          <w:b/>
          <w:bCs/>
          <w:sz w:val="22"/>
        </w:rPr>
        <w:t>SGT</w:t>
      </w:r>
      <w:proofErr w:type="gramEnd"/>
    </w:p>
    <w:p w14:paraId="581BB3B6" w14:textId="31C22FCA" w:rsidR="0002144C" w:rsidRPr="002E590C" w:rsidRDefault="0002144C" w:rsidP="000E7A92">
      <w:pPr>
        <w:rPr>
          <w:rFonts w:ascii="Arial" w:hAnsi="Arial" w:cs="Arial"/>
          <w:sz w:val="22"/>
        </w:rPr>
      </w:pPr>
      <w:r w:rsidRPr="002E590C">
        <w:rPr>
          <w:rFonts w:ascii="Arial" w:hAnsi="Arial" w:cs="Arial"/>
          <w:sz w:val="22"/>
        </w:rPr>
        <w:t xml:space="preserve">A limiting factor is anything that hinders growth, development, or operations within an organisation. It limits the firm's capacity to manufacture and deliver more </w:t>
      </w:r>
      <w:proofErr w:type="gramStart"/>
      <w:r w:rsidRPr="002E590C">
        <w:rPr>
          <w:rFonts w:ascii="Arial" w:hAnsi="Arial" w:cs="Arial"/>
          <w:sz w:val="22"/>
        </w:rPr>
        <w:t>products .</w:t>
      </w:r>
      <w:proofErr w:type="gramEnd"/>
      <w:r w:rsidRPr="002E590C">
        <w:rPr>
          <w:rFonts w:ascii="Arial" w:hAnsi="Arial" w:cs="Arial"/>
          <w:sz w:val="22"/>
        </w:rPr>
        <w:t xml:space="preserve"> Lack of raw materials, limited manufacturing capacity, unskilled labour, or insufficient funds are all examples of restricting issues</w:t>
      </w:r>
      <w:r w:rsidR="00676C57" w:rsidRPr="002E590C">
        <w:rPr>
          <w:rFonts w:ascii="Arial" w:hAnsi="Arial" w:cs="Arial"/>
          <w:sz w:val="22"/>
        </w:rPr>
        <w:t xml:space="preserve"> </w:t>
      </w:r>
      <w:r w:rsidR="00676C57" w:rsidRPr="002E590C">
        <w:rPr>
          <w:rFonts w:ascii="Arial" w:hAnsi="Arial" w:cs="Arial"/>
          <w:color w:val="222222"/>
          <w:sz w:val="22"/>
          <w:shd w:val="clear" w:color="auto" w:fill="FFFFFF"/>
        </w:rPr>
        <w:t>(Shields, et. al., 2022)</w:t>
      </w:r>
      <w:r w:rsidRPr="002E590C">
        <w:rPr>
          <w:rFonts w:ascii="Arial" w:hAnsi="Arial" w:cs="Arial"/>
          <w:sz w:val="22"/>
        </w:rPr>
        <w:t xml:space="preserve">. </w:t>
      </w:r>
    </w:p>
    <w:p w14:paraId="39CA3EA2" w14:textId="010DBC33" w:rsidR="0002144C" w:rsidRPr="002E590C" w:rsidRDefault="0002144C" w:rsidP="000E7A92">
      <w:pPr>
        <w:rPr>
          <w:rFonts w:ascii="Arial" w:hAnsi="Arial" w:cs="Arial"/>
          <w:sz w:val="22"/>
        </w:rPr>
      </w:pPr>
      <w:r w:rsidRPr="002E590C">
        <w:rPr>
          <w:rFonts w:ascii="Arial" w:hAnsi="Arial" w:cs="Arial"/>
          <w:sz w:val="22"/>
        </w:rPr>
        <w:t>For STG, the shortage of a key component in tyre manufacturing—a particular strengthening wire—is the limiting factor. Rising energy prices for the manufacturer have put a hindrance on manufacturing of this wire. STG is directly affected by the shortage since, based on forecasted demand, the business needs around 29,200 metres of the wire. PSG who is the supplier of wire, has said they can only provide up to 25,140 metres. Therefore, STG must prioritise its goods and figure out which kind of tyre would benefit the most from the limited supply of the unique strengthening wire.</w:t>
      </w:r>
    </w:p>
    <w:p w14:paraId="3BFC5810" w14:textId="77777777" w:rsidR="00CC0614" w:rsidRPr="002E590C" w:rsidRDefault="00CC0614" w:rsidP="000E7A92">
      <w:pPr>
        <w:rPr>
          <w:rFonts w:ascii="Arial" w:hAnsi="Arial" w:cs="Arial"/>
          <w:sz w:val="22"/>
        </w:rPr>
      </w:pPr>
    </w:p>
    <w:p w14:paraId="372C5B35" w14:textId="11454302" w:rsidR="00D14A05" w:rsidRPr="002E590C" w:rsidRDefault="001924A1" w:rsidP="000E7A92">
      <w:pPr>
        <w:rPr>
          <w:rFonts w:ascii="Arial" w:hAnsi="Arial" w:cs="Arial"/>
          <w:b/>
          <w:bCs/>
          <w:sz w:val="22"/>
        </w:rPr>
      </w:pPr>
      <w:r w:rsidRPr="002E590C">
        <w:rPr>
          <w:rFonts w:ascii="Arial" w:hAnsi="Arial" w:cs="Arial"/>
          <w:b/>
          <w:bCs/>
          <w:sz w:val="22"/>
        </w:rPr>
        <w:t>1.5.2</w:t>
      </w:r>
      <w:r w:rsidR="00D14A05" w:rsidRPr="002E590C">
        <w:rPr>
          <w:rFonts w:ascii="Arial" w:hAnsi="Arial" w:cs="Arial"/>
          <w:b/>
          <w:bCs/>
          <w:sz w:val="22"/>
        </w:rPr>
        <w:t xml:space="preserve"> CVP and relevance with STG </w:t>
      </w:r>
    </w:p>
    <w:p w14:paraId="0ED33336" w14:textId="41E4BB4B" w:rsidR="00F10AFF" w:rsidRPr="002E590C" w:rsidRDefault="00F10AFF" w:rsidP="000E7A92">
      <w:pPr>
        <w:rPr>
          <w:rFonts w:ascii="Arial" w:hAnsi="Arial" w:cs="Arial"/>
          <w:sz w:val="22"/>
        </w:rPr>
      </w:pPr>
      <w:r w:rsidRPr="002E590C">
        <w:rPr>
          <w:rFonts w:ascii="Arial" w:hAnsi="Arial" w:cs="Arial"/>
          <w:sz w:val="22"/>
        </w:rPr>
        <w:t>The Cost-Volume-Profit approach is a tool in management accounting that illustrates the relationship between these three metrics. When there is an increase or decrease in volume, it reveals information about the financial outcomes. In essence, it examines how variations in production volume, for whatever cause, affect costs and profits</w:t>
      </w:r>
      <w:r w:rsidR="000F0F17" w:rsidRPr="002E590C">
        <w:rPr>
          <w:rFonts w:ascii="Arial" w:hAnsi="Arial" w:cs="Arial"/>
          <w:sz w:val="22"/>
        </w:rPr>
        <w:t xml:space="preserve"> </w:t>
      </w:r>
      <w:r w:rsidR="000F0F17" w:rsidRPr="002E590C">
        <w:rPr>
          <w:rFonts w:ascii="Arial" w:hAnsi="Arial" w:cs="Arial"/>
          <w:color w:val="222222"/>
          <w:sz w:val="22"/>
          <w:shd w:val="clear" w:color="auto" w:fill="FFFFFF"/>
        </w:rPr>
        <w:t>(Goedl, 2020)</w:t>
      </w:r>
      <w:r w:rsidRPr="002E590C">
        <w:rPr>
          <w:rFonts w:ascii="Arial" w:hAnsi="Arial" w:cs="Arial"/>
          <w:sz w:val="22"/>
        </w:rPr>
        <w:t>.</w:t>
      </w:r>
    </w:p>
    <w:p w14:paraId="23E703A7" w14:textId="77777777" w:rsidR="00F10AFF" w:rsidRPr="002E590C" w:rsidRDefault="00F10AFF" w:rsidP="000E7A92">
      <w:pPr>
        <w:rPr>
          <w:rFonts w:ascii="Arial" w:hAnsi="Arial" w:cs="Arial"/>
          <w:sz w:val="22"/>
        </w:rPr>
      </w:pPr>
      <w:r w:rsidRPr="002E590C">
        <w:rPr>
          <w:rFonts w:ascii="Arial" w:hAnsi="Arial" w:cs="Arial"/>
          <w:sz w:val="22"/>
        </w:rPr>
        <w:t>The scarcity of special strengthening wire is a limiting factor that prohibits STG from meeting its total planned production units, making the CVP analysis applicable to the situation at hand. STG must modify its manufacturing facilities to make the most of its limited resources and boost its profitability. To maximise profits, the corporation must decide how many of each kind of tyre to manufacture given a certain amount of wire.</w:t>
      </w:r>
    </w:p>
    <w:p w14:paraId="0997F6BA" w14:textId="69AE5C01" w:rsidR="00D14A05" w:rsidRPr="002E590C" w:rsidRDefault="00D14A05" w:rsidP="000E7A92">
      <w:pPr>
        <w:rPr>
          <w:rFonts w:ascii="Arial" w:hAnsi="Arial" w:cs="Arial"/>
          <w:b/>
          <w:bCs/>
          <w:sz w:val="22"/>
        </w:rPr>
      </w:pPr>
      <w:r w:rsidRPr="002E590C">
        <w:rPr>
          <w:rFonts w:ascii="Arial" w:hAnsi="Arial" w:cs="Arial"/>
          <w:b/>
          <w:bCs/>
          <w:sz w:val="22"/>
        </w:rPr>
        <w:t xml:space="preserve">Assumptions and Limitations </w:t>
      </w:r>
    </w:p>
    <w:p w14:paraId="087C4B90" w14:textId="648FF585" w:rsidR="00736919" w:rsidRPr="002E590C" w:rsidRDefault="00736919" w:rsidP="000E7A92">
      <w:pPr>
        <w:rPr>
          <w:rFonts w:ascii="Arial" w:hAnsi="Arial" w:cs="Arial"/>
          <w:sz w:val="22"/>
        </w:rPr>
      </w:pPr>
      <w:r w:rsidRPr="002E590C">
        <w:rPr>
          <w:rFonts w:ascii="Arial" w:hAnsi="Arial" w:cs="Arial"/>
          <w:sz w:val="22"/>
        </w:rPr>
        <w:t>However, there are assumptions and limitations to consider about while using the CVP method. Sales prices, variable expenses as a percentage of sales, and fixed costs and operational capacity are all assumed to remain stable. These assumptions allow for a more streamlined analysis, although they may not be applicable in all cases</w:t>
      </w:r>
      <w:r w:rsidR="00E61941" w:rsidRPr="002E590C">
        <w:rPr>
          <w:rFonts w:ascii="Arial" w:hAnsi="Arial" w:cs="Arial"/>
          <w:sz w:val="22"/>
        </w:rPr>
        <w:t xml:space="preserve"> </w:t>
      </w:r>
      <w:r w:rsidR="00E61941" w:rsidRPr="002E590C">
        <w:rPr>
          <w:rFonts w:ascii="Arial" w:hAnsi="Arial" w:cs="Arial"/>
          <w:color w:val="000000"/>
          <w:sz w:val="22"/>
          <w:shd w:val="clear" w:color="auto" w:fill="FFFFFF"/>
        </w:rPr>
        <w:t>(Tamplin, 2019)</w:t>
      </w:r>
      <w:r w:rsidRPr="002E590C">
        <w:rPr>
          <w:rFonts w:ascii="Arial" w:hAnsi="Arial" w:cs="Arial"/>
          <w:sz w:val="22"/>
        </w:rPr>
        <w:t>.</w:t>
      </w:r>
    </w:p>
    <w:p w14:paraId="159F8056" w14:textId="6F401541" w:rsidR="00736919" w:rsidRPr="002E590C" w:rsidRDefault="00736919" w:rsidP="000E7A92">
      <w:pPr>
        <w:rPr>
          <w:rFonts w:ascii="Arial" w:hAnsi="Arial" w:cs="Arial"/>
          <w:sz w:val="22"/>
        </w:rPr>
      </w:pPr>
      <w:r w:rsidRPr="002E590C">
        <w:rPr>
          <w:rFonts w:ascii="Arial" w:hAnsi="Arial" w:cs="Arial"/>
          <w:sz w:val="22"/>
        </w:rPr>
        <w:t xml:space="preserve">It's important to recognise the limitations of the CVP method as well. It does not consider the non-monetary elements that may have an effect on the company in the long </w:t>
      </w:r>
      <w:proofErr w:type="gramStart"/>
      <w:r w:rsidRPr="002E590C">
        <w:rPr>
          <w:rFonts w:ascii="Arial" w:hAnsi="Arial" w:cs="Arial"/>
          <w:sz w:val="22"/>
        </w:rPr>
        <w:t>run in</w:t>
      </w:r>
      <w:proofErr w:type="gramEnd"/>
      <w:r w:rsidRPr="002E590C">
        <w:rPr>
          <w:rFonts w:ascii="Arial" w:hAnsi="Arial" w:cs="Arial"/>
          <w:sz w:val="22"/>
        </w:rPr>
        <w:t xml:space="preserve"> favour of a pure concentration on financial ones. It is also not always appropriate to businesses with complicated product mixtures and suitable only for short-term analysis. Sales pricing and </w:t>
      </w:r>
      <w:r w:rsidRPr="002E590C">
        <w:rPr>
          <w:rFonts w:ascii="Arial" w:hAnsi="Arial" w:cs="Arial"/>
          <w:sz w:val="22"/>
        </w:rPr>
        <w:lastRenderedPageBreak/>
        <w:t xml:space="preserve">variable costs assumed to be constant, but </w:t>
      </w:r>
      <w:proofErr w:type="gramStart"/>
      <w:r w:rsidRPr="002E590C">
        <w:rPr>
          <w:rFonts w:ascii="Arial" w:hAnsi="Arial" w:cs="Arial"/>
          <w:sz w:val="22"/>
        </w:rPr>
        <w:t>it</w:t>
      </w:r>
      <w:proofErr w:type="gramEnd"/>
      <w:r w:rsidRPr="002E590C">
        <w:rPr>
          <w:rFonts w:ascii="Arial" w:hAnsi="Arial" w:cs="Arial"/>
          <w:sz w:val="22"/>
        </w:rPr>
        <w:t xml:space="preserve"> is need not necessary to be the same in real market. Finally, </w:t>
      </w:r>
      <w:proofErr w:type="gramStart"/>
      <w:r w:rsidRPr="002E590C">
        <w:rPr>
          <w:rFonts w:ascii="Arial" w:hAnsi="Arial" w:cs="Arial"/>
          <w:sz w:val="22"/>
        </w:rPr>
        <w:t>It</w:t>
      </w:r>
      <w:proofErr w:type="gramEnd"/>
      <w:r w:rsidRPr="002E590C">
        <w:rPr>
          <w:rFonts w:ascii="Arial" w:hAnsi="Arial" w:cs="Arial"/>
          <w:sz w:val="22"/>
        </w:rPr>
        <w:t xml:space="preserve"> assumes that the fixed cost will remain same through the period but it is also not necessarily to be true. It may be affected from the inflation or other factors. </w:t>
      </w:r>
    </w:p>
    <w:p w14:paraId="7D9E298D" w14:textId="77777777" w:rsidR="00736919" w:rsidRPr="002E590C" w:rsidRDefault="00736919" w:rsidP="000E7A92">
      <w:pPr>
        <w:rPr>
          <w:rFonts w:ascii="Arial" w:hAnsi="Arial" w:cs="Arial"/>
          <w:sz w:val="22"/>
        </w:rPr>
      </w:pPr>
      <w:r w:rsidRPr="002E590C">
        <w:rPr>
          <w:rFonts w:ascii="Arial" w:hAnsi="Arial" w:cs="Arial"/>
          <w:sz w:val="22"/>
        </w:rPr>
        <w:t xml:space="preserve">While the CVP method is useful as it provides the valuable insights in the connection between cost, </w:t>
      </w:r>
      <w:proofErr w:type="gramStart"/>
      <w:r w:rsidRPr="002E590C">
        <w:rPr>
          <w:rFonts w:ascii="Arial" w:hAnsi="Arial" w:cs="Arial"/>
          <w:sz w:val="22"/>
        </w:rPr>
        <w:t>volume</w:t>
      </w:r>
      <w:proofErr w:type="gramEnd"/>
      <w:r w:rsidRPr="002E590C">
        <w:rPr>
          <w:rFonts w:ascii="Arial" w:hAnsi="Arial" w:cs="Arial"/>
          <w:sz w:val="22"/>
        </w:rPr>
        <w:t xml:space="preserve"> and profit, it should be utilised with caution and in light of the method's limitations. Managers may make better judgements and avoid the dangers associated with an excessive dependence on the CVP analysis if they are aware of these assumptions and limitations.</w:t>
      </w:r>
    </w:p>
    <w:p w14:paraId="2EE1B365" w14:textId="29FEF805" w:rsidR="00E93FE9" w:rsidRPr="002E590C" w:rsidRDefault="00E93FE9" w:rsidP="000E7A92">
      <w:pPr>
        <w:rPr>
          <w:rFonts w:ascii="Arial" w:hAnsi="Arial" w:cs="Arial"/>
          <w:b/>
          <w:bCs/>
          <w:sz w:val="22"/>
        </w:rPr>
      </w:pPr>
      <w:r w:rsidRPr="002E590C">
        <w:rPr>
          <w:rFonts w:ascii="Arial" w:hAnsi="Arial" w:cs="Arial"/>
          <w:b/>
          <w:bCs/>
          <w:sz w:val="22"/>
        </w:rPr>
        <w:br w:type="page"/>
      </w:r>
    </w:p>
    <w:p w14:paraId="357D9B2E" w14:textId="2E9B58E3" w:rsidR="001924A1" w:rsidRPr="002E590C" w:rsidRDefault="00CB291E" w:rsidP="002E590C">
      <w:pPr>
        <w:pStyle w:val="Heading1"/>
        <w:rPr>
          <w:rFonts w:ascii="Arial" w:hAnsi="Arial" w:cs="Arial"/>
        </w:rPr>
      </w:pPr>
      <w:bookmarkStart w:id="7" w:name="_Toc140673963"/>
      <w:r w:rsidRPr="002E590C">
        <w:rPr>
          <w:rFonts w:ascii="Arial" w:hAnsi="Arial" w:cs="Arial"/>
        </w:rPr>
        <w:lastRenderedPageBreak/>
        <w:t>Conclusion</w:t>
      </w:r>
      <w:bookmarkEnd w:id="7"/>
      <w:r w:rsidRPr="002E590C">
        <w:rPr>
          <w:rFonts w:ascii="Arial" w:hAnsi="Arial" w:cs="Arial"/>
        </w:rPr>
        <w:t xml:space="preserve"> </w:t>
      </w:r>
    </w:p>
    <w:p w14:paraId="5E3FF44F" w14:textId="3783ADCD" w:rsidR="0049248A" w:rsidRPr="002E590C" w:rsidRDefault="00CB291E" w:rsidP="000E7A92">
      <w:pPr>
        <w:rPr>
          <w:rFonts w:ascii="Arial" w:hAnsi="Arial" w:cs="Arial"/>
          <w:sz w:val="22"/>
        </w:rPr>
      </w:pPr>
      <w:r w:rsidRPr="002E590C">
        <w:rPr>
          <w:rFonts w:ascii="Arial" w:hAnsi="Arial" w:cs="Arial"/>
          <w:sz w:val="22"/>
        </w:rPr>
        <w:t xml:space="preserve">The administration of the STG, considering the </w:t>
      </w:r>
      <w:r w:rsidR="009649E0" w:rsidRPr="002E590C">
        <w:rPr>
          <w:rFonts w:ascii="Arial" w:hAnsi="Arial" w:cs="Arial"/>
          <w:sz w:val="22"/>
        </w:rPr>
        <w:t>above</w:t>
      </w:r>
      <w:r w:rsidRPr="002E590C">
        <w:rPr>
          <w:rFonts w:ascii="Arial" w:hAnsi="Arial" w:cs="Arial"/>
          <w:sz w:val="22"/>
        </w:rPr>
        <w:t xml:space="preserve"> analysis, has decided to accept the offer rather than risk breaking the contract. Since this will improve the company in both quantitative and qualitative ways. Using the CVP approach</w:t>
      </w:r>
      <w:r w:rsidR="00B928BF" w:rsidRPr="002E590C">
        <w:rPr>
          <w:rFonts w:ascii="Arial" w:hAnsi="Arial" w:cs="Arial"/>
          <w:sz w:val="22"/>
        </w:rPr>
        <w:t xml:space="preserve">, it has been analysed that </w:t>
      </w:r>
      <w:r w:rsidR="001C7A2F" w:rsidRPr="002E590C">
        <w:rPr>
          <w:rFonts w:ascii="Arial" w:hAnsi="Arial" w:cs="Arial"/>
          <w:sz w:val="22"/>
        </w:rPr>
        <w:t xml:space="preserve">accepting </w:t>
      </w:r>
      <w:r w:rsidRPr="002E590C">
        <w:rPr>
          <w:rFonts w:ascii="Arial" w:hAnsi="Arial" w:cs="Arial"/>
          <w:sz w:val="22"/>
        </w:rPr>
        <w:t xml:space="preserve">offer would result in more financial </w:t>
      </w:r>
      <w:r w:rsidR="001C7A2F" w:rsidRPr="002E590C">
        <w:rPr>
          <w:rFonts w:ascii="Arial" w:hAnsi="Arial" w:cs="Arial"/>
          <w:sz w:val="22"/>
        </w:rPr>
        <w:t xml:space="preserve">profit </w:t>
      </w:r>
      <w:r w:rsidRPr="002E590C">
        <w:rPr>
          <w:rFonts w:ascii="Arial" w:hAnsi="Arial" w:cs="Arial"/>
          <w:sz w:val="22"/>
        </w:rPr>
        <w:t xml:space="preserve">for the business. </w:t>
      </w:r>
      <w:r w:rsidR="00294876" w:rsidRPr="002E590C">
        <w:rPr>
          <w:rFonts w:ascii="Arial" w:hAnsi="Arial" w:cs="Arial"/>
          <w:sz w:val="22"/>
        </w:rPr>
        <w:t>In terms of q</w:t>
      </w:r>
      <w:r w:rsidRPr="002E590C">
        <w:rPr>
          <w:rFonts w:ascii="Arial" w:hAnsi="Arial" w:cs="Arial"/>
          <w:sz w:val="22"/>
        </w:rPr>
        <w:t xml:space="preserve">ualitatively, </w:t>
      </w:r>
      <w:r w:rsidR="002D082B" w:rsidRPr="002E590C">
        <w:rPr>
          <w:rFonts w:ascii="Arial" w:hAnsi="Arial" w:cs="Arial"/>
          <w:sz w:val="22"/>
        </w:rPr>
        <w:t xml:space="preserve">company also gets benefits by gaining new and large customers </w:t>
      </w:r>
      <w:r w:rsidRPr="002E590C">
        <w:rPr>
          <w:rFonts w:ascii="Arial" w:hAnsi="Arial" w:cs="Arial"/>
          <w:sz w:val="22"/>
        </w:rPr>
        <w:t xml:space="preserve">but </w:t>
      </w:r>
      <w:r w:rsidR="002D082B" w:rsidRPr="002E590C">
        <w:rPr>
          <w:rFonts w:ascii="Arial" w:hAnsi="Arial" w:cs="Arial"/>
          <w:sz w:val="22"/>
        </w:rPr>
        <w:t xml:space="preserve">there is also a </w:t>
      </w:r>
      <w:r w:rsidRPr="002E590C">
        <w:rPr>
          <w:rFonts w:ascii="Arial" w:hAnsi="Arial" w:cs="Arial"/>
          <w:sz w:val="22"/>
        </w:rPr>
        <w:t xml:space="preserve">risk of </w:t>
      </w:r>
      <w:r w:rsidR="002C24F4" w:rsidRPr="002E590C">
        <w:rPr>
          <w:rFonts w:ascii="Arial" w:hAnsi="Arial" w:cs="Arial"/>
          <w:sz w:val="22"/>
        </w:rPr>
        <w:t xml:space="preserve">moving the current customers to the peers if </w:t>
      </w:r>
      <w:proofErr w:type="gramStart"/>
      <w:r w:rsidR="002C24F4" w:rsidRPr="002E590C">
        <w:rPr>
          <w:rFonts w:ascii="Arial" w:hAnsi="Arial" w:cs="Arial"/>
          <w:sz w:val="22"/>
        </w:rPr>
        <w:t>there</w:t>
      </w:r>
      <w:proofErr w:type="gramEnd"/>
      <w:r w:rsidR="002C24F4" w:rsidRPr="002E590C">
        <w:rPr>
          <w:rFonts w:ascii="Arial" w:hAnsi="Arial" w:cs="Arial"/>
          <w:sz w:val="22"/>
        </w:rPr>
        <w:t xml:space="preserve"> regular demand is not fulfilled</w:t>
      </w:r>
      <w:r w:rsidRPr="002E590C">
        <w:rPr>
          <w:rFonts w:ascii="Arial" w:hAnsi="Arial" w:cs="Arial"/>
          <w:sz w:val="22"/>
        </w:rPr>
        <w:t xml:space="preserve">. Administrators of the STG firm are </w:t>
      </w:r>
      <w:r w:rsidR="002C24F4" w:rsidRPr="002E590C">
        <w:rPr>
          <w:rFonts w:ascii="Arial" w:hAnsi="Arial" w:cs="Arial"/>
          <w:sz w:val="22"/>
        </w:rPr>
        <w:t xml:space="preserve">suggested </w:t>
      </w:r>
      <w:r w:rsidRPr="002E590C">
        <w:rPr>
          <w:rFonts w:ascii="Arial" w:hAnsi="Arial" w:cs="Arial"/>
          <w:sz w:val="22"/>
        </w:rPr>
        <w:t>not to violate the contract after careful analysis of issues including the potential costs of doing so and the results of CVP calculations.</w:t>
      </w:r>
    </w:p>
    <w:p w14:paraId="51AF56DB" w14:textId="77777777" w:rsidR="0049248A" w:rsidRPr="002E590C" w:rsidRDefault="0049248A" w:rsidP="000E7A92">
      <w:pPr>
        <w:rPr>
          <w:rFonts w:ascii="Arial" w:hAnsi="Arial" w:cs="Arial"/>
          <w:sz w:val="22"/>
        </w:rPr>
      </w:pPr>
      <w:r w:rsidRPr="002E590C">
        <w:rPr>
          <w:rFonts w:ascii="Arial" w:hAnsi="Arial" w:cs="Arial"/>
          <w:sz w:val="22"/>
        </w:rPr>
        <w:br w:type="page"/>
      </w:r>
    </w:p>
    <w:p w14:paraId="590BDF55" w14:textId="71EA5E1F" w:rsidR="00CB291E" w:rsidRPr="002E590C" w:rsidRDefault="0049248A" w:rsidP="002E590C">
      <w:pPr>
        <w:pStyle w:val="Heading1"/>
        <w:rPr>
          <w:rFonts w:ascii="Arial" w:hAnsi="Arial" w:cs="Arial"/>
        </w:rPr>
      </w:pPr>
      <w:bookmarkStart w:id="8" w:name="_Toc140673964"/>
      <w:r w:rsidRPr="002E590C">
        <w:rPr>
          <w:rFonts w:ascii="Arial" w:hAnsi="Arial" w:cs="Arial"/>
        </w:rPr>
        <w:lastRenderedPageBreak/>
        <w:t>References</w:t>
      </w:r>
      <w:bookmarkEnd w:id="8"/>
      <w:r w:rsidRPr="002E590C">
        <w:rPr>
          <w:rFonts w:ascii="Arial" w:hAnsi="Arial" w:cs="Arial"/>
        </w:rPr>
        <w:t xml:space="preserve"> </w:t>
      </w:r>
    </w:p>
    <w:p w14:paraId="769268A7" w14:textId="18B36946" w:rsidR="008E122D" w:rsidRPr="002E590C" w:rsidRDefault="008E122D" w:rsidP="008E122D">
      <w:pPr>
        <w:pStyle w:val="NormalWeb"/>
        <w:spacing w:line="360" w:lineRule="auto"/>
        <w:rPr>
          <w:rFonts w:ascii="Arial" w:hAnsi="Arial" w:cs="Arial"/>
          <w:color w:val="000000"/>
          <w:sz w:val="22"/>
          <w:szCs w:val="22"/>
        </w:rPr>
      </w:pPr>
      <w:r w:rsidRPr="002E590C">
        <w:rPr>
          <w:rFonts w:ascii="Arial" w:hAnsi="Arial" w:cs="Arial"/>
          <w:color w:val="222222"/>
          <w:sz w:val="22"/>
          <w:szCs w:val="22"/>
          <w:shd w:val="clear" w:color="auto" w:fill="FFFFFF"/>
        </w:rPr>
        <w:t>Chien, F., Wang, C.N., Nguyen, V.T., Nguyen, V.T. and Chau, K.Y., 2020. An evaluation model of quantitative and qualitative fuzzy multi-criteria decision-making approach for hydroelectric plant location selection. </w:t>
      </w:r>
      <w:r w:rsidRPr="002E590C">
        <w:rPr>
          <w:rFonts w:ascii="Arial" w:hAnsi="Arial" w:cs="Arial"/>
          <w:i/>
          <w:iCs/>
          <w:color w:val="222222"/>
          <w:sz w:val="22"/>
          <w:szCs w:val="22"/>
          <w:shd w:val="clear" w:color="auto" w:fill="FFFFFF"/>
        </w:rPr>
        <w:t>Energies</w:t>
      </w:r>
      <w:r w:rsidRPr="002E590C">
        <w:rPr>
          <w:rFonts w:ascii="Arial" w:hAnsi="Arial" w:cs="Arial"/>
          <w:color w:val="222222"/>
          <w:sz w:val="22"/>
          <w:szCs w:val="22"/>
          <w:shd w:val="clear" w:color="auto" w:fill="FFFFFF"/>
        </w:rPr>
        <w:t>, </w:t>
      </w:r>
      <w:r w:rsidRPr="002E590C">
        <w:rPr>
          <w:rFonts w:ascii="Arial" w:hAnsi="Arial" w:cs="Arial"/>
          <w:i/>
          <w:iCs/>
          <w:color w:val="222222"/>
          <w:sz w:val="22"/>
          <w:szCs w:val="22"/>
          <w:shd w:val="clear" w:color="auto" w:fill="FFFFFF"/>
        </w:rPr>
        <w:t>13</w:t>
      </w:r>
      <w:r w:rsidRPr="002E590C">
        <w:rPr>
          <w:rFonts w:ascii="Arial" w:hAnsi="Arial" w:cs="Arial"/>
          <w:color w:val="222222"/>
          <w:sz w:val="22"/>
          <w:szCs w:val="22"/>
          <w:shd w:val="clear" w:color="auto" w:fill="FFFFFF"/>
        </w:rPr>
        <w:t>(11), p.2783.</w:t>
      </w:r>
      <w:r w:rsidRPr="002E590C">
        <w:rPr>
          <w:rFonts w:ascii="Arial" w:hAnsi="Arial" w:cs="Arial"/>
          <w:sz w:val="22"/>
          <w:szCs w:val="22"/>
        </w:rPr>
        <w:t>10.3390/en13112783</w:t>
      </w:r>
    </w:p>
    <w:p w14:paraId="69C5C8B9" w14:textId="77777777" w:rsidR="008E122D" w:rsidRPr="002E590C" w:rsidRDefault="008E122D" w:rsidP="008E122D">
      <w:pPr>
        <w:jc w:val="left"/>
        <w:rPr>
          <w:rFonts w:ascii="Arial" w:hAnsi="Arial" w:cs="Arial"/>
          <w:color w:val="222222"/>
          <w:sz w:val="22"/>
          <w:shd w:val="clear" w:color="auto" w:fill="FFFFFF"/>
        </w:rPr>
      </w:pPr>
      <w:r w:rsidRPr="002E590C">
        <w:rPr>
          <w:rFonts w:ascii="Arial" w:hAnsi="Arial" w:cs="Arial"/>
          <w:color w:val="222222"/>
          <w:sz w:val="22"/>
          <w:shd w:val="clear" w:color="auto" w:fill="FFFFFF"/>
        </w:rPr>
        <w:t>Goedl, P., 2020. Cost Volume Profit (CVP) Analysis. </w:t>
      </w:r>
      <w:r w:rsidRPr="002E590C">
        <w:rPr>
          <w:rFonts w:ascii="Arial" w:hAnsi="Arial" w:cs="Arial"/>
          <w:i/>
          <w:iCs/>
          <w:color w:val="222222"/>
          <w:sz w:val="22"/>
          <w:shd w:val="clear" w:color="auto" w:fill="FFFFFF"/>
        </w:rPr>
        <w:t>Principles of Managerial Accounting</w:t>
      </w:r>
      <w:r w:rsidRPr="002E590C">
        <w:rPr>
          <w:rFonts w:ascii="Arial" w:hAnsi="Arial" w:cs="Arial"/>
          <w:color w:val="222222"/>
          <w:sz w:val="22"/>
          <w:shd w:val="clear" w:color="auto" w:fill="FFFFFF"/>
        </w:rPr>
        <w:t>.</w:t>
      </w:r>
      <w:r w:rsidRPr="002E590C">
        <w:rPr>
          <w:rFonts w:ascii="Arial" w:hAnsi="Arial" w:cs="Arial"/>
          <w:sz w:val="22"/>
        </w:rPr>
        <w:t xml:space="preserve"> </w:t>
      </w:r>
      <w:r w:rsidRPr="002E590C">
        <w:rPr>
          <w:rFonts w:ascii="Arial" w:hAnsi="Arial" w:cs="Arial"/>
          <w:color w:val="222222"/>
          <w:sz w:val="22"/>
          <w:shd w:val="clear" w:color="auto" w:fill="FFFFFF"/>
        </w:rPr>
        <w:t>https://ucincinnatipress.pressbooks.pub/principlesaccounting/chapter/cost-volume-profit-cvp-analysis/</w:t>
      </w:r>
    </w:p>
    <w:p w14:paraId="63B25D5D" w14:textId="77777777" w:rsidR="008E122D" w:rsidRPr="002E590C" w:rsidRDefault="008E122D" w:rsidP="008E122D">
      <w:pPr>
        <w:jc w:val="left"/>
        <w:rPr>
          <w:rFonts w:ascii="Arial" w:hAnsi="Arial" w:cs="Arial"/>
          <w:color w:val="222222"/>
          <w:sz w:val="22"/>
          <w:shd w:val="clear" w:color="auto" w:fill="FFFFFF"/>
        </w:rPr>
      </w:pPr>
      <w:r w:rsidRPr="002E590C">
        <w:rPr>
          <w:rFonts w:ascii="Arial" w:hAnsi="Arial" w:cs="Arial"/>
          <w:color w:val="222222"/>
          <w:sz w:val="22"/>
          <w:shd w:val="clear" w:color="auto" w:fill="FFFFFF"/>
        </w:rPr>
        <w:t>Hegazy, M.A.A. and Salama, S., 2022. Effects of qualitative factors and auditors’ personal characteristics on materiality judgments. </w:t>
      </w:r>
      <w:r w:rsidRPr="002E590C">
        <w:rPr>
          <w:rFonts w:ascii="Arial" w:hAnsi="Arial" w:cs="Arial"/>
          <w:i/>
          <w:iCs/>
          <w:color w:val="222222"/>
          <w:sz w:val="22"/>
          <w:shd w:val="clear" w:color="auto" w:fill="FFFFFF"/>
        </w:rPr>
        <w:t>Managerial Auditing Journal</w:t>
      </w:r>
      <w:r w:rsidRPr="002E590C">
        <w:rPr>
          <w:rFonts w:ascii="Arial" w:hAnsi="Arial" w:cs="Arial"/>
          <w:color w:val="222222"/>
          <w:sz w:val="22"/>
          <w:shd w:val="clear" w:color="auto" w:fill="FFFFFF"/>
        </w:rPr>
        <w:t>, </w:t>
      </w:r>
      <w:r w:rsidRPr="002E590C">
        <w:rPr>
          <w:rFonts w:ascii="Arial" w:hAnsi="Arial" w:cs="Arial"/>
          <w:i/>
          <w:iCs/>
          <w:color w:val="222222"/>
          <w:sz w:val="22"/>
          <w:shd w:val="clear" w:color="auto" w:fill="FFFFFF"/>
        </w:rPr>
        <w:t>37</w:t>
      </w:r>
      <w:r w:rsidRPr="002E590C">
        <w:rPr>
          <w:rFonts w:ascii="Arial" w:hAnsi="Arial" w:cs="Arial"/>
          <w:color w:val="222222"/>
          <w:sz w:val="22"/>
          <w:shd w:val="clear" w:color="auto" w:fill="FFFFFF"/>
        </w:rPr>
        <w:t>(3), pp.305-335.</w:t>
      </w:r>
      <w:r w:rsidRPr="002E590C">
        <w:rPr>
          <w:rFonts w:ascii="Arial" w:hAnsi="Arial" w:cs="Arial"/>
          <w:sz w:val="22"/>
        </w:rPr>
        <w:t xml:space="preserve"> </w:t>
      </w:r>
      <w:r w:rsidRPr="002E590C">
        <w:rPr>
          <w:rFonts w:ascii="Arial" w:hAnsi="Arial" w:cs="Arial"/>
          <w:color w:val="222222"/>
          <w:sz w:val="22"/>
          <w:shd w:val="clear" w:color="auto" w:fill="FFFFFF"/>
        </w:rPr>
        <w:t>https://www.researchgate.net/profile/Mohamed-Hegazy-4/publication/358269542_Effects_of_qualitative_factors_and_auditors%27_personal_characteristics_on_materiality_judgments/links/621d199b2542ea3cacb84f36/Effects-of-qualitative-factors-and-auditors-personal-characteristics-on-materiality-judgments.pdf</w:t>
      </w:r>
    </w:p>
    <w:p w14:paraId="4CB491CD" w14:textId="77777777" w:rsidR="008E122D" w:rsidRPr="002E590C" w:rsidRDefault="008E122D" w:rsidP="008E122D">
      <w:pPr>
        <w:jc w:val="left"/>
        <w:rPr>
          <w:rFonts w:ascii="Arial" w:hAnsi="Arial" w:cs="Arial"/>
          <w:color w:val="222222"/>
          <w:sz w:val="22"/>
          <w:shd w:val="clear" w:color="auto" w:fill="FFFFFF"/>
        </w:rPr>
      </w:pPr>
      <w:r w:rsidRPr="002E590C">
        <w:rPr>
          <w:rFonts w:ascii="Arial" w:hAnsi="Arial" w:cs="Arial"/>
          <w:color w:val="222222"/>
          <w:sz w:val="22"/>
          <w:shd w:val="clear" w:color="auto" w:fill="FFFFFF"/>
        </w:rPr>
        <w:t>Shields, G.E., Wilberforce, M., Clarkson, P., Farragher, T., Verma, A. and Davies, L.M., 2022. Factors limiting subgroup Analysis in cost-effectiveness analysis and a call for transparency. </w:t>
      </w:r>
      <w:r w:rsidRPr="002E590C">
        <w:rPr>
          <w:rFonts w:ascii="Arial" w:hAnsi="Arial" w:cs="Arial"/>
          <w:i/>
          <w:iCs/>
          <w:color w:val="222222"/>
          <w:sz w:val="22"/>
          <w:shd w:val="clear" w:color="auto" w:fill="FFFFFF"/>
        </w:rPr>
        <w:t>PharmacoEconomics</w:t>
      </w:r>
      <w:r w:rsidRPr="002E590C">
        <w:rPr>
          <w:rFonts w:ascii="Arial" w:hAnsi="Arial" w:cs="Arial"/>
          <w:color w:val="222222"/>
          <w:sz w:val="22"/>
          <w:shd w:val="clear" w:color="auto" w:fill="FFFFFF"/>
        </w:rPr>
        <w:t>, </w:t>
      </w:r>
      <w:r w:rsidRPr="002E590C">
        <w:rPr>
          <w:rFonts w:ascii="Arial" w:hAnsi="Arial" w:cs="Arial"/>
          <w:i/>
          <w:iCs/>
          <w:color w:val="222222"/>
          <w:sz w:val="22"/>
          <w:shd w:val="clear" w:color="auto" w:fill="FFFFFF"/>
        </w:rPr>
        <w:t>40</w:t>
      </w:r>
      <w:r w:rsidRPr="002E590C">
        <w:rPr>
          <w:rFonts w:ascii="Arial" w:hAnsi="Arial" w:cs="Arial"/>
          <w:color w:val="222222"/>
          <w:sz w:val="22"/>
          <w:shd w:val="clear" w:color="auto" w:fill="FFFFFF"/>
        </w:rPr>
        <w:t>(2), pp.149-156.</w:t>
      </w:r>
      <w:r w:rsidRPr="002E590C">
        <w:rPr>
          <w:rFonts w:ascii="Arial" w:hAnsi="Arial" w:cs="Arial"/>
          <w:sz w:val="22"/>
        </w:rPr>
        <w:t xml:space="preserve"> </w:t>
      </w:r>
      <w:r w:rsidRPr="002E590C">
        <w:rPr>
          <w:rFonts w:ascii="Arial" w:hAnsi="Arial" w:cs="Arial"/>
          <w:color w:val="222222"/>
          <w:sz w:val="22"/>
          <w:shd w:val="clear" w:color="auto" w:fill="FFFFFF"/>
        </w:rPr>
        <w:t>https://link.springer.com/article/10.1007/s40273-021-01108-4</w:t>
      </w:r>
    </w:p>
    <w:p w14:paraId="464A3738" w14:textId="77777777" w:rsidR="008E122D" w:rsidRPr="002E590C" w:rsidRDefault="008E122D" w:rsidP="008E122D">
      <w:pPr>
        <w:pStyle w:val="NormalWeb"/>
        <w:spacing w:before="0" w:beforeAutospacing="0" w:after="240" w:afterAutospacing="0" w:line="360" w:lineRule="auto"/>
        <w:rPr>
          <w:rFonts w:ascii="Arial" w:hAnsi="Arial" w:cs="Arial"/>
          <w:color w:val="000000"/>
          <w:sz w:val="22"/>
          <w:szCs w:val="22"/>
        </w:rPr>
      </w:pPr>
      <w:r w:rsidRPr="002E590C">
        <w:rPr>
          <w:rFonts w:ascii="Arial" w:hAnsi="Arial" w:cs="Arial"/>
          <w:color w:val="000000"/>
          <w:sz w:val="22"/>
          <w:szCs w:val="22"/>
        </w:rPr>
        <w:t>Tamplin, T., 2019. </w:t>
      </w:r>
      <w:r w:rsidRPr="002E590C">
        <w:rPr>
          <w:rFonts w:ascii="Arial" w:hAnsi="Arial" w:cs="Arial"/>
          <w:i/>
          <w:iCs/>
          <w:color w:val="000000"/>
          <w:sz w:val="22"/>
          <w:szCs w:val="22"/>
        </w:rPr>
        <w:t>Assumptions and Limitations Underlying CVP Analysis | Example</w:t>
      </w:r>
      <w:r w:rsidRPr="002E590C">
        <w:rPr>
          <w:rFonts w:ascii="Arial" w:hAnsi="Arial" w:cs="Arial"/>
          <w:color w:val="000000"/>
          <w:sz w:val="22"/>
          <w:szCs w:val="22"/>
        </w:rPr>
        <w:t>. [online] Finance Strategist. Available at: https://www.financestrategists.com/accounting/cost-accounting/cost-volume-profit/assumptions-and-limitations-underlying-cvp-analysis/ [Accessed 19 Jul. 2023].</w:t>
      </w:r>
    </w:p>
    <w:p w14:paraId="28353FB4" w14:textId="77777777" w:rsidR="008E122D" w:rsidRPr="002E590C" w:rsidRDefault="008E122D" w:rsidP="008E122D">
      <w:pPr>
        <w:jc w:val="left"/>
        <w:rPr>
          <w:rFonts w:ascii="Arial" w:hAnsi="Arial" w:cs="Arial"/>
          <w:color w:val="222222"/>
          <w:sz w:val="22"/>
          <w:shd w:val="clear" w:color="auto" w:fill="FFFFFF"/>
        </w:rPr>
      </w:pPr>
      <w:r w:rsidRPr="002E590C">
        <w:rPr>
          <w:rFonts w:ascii="Arial" w:hAnsi="Arial" w:cs="Arial"/>
          <w:color w:val="222222"/>
          <w:sz w:val="22"/>
          <w:shd w:val="clear" w:color="auto" w:fill="FFFFFF"/>
        </w:rPr>
        <w:t>Tan, M.M.J., Neill, R., Haldane, V., Jung, A.S., De Foo, C., Tan, S.M., Shrestha, P., Verma, M., Bonk, M., Abdalla, S.M. and Legido-Quigley, H., 2021. Assessing the role of qualitative factors in pandemic responses. </w:t>
      </w:r>
      <w:r w:rsidRPr="002E590C">
        <w:rPr>
          <w:rFonts w:ascii="Arial" w:hAnsi="Arial" w:cs="Arial"/>
          <w:i/>
          <w:iCs/>
          <w:color w:val="222222"/>
          <w:sz w:val="22"/>
          <w:shd w:val="clear" w:color="auto" w:fill="FFFFFF"/>
        </w:rPr>
        <w:t>bmj</w:t>
      </w:r>
      <w:r w:rsidRPr="002E590C">
        <w:rPr>
          <w:rFonts w:ascii="Arial" w:hAnsi="Arial" w:cs="Arial"/>
          <w:color w:val="222222"/>
          <w:sz w:val="22"/>
          <w:shd w:val="clear" w:color="auto" w:fill="FFFFFF"/>
        </w:rPr>
        <w:t>, </w:t>
      </w:r>
      <w:r w:rsidRPr="002E590C">
        <w:rPr>
          <w:rFonts w:ascii="Arial" w:hAnsi="Arial" w:cs="Arial"/>
          <w:i/>
          <w:iCs/>
          <w:color w:val="222222"/>
          <w:sz w:val="22"/>
          <w:shd w:val="clear" w:color="auto" w:fill="FFFFFF"/>
        </w:rPr>
        <w:t>375</w:t>
      </w:r>
      <w:r w:rsidRPr="002E590C">
        <w:rPr>
          <w:rFonts w:ascii="Arial" w:hAnsi="Arial" w:cs="Arial"/>
          <w:color w:val="222222"/>
          <w:sz w:val="22"/>
          <w:shd w:val="clear" w:color="auto" w:fill="FFFFFF"/>
        </w:rPr>
        <w:t>.</w:t>
      </w:r>
      <w:r w:rsidRPr="002E590C">
        <w:rPr>
          <w:rFonts w:ascii="Arial" w:hAnsi="Arial" w:cs="Arial"/>
          <w:sz w:val="22"/>
        </w:rPr>
        <w:t xml:space="preserve"> </w:t>
      </w:r>
      <w:r w:rsidRPr="002E590C">
        <w:rPr>
          <w:rFonts w:ascii="Arial" w:hAnsi="Arial" w:cs="Arial"/>
          <w:color w:val="222222"/>
          <w:sz w:val="22"/>
          <w:shd w:val="clear" w:color="auto" w:fill="FFFFFF"/>
        </w:rPr>
        <w:t>https://www.bmj.com/content/bmj/375/bmj-2021-067512.full.pdf</w:t>
      </w:r>
    </w:p>
    <w:p w14:paraId="124334AB" w14:textId="264005C4" w:rsidR="000F0F17" w:rsidRPr="002E590C" w:rsidRDefault="000F0F17" w:rsidP="000E7A92">
      <w:pPr>
        <w:rPr>
          <w:rFonts w:ascii="Arial" w:hAnsi="Arial" w:cs="Arial"/>
          <w:b/>
          <w:bCs/>
          <w:sz w:val="22"/>
        </w:rPr>
      </w:pPr>
    </w:p>
    <w:sectPr w:rsidR="000F0F17" w:rsidRPr="002E590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2B8F9" w14:textId="77777777" w:rsidR="0013761C" w:rsidRDefault="0013761C" w:rsidP="00B605EF">
      <w:pPr>
        <w:spacing w:after="0" w:line="240" w:lineRule="auto"/>
      </w:pPr>
      <w:r>
        <w:separator/>
      </w:r>
    </w:p>
  </w:endnote>
  <w:endnote w:type="continuationSeparator" w:id="0">
    <w:p w14:paraId="6091CE1E" w14:textId="77777777" w:rsidR="0013761C" w:rsidRDefault="0013761C" w:rsidP="00B605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629603"/>
      <w:docPartObj>
        <w:docPartGallery w:val="Page Numbers (Bottom of Page)"/>
        <w:docPartUnique/>
      </w:docPartObj>
    </w:sdtPr>
    <w:sdtEndPr>
      <w:rPr>
        <w:noProof/>
      </w:rPr>
    </w:sdtEndPr>
    <w:sdtContent>
      <w:p w14:paraId="4E851617" w14:textId="69C8E5D1" w:rsidR="00B605EF" w:rsidRDefault="00B605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36149C" w14:textId="77777777" w:rsidR="00B605EF" w:rsidRDefault="00B60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CCE3A" w14:textId="77777777" w:rsidR="0013761C" w:rsidRDefault="0013761C" w:rsidP="00B605EF">
      <w:pPr>
        <w:spacing w:after="0" w:line="240" w:lineRule="auto"/>
      </w:pPr>
      <w:r>
        <w:separator/>
      </w:r>
    </w:p>
  </w:footnote>
  <w:footnote w:type="continuationSeparator" w:id="0">
    <w:p w14:paraId="3CBA8390" w14:textId="77777777" w:rsidR="0013761C" w:rsidRDefault="0013761C" w:rsidP="00B605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6705E"/>
    <w:multiLevelType w:val="hybridMultilevel"/>
    <w:tmpl w:val="6E60F09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CB00579"/>
    <w:multiLevelType w:val="multilevel"/>
    <w:tmpl w:val="470C22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D792E7B"/>
    <w:multiLevelType w:val="multilevel"/>
    <w:tmpl w:val="470C220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50497134">
    <w:abstractNumId w:val="1"/>
  </w:num>
  <w:num w:numId="2" w16cid:durableId="1666123884">
    <w:abstractNumId w:val="0"/>
  </w:num>
  <w:num w:numId="3" w16cid:durableId="13726115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8BD"/>
    <w:rsid w:val="0000334B"/>
    <w:rsid w:val="0002144C"/>
    <w:rsid w:val="000223D9"/>
    <w:rsid w:val="00067388"/>
    <w:rsid w:val="000E7A92"/>
    <w:rsid w:val="000F0F17"/>
    <w:rsid w:val="00111D18"/>
    <w:rsid w:val="00116676"/>
    <w:rsid w:val="0013761C"/>
    <w:rsid w:val="0019050F"/>
    <w:rsid w:val="001924A1"/>
    <w:rsid w:val="001C3B2E"/>
    <w:rsid w:val="001C7A2F"/>
    <w:rsid w:val="00227B73"/>
    <w:rsid w:val="002531EA"/>
    <w:rsid w:val="00253915"/>
    <w:rsid w:val="00262ADF"/>
    <w:rsid w:val="00272822"/>
    <w:rsid w:val="0028283E"/>
    <w:rsid w:val="00294330"/>
    <w:rsid w:val="00294876"/>
    <w:rsid w:val="002A5EFA"/>
    <w:rsid w:val="002C1339"/>
    <w:rsid w:val="002C24F4"/>
    <w:rsid w:val="002D082B"/>
    <w:rsid w:val="002D64CC"/>
    <w:rsid w:val="002E590C"/>
    <w:rsid w:val="002F6EBB"/>
    <w:rsid w:val="00311329"/>
    <w:rsid w:val="003166B1"/>
    <w:rsid w:val="0032365E"/>
    <w:rsid w:val="003874D5"/>
    <w:rsid w:val="00412BBD"/>
    <w:rsid w:val="0042303A"/>
    <w:rsid w:val="00430698"/>
    <w:rsid w:val="00454E08"/>
    <w:rsid w:val="0049248A"/>
    <w:rsid w:val="004A2749"/>
    <w:rsid w:val="004A78D1"/>
    <w:rsid w:val="004D6763"/>
    <w:rsid w:val="005B1302"/>
    <w:rsid w:val="006132E7"/>
    <w:rsid w:val="00614CDD"/>
    <w:rsid w:val="00676C57"/>
    <w:rsid w:val="00681C31"/>
    <w:rsid w:val="006A1101"/>
    <w:rsid w:val="006D0EFD"/>
    <w:rsid w:val="007159AB"/>
    <w:rsid w:val="00721A13"/>
    <w:rsid w:val="00736919"/>
    <w:rsid w:val="00760D92"/>
    <w:rsid w:val="007C01EB"/>
    <w:rsid w:val="00817AB4"/>
    <w:rsid w:val="0082407F"/>
    <w:rsid w:val="00830DEE"/>
    <w:rsid w:val="00830F61"/>
    <w:rsid w:val="00851702"/>
    <w:rsid w:val="0087602C"/>
    <w:rsid w:val="008B163F"/>
    <w:rsid w:val="008B2222"/>
    <w:rsid w:val="008E122D"/>
    <w:rsid w:val="00917ABE"/>
    <w:rsid w:val="00917D17"/>
    <w:rsid w:val="00921CC4"/>
    <w:rsid w:val="00942B52"/>
    <w:rsid w:val="009649E0"/>
    <w:rsid w:val="009E216B"/>
    <w:rsid w:val="009F1905"/>
    <w:rsid w:val="00A67C1D"/>
    <w:rsid w:val="00AB122F"/>
    <w:rsid w:val="00AE4478"/>
    <w:rsid w:val="00AF21E8"/>
    <w:rsid w:val="00B605EF"/>
    <w:rsid w:val="00B60E2E"/>
    <w:rsid w:val="00B928BF"/>
    <w:rsid w:val="00B93284"/>
    <w:rsid w:val="00B93AC7"/>
    <w:rsid w:val="00BB4582"/>
    <w:rsid w:val="00BD3568"/>
    <w:rsid w:val="00BF4C4C"/>
    <w:rsid w:val="00C0209E"/>
    <w:rsid w:val="00C10C57"/>
    <w:rsid w:val="00C628D5"/>
    <w:rsid w:val="00C85BFD"/>
    <w:rsid w:val="00C93C03"/>
    <w:rsid w:val="00CB291E"/>
    <w:rsid w:val="00CC0614"/>
    <w:rsid w:val="00D14A05"/>
    <w:rsid w:val="00D158BD"/>
    <w:rsid w:val="00D30572"/>
    <w:rsid w:val="00D34C6E"/>
    <w:rsid w:val="00D6161F"/>
    <w:rsid w:val="00DA52D3"/>
    <w:rsid w:val="00DC1913"/>
    <w:rsid w:val="00E61941"/>
    <w:rsid w:val="00E716F4"/>
    <w:rsid w:val="00E8149B"/>
    <w:rsid w:val="00E93FE9"/>
    <w:rsid w:val="00EC7EC3"/>
    <w:rsid w:val="00EE040D"/>
    <w:rsid w:val="00F10AFF"/>
    <w:rsid w:val="00F81A3B"/>
    <w:rsid w:val="00FA157C"/>
    <w:rsid w:val="00FA5BE2"/>
    <w:rsid w:val="00FC5852"/>
    <w:rsid w:val="00FE7A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30524"/>
  <w15:chartTrackingRefBased/>
  <w15:docId w15:val="{316DE551-2E52-40D3-A6A3-84D781151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07F"/>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82407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DC1913"/>
    <w:pPr>
      <w:keepNext/>
      <w:keepLines/>
      <w:spacing w:before="40" w:after="0" w:line="240" w:lineRule="auto"/>
      <w:jc w:val="left"/>
      <w:outlineLvl w:val="1"/>
    </w:pPr>
    <w:rPr>
      <w:rFonts w:eastAsiaTheme="majorEastAsia" w:cstheme="majorBidi"/>
      <w:b/>
      <w:szCs w:val="2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407F"/>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82407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C1913"/>
    <w:rPr>
      <w:rFonts w:ascii="Times New Roman" w:eastAsiaTheme="majorEastAsia" w:hAnsi="Times New Roman" w:cstheme="majorBidi"/>
      <w:b/>
      <w:kern w:val="0"/>
      <w:sz w:val="24"/>
      <w:szCs w:val="26"/>
      <w:lang w:eastAsia="en-IN"/>
      <w14:ligatures w14:val="none"/>
    </w:rPr>
  </w:style>
  <w:style w:type="paragraph" w:styleId="Title">
    <w:name w:val="Title"/>
    <w:basedOn w:val="Normal"/>
    <w:next w:val="Normal"/>
    <w:link w:val="TitleChar"/>
    <w:uiPriority w:val="10"/>
    <w:qFormat/>
    <w:rsid w:val="0082407F"/>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82407F"/>
    <w:rPr>
      <w:rFonts w:ascii="Times New Roman" w:eastAsiaTheme="majorEastAsia" w:hAnsi="Times New Roman" w:cstheme="majorBidi"/>
      <w:b/>
      <w:spacing w:val="-10"/>
      <w:kern w:val="28"/>
      <w:sz w:val="48"/>
      <w:szCs w:val="56"/>
    </w:rPr>
  </w:style>
  <w:style w:type="paragraph" w:styleId="ListParagraph">
    <w:name w:val="List Paragraph"/>
    <w:basedOn w:val="Normal"/>
    <w:uiPriority w:val="34"/>
    <w:qFormat/>
    <w:rsid w:val="003874D5"/>
    <w:pPr>
      <w:ind w:left="720"/>
      <w:contextualSpacing/>
    </w:pPr>
  </w:style>
  <w:style w:type="character" w:styleId="Hyperlink">
    <w:name w:val="Hyperlink"/>
    <w:basedOn w:val="DefaultParagraphFont"/>
    <w:uiPriority w:val="99"/>
    <w:unhideWhenUsed/>
    <w:rsid w:val="00FE7AF3"/>
    <w:rPr>
      <w:color w:val="0563C1" w:themeColor="hyperlink"/>
      <w:u w:val="single"/>
    </w:rPr>
  </w:style>
  <w:style w:type="character" w:styleId="UnresolvedMention">
    <w:name w:val="Unresolved Mention"/>
    <w:basedOn w:val="DefaultParagraphFont"/>
    <w:uiPriority w:val="99"/>
    <w:semiHidden/>
    <w:unhideWhenUsed/>
    <w:rsid w:val="00FE7AF3"/>
    <w:rPr>
      <w:color w:val="605E5C"/>
      <w:shd w:val="clear" w:color="auto" w:fill="E1DFDD"/>
    </w:rPr>
  </w:style>
  <w:style w:type="paragraph" w:styleId="NormalWeb">
    <w:name w:val="Normal (Web)"/>
    <w:basedOn w:val="Normal"/>
    <w:uiPriority w:val="99"/>
    <w:unhideWhenUsed/>
    <w:rsid w:val="00E61941"/>
    <w:pPr>
      <w:spacing w:before="100" w:beforeAutospacing="1" w:after="100" w:afterAutospacing="1" w:line="240" w:lineRule="auto"/>
      <w:jc w:val="left"/>
    </w:pPr>
    <w:rPr>
      <w:rFonts w:eastAsia="Times New Roman" w:cs="Times New Roman"/>
      <w:szCs w:val="24"/>
      <w:lang w:eastAsia="en-IN"/>
    </w:rPr>
  </w:style>
  <w:style w:type="paragraph" w:styleId="TOCHeading">
    <w:name w:val="TOC Heading"/>
    <w:basedOn w:val="Heading1"/>
    <w:next w:val="Normal"/>
    <w:uiPriority w:val="39"/>
    <w:unhideWhenUsed/>
    <w:qFormat/>
    <w:rsid w:val="002E590C"/>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E590C"/>
    <w:pPr>
      <w:spacing w:after="100"/>
    </w:pPr>
  </w:style>
  <w:style w:type="paragraph" w:styleId="Header">
    <w:name w:val="header"/>
    <w:basedOn w:val="Normal"/>
    <w:link w:val="HeaderChar"/>
    <w:uiPriority w:val="99"/>
    <w:unhideWhenUsed/>
    <w:rsid w:val="00B605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5EF"/>
    <w:rPr>
      <w:rFonts w:ascii="Times New Roman" w:hAnsi="Times New Roman"/>
      <w:kern w:val="0"/>
      <w:sz w:val="24"/>
      <w14:ligatures w14:val="none"/>
    </w:rPr>
  </w:style>
  <w:style w:type="paragraph" w:styleId="Footer">
    <w:name w:val="footer"/>
    <w:basedOn w:val="Normal"/>
    <w:link w:val="FooterChar"/>
    <w:uiPriority w:val="99"/>
    <w:unhideWhenUsed/>
    <w:rsid w:val="00B605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5EF"/>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98026">
      <w:bodyDiv w:val="1"/>
      <w:marLeft w:val="0"/>
      <w:marRight w:val="0"/>
      <w:marTop w:val="0"/>
      <w:marBottom w:val="0"/>
      <w:divBdr>
        <w:top w:val="none" w:sz="0" w:space="0" w:color="auto"/>
        <w:left w:val="none" w:sz="0" w:space="0" w:color="auto"/>
        <w:bottom w:val="none" w:sz="0" w:space="0" w:color="auto"/>
        <w:right w:val="none" w:sz="0" w:space="0" w:color="auto"/>
      </w:divBdr>
    </w:div>
    <w:div w:id="1046829106">
      <w:bodyDiv w:val="1"/>
      <w:marLeft w:val="0"/>
      <w:marRight w:val="0"/>
      <w:marTop w:val="0"/>
      <w:marBottom w:val="0"/>
      <w:divBdr>
        <w:top w:val="none" w:sz="0" w:space="0" w:color="auto"/>
        <w:left w:val="none" w:sz="0" w:space="0" w:color="auto"/>
        <w:bottom w:val="none" w:sz="0" w:space="0" w:color="auto"/>
        <w:right w:val="none" w:sz="0" w:space="0" w:color="auto"/>
      </w:divBdr>
    </w:div>
    <w:div w:id="1282616315">
      <w:bodyDiv w:val="1"/>
      <w:marLeft w:val="0"/>
      <w:marRight w:val="0"/>
      <w:marTop w:val="0"/>
      <w:marBottom w:val="0"/>
      <w:divBdr>
        <w:top w:val="none" w:sz="0" w:space="0" w:color="auto"/>
        <w:left w:val="none" w:sz="0" w:space="0" w:color="auto"/>
        <w:bottom w:val="none" w:sz="0" w:space="0" w:color="auto"/>
        <w:right w:val="none" w:sz="0" w:space="0" w:color="auto"/>
      </w:divBdr>
      <w:divsChild>
        <w:div w:id="1602300419">
          <w:marLeft w:val="0"/>
          <w:marRight w:val="0"/>
          <w:marTop w:val="0"/>
          <w:marBottom w:val="0"/>
          <w:divBdr>
            <w:top w:val="single" w:sz="2" w:space="0" w:color="auto"/>
            <w:left w:val="single" w:sz="2" w:space="0" w:color="auto"/>
            <w:bottom w:val="single" w:sz="6" w:space="0" w:color="auto"/>
            <w:right w:val="single" w:sz="2" w:space="0" w:color="auto"/>
          </w:divBdr>
          <w:divsChild>
            <w:div w:id="460154853">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107044">
                  <w:marLeft w:val="0"/>
                  <w:marRight w:val="0"/>
                  <w:marTop w:val="0"/>
                  <w:marBottom w:val="0"/>
                  <w:divBdr>
                    <w:top w:val="single" w:sz="2" w:space="0" w:color="D9D9E3"/>
                    <w:left w:val="single" w:sz="2" w:space="0" w:color="D9D9E3"/>
                    <w:bottom w:val="single" w:sz="2" w:space="0" w:color="D9D9E3"/>
                    <w:right w:val="single" w:sz="2" w:space="0" w:color="D9D9E3"/>
                  </w:divBdr>
                  <w:divsChild>
                    <w:div w:id="1581450053">
                      <w:marLeft w:val="0"/>
                      <w:marRight w:val="0"/>
                      <w:marTop w:val="0"/>
                      <w:marBottom w:val="0"/>
                      <w:divBdr>
                        <w:top w:val="single" w:sz="2" w:space="0" w:color="D9D9E3"/>
                        <w:left w:val="single" w:sz="2" w:space="0" w:color="D9D9E3"/>
                        <w:bottom w:val="single" w:sz="2" w:space="0" w:color="D9D9E3"/>
                        <w:right w:val="single" w:sz="2" w:space="0" w:color="D9D9E3"/>
                      </w:divBdr>
                      <w:divsChild>
                        <w:div w:id="1643273498">
                          <w:marLeft w:val="0"/>
                          <w:marRight w:val="0"/>
                          <w:marTop w:val="0"/>
                          <w:marBottom w:val="0"/>
                          <w:divBdr>
                            <w:top w:val="single" w:sz="2" w:space="0" w:color="D9D9E3"/>
                            <w:left w:val="single" w:sz="2" w:space="0" w:color="D9D9E3"/>
                            <w:bottom w:val="single" w:sz="2" w:space="0" w:color="D9D9E3"/>
                            <w:right w:val="single" w:sz="2" w:space="0" w:color="D9D9E3"/>
                          </w:divBdr>
                          <w:divsChild>
                            <w:div w:id="1171486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8941995">
      <w:bodyDiv w:val="1"/>
      <w:marLeft w:val="0"/>
      <w:marRight w:val="0"/>
      <w:marTop w:val="0"/>
      <w:marBottom w:val="0"/>
      <w:divBdr>
        <w:top w:val="none" w:sz="0" w:space="0" w:color="auto"/>
        <w:left w:val="none" w:sz="0" w:space="0" w:color="auto"/>
        <w:bottom w:val="none" w:sz="0" w:space="0" w:color="auto"/>
        <w:right w:val="none" w:sz="0" w:space="0" w:color="auto"/>
      </w:divBdr>
    </w:div>
    <w:div w:id="1403870512">
      <w:bodyDiv w:val="1"/>
      <w:marLeft w:val="0"/>
      <w:marRight w:val="0"/>
      <w:marTop w:val="0"/>
      <w:marBottom w:val="0"/>
      <w:divBdr>
        <w:top w:val="none" w:sz="0" w:space="0" w:color="auto"/>
        <w:left w:val="none" w:sz="0" w:space="0" w:color="auto"/>
        <w:bottom w:val="none" w:sz="0" w:space="0" w:color="auto"/>
        <w:right w:val="none" w:sz="0" w:space="0" w:color="auto"/>
      </w:divBdr>
    </w:div>
    <w:div w:id="1531912441">
      <w:bodyDiv w:val="1"/>
      <w:marLeft w:val="0"/>
      <w:marRight w:val="0"/>
      <w:marTop w:val="0"/>
      <w:marBottom w:val="0"/>
      <w:divBdr>
        <w:top w:val="none" w:sz="0" w:space="0" w:color="auto"/>
        <w:left w:val="none" w:sz="0" w:space="0" w:color="auto"/>
        <w:bottom w:val="none" w:sz="0" w:space="0" w:color="auto"/>
        <w:right w:val="none" w:sz="0" w:space="0" w:color="auto"/>
      </w:divBdr>
      <w:divsChild>
        <w:div w:id="1716849329">
          <w:marLeft w:val="0"/>
          <w:marRight w:val="0"/>
          <w:marTop w:val="0"/>
          <w:marBottom w:val="0"/>
          <w:divBdr>
            <w:top w:val="single" w:sz="2" w:space="0" w:color="D9D9E3"/>
            <w:left w:val="single" w:sz="2" w:space="0" w:color="D9D9E3"/>
            <w:bottom w:val="single" w:sz="2" w:space="0" w:color="D9D9E3"/>
            <w:right w:val="single" w:sz="2" w:space="0" w:color="D9D9E3"/>
          </w:divBdr>
          <w:divsChild>
            <w:div w:id="1040672314">
              <w:marLeft w:val="0"/>
              <w:marRight w:val="0"/>
              <w:marTop w:val="0"/>
              <w:marBottom w:val="0"/>
              <w:divBdr>
                <w:top w:val="single" w:sz="2" w:space="0" w:color="D9D9E3"/>
                <w:left w:val="single" w:sz="2" w:space="0" w:color="D9D9E3"/>
                <w:bottom w:val="single" w:sz="2" w:space="0" w:color="D9D9E3"/>
                <w:right w:val="single" w:sz="2" w:space="0" w:color="D9D9E3"/>
              </w:divBdr>
              <w:divsChild>
                <w:div w:id="48577228">
                  <w:marLeft w:val="0"/>
                  <w:marRight w:val="0"/>
                  <w:marTop w:val="0"/>
                  <w:marBottom w:val="0"/>
                  <w:divBdr>
                    <w:top w:val="single" w:sz="2" w:space="0" w:color="D9D9E3"/>
                    <w:left w:val="single" w:sz="2" w:space="0" w:color="D9D9E3"/>
                    <w:bottom w:val="single" w:sz="2" w:space="0" w:color="D9D9E3"/>
                    <w:right w:val="single" w:sz="2" w:space="0" w:color="D9D9E3"/>
                  </w:divBdr>
                  <w:divsChild>
                    <w:div w:id="705645310">
                      <w:marLeft w:val="0"/>
                      <w:marRight w:val="0"/>
                      <w:marTop w:val="0"/>
                      <w:marBottom w:val="0"/>
                      <w:divBdr>
                        <w:top w:val="single" w:sz="2" w:space="0" w:color="D9D9E3"/>
                        <w:left w:val="single" w:sz="2" w:space="0" w:color="D9D9E3"/>
                        <w:bottom w:val="single" w:sz="2" w:space="0" w:color="D9D9E3"/>
                        <w:right w:val="single" w:sz="2" w:space="0" w:color="D9D9E3"/>
                      </w:divBdr>
                      <w:divsChild>
                        <w:div w:id="1089423873">
                          <w:marLeft w:val="0"/>
                          <w:marRight w:val="0"/>
                          <w:marTop w:val="0"/>
                          <w:marBottom w:val="0"/>
                          <w:divBdr>
                            <w:top w:val="single" w:sz="2" w:space="0" w:color="auto"/>
                            <w:left w:val="single" w:sz="2" w:space="0" w:color="auto"/>
                            <w:bottom w:val="single" w:sz="6" w:space="0" w:color="auto"/>
                            <w:right w:val="single" w:sz="2" w:space="0" w:color="auto"/>
                          </w:divBdr>
                          <w:divsChild>
                            <w:div w:id="2434904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72151438">
                                  <w:marLeft w:val="0"/>
                                  <w:marRight w:val="0"/>
                                  <w:marTop w:val="0"/>
                                  <w:marBottom w:val="0"/>
                                  <w:divBdr>
                                    <w:top w:val="single" w:sz="2" w:space="0" w:color="D9D9E3"/>
                                    <w:left w:val="single" w:sz="2" w:space="0" w:color="D9D9E3"/>
                                    <w:bottom w:val="single" w:sz="2" w:space="0" w:color="D9D9E3"/>
                                    <w:right w:val="single" w:sz="2" w:space="0" w:color="D9D9E3"/>
                                  </w:divBdr>
                                  <w:divsChild>
                                    <w:div w:id="40594258">
                                      <w:marLeft w:val="0"/>
                                      <w:marRight w:val="0"/>
                                      <w:marTop w:val="0"/>
                                      <w:marBottom w:val="0"/>
                                      <w:divBdr>
                                        <w:top w:val="single" w:sz="2" w:space="0" w:color="D9D9E3"/>
                                        <w:left w:val="single" w:sz="2" w:space="0" w:color="D9D9E3"/>
                                        <w:bottom w:val="single" w:sz="2" w:space="0" w:color="D9D9E3"/>
                                        <w:right w:val="single" w:sz="2" w:space="0" w:color="D9D9E3"/>
                                      </w:divBdr>
                                      <w:divsChild>
                                        <w:div w:id="960963139">
                                          <w:marLeft w:val="0"/>
                                          <w:marRight w:val="0"/>
                                          <w:marTop w:val="0"/>
                                          <w:marBottom w:val="0"/>
                                          <w:divBdr>
                                            <w:top w:val="single" w:sz="2" w:space="0" w:color="D9D9E3"/>
                                            <w:left w:val="single" w:sz="2" w:space="0" w:color="D9D9E3"/>
                                            <w:bottom w:val="single" w:sz="2" w:space="0" w:color="D9D9E3"/>
                                            <w:right w:val="single" w:sz="2" w:space="0" w:color="D9D9E3"/>
                                          </w:divBdr>
                                          <w:divsChild>
                                            <w:div w:id="1347361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4878714">
          <w:marLeft w:val="0"/>
          <w:marRight w:val="0"/>
          <w:marTop w:val="0"/>
          <w:marBottom w:val="0"/>
          <w:divBdr>
            <w:top w:val="none" w:sz="0" w:space="0" w:color="auto"/>
            <w:left w:val="none" w:sz="0" w:space="0" w:color="auto"/>
            <w:bottom w:val="none" w:sz="0" w:space="0" w:color="auto"/>
            <w:right w:val="none" w:sz="0" w:space="0" w:color="auto"/>
          </w:divBdr>
        </w:div>
      </w:divsChild>
    </w:div>
    <w:div w:id="1940748137">
      <w:bodyDiv w:val="1"/>
      <w:marLeft w:val="0"/>
      <w:marRight w:val="0"/>
      <w:marTop w:val="0"/>
      <w:marBottom w:val="0"/>
      <w:divBdr>
        <w:top w:val="none" w:sz="0" w:space="0" w:color="auto"/>
        <w:left w:val="none" w:sz="0" w:space="0" w:color="auto"/>
        <w:bottom w:val="none" w:sz="0" w:space="0" w:color="auto"/>
        <w:right w:val="none" w:sz="0" w:space="0" w:color="auto"/>
      </w:divBdr>
    </w:div>
    <w:div w:id="2044860051">
      <w:bodyDiv w:val="1"/>
      <w:marLeft w:val="0"/>
      <w:marRight w:val="0"/>
      <w:marTop w:val="0"/>
      <w:marBottom w:val="0"/>
      <w:divBdr>
        <w:top w:val="none" w:sz="0" w:space="0" w:color="auto"/>
        <w:left w:val="none" w:sz="0" w:space="0" w:color="auto"/>
        <w:bottom w:val="none" w:sz="0" w:space="0" w:color="auto"/>
        <w:right w:val="none" w:sz="0" w:space="0" w:color="auto"/>
      </w:divBdr>
    </w:div>
    <w:div w:id="205299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7106E-AE5A-4FBE-9149-4DA25AE93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Corina Tiseanu</cp:lastModifiedBy>
  <cp:revision>2</cp:revision>
  <dcterms:created xsi:type="dcterms:W3CDTF">2023-07-19T06:02:00Z</dcterms:created>
  <dcterms:modified xsi:type="dcterms:W3CDTF">2023-07-24T20:04:00Z</dcterms:modified>
</cp:coreProperties>
</file>