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1F85E682" w:rsidR="33572C6E" w:rsidRDefault="7908378C" w:rsidP="33572C6E">
            <w:pPr>
              <w:ind w:right="237"/>
              <w:rPr>
                <w:b/>
                <w:bCs/>
                <w:color w:val="auto"/>
                <w:sz w:val="32"/>
                <w:szCs w:val="32"/>
              </w:rPr>
            </w:pPr>
            <w:r w:rsidRPr="33572C6E">
              <w:rPr>
                <w:b/>
                <w:bCs/>
                <w:color w:val="auto"/>
                <w:sz w:val="32"/>
                <w:szCs w:val="32"/>
              </w:rPr>
              <w:t xml:space="preserve">Learner name: </w:t>
            </w:r>
            <w:r w:rsidR="00D84BBF">
              <w:rPr>
                <w:b/>
                <w:bCs/>
                <w:color w:val="auto"/>
                <w:sz w:val="32"/>
                <w:szCs w:val="32"/>
              </w:rPr>
              <w:t xml:space="preserve">Simon Pepperell </w:t>
            </w:r>
          </w:p>
          <w:p w14:paraId="72990BAE" w14:textId="77777777" w:rsidR="00D84BBF" w:rsidRDefault="00D84BBF" w:rsidP="33572C6E">
            <w:pPr>
              <w:ind w:right="237"/>
              <w:rPr>
                <w:b/>
                <w:bCs/>
                <w:color w:val="auto"/>
                <w:sz w:val="32"/>
                <w:szCs w:val="32"/>
              </w:rPr>
            </w:pPr>
          </w:p>
          <w:p w14:paraId="1D86F74A" w14:textId="4602CBC9" w:rsidR="33572C6E" w:rsidRDefault="7908378C" w:rsidP="33572C6E">
            <w:pPr>
              <w:ind w:right="237"/>
              <w:rPr>
                <w:b/>
                <w:bCs/>
                <w:color w:val="auto"/>
                <w:sz w:val="32"/>
                <w:szCs w:val="32"/>
              </w:rPr>
            </w:pPr>
            <w:r w:rsidRPr="33572C6E">
              <w:rPr>
                <w:b/>
                <w:bCs/>
                <w:color w:val="auto"/>
                <w:sz w:val="32"/>
                <w:szCs w:val="32"/>
              </w:rPr>
              <w:t>Learner’s University Registration Number:</w:t>
            </w:r>
            <w:r w:rsidR="00D84BBF">
              <w:rPr>
                <w:b/>
                <w:bCs/>
                <w:color w:val="auto"/>
                <w:sz w:val="32"/>
                <w:szCs w:val="32"/>
              </w:rPr>
              <w:t xml:space="preserve"> 2236402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73B6552A" w14:textId="77777777" w:rsidR="0061690D" w:rsidRDefault="0061690D" w:rsidP="0061690D">
      <w:pPr>
        <w:overflowPunct/>
        <w:autoSpaceDE/>
        <w:autoSpaceDN/>
        <w:adjustRightInd/>
        <w:jc w:val="both"/>
        <w:textAlignment w:val="auto"/>
        <w:rPr>
          <w:sz w:val="24"/>
          <w:szCs w:val="24"/>
        </w:rPr>
      </w:pPr>
      <w:r>
        <w:rPr>
          <w:sz w:val="24"/>
          <w:szCs w:val="24"/>
        </w:rPr>
        <w:t xml:space="preserve">In law enforcement, incidents involving public order offences highlight the complexities and challenges faced by police officers in maintaining community safety and upholding social norms. One such incident in which I had a significant role was a Section 4a Public Order offence, classified as a Hate Crime. According to the UK Government’s Public Order Act 1986, Section 4a, “A person is guilty of an offence if, with intent to cause a person harassment, alarm or distress, he uses threatening, abusive or insulting words or behaviour, or disorderly behaviour, thereby causing that or another person harassment, alarm or distress.” In this incident, a 40year old male committed a public order offence by directing racial slurs and threats towards a younger male who describes his ethnicity as a Black UK resident. This type of offence illustrates the complex nature of policing in contemporary society. </w:t>
      </w:r>
    </w:p>
    <w:p w14:paraId="34EE2891" w14:textId="77777777" w:rsidR="0061690D" w:rsidRDefault="0061690D" w:rsidP="0061690D">
      <w:pPr>
        <w:overflowPunct/>
        <w:autoSpaceDE/>
        <w:autoSpaceDN/>
        <w:adjustRightInd/>
        <w:jc w:val="both"/>
        <w:textAlignment w:val="auto"/>
        <w:rPr>
          <w:sz w:val="24"/>
          <w:szCs w:val="24"/>
        </w:rPr>
      </w:pPr>
    </w:p>
    <w:p w14:paraId="2F970357" w14:textId="77777777" w:rsidR="0061690D" w:rsidRDefault="0061690D" w:rsidP="0061690D">
      <w:pPr>
        <w:overflowPunct/>
        <w:autoSpaceDE/>
        <w:autoSpaceDN/>
        <w:adjustRightInd/>
        <w:jc w:val="both"/>
        <w:textAlignment w:val="auto"/>
        <w:rPr>
          <w:sz w:val="24"/>
          <w:szCs w:val="24"/>
        </w:rPr>
      </w:pPr>
      <w:r>
        <w:rPr>
          <w:sz w:val="24"/>
          <w:szCs w:val="24"/>
        </w:rPr>
        <w:t xml:space="preserve">The incident unfolded amidst social tensions and heightened sensitivities surrounding issues of diversity and inclusion. The verbal altercation initiated by the individual, marked by derogatory language and confrontational behaviour, not only posed an immediate threat to public safety but also exposed the prejudices and vulnerability within our communities. As witnesses observed the unfolding events, the response of the police became pivotal in navigating the situation and mitigating potential repercussions. Garland (2014) notes that “…there have been many important developments in the last twenty years or so that have helped to improve understandings of hate crime victimisation and perpetration, as well as how to challenge its motivations, prevent its occurrence and deal with its consequences.” This essay reflects upon my participation in this incident, offering critical insights into the appropriateness of police approaches in supporting vulnerable individuals and </w:t>
      </w:r>
      <w:r>
        <w:rPr>
          <w:sz w:val="24"/>
          <w:szCs w:val="24"/>
        </w:rPr>
        <w:lastRenderedPageBreak/>
        <w:t xml:space="preserve">addressing the underlying issues of repeat victimisation and offending. By critically evaluation various approaches and exploring evidence-based policing principles, this essay aims to enhance the effectiveness and responsiveness of police efforts in safeguarding community well-being. </w:t>
      </w:r>
    </w:p>
    <w:p w14:paraId="4F67F114" w14:textId="77777777" w:rsidR="0061690D" w:rsidRDefault="0061690D" w:rsidP="0061690D">
      <w:pPr>
        <w:overflowPunct/>
        <w:autoSpaceDE/>
        <w:autoSpaceDN/>
        <w:adjustRightInd/>
        <w:jc w:val="both"/>
        <w:textAlignment w:val="auto"/>
        <w:rPr>
          <w:sz w:val="24"/>
          <w:szCs w:val="24"/>
        </w:rPr>
      </w:pPr>
    </w:p>
    <w:p w14:paraId="61986940" w14:textId="77777777" w:rsidR="0061690D" w:rsidRDefault="0061690D" w:rsidP="0061690D">
      <w:pPr>
        <w:overflowPunct/>
        <w:autoSpaceDE/>
        <w:autoSpaceDN/>
        <w:adjustRightInd/>
        <w:jc w:val="both"/>
        <w:textAlignment w:val="auto"/>
        <w:rPr>
          <w:sz w:val="24"/>
          <w:szCs w:val="24"/>
        </w:rPr>
      </w:pPr>
      <w:r>
        <w:rPr>
          <w:sz w:val="24"/>
          <w:szCs w:val="24"/>
        </w:rPr>
        <w:t xml:space="preserve">The incident occurred in the centre of a small town’s high street, lined with shops, cafes, bars, and other commercial premises. It unfolded rapidly as a 40year old male walked along the high street and saw the younger male outside his place of work. The two had a history, as the younger male had caught the older male shoplifting from the store a year prior. The older male unleashed a barrage of racial slurs and threats, shocking bystanders who notified local Police Community Support Officers (PCSOs). Witnesses recounted the exchange, highlighting the sense of harassment, alarm and distress to the PCSOs, who then alerted officers. Mazerolle and Ransley (2005) summarise that these types of witnesses are third party partners, who increase police capacity by improving crime control and prevention outcomes. In this instance, the witnesses enabled officers to act swiftly. </w:t>
      </w:r>
    </w:p>
    <w:p w14:paraId="2F0AA60D" w14:textId="77777777" w:rsidR="0061690D" w:rsidRDefault="0061690D" w:rsidP="0061690D">
      <w:pPr>
        <w:overflowPunct/>
        <w:autoSpaceDE/>
        <w:autoSpaceDN/>
        <w:adjustRightInd/>
        <w:jc w:val="both"/>
        <w:textAlignment w:val="auto"/>
        <w:rPr>
          <w:sz w:val="24"/>
          <w:szCs w:val="24"/>
        </w:rPr>
      </w:pPr>
    </w:p>
    <w:p w14:paraId="4691067B" w14:textId="77777777" w:rsidR="0061690D" w:rsidRDefault="0061690D" w:rsidP="0061690D">
      <w:pPr>
        <w:overflowPunct/>
        <w:autoSpaceDE/>
        <w:autoSpaceDN/>
        <w:adjustRightInd/>
        <w:jc w:val="both"/>
        <w:textAlignment w:val="auto"/>
        <w:rPr>
          <w:sz w:val="24"/>
          <w:szCs w:val="24"/>
        </w:rPr>
      </w:pPr>
      <w:r>
        <w:rPr>
          <w:sz w:val="24"/>
          <w:szCs w:val="24"/>
        </w:rPr>
        <w:t xml:space="preserve">Officers quickly attended the scene, but the older male had already left. As a police officer, I spoke to the victim, who was initially hesitant to make a complaint but ultimately provided a statement and supported police action. To identify the offender, I used various technological tools, including CCTV cameras positioned along the high street. Ashby (2017) states that “CCTV may assist in identifying who was involved in a crime either directly, as when a suspect is recognised by someone viewing the recording, or indirectly…” Despite the poor quality of the CCTV image, local Neighbourhood Policing (NPT) Officers recognised the suspect and provided a supporting statement highlighting as much. Eyewitness accounts were crucial as the CCTV footage had no sound. By integrating these sources, I reconstructed the event sequence and identified the offender. A Voluntary Attendance interview was arranged with the suspect, who gave a no-comment interview. I then compiled a Case File with all the evidence and sent it to the Crown Prosecution Service. I am currently awaiting their decision. </w:t>
      </w:r>
    </w:p>
    <w:p w14:paraId="44B27AA5" w14:textId="77777777" w:rsidR="0061690D" w:rsidRDefault="0061690D" w:rsidP="0061690D">
      <w:pPr>
        <w:overflowPunct/>
        <w:autoSpaceDE/>
        <w:autoSpaceDN/>
        <w:adjustRightInd/>
        <w:jc w:val="both"/>
        <w:textAlignment w:val="auto"/>
        <w:rPr>
          <w:sz w:val="24"/>
          <w:szCs w:val="24"/>
        </w:rPr>
      </w:pPr>
    </w:p>
    <w:p w14:paraId="0E17DD3E" w14:textId="77777777" w:rsidR="0061690D" w:rsidRDefault="0061690D" w:rsidP="0061690D">
      <w:pPr>
        <w:overflowPunct/>
        <w:autoSpaceDE/>
        <w:autoSpaceDN/>
        <w:adjustRightInd/>
        <w:jc w:val="both"/>
        <w:textAlignment w:val="auto"/>
        <w:rPr>
          <w:sz w:val="24"/>
          <w:szCs w:val="24"/>
        </w:rPr>
      </w:pPr>
      <w:r>
        <w:rPr>
          <w:sz w:val="24"/>
          <w:szCs w:val="24"/>
        </w:rPr>
        <w:t xml:space="preserve">The role of police in addressing public order offences, particularly hate crimes, extends beyond immediate response and law enforcement. It involves a deep engagement with the community to foster an environment of trust and cooperation. According to Myhill and Quinton (2011), effective community policing hinges on building strong, positive relationships between law enforcement and community members. This approach not only helps in gathering crucial information during investigations but also enhances public confidence in the police. In the described incident, the prompt involvement of local PCSOs and their swift communication with officers illustrates the importance of these relationships in facilitating quick and effective police response. </w:t>
      </w:r>
    </w:p>
    <w:p w14:paraId="448F4A12" w14:textId="77777777" w:rsidR="0061690D" w:rsidRDefault="0061690D" w:rsidP="0061690D">
      <w:pPr>
        <w:overflowPunct/>
        <w:autoSpaceDE/>
        <w:autoSpaceDN/>
        <w:adjustRightInd/>
        <w:jc w:val="both"/>
        <w:textAlignment w:val="auto"/>
        <w:rPr>
          <w:sz w:val="24"/>
          <w:szCs w:val="24"/>
        </w:rPr>
      </w:pPr>
    </w:p>
    <w:p w14:paraId="4819775F" w14:textId="77777777" w:rsidR="0061690D" w:rsidRDefault="0061690D" w:rsidP="0061690D">
      <w:pPr>
        <w:overflowPunct/>
        <w:autoSpaceDE/>
        <w:autoSpaceDN/>
        <w:adjustRightInd/>
        <w:jc w:val="both"/>
        <w:textAlignment w:val="auto"/>
        <w:rPr>
          <w:sz w:val="24"/>
          <w:szCs w:val="24"/>
        </w:rPr>
      </w:pPr>
      <w:r>
        <w:rPr>
          <w:sz w:val="24"/>
          <w:szCs w:val="24"/>
        </w:rPr>
        <w:t xml:space="preserve">Furthermore, the integration of technology in policing practices, such as the use of CCTV footage in this incident, underscores the evolving landscape of law enforcement. While CCTV systems provide valuable evidence and assist in identifying suspects, their effectiveness can be limited by factors such as image quality and coverage areas (Gill et al., 2005). Despite these limitations, the ability of neighbourhood policing officers to recognise the suspect from the footage demonstrates the benefits of localised knowledge and community familiarity. As Lum, Koper, and Willis (2017) suggest, the incorporation of evidence-based policing </w:t>
      </w:r>
      <w:r>
        <w:rPr>
          <w:sz w:val="24"/>
          <w:szCs w:val="24"/>
        </w:rPr>
        <w:lastRenderedPageBreak/>
        <w:t xml:space="preserve">practices, including the strategic use of technology, enhances the precision and effectiveness of police operations. </w:t>
      </w:r>
    </w:p>
    <w:p w14:paraId="14054165" w14:textId="77777777" w:rsidR="0061690D" w:rsidRDefault="0061690D" w:rsidP="0061690D">
      <w:pPr>
        <w:overflowPunct/>
        <w:autoSpaceDE/>
        <w:autoSpaceDN/>
        <w:adjustRightInd/>
        <w:jc w:val="both"/>
        <w:textAlignment w:val="auto"/>
        <w:rPr>
          <w:sz w:val="24"/>
          <w:szCs w:val="24"/>
        </w:rPr>
      </w:pPr>
    </w:p>
    <w:p w14:paraId="28AA76EA" w14:textId="77777777" w:rsidR="0061690D" w:rsidRDefault="0061690D" w:rsidP="0061690D">
      <w:pPr>
        <w:overflowPunct/>
        <w:autoSpaceDE/>
        <w:autoSpaceDN/>
        <w:adjustRightInd/>
        <w:jc w:val="both"/>
        <w:textAlignment w:val="auto"/>
        <w:rPr>
          <w:sz w:val="24"/>
          <w:szCs w:val="24"/>
        </w:rPr>
      </w:pPr>
      <w:r>
        <w:rPr>
          <w:sz w:val="24"/>
          <w:szCs w:val="24"/>
        </w:rPr>
        <w:t xml:space="preserve">Addressing the root causes of hate crimes and public order offences requires a multi-faceted approach that combines immediate law enforcement actions with long-term preventative measures. As noted by Chakraborti and Garland (2012), tackling hate crime effectively necessitates understanding its social and psychological underpinnings. This involves engaging with community leaders, advocacy groups, and social service agencies to address the prejudices and socio-economic factors that contribute to such behaviours. In the context of the incident, ongoing engagement with the victim and community members by NPT reflects a commitment to these principles. It highlights the importance of continuous support and monitoring to prevent recurrence and build community resilience. </w:t>
      </w:r>
    </w:p>
    <w:p w14:paraId="2EA0C3D4" w14:textId="77777777" w:rsidR="0061690D" w:rsidRDefault="0061690D" w:rsidP="0061690D">
      <w:pPr>
        <w:overflowPunct/>
        <w:autoSpaceDE/>
        <w:autoSpaceDN/>
        <w:adjustRightInd/>
        <w:jc w:val="both"/>
        <w:textAlignment w:val="auto"/>
        <w:rPr>
          <w:sz w:val="24"/>
          <w:szCs w:val="24"/>
        </w:rPr>
      </w:pPr>
    </w:p>
    <w:p w14:paraId="6885672B" w14:textId="77777777" w:rsidR="0061690D" w:rsidRDefault="0061690D" w:rsidP="0061690D">
      <w:pPr>
        <w:overflowPunct/>
        <w:autoSpaceDE/>
        <w:autoSpaceDN/>
        <w:adjustRightInd/>
        <w:jc w:val="both"/>
        <w:textAlignment w:val="auto"/>
        <w:rPr>
          <w:sz w:val="24"/>
          <w:szCs w:val="24"/>
        </w:rPr>
      </w:pPr>
      <w:r>
        <w:rPr>
          <w:sz w:val="24"/>
          <w:szCs w:val="24"/>
        </w:rPr>
        <w:t xml:space="preserve">Incorporating restorative justice approaches can also play a crucial role in addressing hate crimes. Restorative justice focuses on the rehabilitation of offenders through reconciliation with victims and the community (Braithwaite, 2004). This method not only holds offenders accountable but also provides an opportunity for them to understand the impact of their actions and make amends. By facilitating dialogue and mutual understanding, restorative justice can help to heal community rifts and reduce the likelihood of reoffending. Implementing such approaches, alongside traditional law enforcement methods, can enhance the overall effectiveness of police efforts in managing public order offences and hate crimes. </w:t>
      </w:r>
    </w:p>
    <w:p w14:paraId="60D3BD94" w14:textId="77777777" w:rsidR="0061690D" w:rsidRDefault="0061690D" w:rsidP="0061690D">
      <w:pPr>
        <w:overflowPunct/>
        <w:autoSpaceDE/>
        <w:autoSpaceDN/>
        <w:adjustRightInd/>
        <w:jc w:val="both"/>
        <w:textAlignment w:val="auto"/>
        <w:rPr>
          <w:sz w:val="24"/>
          <w:szCs w:val="24"/>
        </w:rPr>
      </w:pPr>
    </w:p>
    <w:p w14:paraId="361CB241" w14:textId="77777777" w:rsidR="0061690D" w:rsidRDefault="0061690D" w:rsidP="0061690D">
      <w:pPr>
        <w:overflowPunct/>
        <w:autoSpaceDE/>
        <w:autoSpaceDN/>
        <w:adjustRightInd/>
        <w:jc w:val="both"/>
        <w:textAlignment w:val="auto"/>
        <w:rPr>
          <w:sz w:val="24"/>
          <w:szCs w:val="24"/>
        </w:rPr>
      </w:pPr>
      <w:r>
        <w:rPr>
          <w:sz w:val="24"/>
          <w:szCs w:val="24"/>
        </w:rPr>
        <w:t xml:space="preserve">The psychological impact of hate crimes on victims and the broader community cannot be overstated. Hate crimes are not just attacks on individuals but are affronts to the identities and core values of entire communities. This psychological harm often results in heightened fear, anxiety, and mistrust among community members. According to Herek, Gillis, and Cogan (1999), victims of hate crimes experience greater psychological distress compared to victims of non-bias motivated crimes. This distress can manifest as </w:t>
      </w:r>
      <w:proofErr w:type="spellStart"/>
      <w:r>
        <w:rPr>
          <w:sz w:val="24"/>
          <w:szCs w:val="24"/>
        </w:rPr>
        <w:t>post traumatic</w:t>
      </w:r>
      <w:proofErr w:type="spellEnd"/>
      <w:r>
        <w:rPr>
          <w:sz w:val="24"/>
          <w:szCs w:val="24"/>
        </w:rPr>
        <w:t xml:space="preserve"> stress disorder (PTSD), depression, and other long-term mental health issues. Moreover, the ripple effect of such crimes can lead to increased social fragmentation, as fear and suspicion undermine community cohesion and resilience. therefore, addressing hate crimes requires a comprehensive approach that includes psychological support for victims. Mental Health professionals should work closely with law enforcement to provide immediate and ongoing support to victims, helping them navigate the aftermath of the crime. Community outreach programs that promote dialogue and education about diversity and inclusion can also play a pivotal role in healing and preventing future incidents. These programs should aim to foster mutual understanding and respect among diverse groups, thereby strengthening community bonds and reducing the likelihood of hate crimes. By addressing the psychological impact of hate crimes and promoting community solidarity, law enforcement and social services can work together to build safer, more inclusive communities. </w:t>
      </w:r>
    </w:p>
    <w:p w14:paraId="05EF3924" w14:textId="77777777" w:rsidR="0061690D" w:rsidRDefault="0061690D" w:rsidP="0061690D">
      <w:pPr>
        <w:overflowPunct/>
        <w:autoSpaceDE/>
        <w:autoSpaceDN/>
        <w:adjustRightInd/>
        <w:jc w:val="both"/>
        <w:textAlignment w:val="auto"/>
        <w:rPr>
          <w:sz w:val="24"/>
          <w:szCs w:val="24"/>
        </w:rPr>
      </w:pPr>
    </w:p>
    <w:p w14:paraId="456FBF2B" w14:textId="77777777" w:rsidR="0061690D" w:rsidRDefault="0061690D" w:rsidP="0061690D">
      <w:pPr>
        <w:overflowPunct/>
        <w:autoSpaceDE/>
        <w:autoSpaceDN/>
        <w:adjustRightInd/>
        <w:jc w:val="both"/>
        <w:textAlignment w:val="auto"/>
        <w:rPr>
          <w:sz w:val="24"/>
          <w:szCs w:val="24"/>
        </w:rPr>
      </w:pPr>
      <w:r>
        <w:rPr>
          <w:sz w:val="24"/>
          <w:szCs w:val="24"/>
        </w:rPr>
        <w:t xml:space="preserve">The incident prompts a critical evaluation of police approaches in supporting vulnerable individuals, especially regarding hate speech and discriminatory behaviour. While the immediate police response was commendable, the effectiveness of ongoing victim support and offender apprehension remains questionable. The use of facial recognition technology and arranging a Voluntary Attendance interview demonstrates </w:t>
      </w:r>
      <w:r>
        <w:rPr>
          <w:sz w:val="24"/>
          <w:szCs w:val="24"/>
        </w:rPr>
        <w:lastRenderedPageBreak/>
        <w:t xml:space="preserve">proactive investigation. However, the offender’s refusal to provide a statement highlights engagement limitations and addressing behaviour root causes. Despite challenges, submitting evidence to the CPS indicates a commitment to seeking justice with regular updates. A comprehensive approach to supporting vulnerable individuals should include immediate intervention, ongoing engagement, empowerment, and accountability measures to prevent recurrence and promote cohesion. </w:t>
      </w:r>
    </w:p>
    <w:p w14:paraId="6B05AB16" w14:textId="77777777" w:rsidR="0061690D" w:rsidRDefault="0061690D" w:rsidP="0061690D">
      <w:pPr>
        <w:overflowPunct/>
        <w:autoSpaceDE/>
        <w:autoSpaceDN/>
        <w:adjustRightInd/>
        <w:jc w:val="both"/>
        <w:textAlignment w:val="auto"/>
        <w:rPr>
          <w:sz w:val="24"/>
          <w:szCs w:val="24"/>
        </w:rPr>
      </w:pPr>
    </w:p>
    <w:p w14:paraId="53815C5C" w14:textId="77777777" w:rsidR="0061690D" w:rsidRDefault="0061690D" w:rsidP="0061690D">
      <w:pPr>
        <w:overflowPunct/>
        <w:autoSpaceDE/>
        <w:autoSpaceDN/>
        <w:adjustRightInd/>
        <w:jc w:val="both"/>
        <w:textAlignment w:val="auto"/>
        <w:rPr>
          <w:sz w:val="24"/>
          <w:szCs w:val="24"/>
        </w:rPr>
      </w:pPr>
      <w:r>
        <w:rPr>
          <w:sz w:val="24"/>
          <w:szCs w:val="24"/>
        </w:rPr>
        <w:t xml:space="preserve">Addressing repeat victimisation and offending requires a comprehensive approach involving prevention, intervention, and rehabilitation strategies. Efforts to reduce repeat victimisation often include targeted initiatives aimed at enhancing awareness, improving security measures and raising community resilience. Proactive policing tactics, such as hotspot policing and problem orientated policing, have shown promise in disrupting victimisation patterns by identifying high-risk areas and implementing tailored interventions. Similarly, addressing repeat offending involves approaches like diversionary programs, restorative justice initiatives, cognitive-behavioural therapy, and substance abuse treatment. By adopting a holistic and evidence-based approach, police and supporting agencies can address underlying crime factors while promoting rehabilitation and reintegration into society. </w:t>
      </w:r>
      <w:proofErr w:type="spellStart"/>
      <w:r>
        <w:rPr>
          <w:sz w:val="24"/>
          <w:szCs w:val="24"/>
        </w:rPr>
        <w:t>Skogan</w:t>
      </w:r>
      <w:proofErr w:type="spellEnd"/>
      <w:r>
        <w:rPr>
          <w:sz w:val="24"/>
          <w:szCs w:val="24"/>
        </w:rPr>
        <w:t xml:space="preserve"> and Hartnett (1997) emphasize the importance of community orientated policing, which fosters strong relationships between police and community members, thus enhancing mutual trust and collaboration. In this incident Neighbourhood Policing remained in touch with the victim offering support, increasing foot patrols, and utilising council CCTV to ensure swift action if similar incidents occur. </w:t>
      </w:r>
    </w:p>
    <w:p w14:paraId="24C10885" w14:textId="77777777" w:rsidR="0061690D" w:rsidRDefault="0061690D" w:rsidP="0061690D">
      <w:pPr>
        <w:overflowPunct/>
        <w:autoSpaceDE/>
        <w:autoSpaceDN/>
        <w:adjustRightInd/>
        <w:jc w:val="both"/>
        <w:textAlignment w:val="auto"/>
        <w:rPr>
          <w:sz w:val="24"/>
          <w:szCs w:val="24"/>
        </w:rPr>
      </w:pPr>
    </w:p>
    <w:p w14:paraId="1C709AA7" w14:textId="77777777" w:rsidR="0061690D" w:rsidRDefault="0061690D" w:rsidP="0061690D">
      <w:pPr>
        <w:overflowPunct/>
        <w:autoSpaceDE/>
        <w:autoSpaceDN/>
        <w:adjustRightInd/>
        <w:jc w:val="both"/>
        <w:textAlignment w:val="auto"/>
        <w:rPr>
          <w:sz w:val="24"/>
          <w:szCs w:val="24"/>
        </w:rPr>
      </w:pPr>
      <w:r>
        <w:rPr>
          <w:sz w:val="24"/>
          <w:szCs w:val="24"/>
        </w:rPr>
        <w:t xml:space="preserve">Community-oriented Policing (COP) principles offer additional effectiveness in supporting vulnerable individuals and preventing crime. COP emphasises developing strong relationships between police community members, fostering mutual trust collaboration. This approach benefits hate crime and public order offence cases by encouraging community participation in identifying and addressing issues. Engaging with local leaders, advocacy groups, and residents allows police to understand unique community challenges and tailor responses accordingly. COP initiatives can facilitate early conflict identification, allowing for proactive prevention measures. </w:t>
      </w:r>
      <w:proofErr w:type="spellStart"/>
      <w:r>
        <w:rPr>
          <w:sz w:val="24"/>
          <w:szCs w:val="24"/>
        </w:rPr>
        <w:t>Trojanowicz</w:t>
      </w:r>
      <w:proofErr w:type="spellEnd"/>
      <w:r>
        <w:rPr>
          <w:sz w:val="24"/>
          <w:szCs w:val="24"/>
        </w:rPr>
        <w:t xml:space="preserve"> and </w:t>
      </w:r>
      <w:proofErr w:type="spellStart"/>
      <w:r>
        <w:rPr>
          <w:sz w:val="24"/>
          <w:szCs w:val="24"/>
        </w:rPr>
        <w:t>Bucqueroux</w:t>
      </w:r>
      <w:proofErr w:type="spellEnd"/>
      <w:r>
        <w:rPr>
          <w:sz w:val="24"/>
          <w:szCs w:val="24"/>
        </w:rPr>
        <w:t xml:space="preserve"> (1990) argue that COP can enhance police-community relations and improve public safety outcomes. Training officers in cultural competence and bias awareness enhances interactions with diverse populations, ensuring all community members feel respected and protected. Prioritising community engagement and partnership enables law enforcement agencies to address immediate concerns and build long-term resilience against crime and disorder. </w:t>
      </w:r>
    </w:p>
    <w:p w14:paraId="26E9C552" w14:textId="77777777" w:rsidR="0061690D" w:rsidRDefault="0061690D" w:rsidP="0061690D">
      <w:pPr>
        <w:overflowPunct/>
        <w:autoSpaceDE/>
        <w:autoSpaceDN/>
        <w:adjustRightInd/>
        <w:jc w:val="both"/>
        <w:textAlignment w:val="auto"/>
        <w:rPr>
          <w:sz w:val="24"/>
          <w:szCs w:val="24"/>
        </w:rPr>
      </w:pPr>
    </w:p>
    <w:p w14:paraId="7143ADA8" w14:textId="77777777" w:rsidR="0061690D" w:rsidRDefault="0061690D" w:rsidP="0061690D">
      <w:pPr>
        <w:overflowPunct/>
        <w:autoSpaceDE/>
        <w:autoSpaceDN/>
        <w:adjustRightInd/>
        <w:jc w:val="both"/>
        <w:textAlignment w:val="auto"/>
        <w:rPr>
          <w:sz w:val="24"/>
          <w:szCs w:val="24"/>
        </w:rPr>
      </w:pPr>
      <w:r>
        <w:rPr>
          <w:sz w:val="24"/>
          <w:szCs w:val="24"/>
        </w:rPr>
        <w:t xml:space="preserve">Evidence-based policing emphasises utilising research and data driven approaches to inform police practices and decision making. Lum, Koper, and Telep (2011) advocate for the use of research and empirical data to guide police strategies and practices. The evidence-based policing matrix provides a comprehensive framework for understanding which interventions are most effective in reducing crime and disorder, highlighting the importance of targeting specific places, focusing on high-risk offenders, and utilising problem-orientated approaches. Sherman (2013) further highlights the rise of evidence-based policing and its role in targeting, testing and tracking interventions to enhance public safety. by leveraging criminological research insights, police agencies can identify promising practices, allocate resources efficiently, and prioritise initiatives with the greatest crime reduction and community </w:t>
      </w:r>
      <w:r>
        <w:rPr>
          <w:sz w:val="24"/>
          <w:szCs w:val="24"/>
        </w:rPr>
        <w:lastRenderedPageBreak/>
        <w:t xml:space="preserve">well-being impact. Moreover, evidence-based policing fosters a culture of continuous learning and adaptation within law enforcement organisation, encouraging officers to evaluate methods critically and embrace innovative, evidence-grounded approaches. As policing evolves in response to societal dynamics and emerging challenges, evidence-based policing principles offer robust framework for enhancing accountability, transparency, and effectiveness in law enforcement efforts. </w:t>
      </w:r>
    </w:p>
    <w:p w14:paraId="4C6A0230" w14:textId="77777777" w:rsidR="0061690D" w:rsidRDefault="0061690D" w:rsidP="0061690D">
      <w:pPr>
        <w:overflowPunct/>
        <w:autoSpaceDE/>
        <w:autoSpaceDN/>
        <w:adjustRightInd/>
        <w:jc w:val="both"/>
        <w:textAlignment w:val="auto"/>
        <w:rPr>
          <w:sz w:val="24"/>
          <w:szCs w:val="24"/>
        </w:rPr>
      </w:pPr>
    </w:p>
    <w:p w14:paraId="19E2C488" w14:textId="77777777" w:rsidR="0061690D" w:rsidRDefault="0061690D" w:rsidP="0061690D">
      <w:pPr>
        <w:overflowPunct/>
        <w:autoSpaceDE/>
        <w:autoSpaceDN/>
        <w:adjustRightInd/>
        <w:jc w:val="both"/>
        <w:textAlignment w:val="auto"/>
        <w:rPr>
          <w:sz w:val="24"/>
          <w:szCs w:val="24"/>
        </w:rPr>
      </w:pPr>
      <w:r>
        <w:rPr>
          <w:sz w:val="24"/>
          <w:szCs w:val="24"/>
        </w:rPr>
        <w:t>In conclusion, the incidents underscore the complexities and challenges inherent in modern policing, particularly in addressing hate speech, victimisation, and offender accountability. By critically evaluating police approaches to supporting vulnerable individuals and leveraging evidence-based strategies to tackle repeat victimisation and offending, police and supporting agencies can enhance effectiveness and responsiveness in safeguarding communities. Moving forward, law enforcement organisations must prioritise continuous learning and adaptation, embracing innovative, evidence-driven approaches and informed community input. Fostering partnerships with communities and stakeholders, including advocacy groups, social service agencies, and academic institutions, can facilitate collaborative efforts to address underlying crime factors and promote long-term community resilience. in handling the incident, I demonstrated aspects of a holistic and evidence-driven approach. Along with supporting agencies, we strive towards the shared goal of fostering safer, more inclusive communities for all.</w:t>
      </w:r>
    </w:p>
    <w:p w14:paraId="46B249B1" w14:textId="77777777" w:rsidR="004D358A" w:rsidRDefault="004D358A" w:rsidP="00F56E62">
      <w:pPr>
        <w:overflowPunct/>
        <w:autoSpaceDE/>
        <w:autoSpaceDN/>
        <w:adjustRightInd/>
        <w:jc w:val="both"/>
        <w:textAlignment w:val="auto"/>
        <w:rPr>
          <w:sz w:val="24"/>
          <w:szCs w:val="24"/>
        </w:rPr>
      </w:pPr>
    </w:p>
    <w:p w14:paraId="6BB98E24" w14:textId="472AC419" w:rsidR="004D358A" w:rsidRDefault="0061690D" w:rsidP="00F56E62">
      <w:pPr>
        <w:overflowPunct/>
        <w:autoSpaceDE/>
        <w:autoSpaceDN/>
        <w:adjustRightInd/>
        <w:jc w:val="both"/>
        <w:textAlignment w:val="auto"/>
        <w:rPr>
          <w:sz w:val="24"/>
          <w:szCs w:val="24"/>
        </w:rPr>
      </w:pPr>
      <w:r>
        <w:rPr>
          <w:sz w:val="24"/>
          <w:szCs w:val="24"/>
        </w:rPr>
        <w:t>1965</w:t>
      </w:r>
      <w:r w:rsidR="004D358A">
        <w:rPr>
          <w:sz w:val="24"/>
          <w:szCs w:val="24"/>
        </w:rPr>
        <w:t xml:space="preserve"> Words</w:t>
      </w:r>
    </w:p>
    <w:p w14:paraId="68317E39" w14:textId="20284654" w:rsidR="00E676F7" w:rsidRDefault="00E676F7" w:rsidP="00F56E62">
      <w:pPr>
        <w:overflowPunct/>
        <w:autoSpaceDE/>
        <w:autoSpaceDN/>
        <w:adjustRightInd/>
        <w:jc w:val="both"/>
        <w:textAlignment w:val="auto"/>
        <w:rPr>
          <w:b/>
          <w:bCs/>
          <w:sz w:val="24"/>
          <w:szCs w:val="24"/>
        </w:rPr>
      </w:pPr>
    </w:p>
    <w:p w14:paraId="6EC3C08C" w14:textId="77777777" w:rsidR="004D358A" w:rsidRDefault="004D358A" w:rsidP="00F56E62">
      <w:pPr>
        <w:overflowPunct/>
        <w:autoSpaceDE/>
        <w:autoSpaceDN/>
        <w:adjustRightInd/>
        <w:jc w:val="both"/>
        <w:textAlignment w:val="auto"/>
        <w:rPr>
          <w:b/>
          <w:bCs/>
          <w:sz w:val="24"/>
          <w:szCs w:val="24"/>
        </w:rPr>
      </w:pPr>
    </w:p>
    <w:p w14:paraId="24D9274B" w14:textId="77777777" w:rsidR="00AB04E5" w:rsidRDefault="00AB04E5" w:rsidP="00F56E62">
      <w:pPr>
        <w:overflowPunct/>
        <w:autoSpaceDE/>
        <w:autoSpaceDN/>
        <w:adjustRightInd/>
        <w:jc w:val="both"/>
        <w:textAlignment w:val="auto"/>
        <w:rPr>
          <w:b/>
          <w:bCs/>
          <w:sz w:val="24"/>
          <w:szCs w:val="24"/>
        </w:rPr>
      </w:pPr>
    </w:p>
    <w:p w14:paraId="5CAAF883" w14:textId="77777777" w:rsidR="00AB04E5" w:rsidRDefault="00AB04E5" w:rsidP="00F56E62">
      <w:pPr>
        <w:overflowPunct/>
        <w:autoSpaceDE/>
        <w:autoSpaceDN/>
        <w:adjustRightInd/>
        <w:jc w:val="both"/>
        <w:textAlignment w:val="auto"/>
        <w:rPr>
          <w:b/>
          <w:bCs/>
          <w:sz w:val="24"/>
          <w:szCs w:val="24"/>
        </w:rPr>
      </w:pPr>
    </w:p>
    <w:p w14:paraId="4D132287" w14:textId="77777777" w:rsidR="00AB04E5" w:rsidRDefault="00AB04E5" w:rsidP="00F56E62">
      <w:pPr>
        <w:overflowPunct/>
        <w:autoSpaceDE/>
        <w:autoSpaceDN/>
        <w:adjustRightInd/>
        <w:jc w:val="both"/>
        <w:textAlignment w:val="auto"/>
        <w:rPr>
          <w:b/>
          <w:bCs/>
          <w:sz w:val="24"/>
          <w:szCs w:val="24"/>
        </w:rPr>
      </w:pPr>
    </w:p>
    <w:p w14:paraId="60FFE922" w14:textId="77777777" w:rsidR="00AB04E5" w:rsidRDefault="00AB04E5" w:rsidP="00F56E62">
      <w:pPr>
        <w:overflowPunct/>
        <w:autoSpaceDE/>
        <w:autoSpaceDN/>
        <w:adjustRightInd/>
        <w:jc w:val="both"/>
        <w:textAlignment w:val="auto"/>
        <w:rPr>
          <w:b/>
          <w:bCs/>
          <w:sz w:val="24"/>
          <w:szCs w:val="24"/>
        </w:rPr>
      </w:pPr>
    </w:p>
    <w:p w14:paraId="0DF5D0BF" w14:textId="77777777" w:rsidR="00AB04E5" w:rsidRDefault="00AB04E5" w:rsidP="00F56E62">
      <w:pPr>
        <w:overflowPunct/>
        <w:autoSpaceDE/>
        <w:autoSpaceDN/>
        <w:adjustRightInd/>
        <w:jc w:val="both"/>
        <w:textAlignment w:val="auto"/>
        <w:rPr>
          <w:b/>
          <w:bCs/>
          <w:sz w:val="24"/>
          <w:szCs w:val="24"/>
        </w:rPr>
      </w:pPr>
    </w:p>
    <w:p w14:paraId="3C09C8AA" w14:textId="77777777" w:rsidR="00AB04E5" w:rsidRDefault="00AB04E5" w:rsidP="00F56E62">
      <w:pPr>
        <w:overflowPunct/>
        <w:autoSpaceDE/>
        <w:autoSpaceDN/>
        <w:adjustRightInd/>
        <w:jc w:val="both"/>
        <w:textAlignment w:val="auto"/>
        <w:rPr>
          <w:b/>
          <w:bCs/>
          <w:sz w:val="24"/>
          <w:szCs w:val="24"/>
        </w:rPr>
      </w:pPr>
    </w:p>
    <w:p w14:paraId="3C3973F2" w14:textId="77777777" w:rsidR="00AB04E5" w:rsidRDefault="00AB04E5" w:rsidP="00F56E62">
      <w:pPr>
        <w:overflowPunct/>
        <w:autoSpaceDE/>
        <w:autoSpaceDN/>
        <w:adjustRightInd/>
        <w:jc w:val="both"/>
        <w:textAlignment w:val="auto"/>
        <w:rPr>
          <w:b/>
          <w:bCs/>
          <w:sz w:val="24"/>
          <w:szCs w:val="24"/>
        </w:rPr>
      </w:pPr>
    </w:p>
    <w:p w14:paraId="44ADE4AB" w14:textId="77777777" w:rsidR="00AB04E5" w:rsidRDefault="00AB04E5" w:rsidP="00F56E62">
      <w:pPr>
        <w:overflowPunct/>
        <w:autoSpaceDE/>
        <w:autoSpaceDN/>
        <w:adjustRightInd/>
        <w:jc w:val="both"/>
        <w:textAlignment w:val="auto"/>
        <w:rPr>
          <w:b/>
          <w:bCs/>
          <w:sz w:val="24"/>
          <w:szCs w:val="24"/>
        </w:rPr>
      </w:pPr>
    </w:p>
    <w:p w14:paraId="161AD4C6" w14:textId="77777777" w:rsidR="00AB04E5" w:rsidRDefault="00AB04E5" w:rsidP="00F56E62">
      <w:pPr>
        <w:overflowPunct/>
        <w:autoSpaceDE/>
        <w:autoSpaceDN/>
        <w:adjustRightInd/>
        <w:jc w:val="both"/>
        <w:textAlignment w:val="auto"/>
        <w:rPr>
          <w:b/>
          <w:bCs/>
          <w:sz w:val="24"/>
          <w:szCs w:val="24"/>
        </w:rPr>
      </w:pPr>
    </w:p>
    <w:p w14:paraId="18074BC7" w14:textId="77777777" w:rsidR="00AB04E5" w:rsidRDefault="00AB04E5" w:rsidP="00F56E62">
      <w:pPr>
        <w:overflowPunct/>
        <w:autoSpaceDE/>
        <w:autoSpaceDN/>
        <w:adjustRightInd/>
        <w:jc w:val="both"/>
        <w:textAlignment w:val="auto"/>
        <w:rPr>
          <w:b/>
          <w:bCs/>
          <w:sz w:val="24"/>
          <w:szCs w:val="24"/>
        </w:rPr>
      </w:pPr>
    </w:p>
    <w:p w14:paraId="7EC127BE" w14:textId="77777777" w:rsidR="00AB04E5" w:rsidRDefault="00AB04E5" w:rsidP="00F56E62">
      <w:pPr>
        <w:overflowPunct/>
        <w:autoSpaceDE/>
        <w:autoSpaceDN/>
        <w:adjustRightInd/>
        <w:jc w:val="both"/>
        <w:textAlignment w:val="auto"/>
        <w:rPr>
          <w:b/>
          <w:bCs/>
          <w:sz w:val="24"/>
          <w:szCs w:val="24"/>
        </w:rPr>
      </w:pPr>
    </w:p>
    <w:p w14:paraId="5A1350DE" w14:textId="77777777" w:rsidR="00AB04E5" w:rsidRDefault="00AB04E5" w:rsidP="00F56E62">
      <w:pPr>
        <w:overflowPunct/>
        <w:autoSpaceDE/>
        <w:autoSpaceDN/>
        <w:adjustRightInd/>
        <w:jc w:val="both"/>
        <w:textAlignment w:val="auto"/>
        <w:rPr>
          <w:b/>
          <w:bCs/>
          <w:sz w:val="24"/>
          <w:szCs w:val="24"/>
        </w:rPr>
      </w:pPr>
    </w:p>
    <w:p w14:paraId="7FDE93F3" w14:textId="77777777" w:rsidR="00AB04E5" w:rsidRDefault="00AB04E5" w:rsidP="00F56E62">
      <w:pPr>
        <w:overflowPunct/>
        <w:autoSpaceDE/>
        <w:autoSpaceDN/>
        <w:adjustRightInd/>
        <w:jc w:val="both"/>
        <w:textAlignment w:val="auto"/>
        <w:rPr>
          <w:b/>
          <w:bCs/>
          <w:sz w:val="24"/>
          <w:szCs w:val="24"/>
        </w:rPr>
      </w:pPr>
    </w:p>
    <w:p w14:paraId="33C173EB" w14:textId="77777777" w:rsidR="00AB04E5" w:rsidRDefault="00AB04E5" w:rsidP="00F56E62">
      <w:pPr>
        <w:overflowPunct/>
        <w:autoSpaceDE/>
        <w:autoSpaceDN/>
        <w:adjustRightInd/>
        <w:jc w:val="both"/>
        <w:textAlignment w:val="auto"/>
        <w:rPr>
          <w:b/>
          <w:bCs/>
          <w:sz w:val="24"/>
          <w:szCs w:val="24"/>
        </w:rPr>
      </w:pPr>
    </w:p>
    <w:p w14:paraId="5B943290" w14:textId="77777777" w:rsidR="00AB04E5" w:rsidRDefault="00AB04E5" w:rsidP="00F56E62">
      <w:pPr>
        <w:overflowPunct/>
        <w:autoSpaceDE/>
        <w:autoSpaceDN/>
        <w:adjustRightInd/>
        <w:jc w:val="both"/>
        <w:textAlignment w:val="auto"/>
        <w:rPr>
          <w:b/>
          <w:bCs/>
          <w:sz w:val="24"/>
          <w:szCs w:val="24"/>
        </w:rPr>
      </w:pPr>
    </w:p>
    <w:p w14:paraId="358E3822" w14:textId="77777777" w:rsidR="00AB04E5" w:rsidRDefault="00AB04E5" w:rsidP="00F56E62">
      <w:pPr>
        <w:overflowPunct/>
        <w:autoSpaceDE/>
        <w:autoSpaceDN/>
        <w:adjustRightInd/>
        <w:jc w:val="both"/>
        <w:textAlignment w:val="auto"/>
        <w:rPr>
          <w:b/>
          <w:bCs/>
          <w:sz w:val="24"/>
          <w:szCs w:val="24"/>
        </w:rPr>
      </w:pPr>
    </w:p>
    <w:p w14:paraId="10094DEC" w14:textId="77777777" w:rsidR="004D358A" w:rsidRDefault="004D358A" w:rsidP="5CE196A1">
      <w:pPr>
        <w:pStyle w:val="paragraph"/>
        <w:spacing w:before="0" w:beforeAutospacing="0" w:after="0" w:afterAutospacing="0"/>
        <w:rPr>
          <w:b/>
          <w:bCs/>
        </w:rPr>
      </w:pPr>
    </w:p>
    <w:p w14:paraId="0745BF23" w14:textId="77777777" w:rsidR="004D358A" w:rsidRDefault="004D358A" w:rsidP="5CE196A1">
      <w:pPr>
        <w:pStyle w:val="paragraph"/>
        <w:spacing w:before="0" w:beforeAutospacing="0" w:after="0" w:afterAutospacing="0"/>
        <w:rPr>
          <w:b/>
          <w:bCs/>
        </w:rPr>
      </w:pPr>
    </w:p>
    <w:p w14:paraId="4EAA11B7" w14:textId="77777777" w:rsidR="004D358A" w:rsidRDefault="004D358A" w:rsidP="5CE196A1">
      <w:pPr>
        <w:pStyle w:val="paragraph"/>
        <w:spacing w:before="0" w:beforeAutospacing="0" w:after="0" w:afterAutospacing="0"/>
        <w:rPr>
          <w:b/>
          <w:bCs/>
        </w:rPr>
      </w:pPr>
    </w:p>
    <w:p w14:paraId="7438A233" w14:textId="77777777" w:rsidR="004D358A" w:rsidRDefault="004D358A" w:rsidP="5CE196A1">
      <w:pPr>
        <w:pStyle w:val="paragraph"/>
        <w:spacing w:before="0" w:beforeAutospacing="0" w:after="0" w:afterAutospacing="0"/>
        <w:rPr>
          <w:b/>
          <w:bCs/>
        </w:rPr>
      </w:pPr>
    </w:p>
    <w:p w14:paraId="6EC42CAE" w14:textId="77777777" w:rsidR="004D358A" w:rsidRDefault="004D358A" w:rsidP="5CE196A1">
      <w:pPr>
        <w:pStyle w:val="paragraph"/>
        <w:spacing w:before="0" w:beforeAutospacing="0" w:after="0" w:afterAutospacing="0"/>
        <w:rPr>
          <w:b/>
          <w:bCs/>
        </w:rPr>
      </w:pPr>
    </w:p>
    <w:p w14:paraId="6383DFC5" w14:textId="77777777" w:rsidR="004D358A" w:rsidRDefault="004D358A" w:rsidP="5CE196A1">
      <w:pPr>
        <w:pStyle w:val="paragraph"/>
        <w:spacing w:before="0" w:beforeAutospacing="0" w:after="0" w:afterAutospacing="0"/>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170F1FE6" w14:textId="77777777" w:rsidR="0061690D" w:rsidRDefault="0061690D" w:rsidP="5B843AF0">
      <w:pPr>
        <w:ind w:right="237"/>
        <w:jc w:val="center"/>
        <w:rPr>
          <w:b/>
          <w:bCs/>
          <w:sz w:val="24"/>
          <w:szCs w:val="24"/>
        </w:rPr>
      </w:pPr>
    </w:p>
    <w:p w14:paraId="6B0989EF" w14:textId="4EB1D397"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63CA7E41" w14:textId="77777777" w:rsidR="0061690D" w:rsidRDefault="0061690D" w:rsidP="5CE196A1">
      <w:pPr>
        <w:ind w:right="237"/>
        <w:jc w:val="center"/>
        <w:rPr>
          <w:b/>
          <w:bCs/>
          <w:color w:val="000000" w:themeColor="text1"/>
          <w:sz w:val="28"/>
          <w:szCs w:val="28"/>
          <w:u w:val="single"/>
        </w:rPr>
      </w:pPr>
    </w:p>
    <w:p w14:paraId="2A693E2A" w14:textId="77777777" w:rsidR="0061690D" w:rsidRDefault="0061690D" w:rsidP="5CE196A1">
      <w:pPr>
        <w:ind w:right="237"/>
        <w:jc w:val="center"/>
        <w:rPr>
          <w:b/>
          <w:bCs/>
          <w:color w:val="000000" w:themeColor="text1"/>
          <w:sz w:val="28"/>
          <w:szCs w:val="28"/>
          <w:u w:val="single"/>
        </w:rPr>
      </w:pPr>
    </w:p>
    <w:p w14:paraId="0735EEED" w14:textId="77777777" w:rsidR="0061690D" w:rsidRDefault="0061690D" w:rsidP="5CE196A1">
      <w:pPr>
        <w:ind w:right="237"/>
        <w:jc w:val="center"/>
        <w:rPr>
          <w:b/>
          <w:bCs/>
          <w:color w:val="000000" w:themeColor="text1"/>
          <w:sz w:val="28"/>
          <w:szCs w:val="28"/>
          <w:u w:val="single"/>
        </w:rPr>
      </w:pPr>
    </w:p>
    <w:p w14:paraId="2F299A39" w14:textId="77777777" w:rsidR="0061690D" w:rsidRDefault="0061690D" w:rsidP="5CE196A1">
      <w:pPr>
        <w:ind w:right="237"/>
        <w:jc w:val="center"/>
        <w:rPr>
          <w:b/>
          <w:bCs/>
          <w:color w:val="000000" w:themeColor="text1"/>
          <w:sz w:val="28"/>
          <w:szCs w:val="28"/>
          <w:u w:val="single"/>
        </w:rPr>
      </w:pPr>
    </w:p>
    <w:p w14:paraId="41B3BAB2" w14:textId="77777777" w:rsidR="0061690D" w:rsidRDefault="0061690D" w:rsidP="5CE196A1">
      <w:pPr>
        <w:ind w:right="237"/>
        <w:jc w:val="center"/>
        <w:rPr>
          <w:b/>
          <w:bCs/>
          <w:color w:val="000000" w:themeColor="text1"/>
          <w:sz w:val="28"/>
          <w:szCs w:val="28"/>
          <w:u w:val="single"/>
        </w:rPr>
      </w:pPr>
    </w:p>
    <w:p w14:paraId="653322FD" w14:textId="77777777" w:rsidR="0061690D" w:rsidRDefault="0061690D" w:rsidP="5CE196A1">
      <w:pPr>
        <w:ind w:right="237"/>
        <w:jc w:val="center"/>
        <w:rPr>
          <w:b/>
          <w:bCs/>
          <w:color w:val="000000" w:themeColor="text1"/>
          <w:sz w:val="28"/>
          <w:szCs w:val="28"/>
          <w:u w:val="single"/>
        </w:rPr>
      </w:pPr>
    </w:p>
    <w:p w14:paraId="196A3950" w14:textId="77777777" w:rsidR="0061690D" w:rsidRDefault="0061690D" w:rsidP="5CE196A1">
      <w:pPr>
        <w:ind w:right="237"/>
        <w:jc w:val="center"/>
        <w:rPr>
          <w:b/>
          <w:bCs/>
          <w:color w:val="000000" w:themeColor="text1"/>
          <w:sz w:val="28"/>
          <w:szCs w:val="28"/>
          <w:u w:val="single"/>
        </w:rPr>
      </w:pPr>
    </w:p>
    <w:p w14:paraId="052DEB60" w14:textId="77777777" w:rsidR="0061690D" w:rsidRDefault="0061690D" w:rsidP="5CE196A1">
      <w:pPr>
        <w:ind w:right="237"/>
        <w:jc w:val="center"/>
        <w:rPr>
          <w:b/>
          <w:bCs/>
          <w:color w:val="000000" w:themeColor="text1"/>
          <w:sz w:val="28"/>
          <w:szCs w:val="28"/>
          <w:u w:val="single"/>
        </w:rPr>
      </w:pPr>
    </w:p>
    <w:p w14:paraId="487F2FD0" w14:textId="77777777" w:rsidR="0061690D" w:rsidRDefault="0061690D" w:rsidP="5CE196A1">
      <w:pPr>
        <w:ind w:right="237"/>
        <w:jc w:val="center"/>
        <w:rPr>
          <w:b/>
          <w:bCs/>
          <w:color w:val="000000" w:themeColor="text1"/>
          <w:sz w:val="28"/>
          <w:szCs w:val="28"/>
          <w:u w:val="single"/>
        </w:rPr>
      </w:pPr>
    </w:p>
    <w:p w14:paraId="641F47D5" w14:textId="77777777" w:rsidR="0061690D" w:rsidRDefault="0061690D" w:rsidP="5CE196A1">
      <w:pPr>
        <w:ind w:right="237"/>
        <w:jc w:val="center"/>
        <w:rPr>
          <w:b/>
          <w:bCs/>
          <w:color w:val="000000" w:themeColor="text1"/>
          <w:sz w:val="28"/>
          <w:szCs w:val="28"/>
          <w:u w:val="single"/>
        </w:rPr>
      </w:pPr>
    </w:p>
    <w:p w14:paraId="4DE9767F" w14:textId="77777777" w:rsidR="0061690D" w:rsidRDefault="0061690D" w:rsidP="5CE196A1">
      <w:pPr>
        <w:ind w:right="237"/>
        <w:jc w:val="center"/>
        <w:rPr>
          <w:b/>
          <w:bCs/>
          <w:color w:val="000000" w:themeColor="text1"/>
          <w:sz w:val="28"/>
          <w:szCs w:val="28"/>
          <w:u w:val="single"/>
        </w:rPr>
      </w:pPr>
    </w:p>
    <w:p w14:paraId="44286507" w14:textId="77777777" w:rsidR="0061690D" w:rsidRDefault="0061690D" w:rsidP="5CE196A1">
      <w:pPr>
        <w:ind w:right="237"/>
        <w:jc w:val="center"/>
        <w:rPr>
          <w:b/>
          <w:bCs/>
          <w:color w:val="000000" w:themeColor="text1"/>
          <w:sz w:val="28"/>
          <w:szCs w:val="28"/>
          <w:u w:val="single"/>
        </w:rPr>
      </w:pPr>
    </w:p>
    <w:p w14:paraId="2E60F59F" w14:textId="77777777" w:rsidR="0061690D" w:rsidRDefault="0061690D" w:rsidP="5CE196A1">
      <w:pPr>
        <w:ind w:right="237"/>
        <w:jc w:val="center"/>
        <w:rPr>
          <w:b/>
          <w:bCs/>
          <w:color w:val="000000" w:themeColor="text1"/>
          <w:sz w:val="28"/>
          <w:szCs w:val="28"/>
          <w:u w:val="single"/>
        </w:rPr>
      </w:pPr>
    </w:p>
    <w:p w14:paraId="336558C6" w14:textId="77777777" w:rsidR="0061690D" w:rsidRDefault="0061690D" w:rsidP="5CE196A1">
      <w:pPr>
        <w:ind w:right="237"/>
        <w:jc w:val="center"/>
        <w:rPr>
          <w:b/>
          <w:bCs/>
          <w:color w:val="000000" w:themeColor="text1"/>
          <w:sz w:val="28"/>
          <w:szCs w:val="28"/>
          <w:u w:val="single"/>
        </w:rPr>
      </w:pPr>
    </w:p>
    <w:p w14:paraId="1BBCD912" w14:textId="77777777" w:rsidR="0061690D" w:rsidRDefault="0061690D" w:rsidP="5CE196A1">
      <w:pPr>
        <w:ind w:right="237"/>
        <w:jc w:val="center"/>
        <w:rPr>
          <w:b/>
          <w:bCs/>
          <w:color w:val="000000" w:themeColor="text1"/>
          <w:sz w:val="28"/>
          <w:szCs w:val="28"/>
          <w:u w:val="single"/>
        </w:rPr>
      </w:pPr>
    </w:p>
    <w:p w14:paraId="56CB7184" w14:textId="77777777" w:rsidR="0061690D" w:rsidRDefault="0061690D" w:rsidP="5CE196A1">
      <w:pPr>
        <w:ind w:right="237"/>
        <w:jc w:val="center"/>
        <w:rPr>
          <w:b/>
          <w:bCs/>
          <w:color w:val="000000" w:themeColor="text1"/>
          <w:sz w:val="28"/>
          <w:szCs w:val="28"/>
          <w:u w:val="single"/>
        </w:rPr>
      </w:pPr>
    </w:p>
    <w:p w14:paraId="768FE258" w14:textId="77777777" w:rsidR="0061690D" w:rsidRDefault="0061690D" w:rsidP="5CE196A1">
      <w:pPr>
        <w:ind w:right="237"/>
        <w:jc w:val="center"/>
        <w:rPr>
          <w:b/>
          <w:bCs/>
          <w:color w:val="000000" w:themeColor="text1"/>
          <w:sz w:val="28"/>
          <w:szCs w:val="28"/>
          <w:u w:val="single"/>
        </w:rPr>
      </w:pPr>
    </w:p>
    <w:p w14:paraId="446F9868" w14:textId="77777777" w:rsidR="0061690D" w:rsidRDefault="0061690D" w:rsidP="5CE196A1">
      <w:pPr>
        <w:ind w:right="237"/>
        <w:jc w:val="center"/>
        <w:rPr>
          <w:b/>
          <w:bCs/>
          <w:color w:val="000000" w:themeColor="text1"/>
          <w:sz w:val="28"/>
          <w:szCs w:val="28"/>
          <w:u w:val="single"/>
        </w:rPr>
      </w:pPr>
    </w:p>
    <w:p w14:paraId="320BC47B" w14:textId="77777777" w:rsidR="0061690D" w:rsidRDefault="0061690D" w:rsidP="5CE196A1">
      <w:pPr>
        <w:ind w:right="237"/>
        <w:jc w:val="center"/>
        <w:rPr>
          <w:b/>
          <w:bCs/>
          <w:color w:val="000000" w:themeColor="text1"/>
          <w:sz w:val="28"/>
          <w:szCs w:val="28"/>
          <w:u w:val="single"/>
        </w:rPr>
      </w:pPr>
    </w:p>
    <w:p w14:paraId="4F0B2A47" w14:textId="77777777" w:rsidR="0061690D" w:rsidRDefault="0061690D" w:rsidP="5CE196A1">
      <w:pPr>
        <w:ind w:right="237"/>
        <w:jc w:val="center"/>
        <w:rPr>
          <w:b/>
          <w:bCs/>
          <w:color w:val="000000" w:themeColor="text1"/>
          <w:sz w:val="28"/>
          <w:szCs w:val="28"/>
          <w:u w:val="single"/>
        </w:rPr>
      </w:pPr>
    </w:p>
    <w:p w14:paraId="123564B5" w14:textId="77777777" w:rsidR="0061690D" w:rsidRDefault="0061690D" w:rsidP="5CE196A1">
      <w:pPr>
        <w:ind w:right="237"/>
        <w:jc w:val="center"/>
        <w:rPr>
          <w:b/>
          <w:bCs/>
          <w:color w:val="000000" w:themeColor="text1"/>
          <w:sz w:val="28"/>
          <w:szCs w:val="28"/>
          <w:u w:val="single"/>
        </w:rPr>
      </w:pPr>
    </w:p>
    <w:p w14:paraId="382B2B3D" w14:textId="77777777" w:rsidR="0061690D" w:rsidRDefault="0061690D" w:rsidP="5CE196A1">
      <w:pPr>
        <w:ind w:right="237"/>
        <w:jc w:val="center"/>
        <w:rPr>
          <w:b/>
          <w:bCs/>
          <w:color w:val="000000" w:themeColor="text1"/>
          <w:sz w:val="28"/>
          <w:szCs w:val="28"/>
          <w:u w:val="single"/>
        </w:rPr>
      </w:pPr>
    </w:p>
    <w:p w14:paraId="43A117D4" w14:textId="77777777" w:rsidR="0061690D" w:rsidRDefault="0061690D" w:rsidP="5CE196A1">
      <w:pPr>
        <w:ind w:right="237"/>
        <w:jc w:val="center"/>
        <w:rPr>
          <w:b/>
          <w:bCs/>
          <w:color w:val="000000" w:themeColor="text1"/>
          <w:sz w:val="28"/>
          <w:szCs w:val="28"/>
          <w:u w:val="single"/>
        </w:rPr>
      </w:pPr>
    </w:p>
    <w:p w14:paraId="48253110" w14:textId="77777777" w:rsidR="0061690D" w:rsidRDefault="0061690D" w:rsidP="5CE196A1">
      <w:pPr>
        <w:ind w:right="237"/>
        <w:jc w:val="center"/>
        <w:rPr>
          <w:b/>
          <w:bCs/>
          <w:color w:val="000000" w:themeColor="text1"/>
          <w:sz w:val="28"/>
          <w:szCs w:val="28"/>
          <w:u w:val="single"/>
        </w:rPr>
      </w:pPr>
    </w:p>
    <w:p w14:paraId="5A310DF2" w14:textId="77777777" w:rsidR="0061690D" w:rsidRDefault="0061690D" w:rsidP="5CE196A1">
      <w:pPr>
        <w:ind w:right="237"/>
        <w:jc w:val="center"/>
        <w:rPr>
          <w:b/>
          <w:bCs/>
          <w:color w:val="000000" w:themeColor="text1"/>
          <w:sz w:val="28"/>
          <w:szCs w:val="28"/>
          <w:u w:val="single"/>
        </w:rPr>
      </w:pPr>
    </w:p>
    <w:p w14:paraId="01E6EAB8" w14:textId="77777777" w:rsidR="0061690D" w:rsidRDefault="0061690D" w:rsidP="5CE196A1">
      <w:pPr>
        <w:ind w:right="237"/>
        <w:jc w:val="center"/>
        <w:rPr>
          <w:b/>
          <w:bCs/>
          <w:color w:val="000000" w:themeColor="text1"/>
          <w:sz w:val="28"/>
          <w:szCs w:val="28"/>
          <w:u w:val="single"/>
        </w:rPr>
      </w:pPr>
    </w:p>
    <w:p w14:paraId="01149024" w14:textId="77777777" w:rsidR="0061690D" w:rsidRDefault="0061690D" w:rsidP="5CE196A1">
      <w:pPr>
        <w:ind w:right="237"/>
        <w:jc w:val="center"/>
        <w:rPr>
          <w:b/>
          <w:bCs/>
          <w:color w:val="000000" w:themeColor="text1"/>
          <w:sz w:val="28"/>
          <w:szCs w:val="28"/>
          <w:u w:val="single"/>
        </w:rPr>
      </w:pPr>
    </w:p>
    <w:p w14:paraId="3C996846" w14:textId="12C740FB"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53DFBC98" w14:textId="248D6171" w:rsidR="0FF883D4" w:rsidRPr="000B5127" w:rsidRDefault="5CE196A1" w:rsidP="0FF883D4">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EDFEEF6" w:rsidR="0FF883D4" w:rsidRDefault="0FF883D4" w:rsidP="5CE196A1">
      <w:pPr>
        <w:jc w:val="both"/>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01F9B7BD" w14:textId="51C9EE7C" w:rsidR="00710D69" w:rsidRPr="00E676F7" w:rsidRDefault="4EFC67B6" w:rsidP="00A35112">
            <w:pPr>
              <w:ind w:right="237"/>
              <w:jc w:val="both"/>
              <w:rPr>
                <w:sz w:val="24"/>
                <w:szCs w:val="24"/>
              </w:rPr>
            </w:pPr>
            <w:r w:rsidRPr="5CE196A1">
              <w:rPr>
                <w:color w:val="000000" w:themeColor="text1"/>
                <w:sz w:val="24"/>
                <w:szCs w:val="24"/>
              </w:rPr>
              <w:t xml:space="preserve"> </w:t>
            </w:r>
            <w:r w:rsidR="647BB2AB"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647BB2AB"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685D8D8D" w14:textId="06BCE19B" w:rsidR="009573B7" w:rsidRDefault="00D12CAC" w:rsidP="0FF883D4">
      <w:pPr>
        <w:ind w:right="237"/>
        <w:jc w:val="both"/>
        <w:rPr>
          <w:color w:val="000000" w:themeColor="text1"/>
          <w:sz w:val="24"/>
          <w:szCs w:val="24"/>
        </w:rPr>
      </w:pPr>
      <w:r>
        <w:rPr>
          <w:color w:val="000000" w:themeColor="text1"/>
          <w:sz w:val="24"/>
          <w:szCs w:val="24"/>
        </w:rPr>
        <w:t xml:space="preserve">Domestic Abuse remains a widespread issue nationally and globally, affecting individuals irrespective of age, gender, or socio-economic status (Walby et al., 2016) This essay critically assesses the challenges associated with a domestic abuse incident between a recently separated couple. The female had placed the male’s belongings in a cardboard box and left them out in the street for the male to find. </w:t>
      </w:r>
      <w:r w:rsidR="0067054F">
        <w:rPr>
          <w:color w:val="000000" w:themeColor="text1"/>
          <w:sz w:val="24"/>
          <w:szCs w:val="24"/>
        </w:rPr>
        <w:t xml:space="preserve">This caused the male to become enraged. While collecting his belongings from his former partner’s residence, he became verbally abusive towards her and threw what the female describes as a </w:t>
      </w:r>
      <w:proofErr w:type="spellStart"/>
      <w:r w:rsidR="0067054F">
        <w:rPr>
          <w:color w:val="000000" w:themeColor="text1"/>
          <w:sz w:val="24"/>
          <w:szCs w:val="24"/>
        </w:rPr>
        <w:t>china</w:t>
      </w:r>
      <w:proofErr w:type="spellEnd"/>
      <w:r w:rsidR="0067054F">
        <w:rPr>
          <w:color w:val="000000" w:themeColor="text1"/>
          <w:sz w:val="24"/>
          <w:szCs w:val="24"/>
        </w:rPr>
        <w:t xml:space="preserve"> cup at her, striking her on the side of her head. The female has accused the male of ongoing domestic abuse and gave a statement to officers about this incident. This unpleasant incident was witnessed by their 13year old daughter, who provided her statement through a video interview conducted by specially trained officers. This essay will also highlight the strategies developed for effective policing in such challenging situation, drawing on relevant literature.</w:t>
      </w:r>
    </w:p>
    <w:p w14:paraId="6A2877A9" w14:textId="77777777" w:rsidR="0067054F" w:rsidRDefault="0067054F" w:rsidP="0FF883D4">
      <w:pPr>
        <w:ind w:right="237"/>
        <w:jc w:val="both"/>
        <w:rPr>
          <w:color w:val="000000" w:themeColor="text1"/>
          <w:sz w:val="24"/>
          <w:szCs w:val="24"/>
        </w:rPr>
      </w:pPr>
    </w:p>
    <w:p w14:paraId="285913E8" w14:textId="0562A9BD" w:rsidR="0067054F" w:rsidRDefault="0067054F" w:rsidP="0FF883D4">
      <w:pPr>
        <w:ind w:right="237"/>
        <w:jc w:val="both"/>
        <w:rPr>
          <w:color w:val="000000" w:themeColor="text1"/>
          <w:sz w:val="24"/>
          <w:szCs w:val="24"/>
        </w:rPr>
      </w:pPr>
      <w:r>
        <w:rPr>
          <w:color w:val="000000" w:themeColor="text1"/>
          <w:sz w:val="24"/>
          <w:szCs w:val="24"/>
        </w:rPr>
        <w:t xml:space="preserve">The incident in question involves physical violence, a common aspect of domestic abuse. The male’s actions of throwing a </w:t>
      </w:r>
      <w:proofErr w:type="spellStart"/>
      <w:r>
        <w:rPr>
          <w:color w:val="000000" w:themeColor="text1"/>
          <w:sz w:val="24"/>
          <w:szCs w:val="24"/>
        </w:rPr>
        <w:t>china</w:t>
      </w:r>
      <w:proofErr w:type="spellEnd"/>
      <w:r>
        <w:rPr>
          <w:color w:val="000000" w:themeColor="text1"/>
          <w:sz w:val="24"/>
          <w:szCs w:val="24"/>
        </w:rPr>
        <w:t xml:space="preserve"> cup at the female and injuring her represent a form of physical aggression that can have severe physical and psychological impacts on the victim. According to the World Health Organisation (2021), physical violence in domestic settings can lead to injuries, long term health problems, and even death. The victim in this case</w:t>
      </w:r>
      <w:r w:rsidR="00EA6381">
        <w:rPr>
          <w:color w:val="000000" w:themeColor="text1"/>
          <w:sz w:val="24"/>
          <w:szCs w:val="24"/>
        </w:rPr>
        <w:t xml:space="preserve"> sustained an injury to her ear, which could have lasting consequences both physically and emotionally and could have been much worse if the cup had struck her a couple of inches towards her face. The psychological trauma inflicted on the victim in this scenario cannot be understated. Victims of domestic violence often suffer from anxiety, depression, post-traumatic stress disorder (PTSD), and other mental health issues. The National Domestic Violence Hotline (2023) states that the emotional and psychological scars of domestic abuse can be more enduring than physical injuries. The act of violence </w:t>
      </w:r>
      <w:r w:rsidR="00EA6381">
        <w:rPr>
          <w:color w:val="000000" w:themeColor="text1"/>
          <w:sz w:val="24"/>
          <w:szCs w:val="24"/>
        </w:rPr>
        <w:lastRenderedPageBreak/>
        <w:t>not only causes immediate physical pain but also reinforces a cycle of fear and intimidation, which can have long-term psychological effects. The presence of the couple’s 13year old daughter during the incident adds another layer of complexity to the situation.</w:t>
      </w:r>
      <w:r w:rsidR="00F314BC">
        <w:rPr>
          <w:color w:val="000000" w:themeColor="text1"/>
          <w:sz w:val="24"/>
          <w:szCs w:val="24"/>
        </w:rPr>
        <w:t xml:space="preserve"> Children who witness domestic violence are at a higher risk of experiencing emotional and behavioural problems. According to a study by Holt, Buckley and Whelan (2008), children exposed to domestic violence can exhibit symptoms of trauma, anxiety, depression, and difficulties in school. Witnessing violence by a parent can also affect their perception of relationships and conflict resolution in the future. </w:t>
      </w:r>
    </w:p>
    <w:p w14:paraId="3655A3B1" w14:textId="77777777" w:rsidR="00F314BC" w:rsidRDefault="00F314BC" w:rsidP="0FF883D4">
      <w:pPr>
        <w:ind w:right="237"/>
        <w:jc w:val="both"/>
        <w:rPr>
          <w:color w:val="000000" w:themeColor="text1"/>
          <w:sz w:val="24"/>
          <w:szCs w:val="24"/>
        </w:rPr>
      </w:pPr>
    </w:p>
    <w:p w14:paraId="45B4ACD3" w14:textId="77777777" w:rsidR="00763AE9" w:rsidRDefault="00F314BC" w:rsidP="0FF883D4">
      <w:pPr>
        <w:ind w:right="237"/>
        <w:jc w:val="both"/>
        <w:rPr>
          <w:color w:val="000000" w:themeColor="text1"/>
          <w:sz w:val="24"/>
          <w:szCs w:val="24"/>
        </w:rPr>
      </w:pPr>
      <w:r>
        <w:rPr>
          <w:color w:val="000000" w:themeColor="text1"/>
          <w:sz w:val="24"/>
          <w:szCs w:val="24"/>
        </w:rPr>
        <w:t xml:space="preserve">Following the disclosure made by the female on a police officer’s body worn camera, the male was promptly arrested. Body worn cameras are instrumental in capturing real-time evidence and statements during domestic abuse incidents. In this instance, the victim’s immediate account of the event was crucial in establishing a timeline and contact for the assault. </w:t>
      </w:r>
      <w:r w:rsidR="00763AE9">
        <w:rPr>
          <w:color w:val="000000" w:themeColor="text1"/>
          <w:sz w:val="24"/>
          <w:szCs w:val="24"/>
        </w:rPr>
        <w:t xml:space="preserve">The footage provided a clear and unbiased record and allowed police to take positive action. Ellis et al. (2015) states “The use of body-worn cameras in domestic violence cases can enhance evidence quality, reduce the incidence of retraction by victims, and improve prosecution rates.” During the interview, the male denied the accusation, claiming that is was the female who had assaulted him. This type of counter accusation is not uncommon in domestic abuse cases, as perpetrators often attempt to shift blame and discredit the victim’s account. Such claims necessitate a thorough and impartial investigation to determine the veracity of the statements made by both parties. The police must carefully analyse all available evidence, including physical injuries, witness testimonies, and any previous history of abuse, to discern the truth. </w:t>
      </w:r>
    </w:p>
    <w:p w14:paraId="05A95A8E" w14:textId="77777777" w:rsidR="00763AE9" w:rsidRDefault="00763AE9" w:rsidP="0FF883D4">
      <w:pPr>
        <w:ind w:right="237"/>
        <w:jc w:val="both"/>
        <w:rPr>
          <w:color w:val="000000" w:themeColor="text1"/>
          <w:sz w:val="24"/>
          <w:szCs w:val="24"/>
        </w:rPr>
      </w:pPr>
    </w:p>
    <w:p w14:paraId="4F5C7B73" w14:textId="780221CE" w:rsidR="00F314BC" w:rsidRDefault="00763AE9" w:rsidP="0FF883D4">
      <w:pPr>
        <w:ind w:right="237"/>
        <w:jc w:val="both"/>
        <w:rPr>
          <w:color w:val="000000" w:themeColor="text1"/>
          <w:sz w:val="24"/>
          <w:szCs w:val="24"/>
        </w:rPr>
      </w:pPr>
      <w:r>
        <w:rPr>
          <w:color w:val="000000" w:themeColor="text1"/>
          <w:sz w:val="24"/>
          <w:szCs w:val="24"/>
        </w:rPr>
        <w:t>Given the conflicting accounts, the male was bailed under stringent conditions aimed at protecting the victim and preventing further incidents. These bail conditions included prohibiting any direct contact with the victim, not attending her residence or place of work, and arranging child contact through a third part. These measures are critical in safeguarding the victim and ensuring her safety. The bail conditions serve multiple purposes in the context of domestic abuse cases. Firstly, it provides an immediate sense of security to the victim, reducing the likelihood of further harassment or violence. The restriction on contacting or approaching the victim helps to create a physical and psychological barrier, allowing the victim to feel safer in their home or workplace. This separation is vital for the victim’s recovery and stability, as continuous exposure to the perp</w:t>
      </w:r>
      <w:r w:rsidR="000D6E79">
        <w:rPr>
          <w:color w:val="000000" w:themeColor="text1"/>
          <w:sz w:val="24"/>
          <w:szCs w:val="24"/>
        </w:rPr>
        <w:t>etrator can exacerbate trauma and hinder healing. Secondly, these conditions help maintain a structured and controlled environment for the couple’s child. By using a third party to facilitate contact between the father and the child, the potential for conflict and further trauma to the child is minimized. This arrangement ensures that the child can maintain a relationship with the father without being exposed to additional conflict or violence. The importance of shielding children from further trauma is underscored by research, which shows that ongoing exposure to parental conflict can have long-term adverse effects on a child’s emotional and psychological well-being (</w:t>
      </w:r>
      <w:proofErr w:type="spellStart"/>
      <w:r w:rsidR="000D6E79">
        <w:rPr>
          <w:color w:val="000000" w:themeColor="text1"/>
          <w:sz w:val="24"/>
          <w:szCs w:val="24"/>
        </w:rPr>
        <w:t>Klitzmann</w:t>
      </w:r>
      <w:proofErr w:type="spellEnd"/>
      <w:r w:rsidR="000D6E79">
        <w:rPr>
          <w:color w:val="000000" w:themeColor="text1"/>
          <w:sz w:val="24"/>
          <w:szCs w:val="24"/>
        </w:rPr>
        <w:t xml:space="preserve"> et al., 2003). Finally the bail conditions also serve as a deterrent for the perpetrator, emphasizing the seriousness of the offense and the legal repercussions of non-compliance. By clearly outlining the boundaries and consequences, the legal system reinforces the importance of adhering to these conditions. This can be particularly effective in </w:t>
      </w:r>
      <w:r w:rsidR="000D6E79">
        <w:rPr>
          <w:color w:val="000000" w:themeColor="text1"/>
          <w:sz w:val="24"/>
          <w:szCs w:val="24"/>
        </w:rPr>
        <w:lastRenderedPageBreak/>
        <w:t xml:space="preserve">preventing further incidents of abuse and ensuring that the perpetrator understands the gravity of his actions. </w:t>
      </w:r>
    </w:p>
    <w:p w14:paraId="68830FE9" w14:textId="77777777" w:rsidR="000D6E79" w:rsidRDefault="000D6E79" w:rsidP="0FF883D4">
      <w:pPr>
        <w:ind w:right="237"/>
        <w:jc w:val="both"/>
        <w:rPr>
          <w:color w:val="000000" w:themeColor="text1"/>
          <w:sz w:val="24"/>
          <w:szCs w:val="24"/>
        </w:rPr>
      </w:pPr>
    </w:p>
    <w:p w14:paraId="151DFB20" w14:textId="1812979E" w:rsidR="000D6E79" w:rsidRDefault="000D6E79" w:rsidP="0FF883D4">
      <w:pPr>
        <w:ind w:right="237"/>
        <w:jc w:val="both"/>
        <w:rPr>
          <w:color w:val="000000" w:themeColor="text1"/>
          <w:sz w:val="24"/>
          <w:szCs w:val="24"/>
        </w:rPr>
      </w:pPr>
      <w:r>
        <w:rPr>
          <w:color w:val="000000" w:themeColor="text1"/>
          <w:sz w:val="24"/>
          <w:szCs w:val="24"/>
        </w:rPr>
        <w:t>One of the primary challenges in this case is gathering sufficient evidence to support prosecution. The female gave a statement of the incident, and the male, in the interview, denied throwing anything at all. There were no other witnesses after officers spoke to neighbours during their house-to-house enquiries, there was no CCTV either. As such, the daughter’s testimony is crucial, but the delicacy of involving a child in legal proceedings cannot be overlooked, especially as she will be supporting the prosecution of her father. The Crown Prosecution Se</w:t>
      </w:r>
      <w:r w:rsidR="00EA7728">
        <w:rPr>
          <w:color w:val="000000" w:themeColor="text1"/>
          <w:sz w:val="24"/>
          <w:szCs w:val="24"/>
        </w:rPr>
        <w:t xml:space="preserve">rvice (2022) highlights that children are particularly vulnerable witnesses, and special care must be taken to ensure their well-being during the process. The welfare of the child is paramount. The video interview conducted by specially trained officers is an appropriate step, as it minimises the stress and potential trauma associated with giving evidence. According to </w:t>
      </w:r>
      <w:proofErr w:type="spellStart"/>
      <w:r w:rsidR="00EA7728">
        <w:rPr>
          <w:color w:val="000000" w:themeColor="text1"/>
          <w:sz w:val="24"/>
          <w:szCs w:val="24"/>
        </w:rPr>
        <w:t>Plotnikoff</w:t>
      </w:r>
      <w:proofErr w:type="spellEnd"/>
      <w:r w:rsidR="00EA7728">
        <w:rPr>
          <w:color w:val="000000" w:themeColor="text1"/>
          <w:sz w:val="24"/>
          <w:szCs w:val="24"/>
        </w:rPr>
        <w:t xml:space="preserve"> and Woolfson (2009) video interviews can provide a less intimidating environment for child witnesses, allowing them to provide their testimony more comfortably. However, ensuring that the child feels safe and supported throughout the process remains a significant challenge. The involvement of a child in legal proceedings raises several ethical and legal considerations. Ensuring the child’s testimony is reliable while protecting their emotional and psychological well-being is a delicate balance. The UK Government’s Achieving Best Evidence guidelines (2011) emphasise the need for specially trained officers to handle such cases, highlighting the importance of using child-friendly techniques and environments. Providing adequate emotional and psychological support to both the victim and the child is crucial. Support services, such as counselling and therapy, should be made available to help them cope with the trauma of the incident. The National Society for the Prevention of Cruelty to Children (NSPCC, 2023) underscores the importance of therapeutic support for children who have witnessed domestic violence, as it can aid in their recovery and emotional stability. </w:t>
      </w:r>
    </w:p>
    <w:p w14:paraId="282021E2" w14:textId="77777777" w:rsidR="00EA7728" w:rsidRDefault="00EA7728" w:rsidP="0FF883D4">
      <w:pPr>
        <w:ind w:right="237"/>
        <w:jc w:val="both"/>
        <w:rPr>
          <w:color w:val="000000" w:themeColor="text1"/>
          <w:sz w:val="24"/>
          <w:szCs w:val="24"/>
        </w:rPr>
      </w:pPr>
    </w:p>
    <w:p w14:paraId="40639052" w14:textId="15E5E980" w:rsidR="00EA7728" w:rsidRDefault="008A7E07" w:rsidP="0FF883D4">
      <w:pPr>
        <w:ind w:right="237"/>
        <w:jc w:val="both"/>
        <w:rPr>
          <w:color w:val="000000" w:themeColor="text1"/>
          <w:sz w:val="24"/>
          <w:szCs w:val="24"/>
        </w:rPr>
      </w:pPr>
      <w:r>
        <w:rPr>
          <w:color w:val="000000" w:themeColor="text1"/>
          <w:sz w:val="24"/>
          <w:szCs w:val="24"/>
        </w:rPr>
        <w:t xml:space="preserve">Effective policing of domestic abuse incidents requires specialised training for officers. Training programs should focus on understanding the dynamics of domestic abuse, recognising signs of abuse, and handling victims and witnesses with sensitivity. According to the College of Policing (2021), specialised domestic abuse units and training programs can </w:t>
      </w:r>
      <w:r w:rsidR="00524772">
        <w:rPr>
          <w:color w:val="000000" w:themeColor="text1"/>
          <w:sz w:val="24"/>
          <w:szCs w:val="24"/>
        </w:rPr>
        <w:t>significantly</w:t>
      </w:r>
      <w:r>
        <w:rPr>
          <w:color w:val="000000" w:themeColor="text1"/>
          <w:sz w:val="24"/>
          <w:szCs w:val="24"/>
        </w:rPr>
        <w:t xml:space="preserve"> improve the police response</w:t>
      </w:r>
      <w:r w:rsidR="00524772">
        <w:rPr>
          <w:color w:val="000000" w:themeColor="text1"/>
          <w:sz w:val="24"/>
          <w:szCs w:val="24"/>
        </w:rPr>
        <w:t xml:space="preserve"> to such incidents. Collaboration between police, social services, healthcare providers, and domestic abuse support organisations is essential for addressing the multifaceted nature of domestic abuse. Multi-agency Risk Assessment Conferences (MARACs) are an example of such collaboration where different agencies work together to assess the risk to the victim and develop a coordinated response (</w:t>
      </w:r>
      <w:proofErr w:type="spellStart"/>
      <w:r w:rsidR="00524772">
        <w:rPr>
          <w:color w:val="000000" w:themeColor="text1"/>
          <w:sz w:val="24"/>
          <w:szCs w:val="24"/>
        </w:rPr>
        <w:t>SafeLives</w:t>
      </w:r>
      <w:proofErr w:type="spellEnd"/>
      <w:r w:rsidR="00524772">
        <w:rPr>
          <w:color w:val="000000" w:themeColor="text1"/>
          <w:sz w:val="24"/>
          <w:szCs w:val="24"/>
        </w:rPr>
        <w:t xml:space="preserve">, 2023). This approach ensures that victims receive comprehensive support and protection. In this instance, MARAC was able to re-home the female to an address unknown to the male to prevent further incidents between the pair. </w:t>
      </w:r>
    </w:p>
    <w:p w14:paraId="7593A38D" w14:textId="77777777" w:rsidR="00524772" w:rsidRDefault="00524772" w:rsidP="0FF883D4">
      <w:pPr>
        <w:ind w:right="237"/>
        <w:jc w:val="both"/>
        <w:rPr>
          <w:color w:val="000000" w:themeColor="text1"/>
          <w:sz w:val="24"/>
          <w:szCs w:val="24"/>
        </w:rPr>
      </w:pPr>
    </w:p>
    <w:p w14:paraId="73BC8A00" w14:textId="134C4858" w:rsidR="00524772" w:rsidRDefault="00524772" w:rsidP="0FF883D4">
      <w:pPr>
        <w:ind w:right="237"/>
        <w:jc w:val="both"/>
        <w:rPr>
          <w:color w:val="000000" w:themeColor="text1"/>
          <w:sz w:val="24"/>
          <w:szCs w:val="24"/>
        </w:rPr>
      </w:pPr>
      <w:r>
        <w:rPr>
          <w:color w:val="000000" w:themeColor="text1"/>
          <w:sz w:val="24"/>
          <w:szCs w:val="24"/>
        </w:rPr>
        <w:t xml:space="preserve">Technology can play a crucial role in improving the effectiveness of policing domestic abuse. The use of body-worn cameras by police officers can provide crucial evidence in domestic abuse cases. A study by Owens, Mann, and McKenna (2014) found that body-worn cameras can enhance evidence collections and increase the likelihood of successful prosecutions. Additionally, digital platforms for reporting abuse and accessing support services can empower victims and provide </w:t>
      </w:r>
      <w:r>
        <w:rPr>
          <w:color w:val="000000" w:themeColor="text1"/>
          <w:sz w:val="24"/>
          <w:szCs w:val="24"/>
        </w:rPr>
        <w:lastRenderedPageBreak/>
        <w:t xml:space="preserve">them with easier access to help. Legal reforms aimed at protecting domestic abuse victims and ensuring perpetrators are held accountable are vital. The Domestic Abuse Act 2021 in the UK introduces several measures to strengthen the response to domestic abuse, including the creation of Domestic Abuse Protection Notices (DAPNs) and Domestic Abuse Protection Orders (DAPOs). These measures provide immediate protection for victims and ensure that perpetrators are monitored and restricted from causing further harm. </w:t>
      </w:r>
    </w:p>
    <w:p w14:paraId="7D7FEC59" w14:textId="77777777" w:rsidR="00524772" w:rsidRDefault="00524772" w:rsidP="0FF883D4">
      <w:pPr>
        <w:ind w:right="237"/>
        <w:jc w:val="both"/>
        <w:rPr>
          <w:color w:val="000000" w:themeColor="text1"/>
          <w:sz w:val="24"/>
          <w:szCs w:val="24"/>
        </w:rPr>
      </w:pPr>
    </w:p>
    <w:p w14:paraId="68E9BD1F" w14:textId="2AAE2EE5" w:rsidR="00524772" w:rsidRDefault="00524772" w:rsidP="0FF883D4">
      <w:pPr>
        <w:ind w:right="237"/>
        <w:jc w:val="both"/>
        <w:rPr>
          <w:color w:val="000000" w:themeColor="text1"/>
          <w:sz w:val="24"/>
          <w:szCs w:val="24"/>
        </w:rPr>
      </w:pPr>
      <w:r>
        <w:rPr>
          <w:color w:val="000000" w:themeColor="text1"/>
          <w:sz w:val="24"/>
          <w:szCs w:val="24"/>
        </w:rPr>
        <w:t xml:space="preserve">Providing comprehensive support services to victims of domestic abuse is crucial for their recovery and safety. These services can include emergency housing, legal assistance, counselling, and financial support. Organisations such as Refuge and Women’s Aid offer extensive support to domestic abuse victims, helping them navigate the legal system, access necessary resources, and rebuild their lives. Protecting children who witness domestic abuse requires a tailored approach that considers their unique </w:t>
      </w:r>
      <w:r w:rsidR="00AB2B60">
        <w:rPr>
          <w:color w:val="000000" w:themeColor="text1"/>
          <w:sz w:val="24"/>
          <w:szCs w:val="24"/>
        </w:rPr>
        <w:t xml:space="preserve">needs and vulnerabilities. Child protection services should work closely with the police to ensure the child receives appropriate care and support. The NSPCC (2023) emphasise the importance of providing a safe and nurturing environment for children affected by domestic abuse, as well as access to their emotional and psychological needs. Monitoring and evaluating the effectiveness of policing strategies and support services is essential for continuous improvement. Regular assessments can help identify gaps in services, area for improvement, and best practices. According to the Home Office (2020), systemic monitoring and evaluation can enhance the overall response to domestic abuse and ensure that victims receive the best possible support and protection. </w:t>
      </w:r>
    </w:p>
    <w:p w14:paraId="60560087" w14:textId="77777777" w:rsidR="000B5127" w:rsidRDefault="000B5127" w:rsidP="0FF883D4">
      <w:pPr>
        <w:ind w:right="237"/>
        <w:jc w:val="both"/>
        <w:rPr>
          <w:color w:val="000000" w:themeColor="text1"/>
          <w:sz w:val="24"/>
          <w:szCs w:val="24"/>
        </w:rPr>
      </w:pPr>
    </w:p>
    <w:p w14:paraId="04B3259C" w14:textId="5C14394B" w:rsidR="000B5127" w:rsidRDefault="000B5127" w:rsidP="0FF883D4">
      <w:pPr>
        <w:ind w:right="237"/>
        <w:jc w:val="both"/>
        <w:rPr>
          <w:color w:val="000000" w:themeColor="text1"/>
          <w:sz w:val="24"/>
          <w:szCs w:val="24"/>
        </w:rPr>
      </w:pPr>
      <w:r>
        <w:rPr>
          <w:color w:val="000000" w:themeColor="text1"/>
          <w:sz w:val="24"/>
          <w:szCs w:val="24"/>
        </w:rPr>
        <w:t xml:space="preserve">The case of the recently separated couple in this instance, underscores the complexities and challenges associated with domestic abuse incidents. Effective policing of domestic abuse requires a multi-faceted approach that combines specialised training, technology, multi-agency collaboration, and comprehensive support services for victims and children. By continuously evaluating and improving these strategies, law enforcement and support services can better respond to domestic abuse, ensuring the safety and well-being of those affected. The challenges of collecting sufficient evidence, particularly when involving child witnesses, highlight the need for sensitive handling and robust support systems. Legal reforms, such as the Domestic Abuse Act 2021, and the use of technology, such as body-worn cameras, are critical in enhancing the response to domestic abuse. </w:t>
      </w:r>
    </w:p>
    <w:p w14:paraId="68957E37" w14:textId="77777777" w:rsidR="00AB2B60" w:rsidRDefault="00AB2B60" w:rsidP="0FF883D4">
      <w:pPr>
        <w:ind w:right="237"/>
        <w:jc w:val="both"/>
        <w:rPr>
          <w:color w:val="000000" w:themeColor="text1"/>
          <w:sz w:val="24"/>
          <w:szCs w:val="24"/>
        </w:rPr>
      </w:pPr>
    </w:p>
    <w:p w14:paraId="11C50608" w14:textId="24DE8A68" w:rsidR="00AB2B60" w:rsidRDefault="00AB2B60" w:rsidP="0FF883D4">
      <w:pPr>
        <w:ind w:right="237"/>
        <w:jc w:val="both"/>
        <w:rPr>
          <w:color w:val="000000" w:themeColor="text1"/>
          <w:sz w:val="24"/>
          <w:szCs w:val="24"/>
        </w:rPr>
      </w:pPr>
      <w:r>
        <w:rPr>
          <w:color w:val="000000" w:themeColor="text1"/>
          <w:sz w:val="24"/>
          <w:szCs w:val="24"/>
        </w:rPr>
        <w:t xml:space="preserve">In conclusion, addressing domestic abuse incidents requires a comprehensive approach that includes immediate protective measures, thorough investigations, and long-term support for victims and children. The complexities of each case necessitate a tailored response that prioritises the safety and well-being of all involved. Through effective policing strategies, multi-agency </w:t>
      </w:r>
      <w:r w:rsidR="000B5127">
        <w:rPr>
          <w:color w:val="000000" w:themeColor="text1"/>
          <w:sz w:val="24"/>
          <w:szCs w:val="24"/>
        </w:rPr>
        <w:t xml:space="preserve">collaboration, and continuous improvement of support services, society can better address and mitigate the impact of domestic abuse, ultimately working towards a safer environment for all individuals affect by such violence. </w:t>
      </w:r>
    </w:p>
    <w:p w14:paraId="0BF60692" w14:textId="77777777" w:rsidR="00763AE9" w:rsidRDefault="00763AE9" w:rsidP="0FF883D4">
      <w:pPr>
        <w:ind w:right="237"/>
        <w:jc w:val="both"/>
        <w:rPr>
          <w:color w:val="000000" w:themeColor="text1"/>
          <w:sz w:val="24"/>
          <w:szCs w:val="24"/>
        </w:rPr>
      </w:pPr>
    </w:p>
    <w:p w14:paraId="1C6BAF28" w14:textId="1D02815C" w:rsidR="00763AE9" w:rsidRPr="00E676F7" w:rsidRDefault="00763AE9"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7F7FFB01" w14:textId="4FDF3513" w:rsidR="0061690D" w:rsidRPr="000B5127" w:rsidRDefault="000B5127" w:rsidP="000B5127">
      <w:pPr>
        <w:ind w:right="237"/>
        <w:jc w:val="both"/>
        <w:rPr>
          <w:color w:val="000000" w:themeColor="text1"/>
          <w:sz w:val="24"/>
          <w:szCs w:val="24"/>
        </w:rPr>
      </w:pPr>
      <w:r>
        <w:rPr>
          <w:color w:val="000000" w:themeColor="text1"/>
          <w:sz w:val="24"/>
          <w:szCs w:val="24"/>
        </w:rPr>
        <w:t>1882</w:t>
      </w:r>
      <w:r w:rsidR="00B51D73">
        <w:rPr>
          <w:color w:val="000000" w:themeColor="text1"/>
          <w:sz w:val="24"/>
          <w:szCs w:val="24"/>
        </w:rPr>
        <w:t xml:space="preserve"> words</w:t>
      </w:r>
    </w:p>
    <w:p w14:paraId="440C1242" w14:textId="4ACEEDA7"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Default="00025650" w:rsidP="0FF883D4">
      <w:pPr>
        <w:ind w:right="237"/>
        <w:jc w:val="both"/>
        <w:rPr>
          <w:b/>
          <w:bCs/>
          <w:color w:val="000000" w:themeColor="text1"/>
          <w:sz w:val="24"/>
          <w:szCs w:val="24"/>
        </w:rPr>
      </w:pPr>
    </w:p>
    <w:p w14:paraId="3C02B3E8" w14:textId="77777777" w:rsidR="0061690D" w:rsidRDefault="0061690D" w:rsidP="0FF883D4">
      <w:pPr>
        <w:ind w:right="237"/>
        <w:jc w:val="both"/>
        <w:rPr>
          <w:b/>
          <w:bCs/>
          <w:color w:val="000000" w:themeColor="text1"/>
          <w:sz w:val="24"/>
          <w:szCs w:val="24"/>
        </w:rPr>
      </w:pPr>
    </w:p>
    <w:p w14:paraId="3792D6DD" w14:textId="77777777" w:rsidR="0061690D" w:rsidRPr="00E676F7" w:rsidRDefault="0061690D"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903549D" w:rsidR="0FF883D4" w:rsidRDefault="5CE196A1" w:rsidP="5CE196A1">
      <w:r w:rsidRPr="5CE196A1">
        <w:rPr>
          <w:rFonts w:eastAsia="Arial"/>
          <w:b/>
          <w:bCs/>
          <w:color w:val="000000" w:themeColor="text1"/>
          <w:sz w:val="24"/>
          <w:szCs w:val="24"/>
        </w:rPr>
        <w:t xml:space="preserve">Signed: </w:t>
      </w:r>
      <w:r w:rsidR="004E325A">
        <w:rPr>
          <w:rFonts w:eastAsia="Arial"/>
          <w:b/>
          <w:bCs/>
          <w:color w:val="000000" w:themeColor="text1"/>
          <w:sz w:val="24"/>
          <w:szCs w:val="24"/>
        </w:rPr>
        <w:t>S. Pepperell</w:t>
      </w:r>
    </w:p>
    <w:p w14:paraId="563192E7" w14:textId="7A83C86F" w:rsidR="0FF883D4" w:rsidRDefault="5CE196A1" w:rsidP="5CE196A1">
      <w:r w:rsidRPr="5CE196A1">
        <w:rPr>
          <w:rFonts w:eastAsia="Arial"/>
          <w:b/>
          <w:bCs/>
          <w:color w:val="000000" w:themeColor="text1"/>
          <w:sz w:val="24"/>
          <w:szCs w:val="24"/>
        </w:rPr>
        <w:t xml:space="preserve"> </w:t>
      </w:r>
    </w:p>
    <w:p w14:paraId="7D00EACB" w14:textId="77777777" w:rsidR="004E325A" w:rsidRDefault="5CE196A1" w:rsidP="004E325A">
      <w:r w:rsidRPr="5CE196A1">
        <w:rPr>
          <w:rFonts w:eastAsia="Arial"/>
          <w:b/>
          <w:bCs/>
          <w:color w:val="000000" w:themeColor="text1"/>
          <w:sz w:val="24"/>
          <w:szCs w:val="24"/>
        </w:rPr>
        <w:t>Date:</w:t>
      </w:r>
      <w:r w:rsidR="004E325A">
        <w:t>02/08/2024</w:t>
      </w:r>
    </w:p>
    <w:p w14:paraId="482B2B3A" w14:textId="30DB9770" w:rsidR="004E325A" w:rsidRPr="004E325A" w:rsidRDefault="004E325A" w:rsidP="004E325A">
      <w:pPr>
        <w:sectPr w:rsidR="004E325A" w:rsidRPr="004E325A" w:rsidSect="000427DD">
          <w:footerReference w:type="default" r:id="rId15"/>
          <w:pgSz w:w="11906" w:h="16838" w:code="9"/>
          <w:pgMar w:top="1440" w:right="1440" w:bottom="1440" w:left="1440" w:header="720" w:footer="720" w:gutter="0"/>
          <w:cols w:space="720"/>
          <w:docGrid w:linePitch="272"/>
        </w:sectPr>
      </w:pPr>
    </w:p>
    <w:p w14:paraId="2B4DA333" w14:textId="77777777"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653E7A47" w14:textId="77777777" w:rsidR="004E325A" w:rsidRPr="0065271F" w:rsidRDefault="004E325A" w:rsidP="004E325A">
      <w:pPr>
        <w:spacing w:after="160" w:line="259" w:lineRule="auto"/>
        <w:rPr>
          <w:sz w:val="22"/>
          <w:szCs w:val="22"/>
        </w:rPr>
      </w:pPr>
      <w:r w:rsidRPr="0065271F">
        <w:rPr>
          <w:sz w:val="22"/>
          <w:szCs w:val="22"/>
        </w:rPr>
        <w:t xml:space="preserve">Ashby, M. (2017). </w:t>
      </w:r>
      <w:r w:rsidRPr="0065271F">
        <w:rPr>
          <w:i/>
          <w:iCs/>
          <w:sz w:val="22"/>
          <w:szCs w:val="22"/>
        </w:rPr>
        <w:t>The Value of CCTV Surveillance Cameras as an Investigative Tool: An Empirical Analysis. European Journal on Criminal Policy and Research</w:t>
      </w:r>
      <w:r w:rsidRPr="0065271F">
        <w:rPr>
          <w:sz w:val="22"/>
          <w:szCs w:val="22"/>
        </w:rPr>
        <w:t>, 23(3), pp.441-459.</w:t>
      </w:r>
    </w:p>
    <w:p w14:paraId="28E5D63A" w14:textId="77777777" w:rsidR="004E325A" w:rsidRPr="0065271F" w:rsidRDefault="004E325A" w:rsidP="004E325A">
      <w:pPr>
        <w:spacing w:after="160" w:line="259" w:lineRule="auto"/>
        <w:rPr>
          <w:sz w:val="22"/>
          <w:szCs w:val="22"/>
        </w:rPr>
      </w:pPr>
      <w:r w:rsidRPr="0065271F">
        <w:rPr>
          <w:sz w:val="22"/>
          <w:szCs w:val="22"/>
        </w:rPr>
        <w:t xml:space="preserve">Braithwaite, J. (2004). </w:t>
      </w:r>
      <w:r w:rsidRPr="0065271F">
        <w:rPr>
          <w:i/>
          <w:iCs/>
          <w:sz w:val="22"/>
          <w:szCs w:val="22"/>
        </w:rPr>
        <w:t xml:space="preserve">Restorative Justice and De-Professionalization. The Good Society, </w:t>
      </w:r>
      <w:r w:rsidRPr="0065271F">
        <w:rPr>
          <w:sz w:val="22"/>
          <w:szCs w:val="22"/>
        </w:rPr>
        <w:t>13(1), pp.28-31.</w:t>
      </w:r>
    </w:p>
    <w:p w14:paraId="14584025" w14:textId="77777777" w:rsidR="004E325A" w:rsidRPr="0065271F" w:rsidRDefault="004E325A" w:rsidP="004E325A">
      <w:pPr>
        <w:spacing w:after="160" w:line="259" w:lineRule="auto"/>
        <w:rPr>
          <w:sz w:val="22"/>
          <w:szCs w:val="22"/>
        </w:rPr>
      </w:pPr>
      <w:r w:rsidRPr="0065271F">
        <w:rPr>
          <w:sz w:val="22"/>
          <w:szCs w:val="22"/>
        </w:rPr>
        <w:t xml:space="preserve">Chakraborti, N. and Garland, J. (2012). </w:t>
      </w:r>
      <w:r w:rsidRPr="0065271F">
        <w:rPr>
          <w:i/>
          <w:iCs/>
          <w:sz w:val="22"/>
          <w:szCs w:val="22"/>
        </w:rPr>
        <w:t>Hate Crime: Impact, Causes and Responses</w:t>
      </w:r>
      <w:r w:rsidRPr="0065271F">
        <w:rPr>
          <w:sz w:val="22"/>
          <w:szCs w:val="22"/>
        </w:rPr>
        <w:t>. London: SAGE Publications.</w:t>
      </w:r>
    </w:p>
    <w:p w14:paraId="18A19373" w14:textId="77777777" w:rsidR="004E325A" w:rsidRPr="0065271F" w:rsidRDefault="004E325A" w:rsidP="004E325A">
      <w:pPr>
        <w:spacing w:after="160" w:line="259" w:lineRule="auto"/>
        <w:rPr>
          <w:sz w:val="22"/>
          <w:szCs w:val="22"/>
        </w:rPr>
      </w:pPr>
      <w:r w:rsidRPr="0065271F">
        <w:rPr>
          <w:sz w:val="22"/>
          <w:szCs w:val="22"/>
        </w:rPr>
        <w:t>College of Policing. (2021</w:t>
      </w:r>
      <w:r w:rsidRPr="0065271F">
        <w:rPr>
          <w:i/>
          <w:iCs/>
          <w:sz w:val="22"/>
          <w:szCs w:val="22"/>
        </w:rPr>
        <w:t xml:space="preserve">). </w:t>
      </w:r>
      <w:r w:rsidRPr="004E325A">
        <w:rPr>
          <w:i/>
          <w:iCs/>
          <w:sz w:val="22"/>
          <w:szCs w:val="22"/>
        </w:rPr>
        <w:t>Domestic abuse: Recognising and responding to victims</w:t>
      </w:r>
      <w:r w:rsidRPr="004E325A">
        <w:rPr>
          <w:sz w:val="22"/>
          <w:szCs w:val="22"/>
        </w:rPr>
        <w:t>. [online] Available at: https://www.college.police.uk/guidance/domestic-abuse/recognising-and-responding-victims [Accessed 5 Jun. 2024].</w:t>
      </w:r>
    </w:p>
    <w:p w14:paraId="09A26B9C" w14:textId="77777777" w:rsidR="004E325A" w:rsidRPr="0065271F" w:rsidRDefault="004E325A" w:rsidP="004E325A">
      <w:pPr>
        <w:spacing w:after="160" w:line="259" w:lineRule="auto"/>
        <w:rPr>
          <w:sz w:val="22"/>
          <w:szCs w:val="22"/>
        </w:rPr>
      </w:pPr>
      <w:r w:rsidRPr="0065271F">
        <w:rPr>
          <w:sz w:val="22"/>
          <w:szCs w:val="22"/>
        </w:rPr>
        <w:t xml:space="preserve">Crown Prosecution Service. (2022). </w:t>
      </w:r>
      <w:r w:rsidRPr="004E325A">
        <w:rPr>
          <w:i/>
          <w:iCs/>
          <w:sz w:val="22"/>
          <w:szCs w:val="22"/>
        </w:rPr>
        <w:t>Child witnesses: Special measures</w:t>
      </w:r>
      <w:r w:rsidRPr="004E325A">
        <w:rPr>
          <w:sz w:val="22"/>
          <w:szCs w:val="22"/>
        </w:rPr>
        <w:t>. [online] Available at: https://www.cps.gov.uk/legal-guidance/child-witnesses-special-measures [Accessed 5 Jun. 2024].</w:t>
      </w:r>
    </w:p>
    <w:p w14:paraId="3707086E" w14:textId="77777777" w:rsidR="004E325A" w:rsidRPr="0065271F" w:rsidRDefault="004E325A" w:rsidP="004E325A">
      <w:pPr>
        <w:spacing w:after="160" w:line="259" w:lineRule="auto"/>
        <w:rPr>
          <w:sz w:val="22"/>
          <w:szCs w:val="22"/>
        </w:rPr>
      </w:pPr>
      <w:r w:rsidRPr="0065271F">
        <w:rPr>
          <w:sz w:val="22"/>
          <w:szCs w:val="22"/>
        </w:rPr>
        <w:t xml:space="preserve">Ellis, R., Gless, S., &amp; McKenna, L. (2015). </w:t>
      </w:r>
      <w:r w:rsidRPr="0065271F">
        <w:rPr>
          <w:i/>
          <w:iCs/>
          <w:sz w:val="22"/>
          <w:szCs w:val="22"/>
        </w:rPr>
        <w:t>'The Use of Body-Worn Cameras in Domestic Violence Cases,' Journal of Policing Studies</w:t>
      </w:r>
      <w:r w:rsidRPr="0065271F">
        <w:rPr>
          <w:sz w:val="22"/>
          <w:szCs w:val="22"/>
        </w:rPr>
        <w:t>, 9(2), pp. 45-59.</w:t>
      </w:r>
    </w:p>
    <w:p w14:paraId="23DB25C0" w14:textId="77777777" w:rsidR="004E325A" w:rsidRPr="0065271F" w:rsidRDefault="004E325A" w:rsidP="004E325A">
      <w:pPr>
        <w:spacing w:after="160" w:line="259" w:lineRule="auto"/>
        <w:rPr>
          <w:sz w:val="22"/>
          <w:szCs w:val="22"/>
        </w:rPr>
      </w:pPr>
      <w:r w:rsidRPr="0065271F">
        <w:rPr>
          <w:sz w:val="22"/>
          <w:szCs w:val="22"/>
        </w:rPr>
        <w:t xml:space="preserve">Garland, J. (2014). </w:t>
      </w:r>
      <w:r w:rsidRPr="0065271F">
        <w:rPr>
          <w:i/>
          <w:iCs/>
          <w:sz w:val="22"/>
          <w:szCs w:val="22"/>
        </w:rPr>
        <w:t>Hate Crime Victimisation and the Globalisation of Policy and Practice. Australian &amp; New Zealand Journal of Criminology</w:t>
      </w:r>
      <w:r w:rsidRPr="0065271F">
        <w:rPr>
          <w:sz w:val="22"/>
          <w:szCs w:val="22"/>
        </w:rPr>
        <w:t>, 47(2), pp.213-222.</w:t>
      </w:r>
    </w:p>
    <w:p w14:paraId="2943FCA9" w14:textId="77777777" w:rsidR="004E325A" w:rsidRPr="0065271F" w:rsidRDefault="004E325A" w:rsidP="004E325A">
      <w:pPr>
        <w:spacing w:after="160" w:line="259" w:lineRule="auto"/>
        <w:rPr>
          <w:sz w:val="22"/>
          <w:szCs w:val="22"/>
        </w:rPr>
      </w:pPr>
      <w:r w:rsidRPr="0065271F">
        <w:rPr>
          <w:sz w:val="22"/>
          <w:szCs w:val="22"/>
        </w:rPr>
        <w:t xml:space="preserve">Gill, M., Spriggs, A., Allen, J., Hemming, M., Jessiman, P. and Kara, D. (2005). </w:t>
      </w:r>
      <w:r w:rsidRPr="0065271F">
        <w:rPr>
          <w:i/>
          <w:iCs/>
          <w:sz w:val="22"/>
          <w:szCs w:val="22"/>
        </w:rPr>
        <w:t>Control Room Operation: Findings from Control Room Observations</w:t>
      </w:r>
      <w:r w:rsidRPr="0065271F">
        <w:rPr>
          <w:sz w:val="22"/>
          <w:szCs w:val="22"/>
        </w:rPr>
        <w:t>. Home Office Online Report 14/05. London: Home Office.</w:t>
      </w:r>
    </w:p>
    <w:p w14:paraId="3040A4EE" w14:textId="77777777" w:rsidR="004E325A" w:rsidRPr="0065271F" w:rsidRDefault="004E325A" w:rsidP="004E325A">
      <w:pPr>
        <w:spacing w:after="160" w:line="259" w:lineRule="auto"/>
        <w:rPr>
          <w:i/>
          <w:iCs/>
          <w:sz w:val="22"/>
          <w:szCs w:val="22"/>
        </w:rPr>
      </w:pPr>
      <w:r w:rsidRPr="0065271F">
        <w:rPr>
          <w:sz w:val="22"/>
          <w:szCs w:val="22"/>
        </w:rPr>
        <w:t xml:space="preserve">Herek, G. M., Gillis, J. R. and Cogan, J. C. (1999). </w:t>
      </w:r>
      <w:r w:rsidRPr="0065271F">
        <w:rPr>
          <w:i/>
          <w:iCs/>
          <w:sz w:val="22"/>
          <w:szCs w:val="22"/>
        </w:rPr>
        <w:t>Psychological Sequelae of Hate-Crime Victimization Among Lesbian, Gay, and Bisexual Adults</w:t>
      </w:r>
      <w:r w:rsidRPr="0065271F">
        <w:rPr>
          <w:sz w:val="22"/>
          <w:szCs w:val="22"/>
        </w:rPr>
        <w:t xml:space="preserve">. </w:t>
      </w:r>
      <w:r w:rsidRPr="0065271F">
        <w:rPr>
          <w:i/>
          <w:iCs/>
          <w:sz w:val="22"/>
          <w:szCs w:val="22"/>
        </w:rPr>
        <w:t xml:space="preserve">Journal of Consulting and </w:t>
      </w:r>
      <w:r w:rsidRPr="004E325A">
        <w:rPr>
          <w:i/>
          <w:iCs/>
          <w:sz w:val="22"/>
          <w:szCs w:val="22"/>
        </w:rPr>
        <w:t>C</w:t>
      </w:r>
      <w:r w:rsidRPr="0065271F">
        <w:rPr>
          <w:i/>
          <w:iCs/>
          <w:sz w:val="22"/>
          <w:szCs w:val="22"/>
        </w:rPr>
        <w:t>linical Psychology</w:t>
      </w:r>
      <w:r w:rsidRPr="0065271F">
        <w:rPr>
          <w:sz w:val="22"/>
          <w:szCs w:val="22"/>
        </w:rPr>
        <w:t>, 67(6), pp.945-951.</w:t>
      </w:r>
    </w:p>
    <w:p w14:paraId="3B040784" w14:textId="77777777" w:rsidR="004E325A" w:rsidRPr="0065271F" w:rsidRDefault="004E325A" w:rsidP="004E325A">
      <w:pPr>
        <w:spacing w:after="160" w:line="259" w:lineRule="auto"/>
        <w:rPr>
          <w:sz w:val="22"/>
          <w:szCs w:val="22"/>
        </w:rPr>
      </w:pPr>
      <w:r w:rsidRPr="0065271F">
        <w:rPr>
          <w:i/>
          <w:iCs/>
          <w:sz w:val="22"/>
          <w:szCs w:val="22"/>
        </w:rPr>
        <w:t>Holt, S., Buckley, H., &amp; Whelan, S. (2008). The Impact of Domestic Violence on Children: A Review of the Evidence.</w:t>
      </w:r>
      <w:r w:rsidRPr="0065271F">
        <w:rPr>
          <w:sz w:val="22"/>
          <w:szCs w:val="22"/>
        </w:rPr>
        <w:t xml:space="preserve"> Children &amp; Society, 22(4), pp. 269-280.</w:t>
      </w:r>
    </w:p>
    <w:p w14:paraId="24A1309E" w14:textId="77777777" w:rsidR="004E325A" w:rsidRPr="004E325A" w:rsidRDefault="004E325A" w:rsidP="004E325A">
      <w:pPr>
        <w:rPr>
          <w:sz w:val="22"/>
          <w:szCs w:val="22"/>
        </w:rPr>
      </w:pPr>
      <w:r w:rsidRPr="004E325A">
        <w:rPr>
          <w:sz w:val="22"/>
          <w:szCs w:val="22"/>
        </w:rPr>
        <w:t>Home Office. (2021). Domestic Abuse Act 2021. [online] Available at: https://www.legislation.gov.uk/ukpga/2021/17/contents/enacted [Accessed 5 Jun. 2024].</w:t>
      </w:r>
    </w:p>
    <w:p w14:paraId="56D2D2D2" w14:textId="77777777" w:rsidR="004E325A" w:rsidRPr="0065271F" w:rsidRDefault="004E325A" w:rsidP="004E325A">
      <w:pPr>
        <w:spacing w:after="160" w:line="259" w:lineRule="auto"/>
        <w:rPr>
          <w:sz w:val="22"/>
          <w:szCs w:val="22"/>
        </w:rPr>
      </w:pPr>
      <w:proofErr w:type="spellStart"/>
      <w:r w:rsidRPr="0065271F">
        <w:rPr>
          <w:sz w:val="22"/>
          <w:szCs w:val="22"/>
        </w:rPr>
        <w:t>Klitzmann</w:t>
      </w:r>
      <w:proofErr w:type="spellEnd"/>
      <w:r w:rsidRPr="0065271F">
        <w:rPr>
          <w:sz w:val="22"/>
          <w:szCs w:val="22"/>
        </w:rPr>
        <w:t xml:space="preserve">, R., Johnson, C., &amp; Roberts, R. (2003). </w:t>
      </w:r>
      <w:r w:rsidRPr="0065271F">
        <w:rPr>
          <w:i/>
          <w:iCs/>
          <w:sz w:val="22"/>
          <w:szCs w:val="22"/>
        </w:rPr>
        <w:t>'The Long-Term Impact of Domestic Violence on Children,' Journal of Child Psychology and Psychiatry</w:t>
      </w:r>
      <w:r w:rsidRPr="0065271F">
        <w:rPr>
          <w:sz w:val="22"/>
          <w:szCs w:val="22"/>
        </w:rPr>
        <w:t>, 44(7), pp. 910-920.</w:t>
      </w:r>
    </w:p>
    <w:p w14:paraId="70EEAFAF" w14:textId="77777777" w:rsidR="004E325A" w:rsidRPr="0065271F" w:rsidRDefault="004E325A" w:rsidP="004E325A">
      <w:pPr>
        <w:spacing w:after="160" w:line="259" w:lineRule="auto"/>
        <w:rPr>
          <w:sz w:val="22"/>
          <w:szCs w:val="22"/>
        </w:rPr>
      </w:pPr>
      <w:r w:rsidRPr="0065271F">
        <w:rPr>
          <w:sz w:val="22"/>
          <w:szCs w:val="22"/>
        </w:rPr>
        <w:t>Lum, C., Koper, C. S. and Telep, C. W. (2011</w:t>
      </w:r>
      <w:r w:rsidRPr="0065271F">
        <w:rPr>
          <w:i/>
          <w:iCs/>
          <w:sz w:val="22"/>
          <w:szCs w:val="22"/>
        </w:rPr>
        <w:t>). The Evidence-Based Policing Matrix. Journal of Experimental Criminology</w:t>
      </w:r>
      <w:r w:rsidRPr="0065271F">
        <w:rPr>
          <w:sz w:val="22"/>
          <w:szCs w:val="22"/>
        </w:rPr>
        <w:t>, 7(1), pp.3-26.</w:t>
      </w:r>
    </w:p>
    <w:p w14:paraId="0FD6ADE9" w14:textId="77777777" w:rsidR="004E325A" w:rsidRPr="0065271F" w:rsidRDefault="004E325A" w:rsidP="004E325A">
      <w:pPr>
        <w:spacing w:after="160" w:line="259" w:lineRule="auto"/>
        <w:rPr>
          <w:sz w:val="22"/>
          <w:szCs w:val="22"/>
        </w:rPr>
      </w:pPr>
      <w:r w:rsidRPr="0065271F">
        <w:rPr>
          <w:sz w:val="22"/>
          <w:szCs w:val="22"/>
        </w:rPr>
        <w:t xml:space="preserve">Lum, C., Koper, C. S. and Willis, J. J. (2017). </w:t>
      </w:r>
      <w:r w:rsidRPr="0065271F">
        <w:rPr>
          <w:i/>
          <w:iCs/>
          <w:sz w:val="22"/>
          <w:szCs w:val="22"/>
        </w:rPr>
        <w:t>Understanding the Limits of Technology’s Impact on Police Effectiveness. Police Quarterly</w:t>
      </w:r>
      <w:r w:rsidRPr="0065271F">
        <w:rPr>
          <w:sz w:val="22"/>
          <w:szCs w:val="22"/>
        </w:rPr>
        <w:t>, 20(2), pp.135-163.</w:t>
      </w:r>
    </w:p>
    <w:p w14:paraId="39DA7553" w14:textId="77777777" w:rsidR="004E325A" w:rsidRPr="0065271F" w:rsidRDefault="004E325A" w:rsidP="004E325A">
      <w:pPr>
        <w:spacing w:after="160" w:line="259" w:lineRule="auto"/>
        <w:rPr>
          <w:sz w:val="22"/>
          <w:szCs w:val="22"/>
        </w:rPr>
      </w:pPr>
      <w:r w:rsidRPr="0065271F">
        <w:rPr>
          <w:sz w:val="22"/>
          <w:szCs w:val="22"/>
        </w:rPr>
        <w:t xml:space="preserve">Mazerolle, L. and Ransley, J. (2005). </w:t>
      </w:r>
      <w:r w:rsidRPr="0065271F">
        <w:rPr>
          <w:i/>
          <w:iCs/>
          <w:sz w:val="22"/>
          <w:szCs w:val="22"/>
        </w:rPr>
        <w:t>Third Party Policing</w:t>
      </w:r>
      <w:r w:rsidRPr="0065271F">
        <w:rPr>
          <w:sz w:val="22"/>
          <w:szCs w:val="22"/>
        </w:rPr>
        <w:t>. Cambridge: Cambridge University Press.</w:t>
      </w:r>
    </w:p>
    <w:p w14:paraId="0CD3B50A" w14:textId="77777777" w:rsidR="004E325A" w:rsidRPr="0065271F" w:rsidRDefault="004E325A" w:rsidP="004E325A">
      <w:pPr>
        <w:spacing w:after="160" w:line="259" w:lineRule="auto"/>
        <w:rPr>
          <w:sz w:val="22"/>
          <w:szCs w:val="22"/>
        </w:rPr>
      </w:pPr>
      <w:r w:rsidRPr="0065271F">
        <w:rPr>
          <w:sz w:val="22"/>
          <w:szCs w:val="22"/>
        </w:rPr>
        <w:t xml:space="preserve">Myhill, A. and Quinton, P. (2011). </w:t>
      </w:r>
      <w:r w:rsidRPr="0065271F">
        <w:rPr>
          <w:i/>
          <w:iCs/>
          <w:sz w:val="22"/>
          <w:szCs w:val="22"/>
        </w:rPr>
        <w:t>Confidence, Neighbourhood Policing, and Contact: Drawing Together the Evidence</w:t>
      </w:r>
      <w:r w:rsidRPr="0065271F">
        <w:rPr>
          <w:sz w:val="22"/>
          <w:szCs w:val="22"/>
        </w:rPr>
        <w:t>. London: National Policing Improvement Agency.</w:t>
      </w:r>
    </w:p>
    <w:p w14:paraId="30D509D7" w14:textId="77777777" w:rsidR="004E325A" w:rsidRPr="004E325A" w:rsidRDefault="004E325A" w:rsidP="004E325A">
      <w:pPr>
        <w:rPr>
          <w:sz w:val="22"/>
          <w:szCs w:val="22"/>
        </w:rPr>
      </w:pPr>
      <w:r w:rsidRPr="0065271F">
        <w:rPr>
          <w:sz w:val="22"/>
          <w:szCs w:val="22"/>
        </w:rPr>
        <w:t xml:space="preserve">National Domestic Violence Hotline. (2023). </w:t>
      </w:r>
      <w:r w:rsidRPr="0065271F">
        <w:rPr>
          <w:i/>
          <w:iCs/>
          <w:sz w:val="22"/>
          <w:szCs w:val="22"/>
        </w:rPr>
        <w:t>Emotional and Psychological Impact of Domestic Abuse</w:t>
      </w:r>
      <w:r w:rsidRPr="0065271F">
        <w:rPr>
          <w:sz w:val="22"/>
          <w:szCs w:val="22"/>
        </w:rPr>
        <w:t xml:space="preserve">. </w:t>
      </w:r>
      <w:r w:rsidRPr="004E325A">
        <w:rPr>
          <w:sz w:val="22"/>
          <w:szCs w:val="22"/>
        </w:rPr>
        <w:t>[online] Available at: https://www.thehotline.org/effects-of-domestic-violence/ [Accessed 5 Jun. 2024].</w:t>
      </w:r>
    </w:p>
    <w:p w14:paraId="7DE8D726" w14:textId="1D05E37D" w:rsidR="004E325A" w:rsidRPr="0065271F" w:rsidRDefault="004E325A" w:rsidP="004E325A">
      <w:pPr>
        <w:spacing w:after="160" w:line="259" w:lineRule="auto"/>
        <w:rPr>
          <w:sz w:val="22"/>
          <w:szCs w:val="22"/>
        </w:rPr>
      </w:pPr>
      <w:r>
        <w:rPr>
          <w:sz w:val="22"/>
          <w:szCs w:val="22"/>
        </w:rPr>
        <w:lastRenderedPageBreak/>
        <w:t>N</w:t>
      </w:r>
      <w:r w:rsidRPr="0065271F">
        <w:rPr>
          <w:sz w:val="22"/>
          <w:szCs w:val="22"/>
        </w:rPr>
        <w:t xml:space="preserve">ational Society for the Prevention of Cruelty to Children (NSPCC). (2023). </w:t>
      </w:r>
      <w:r w:rsidRPr="004E325A">
        <w:rPr>
          <w:sz w:val="22"/>
          <w:szCs w:val="22"/>
        </w:rPr>
        <w:t>Therapeutic services for children who witness domestic violence. [online] Available at: https://www.nspcc.org.uk/services-and-resources/childrens-services/therapeutic-services/ [Accessed 5 Jun. 2024].</w:t>
      </w:r>
    </w:p>
    <w:p w14:paraId="6892BB06" w14:textId="77777777" w:rsidR="004E325A" w:rsidRPr="0065271F" w:rsidRDefault="004E325A" w:rsidP="004E325A">
      <w:pPr>
        <w:spacing w:after="160" w:line="259" w:lineRule="auto"/>
        <w:rPr>
          <w:sz w:val="22"/>
          <w:szCs w:val="22"/>
        </w:rPr>
      </w:pPr>
      <w:r w:rsidRPr="0065271F">
        <w:rPr>
          <w:sz w:val="22"/>
          <w:szCs w:val="22"/>
        </w:rPr>
        <w:t xml:space="preserve">Owens, C., Mann, S., &amp; McKenna, S. (2014). </w:t>
      </w:r>
      <w:r w:rsidRPr="0065271F">
        <w:rPr>
          <w:i/>
          <w:iCs/>
          <w:sz w:val="22"/>
          <w:szCs w:val="22"/>
        </w:rPr>
        <w:t>'Effectiveness of Body-Worn Cameras in Domestic Violence Situations,' Policing: An International Journal</w:t>
      </w:r>
      <w:r w:rsidRPr="0065271F">
        <w:rPr>
          <w:sz w:val="22"/>
          <w:szCs w:val="22"/>
        </w:rPr>
        <w:t>, 38(1), pp. 123-139.</w:t>
      </w:r>
    </w:p>
    <w:p w14:paraId="601DB683" w14:textId="77777777" w:rsidR="004E325A" w:rsidRPr="0065271F" w:rsidRDefault="004E325A" w:rsidP="004E325A">
      <w:pPr>
        <w:spacing w:after="160" w:line="259" w:lineRule="auto"/>
        <w:rPr>
          <w:sz w:val="22"/>
          <w:szCs w:val="22"/>
        </w:rPr>
      </w:pPr>
      <w:proofErr w:type="spellStart"/>
      <w:r w:rsidRPr="0065271F">
        <w:rPr>
          <w:sz w:val="22"/>
          <w:szCs w:val="22"/>
        </w:rPr>
        <w:t>Plotnikoff</w:t>
      </w:r>
      <w:proofErr w:type="spellEnd"/>
      <w:r w:rsidRPr="0065271F">
        <w:rPr>
          <w:sz w:val="22"/>
          <w:szCs w:val="22"/>
        </w:rPr>
        <w:t xml:space="preserve">, J., &amp; Woolfson, R. (2009). </w:t>
      </w:r>
      <w:r w:rsidRPr="0065271F">
        <w:rPr>
          <w:i/>
          <w:iCs/>
          <w:sz w:val="22"/>
          <w:szCs w:val="22"/>
        </w:rPr>
        <w:t>Children and the Criminal Justice System: How to Reduce Trauma and Improve Evidence Gathering.</w:t>
      </w:r>
      <w:r w:rsidRPr="0065271F">
        <w:rPr>
          <w:sz w:val="22"/>
          <w:szCs w:val="22"/>
        </w:rPr>
        <w:t xml:space="preserve"> London: Justice.</w:t>
      </w:r>
    </w:p>
    <w:p w14:paraId="6EEF978E" w14:textId="77777777" w:rsidR="004E325A" w:rsidRPr="0065271F" w:rsidRDefault="004E325A" w:rsidP="004E325A">
      <w:pPr>
        <w:spacing w:after="160" w:line="259" w:lineRule="auto"/>
        <w:rPr>
          <w:sz w:val="22"/>
          <w:szCs w:val="22"/>
        </w:rPr>
      </w:pPr>
      <w:proofErr w:type="spellStart"/>
      <w:r w:rsidRPr="0065271F">
        <w:rPr>
          <w:sz w:val="22"/>
          <w:szCs w:val="22"/>
        </w:rPr>
        <w:t>SafeLives</w:t>
      </w:r>
      <w:proofErr w:type="spellEnd"/>
      <w:r w:rsidRPr="0065271F">
        <w:rPr>
          <w:sz w:val="22"/>
          <w:szCs w:val="22"/>
        </w:rPr>
        <w:t xml:space="preserve">. (2023). </w:t>
      </w:r>
      <w:r w:rsidRPr="0065271F">
        <w:rPr>
          <w:i/>
          <w:iCs/>
          <w:sz w:val="22"/>
          <w:szCs w:val="22"/>
        </w:rPr>
        <w:t>Multi-Agency Risk Assessment Conferences (MARACs).</w:t>
      </w:r>
      <w:r w:rsidRPr="0065271F">
        <w:rPr>
          <w:sz w:val="22"/>
          <w:szCs w:val="22"/>
        </w:rPr>
        <w:t xml:space="preserve"> </w:t>
      </w:r>
      <w:r w:rsidRPr="004E325A">
        <w:rPr>
          <w:sz w:val="22"/>
          <w:szCs w:val="22"/>
        </w:rPr>
        <w:t>[online] Available at: https://safelives.org.uk/practice-support/resources-marac-meetings [Accessed 5 Jun. 2024].</w:t>
      </w:r>
    </w:p>
    <w:p w14:paraId="789605DD" w14:textId="77777777" w:rsidR="004E325A" w:rsidRPr="0065271F" w:rsidRDefault="004E325A" w:rsidP="004E325A">
      <w:pPr>
        <w:spacing w:after="160" w:line="259" w:lineRule="auto"/>
        <w:rPr>
          <w:sz w:val="22"/>
          <w:szCs w:val="22"/>
        </w:rPr>
      </w:pPr>
      <w:r w:rsidRPr="0065271F">
        <w:rPr>
          <w:sz w:val="22"/>
          <w:szCs w:val="22"/>
        </w:rPr>
        <w:t xml:space="preserve">Sherman, L. W. (2013). </w:t>
      </w:r>
      <w:r w:rsidRPr="0065271F">
        <w:rPr>
          <w:i/>
          <w:iCs/>
          <w:sz w:val="22"/>
          <w:szCs w:val="22"/>
        </w:rPr>
        <w:t xml:space="preserve">The Rise of Evidence-Based Policing: Targeting, Testing, and Tracking. Crime and Justice, </w:t>
      </w:r>
      <w:r w:rsidRPr="0065271F">
        <w:rPr>
          <w:sz w:val="22"/>
          <w:szCs w:val="22"/>
        </w:rPr>
        <w:t>42(1), pp.377-451.</w:t>
      </w:r>
    </w:p>
    <w:p w14:paraId="2E6BE30D" w14:textId="77777777" w:rsidR="004E325A" w:rsidRPr="0065271F" w:rsidRDefault="004E325A" w:rsidP="004E325A">
      <w:pPr>
        <w:spacing w:after="160" w:line="259" w:lineRule="auto"/>
        <w:rPr>
          <w:sz w:val="22"/>
          <w:szCs w:val="22"/>
        </w:rPr>
      </w:pPr>
      <w:proofErr w:type="spellStart"/>
      <w:r w:rsidRPr="0065271F">
        <w:rPr>
          <w:sz w:val="22"/>
          <w:szCs w:val="22"/>
        </w:rPr>
        <w:t>Skogan</w:t>
      </w:r>
      <w:proofErr w:type="spellEnd"/>
      <w:r w:rsidRPr="0065271F">
        <w:rPr>
          <w:sz w:val="22"/>
          <w:szCs w:val="22"/>
        </w:rPr>
        <w:t xml:space="preserve">, W. G. and Hartnett, S. M. (1997). </w:t>
      </w:r>
      <w:r w:rsidRPr="0065271F">
        <w:rPr>
          <w:i/>
          <w:iCs/>
          <w:sz w:val="22"/>
          <w:szCs w:val="22"/>
        </w:rPr>
        <w:t>Community Policing, Chicago Style</w:t>
      </w:r>
      <w:r w:rsidRPr="0065271F">
        <w:rPr>
          <w:sz w:val="22"/>
          <w:szCs w:val="22"/>
        </w:rPr>
        <w:t>. New York: Oxford University Press.</w:t>
      </w:r>
    </w:p>
    <w:p w14:paraId="7BF2359F" w14:textId="77777777" w:rsidR="004E325A" w:rsidRPr="0065271F" w:rsidRDefault="004E325A" w:rsidP="004E325A">
      <w:pPr>
        <w:spacing w:after="160" w:line="259" w:lineRule="auto"/>
        <w:rPr>
          <w:sz w:val="22"/>
          <w:szCs w:val="22"/>
        </w:rPr>
      </w:pPr>
      <w:proofErr w:type="spellStart"/>
      <w:r w:rsidRPr="0065271F">
        <w:rPr>
          <w:sz w:val="22"/>
          <w:szCs w:val="22"/>
        </w:rPr>
        <w:t>Trojanowicz</w:t>
      </w:r>
      <w:proofErr w:type="spellEnd"/>
      <w:r w:rsidRPr="0065271F">
        <w:rPr>
          <w:sz w:val="22"/>
          <w:szCs w:val="22"/>
        </w:rPr>
        <w:t xml:space="preserve">, R. and </w:t>
      </w:r>
      <w:proofErr w:type="spellStart"/>
      <w:r w:rsidRPr="0065271F">
        <w:rPr>
          <w:sz w:val="22"/>
          <w:szCs w:val="22"/>
        </w:rPr>
        <w:t>Bucqueroux</w:t>
      </w:r>
      <w:proofErr w:type="spellEnd"/>
      <w:r w:rsidRPr="0065271F">
        <w:rPr>
          <w:sz w:val="22"/>
          <w:szCs w:val="22"/>
        </w:rPr>
        <w:t xml:space="preserve">, B. (1990). </w:t>
      </w:r>
      <w:r w:rsidRPr="0065271F">
        <w:rPr>
          <w:i/>
          <w:iCs/>
          <w:sz w:val="22"/>
          <w:szCs w:val="22"/>
        </w:rPr>
        <w:t>Community Policing: A Contemporary Perspective</w:t>
      </w:r>
      <w:r w:rsidRPr="0065271F">
        <w:rPr>
          <w:sz w:val="22"/>
          <w:szCs w:val="22"/>
        </w:rPr>
        <w:t>. Cincinnati: Anderson Publishing.</w:t>
      </w:r>
    </w:p>
    <w:p w14:paraId="1600150B" w14:textId="77777777" w:rsidR="004E325A" w:rsidRPr="0065271F" w:rsidRDefault="004E325A" w:rsidP="004E325A">
      <w:pPr>
        <w:spacing w:after="160" w:line="259" w:lineRule="auto"/>
        <w:rPr>
          <w:sz w:val="22"/>
          <w:szCs w:val="22"/>
        </w:rPr>
      </w:pPr>
      <w:r w:rsidRPr="0065271F">
        <w:rPr>
          <w:sz w:val="22"/>
          <w:szCs w:val="22"/>
        </w:rPr>
        <w:t xml:space="preserve">Tyler, T. R. (2004). </w:t>
      </w:r>
      <w:r w:rsidRPr="0065271F">
        <w:rPr>
          <w:i/>
          <w:iCs/>
          <w:sz w:val="22"/>
          <w:szCs w:val="22"/>
        </w:rPr>
        <w:t>Enhancing Police Legitimacy. The ANNALS of the American Academy of Political and Social Science,</w:t>
      </w:r>
      <w:r w:rsidRPr="0065271F">
        <w:rPr>
          <w:sz w:val="22"/>
          <w:szCs w:val="22"/>
        </w:rPr>
        <w:t xml:space="preserve"> 593(1), pp.84-99.</w:t>
      </w:r>
    </w:p>
    <w:p w14:paraId="1C33F947" w14:textId="77777777" w:rsidR="004E325A" w:rsidRPr="0065271F" w:rsidRDefault="004E325A" w:rsidP="004E325A">
      <w:pPr>
        <w:spacing w:after="160" w:line="259" w:lineRule="auto"/>
        <w:rPr>
          <w:sz w:val="22"/>
          <w:szCs w:val="22"/>
        </w:rPr>
      </w:pPr>
      <w:r w:rsidRPr="0065271F">
        <w:rPr>
          <w:sz w:val="22"/>
          <w:szCs w:val="22"/>
        </w:rPr>
        <w:t xml:space="preserve">UK Government. (2011). </w:t>
      </w:r>
      <w:r w:rsidRPr="0065271F">
        <w:rPr>
          <w:i/>
          <w:iCs/>
          <w:sz w:val="22"/>
          <w:szCs w:val="22"/>
        </w:rPr>
        <w:t>Achieving Best Evidence in Criminal Proceedings: Guidance on Interviewing Victims and Witnesses and Guidance on Using Special Measures</w:t>
      </w:r>
      <w:r w:rsidRPr="0065271F">
        <w:rPr>
          <w:sz w:val="22"/>
          <w:szCs w:val="22"/>
        </w:rPr>
        <w:t>. Available at: [</w:t>
      </w:r>
      <w:hyperlink r:id="rId16" w:history="1">
        <w:r w:rsidRPr="004E325A">
          <w:rPr>
            <w:rStyle w:val="Hyperlink"/>
            <w:sz w:val="22"/>
            <w:szCs w:val="22"/>
          </w:rPr>
          <w:t>Achieving best evidence in criminal proceedings - GOV.UK (www.gov.uk)</w:t>
        </w:r>
      </w:hyperlink>
      <w:r w:rsidRPr="0065271F">
        <w:rPr>
          <w:sz w:val="22"/>
          <w:szCs w:val="22"/>
        </w:rPr>
        <w:t xml:space="preserve">] (Accessed: </w:t>
      </w:r>
      <w:r w:rsidRPr="004E325A">
        <w:rPr>
          <w:sz w:val="22"/>
          <w:szCs w:val="22"/>
        </w:rPr>
        <w:t>2 Aug 2024</w:t>
      </w:r>
      <w:r w:rsidRPr="0065271F">
        <w:rPr>
          <w:sz w:val="22"/>
          <w:szCs w:val="22"/>
        </w:rPr>
        <w:t>).</w:t>
      </w:r>
    </w:p>
    <w:p w14:paraId="10EEC7B4" w14:textId="77777777" w:rsidR="004E325A" w:rsidRPr="004E325A" w:rsidRDefault="004E325A" w:rsidP="004E325A">
      <w:pPr>
        <w:pStyle w:val="NormalWeb"/>
        <w:shd w:val="clear" w:color="auto" w:fill="FFFFFF"/>
        <w:spacing w:before="0" w:beforeAutospacing="0" w:after="173" w:afterAutospacing="0"/>
        <w:rPr>
          <w:rFonts w:ascii="Arial" w:hAnsi="Arial" w:cs="Arial"/>
          <w:color w:val="000000"/>
          <w:sz w:val="22"/>
          <w:szCs w:val="22"/>
        </w:rPr>
      </w:pPr>
      <w:r w:rsidRPr="004E325A">
        <w:rPr>
          <w:rFonts w:ascii="Arial" w:hAnsi="Arial" w:cs="Arial"/>
          <w:color w:val="000000"/>
          <w:sz w:val="22"/>
          <w:szCs w:val="22"/>
        </w:rPr>
        <w:t xml:space="preserve">UK GOVERNMENT, 26/04/, 2024-last update, </w:t>
      </w:r>
      <w:r w:rsidRPr="004E325A">
        <w:rPr>
          <w:rFonts w:ascii="Arial" w:hAnsi="Arial" w:cs="Arial"/>
          <w:i/>
          <w:iCs/>
          <w:color w:val="000000"/>
          <w:sz w:val="22"/>
          <w:szCs w:val="22"/>
        </w:rPr>
        <w:t>Public Order Act 1986, Section 4A. Available</w:t>
      </w:r>
      <w:r w:rsidRPr="004E325A">
        <w:rPr>
          <w:rFonts w:ascii="Arial" w:hAnsi="Arial" w:cs="Arial"/>
          <w:color w:val="000000"/>
          <w:sz w:val="22"/>
          <w:szCs w:val="22"/>
        </w:rPr>
        <w:t>: </w:t>
      </w:r>
      <w:hyperlink r:id="rId17" w:tgtFrame="_blank" w:history="1">
        <w:r w:rsidRPr="004E325A">
          <w:rPr>
            <w:rStyle w:val="Hyperlink"/>
            <w:rFonts w:ascii="Arial" w:hAnsi="Arial" w:cs="Arial"/>
            <w:color w:val="0066CC"/>
            <w:sz w:val="22"/>
            <w:szCs w:val="22"/>
          </w:rPr>
          <w:t>https://www.legislation.gov.uk/ukpga/1986/64/section/4A</w:t>
        </w:r>
      </w:hyperlink>
      <w:r w:rsidRPr="004E325A">
        <w:rPr>
          <w:rFonts w:ascii="Arial" w:hAnsi="Arial" w:cs="Arial"/>
          <w:color w:val="000000"/>
          <w:sz w:val="22"/>
          <w:szCs w:val="22"/>
        </w:rPr>
        <w:t> [Accessed 26 Apr. 2024].</w:t>
      </w:r>
    </w:p>
    <w:p w14:paraId="336FECA1" w14:textId="77777777" w:rsidR="004E325A" w:rsidRPr="0065271F" w:rsidRDefault="004E325A" w:rsidP="004E325A">
      <w:pPr>
        <w:spacing w:after="160" w:line="259" w:lineRule="auto"/>
        <w:rPr>
          <w:sz w:val="22"/>
          <w:szCs w:val="22"/>
        </w:rPr>
      </w:pPr>
      <w:r w:rsidRPr="0065271F">
        <w:rPr>
          <w:sz w:val="22"/>
          <w:szCs w:val="22"/>
        </w:rPr>
        <w:t xml:space="preserve">Walby, S., Towers, J., &amp; Francis, B. (2016). </w:t>
      </w:r>
      <w:r w:rsidRPr="0065271F">
        <w:rPr>
          <w:i/>
          <w:iCs/>
          <w:sz w:val="22"/>
          <w:szCs w:val="22"/>
        </w:rPr>
        <w:t>The Effectiveness of Interventions to Reduce Domestic Violence. Department for International Development</w:t>
      </w:r>
      <w:r w:rsidRPr="0065271F">
        <w:rPr>
          <w:sz w:val="22"/>
          <w:szCs w:val="22"/>
        </w:rPr>
        <w:t xml:space="preserve">. </w:t>
      </w:r>
    </w:p>
    <w:p w14:paraId="67D5A4B8" w14:textId="77777777" w:rsidR="004E325A" w:rsidRPr="004E325A" w:rsidRDefault="004E325A" w:rsidP="004E325A">
      <w:pPr>
        <w:rPr>
          <w:sz w:val="22"/>
          <w:szCs w:val="22"/>
        </w:rPr>
      </w:pPr>
      <w:r w:rsidRPr="0065271F">
        <w:rPr>
          <w:sz w:val="22"/>
          <w:szCs w:val="22"/>
        </w:rPr>
        <w:t xml:space="preserve">Women's Aid. (n.d.). </w:t>
      </w:r>
      <w:r w:rsidRPr="0065271F">
        <w:rPr>
          <w:i/>
          <w:iCs/>
          <w:sz w:val="22"/>
          <w:szCs w:val="22"/>
        </w:rPr>
        <w:t>Support for Domestic Violence Victims.</w:t>
      </w:r>
      <w:r w:rsidRPr="0065271F">
        <w:rPr>
          <w:sz w:val="22"/>
          <w:szCs w:val="22"/>
        </w:rPr>
        <w:t xml:space="preserve"> Available at: [</w:t>
      </w:r>
      <w:hyperlink r:id="rId18" w:history="1">
        <w:r w:rsidRPr="004E325A">
          <w:rPr>
            <w:rStyle w:val="Hyperlink"/>
            <w:sz w:val="22"/>
            <w:szCs w:val="22"/>
          </w:rPr>
          <w:t>Supporting survivors - Women’s Aid (womensaid.org.uk)</w:t>
        </w:r>
      </w:hyperlink>
      <w:r w:rsidRPr="0065271F">
        <w:rPr>
          <w:sz w:val="22"/>
          <w:szCs w:val="22"/>
        </w:rPr>
        <w:t>] (</w:t>
      </w:r>
      <w:r w:rsidRPr="004E325A">
        <w:rPr>
          <w:sz w:val="22"/>
          <w:szCs w:val="22"/>
        </w:rPr>
        <w:t>1 Aug 2024</w:t>
      </w:r>
      <w:r w:rsidRPr="0065271F">
        <w:rPr>
          <w:sz w:val="22"/>
          <w:szCs w:val="22"/>
        </w:rPr>
        <w:t>]).</w:t>
      </w:r>
    </w:p>
    <w:p w14:paraId="25F8B585" w14:textId="77777777" w:rsidR="004E325A" w:rsidRPr="004E325A" w:rsidRDefault="004E325A" w:rsidP="004E325A">
      <w:pPr>
        <w:rPr>
          <w:sz w:val="22"/>
          <w:szCs w:val="22"/>
        </w:rPr>
      </w:pPr>
    </w:p>
    <w:p w14:paraId="0A1D0495" w14:textId="77777777" w:rsidR="004E325A" w:rsidRPr="004E325A" w:rsidRDefault="004E325A" w:rsidP="004E325A">
      <w:pPr>
        <w:rPr>
          <w:sz w:val="22"/>
          <w:szCs w:val="22"/>
        </w:rPr>
      </w:pPr>
      <w:r w:rsidRPr="004E325A">
        <w:rPr>
          <w:sz w:val="22"/>
          <w:szCs w:val="22"/>
        </w:rPr>
        <w:t xml:space="preserve">World Health Organization. (2021). </w:t>
      </w:r>
      <w:r w:rsidRPr="004E325A">
        <w:rPr>
          <w:i/>
          <w:iCs/>
          <w:sz w:val="22"/>
          <w:szCs w:val="22"/>
        </w:rPr>
        <w:t>Violence against women prevalence estimates,</w:t>
      </w:r>
      <w:r w:rsidRPr="004E325A">
        <w:rPr>
          <w:sz w:val="22"/>
          <w:szCs w:val="22"/>
        </w:rPr>
        <w:t xml:space="preserve"> 2018. Geneva: WHO.</w:t>
      </w:r>
    </w:p>
    <w:p w14:paraId="2D456C9B" w14:textId="77777777" w:rsidR="000A1A8A" w:rsidRDefault="000A1A8A" w:rsidP="00340E9A">
      <w:pPr>
        <w:keepNext/>
        <w:spacing w:before="240" w:after="60"/>
        <w:ind w:right="237"/>
        <w:jc w:val="both"/>
        <w:rPr>
          <w:bCs/>
          <w:sz w:val="24"/>
          <w:szCs w:val="24"/>
        </w:rPr>
      </w:pPr>
    </w:p>
    <w:p w14:paraId="00C307FA" w14:textId="77777777" w:rsidR="0061690D" w:rsidRDefault="0061690D" w:rsidP="00340E9A">
      <w:pPr>
        <w:keepNext/>
        <w:spacing w:before="240" w:after="60"/>
        <w:ind w:right="237"/>
        <w:jc w:val="both"/>
        <w:rPr>
          <w:bCs/>
          <w:sz w:val="24"/>
          <w:szCs w:val="24"/>
        </w:rPr>
      </w:pPr>
    </w:p>
    <w:p w14:paraId="3A10165B" w14:textId="0CC8E5EA" w:rsidR="0061690D" w:rsidRDefault="0061690D" w:rsidP="00340E9A">
      <w:pPr>
        <w:keepNext/>
        <w:spacing w:before="240" w:after="60"/>
        <w:ind w:right="237"/>
        <w:jc w:val="both"/>
        <w:rPr>
          <w:bCs/>
          <w:sz w:val="24"/>
          <w:szCs w:val="24"/>
        </w:rPr>
      </w:pPr>
      <w:r>
        <w:rPr>
          <w:bCs/>
          <w:sz w:val="24"/>
          <w:szCs w:val="24"/>
        </w:rPr>
        <w:t xml:space="preserve">New </w:t>
      </w:r>
      <w:proofErr w:type="spellStart"/>
      <w:r>
        <w:rPr>
          <w:bCs/>
          <w:sz w:val="24"/>
          <w:szCs w:val="24"/>
        </w:rPr>
        <w:t>Bibiography</w:t>
      </w:r>
      <w:proofErr w:type="spellEnd"/>
    </w:p>
    <w:p w14:paraId="28C4F879" w14:textId="77777777" w:rsidR="0061690D" w:rsidRPr="0061690D" w:rsidRDefault="0061690D" w:rsidP="0061690D">
      <w:pPr>
        <w:keepNext/>
        <w:spacing w:before="240" w:after="60"/>
        <w:ind w:right="237"/>
        <w:jc w:val="both"/>
        <w:rPr>
          <w:bCs/>
          <w:sz w:val="24"/>
          <w:szCs w:val="24"/>
        </w:rPr>
      </w:pPr>
      <w:r w:rsidRPr="0061690D">
        <w:rPr>
          <w:bCs/>
          <w:sz w:val="24"/>
          <w:szCs w:val="24"/>
        </w:rPr>
        <w:t>Ashby, M. (2017). The Value of CCTV Surveillance Cameras as an Investigative Tool: An Empirical Analysis. European Journal on Criminal Policy and Research, 23(3), pp.441-459.</w:t>
      </w:r>
    </w:p>
    <w:p w14:paraId="277CF1C8"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Braithwaite, J. (2004). Restorative Justice and De-Professionalization. The Good Society, 13(1), pp.28-31.</w:t>
      </w:r>
    </w:p>
    <w:p w14:paraId="7F54457E"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Chakraborti, N. and Garland, J. (2012). Hate Crime: Impact, Causes and Responses. London: SAGE Publications.</w:t>
      </w:r>
    </w:p>
    <w:p w14:paraId="5EFAE9AF"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Garland, J. (2014). Hate Crime Victimisation and the Globalisation of Policy and Practice. Australian &amp; New Zealand Journal of Criminology, 47(2), pp.213-222.</w:t>
      </w:r>
    </w:p>
    <w:p w14:paraId="5AE3C29A"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Gill, M., Spriggs, A., Allen, J., Hemming, M., Jessiman, P. and Kara, D. (2005). Control Room Operation: Findings from Control Room Observations. Home Office Online Report 14/05. London: Home Office.</w:t>
      </w:r>
    </w:p>
    <w:p w14:paraId="6EAD7A97"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Herek, G. M., Gillis, J. R. and Cogan, J. C. (1999). Psychological Sequelae of Hate-Crime Victimization Among Lesbian, Gay, and Bisexual Adults. Journal of Consulting and Clinical Psychology, 67(6), pp.945-951.</w:t>
      </w:r>
    </w:p>
    <w:p w14:paraId="1044DB3C"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Lum, C., Koper, C. S. and Telep, C. W. (2011). The Evidence-Based Policing Matrix. Journal of Experimental Criminology, 7(1), pp.3-26.</w:t>
      </w:r>
    </w:p>
    <w:p w14:paraId="3C9B4152"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Lum, C., Koper, C. S. and Willis, J. J. (2017). Understanding the Limits of Technology’s Impact on Police Effectiveness. Police Quarterly, 20(2), pp.135-163.</w:t>
      </w:r>
    </w:p>
    <w:p w14:paraId="2B25CD4B"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Mazerolle, L. and Ransley, J. (2005). Third Party Policing. Cambridge: Cambridge University Press.</w:t>
      </w:r>
    </w:p>
    <w:p w14:paraId="64417C4D"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Myhill, A. and Quinton, P. (2011). Confidence, Neighbourhood Policing, and Contact: Drawing Together the Evidence. London: National Policing Improvement Agency.</w:t>
      </w:r>
    </w:p>
    <w:p w14:paraId="3F4A8FCE"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Sherman, L. W. (2013). The Rise of Evidence-Based Policing: Targeting, Testing, and Tracking. Crime and Justice, 42(1), pp.377-451.</w:t>
      </w:r>
    </w:p>
    <w:p w14:paraId="2A7BB904"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r>
      <w:proofErr w:type="spellStart"/>
      <w:r w:rsidRPr="0061690D">
        <w:rPr>
          <w:bCs/>
          <w:sz w:val="24"/>
          <w:szCs w:val="24"/>
        </w:rPr>
        <w:t>Skogan</w:t>
      </w:r>
      <w:proofErr w:type="spellEnd"/>
      <w:r w:rsidRPr="0061690D">
        <w:rPr>
          <w:bCs/>
          <w:sz w:val="24"/>
          <w:szCs w:val="24"/>
        </w:rPr>
        <w:t>, W. G. and Hartnett, S. M. (1997). Community Policing, Chicago Style. New York: Oxford University Press.</w:t>
      </w:r>
    </w:p>
    <w:p w14:paraId="6775867F" w14:textId="77777777" w:rsidR="0061690D" w:rsidRPr="0061690D" w:rsidRDefault="0061690D" w:rsidP="0061690D">
      <w:pPr>
        <w:keepNext/>
        <w:spacing w:before="240" w:after="60"/>
        <w:ind w:right="237"/>
        <w:jc w:val="both"/>
        <w:rPr>
          <w:bCs/>
          <w:sz w:val="24"/>
          <w:szCs w:val="24"/>
        </w:rPr>
      </w:pPr>
      <w:r w:rsidRPr="0061690D">
        <w:rPr>
          <w:bCs/>
          <w:sz w:val="24"/>
          <w:szCs w:val="24"/>
        </w:rPr>
        <w:lastRenderedPageBreak/>
        <w:tab/>
        <w:t>•</w:t>
      </w:r>
      <w:r w:rsidRPr="0061690D">
        <w:rPr>
          <w:bCs/>
          <w:sz w:val="24"/>
          <w:szCs w:val="24"/>
        </w:rPr>
        <w:tab/>
      </w:r>
      <w:proofErr w:type="spellStart"/>
      <w:r w:rsidRPr="0061690D">
        <w:rPr>
          <w:bCs/>
          <w:sz w:val="24"/>
          <w:szCs w:val="24"/>
        </w:rPr>
        <w:t>Trojanowicz</w:t>
      </w:r>
      <w:proofErr w:type="spellEnd"/>
      <w:r w:rsidRPr="0061690D">
        <w:rPr>
          <w:bCs/>
          <w:sz w:val="24"/>
          <w:szCs w:val="24"/>
        </w:rPr>
        <w:t xml:space="preserve">, R. and </w:t>
      </w:r>
      <w:proofErr w:type="spellStart"/>
      <w:r w:rsidRPr="0061690D">
        <w:rPr>
          <w:bCs/>
          <w:sz w:val="24"/>
          <w:szCs w:val="24"/>
        </w:rPr>
        <w:t>Bucqueroux</w:t>
      </w:r>
      <w:proofErr w:type="spellEnd"/>
      <w:r w:rsidRPr="0061690D">
        <w:rPr>
          <w:bCs/>
          <w:sz w:val="24"/>
          <w:szCs w:val="24"/>
        </w:rPr>
        <w:t>, B. (1990). Community Policing: A Contemporary Perspective. Cincinnati: Anderson Publishing.</w:t>
      </w:r>
    </w:p>
    <w:p w14:paraId="22B5B13F" w14:textId="77777777" w:rsidR="0061690D" w:rsidRPr="0061690D" w:rsidRDefault="0061690D" w:rsidP="0061690D">
      <w:pPr>
        <w:keepNext/>
        <w:spacing w:before="240" w:after="60"/>
        <w:ind w:right="237"/>
        <w:jc w:val="both"/>
        <w:rPr>
          <w:bCs/>
          <w:sz w:val="24"/>
          <w:szCs w:val="24"/>
        </w:rPr>
      </w:pPr>
      <w:r w:rsidRPr="0061690D">
        <w:rPr>
          <w:bCs/>
          <w:sz w:val="24"/>
          <w:szCs w:val="24"/>
        </w:rPr>
        <w:tab/>
        <w:t>•</w:t>
      </w:r>
      <w:r w:rsidRPr="0061690D">
        <w:rPr>
          <w:bCs/>
          <w:sz w:val="24"/>
          <w:szCs w:val="24"/>
        </w:rPr>
        <w:tab/>
        <w:t>Tyler, T. R. (2004). Enhancing Police Legitimacy. The ANNALS of the American Academy of Political and Social Science, 593(1), pp.84-99.</w:t>
      </w:r>
    </w:p>
    <w:p w14:paraId="4BB14170" w14:textId="77777777" w:rsidR="0061690D" w:rsidRPr="000A1A8A" w:rsidRDefault="0061690D" w:rsidP="00340E9A">
      <w:pPr>
        <w:keepNext/>
        <w:spacing w:before="240" w:after="60"/>
        <w:ind w:right="237"/>
        <w:jc w:val="both"/>
        <w:rPr>
          <w:bCs/>
          <w:sz w:val="24"/>
          <w:szCs w:val="24"/>
        </w:rPr>
      </w:pPr>
    </w:p>
    <w:sectPr w:rsidR="0061690D" w:rsidRPr="000A1A8A" w:rsidSect="000427D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15E7DC" w14:textId="77777777" w:rsidR="007E5961" w:rsidRDefault="007E5961">
      <w:r>
        <w:separator/>
      </w:r>
    </w:p>
  </w:endnote>
  <w:endnote w:type="continuationSeparator" w:id="0">
    <w:p w14:paraId="4327CFC9" w14:textId="77777777" w:rsidR="007E5961" w:rsidRDefault="007E59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752EE" w14:textId="77777777" w:rsidR="007E5961" w:rsidRDefault="007E5961">
      <w:r>
        <w:separator/>
      </w:r>
    </w:p>
  </w:footnote>
  <w:footnote w:type="continuationSeparator" w:id="0">
    <w:p w14:paraId="67DBB3B6" w14:textId="77777777" w:rsidR="007E5961" w:rsidRDefault="007E596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02"/>
    <w:rsid w:val="00003990"/>
    <w:rsid w:val="000045B8"/>
    <w:rsid w:val="00020EEC"/>
    <w:rsid w:val="00025650"/>
    <w:rsid w:val="00026FAB"/>
    <w:rsid w:val="00027B1F"/>
    <w:rsid w:val="0003088B"/>
    <w:rsid w:val="000325D9"/>
    <w:rsid w:val="000372B2"/>
    <w:rsid w:val="0004039B"/>
    <w:rsid w:val="0004079F"/>
    <w:rsid w:val="000427DD"/>
    <w:rsid w:val="00045B87"/>
    <w:rsid w:val="00045C07"/>
    <w:rsid w:val="00055D43"/>
    <w:rsid w:val="00056FAC"/>
    <w:rsid w:val="00057751"/>
    <w:rsid w:val="00062E39"/>
    <w:rsid w:val="0006580E"/>
    <w:rsid w:val="00080E58"/>
    <w:rsid w:val="00082F42"/>
    <w:rsid w:val="00083D99"/>
    <w:rsid w:val="00084EA6"/>
    <w:rsid w:val="00085699"/>
    <w:rsid w:val="00087891"/>
    <w:rsid w:val="00091F52"/>
    <w:rsid w:val="00092970"/>
    <w:rsid w:val="00092BC7"/>
    <w:rsid w:val="00093720"/>
    <w:rsid w:val="000938E6"/>
    <w:rsid w:val="00093B3C"/>
    <w:rsid w:val="0009488C"/>
    <w:rsid w:val="00095C1B"/>
    <w:rsid w:val="00096DEA"/>
    <w:rsid w:val="000A1A8A"/>
    <w:rsid w:val="000A4240"/>
    <w:rsid w:val="000A469A"/>
    <w:rsid w:val="000B1E96"/>
    <w:rsid w:val="000B5127"/>
    <w:rsid w:val="000C378F"/>
    <w:rsid w:val="000C6892"/>
    <w:rsid w:val="000C6FFE"/>
    <w:rsid w:val="000C7F52"/>
    <w:rsid w:val="000D0BB6"/>
    <w:rsid w:val="000D6E79"/>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1783"/>
    <w:rsid w:val="001447F6"/>
    <w:rsid w:val="00147DE3"/>
    <w:rsid w:val="00150794"/>
    <w:rsid w:val="001608C4"/>
    <w:rsid w:val="001666E2"/>
    <w:rsid w:val="001668C0"/>
    <w:rsid w:val="00171418"/>
    <w:rsid w:val="00190913"/>
    <w:rsid w:val="00191D4A"/>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0AA9"/>
    <w:rsid w:val="00211F65"/>
    <w:rsid w:val="00213A97"/>
    <w:rsid w:val="0022001B"/>
    <w:rsid w:val="00220D06"/>
    <w:rsid w:val="002219BA"/>
    <w:rsid w:val="002246A0"/>
    <w:rsid w:val="00224AF9"/>
    <w:rsid w:val="00230439"/>
    <w:rsid w:val="00235176"/>
    <w:rsid w:val="00236061"/>
    <w:rsid w:val="0024100E"/>
    <w:rsid w:val="00241C1B"/>
    <w:rsid w:val="002423B2"/>
    <w:rsid w:val="00242597"/>
    <w:rsid w:val="0024288B"/>
    <w:rsid w:val="00254D4F"/>
    <w:rsid w:val="00255D8E"/>
    <w:rsid w:val="002657E9"/>
    <w:rsid w:val="0026665E"/>
    <w:rsid w:val="00270EEB"/>
    <w:rsid w:val="0027147E"/>
    <w:rsid w:val="00274DE8"/>
    <w:rsid w:val="002761F4"/>
    <w:rsid w:val="002775E1"/>
    <w:rsid w:val="00277979"/>
    <w:rsid w:val="002808EB"/>
    <w:rsid w:val="0028095D"/>
    <w:rsid w:val="00280DE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B0C"/>
    <w:rsid w:val="002E7017"/>
    <w:rsid w:val="002F4CB8"/>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11AC"/>
    <w:rsid w:val="00365C9A"/>
    <w:rsid w:val="00365DF9"/>
    <w:rsid w:val="0036668D"/>
    <w:rsid w:val="00372DB4"/>
    <w:rsid w:val="0037490C"/>
    <w:rsid w:val="00375AF5"/>
    <w:rsid w:val="003761BD"/>
    <w:rsid w:val="003769F6"/>
    <w:rsid w:val="00385414"/>
    <w:rsid w:val="0038604D"/>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7AD2"/>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76A67"/>
    <w:rsid w:val="00482C17"/>
    <w:rsid w:val="004911B4"/>
    <w:rsid w:val="0049196A"/>
    <w:rsid w:val="004923DA"/>
    <w:rsid w:val="00493434"/>
    <w:rsid w:val="004962F9"/>
    <w:rsid w:val="004968E2"/>
    <w:rsid w:val="004A07F1"/>
    <w:rsid w:val="004A14C4"/>
    <w:rsid w:val="004A2A49"/>
    <w:rsid w:val="004A5A3E"/>
    <w:rsid w:val="004B600B"/>
    <w:rsid w:val="004B6822"/>
    <w:rsid w:val="004B69F6"/>
    <w:rsid w:val="004C2D3A"/>
    <w:rsid w:val="004D03C4"/>
    <w:rsid w:val="004D06C4"/>
    <w:rsid w:val="004D0BF1"/>
    <w:rsid w:val="004D24D2"/>
    <w:rsid w:val="004D358A"/>
    <w:rsid w:val="004D35A4"/>
    <w:rsid w:val="004D445F"/>
    <w:rsid w:val="004E087B"/>
    <w:rsid w:val="004E325A"/>
    <w:rsid w:val="004E44A4"/>
    <w:rsid w:val="004E7B8B"/>
    <w:rsid w:val="004E7BDD"/>
    <w:rsid w:val="004F1E21"/>
    <w:rsid w:val="004F740D"/>
    <w:rsid w:val="004F7B8F"/>
    <w:rsid w:val="00500748"/>
    <w:rsid w:val="005011D6"/>
    <w:rsid w:val="0050167A"/>
    <w:rsid w:val="005042F1"/>
    <w:rsid w:val="00510D6A"/>
    <w:rsid w:val="00513C7D"/>
    <w:rsid w:val="005169D1"/>
    <w:rsid w:val="005210E1"/>
    <w:rsid w:val="00521123"/>
    <w:rsid w:val="00521221"/>
    <w:rsid w:val="005227DD"/>
    <w:rsid w:val="00524772"/>
    <w:rsid w:val="005264F8"/>
    <w:rsid w:val="0052789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419"/>
    <w:rsid w:val="00582870"/>
    <w:rsid w:val="00586D89"/>
    <w:rsid w:val="005916B8"/>
    <w:rsid w:val="00593D00"/>
    <w:rsid w:val="005A1B4C"/>
    <w:rsid w:val="005A1BA3"/>
    <w:rsid w:val="005A545C"/>
    <w:rsid w:val="005C1567"/>
    <w:rsid w:val="005C35D3"/>
    <w:rsid w:val="005C6CE5"/>
    <w:rsid w:val="005C76DE"/>
    <w:rsid w:val="005D14A1"/>
    <w:rsid w:val="005D3F07"/>
    <w:rsid w:val="005D583E"/>
    <w:rsid w:val="005E13EA"/>
    <w:rsid w:val="005E53BD"/>
    <w:rsid w:val="005F41A7"/>
    <w:rsid w:val="00606E27"/>
    <w:rsid w:val="006108C9"/>
    <w:rsid w:val="00615C7E"/>
    <w:rsid w:val="0061690D"/>
    <w:rsid w:val="0062158D"/>
    <w:rsid w:val="00630F39"/>
    <w:rsid w:val="006326D1"/>
    <w:rsid w:val="00632E0A"/>
    <w:rsid w:val="00633165"/>
    <w:rsid w:val="00636B6C"/>
    <w:rsid w:val="006447DE"/>
    <w:rsid w:val="0065276E"/>
    <w:rsid w:val="00654329"/>
    <w:rsid w:val="00654CEC"/>
    <w:rsid w:val="00655507"/>
    <w:rsid w:val="0067054F"/>
    <w:rsid w:val="006712A7"/>
    <w:rsid w:val="006733CC"/>
    <w:rsid w:val="00674FC2"/>
    <w:rsid w:val="00677E42"/>
    <w:rsid w:val="00682334"/>
    <w:rsid w:val="00684B16"/>
    <w:rsid w:val="00694C00"/>
    <w:rsid w:val="00696F65"/>
    <w:rsid w:val="006A7A6D"/>
    <w:rsid w:val="006B5E67"/>
    <w:rsid w:val="006B63C4"/>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542"/>
    <w:rsid w:val="0072678F"/>
    <w:rsid w:val="00727C4C"/>
    <w:rsid w:val="00734809"/>
    <w:rsid w:val="0073644B"/>
    <w:rsid w:val="007406E1"/>
    <w:rsid w:val="00743E40"/>
    <w:rsid w:val="00751263"/>
    <w:rsid w:val="0075704F"/>
    <w:rsid w:val="00760613"/>
    <w:rsid w:val="00763AE9"/>
    <w:rsid w:val="00763B2D"/>
    <w:rsid w:val="00772924"/>
    <w:rsid w:val="00784EC4"/>
    <w:rsid w:val="007872F2"/>
    <w:rsid w:val="007874BC"/>
    <w:rsid w:val="007908E0"/>
    <w:rsid w:val="00793EB3"/>
    <w:rsid w:val="00794205"/>
    <w:rsid w:val="00797012"/>
    <w:rsid w:val="007A1F6A"/>
    <w:rsid w:val="007A7F07"/>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5961"/>
    <w:rsid w:val="007F3F7E"/>
    <w:rsid w:val="007F40D0"/>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7E07"/>
    <w:rsid w:val="008B07DE"/>
    <w:rsid w:val="008B28E7"/>
    <w:rsid w:val="008C14C7"/>
    <w:rsid w:val="008C2FFB"/>
    <w:rsid w:val="008C6EEA"/>
    <w:rsid w:val="008D4629"/>
    <w:rsid w:val="008D5813"/>
    <w:rsid w:val="008D634E"/>
    <w:rsid w:val="008D778A"/>
    <w:rsid w:val="008E12C3"/>
    <w:rsid w:val="008F22BD"/>
    <w:rsid w:val="00902C17"/>
    <w:rsid w:val="009079BD"/>
    <w:rsid w:val="00912BD9"/>
    <w:rsid w:val="00916CFB"/>
    <w:rsid w:val="00920E5B"/>
    <w:rsid w:val="009249F8"/>
    <w:rsid w:val="00926436"/>
    <w:rsid w:val="00926918"/>
    <w:rsid w:val="0093018C"/>
    <w:rsid w:val="00932CCA"/>
    <w:rsid w:val="00935020"/>
    <w:rsid w:val="009544C0"/>
    <w:rsid w:val="00954FA4"/>
    <w:rsid w:val="00956AE9"/>
    <w:rsid w:val="009573B7"/>
    <w:rsid w:val="0096130E"/>
    <w:rsid w:val="00964CC6"/>
    <w:rsid w:val="009874C6"/>
    <w:rsid w:val="00991FDA"/>
    <w:rsid w:val="009927A1"/>
    <w:rsid w:val="00995F8E"/>
    <w:rsid w:val="0099774D"/>
    <w:rsid w:val="009A310E"/>
    <w:rsid w:val="009A5F3B"/>
    <w:rsid w:val="009B0B61"/>
    <w:rsid w:val="009B28C0"/>
    <w:rsid w:val="009B395A"/>
    <w:rsid w:val="009B7136"/>
    <w:rsid w:val="009B7806"/>
    <w:rsid w:val="009C3AC2"/>
    <w:rsid w:val="009C65CA"/>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457F"/>
    <w:rsid w:val="00A25F64"/>
    <w:rsid w:val="00A26B06"/>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A44"/>
    <w:rsid w:val="00A94C5E"/>
    <w:rsid w:val="00AA241A"/>
    <w:rsid w:val="00AA252C"/>
    <w:rsid w:val="00AA666E"/>
    <w:rsid w:val="00AB04E5"/>
    <w:rsid w:val="00AB2B60"/>
    <w:rsid w:val="00AB5518"/>
    <w:rsid w:val="00AC01D4"/>
    <w:rsid w:val="00AC4A04"/>
    <w:rsid w:val="00AD336F"/>
    <w:rsid w:val="00AD3550"/>
    <w:rsid w:val="00AD5B7D"/>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1D73"/>
    <w:rsid w:val="00B558EB"/>
    <w:rsid w:val="00B577D3"/>
    <w:rsid w:val="00B60466"/>
    <w:rsid w:val="00B6548F"/>
    <w:rsid w:val="00B7502A"/>
    <w:rsid w:val="00B76C1B"/>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281C"/>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C0"/>
    <w:rsid w:val="00C54AED"/>
    <w:rsid w:val="00C55B2F"/>
    <w:rsid w:val="00C63D00"/>
    <w:rsid w:val="00C6441B"/>
    <w:rsid w:val="00C65F0D"/>
    <w:rsid w:val="00C7108B"/>
    <w:rsid w:val="00C8089F"/>
    <w:rsid w:val="00C82250"/>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5126"/>
    <w:rsid w:val="00CF1E90"/>
    <w:rsid w:val="00CF3DB3"/>
    <w:rsid w:val="00D052BC"/>
    <w:rsid w:val="00D07026"/>
    <w:rsid w:val="00D07BAB"/>
    <w:rsid w:val="00D11C62"/>
    <w:rsid w:val="00D12CAC"/>
    <w:rsid w:val="00D16CA6"/>
    <w:rsid w:val="00D22C8F"/>
    <w:rsid w:val="00D33491"/>
    <w:rsid w:val="00D44F8E"/>
    <w:rsid w:val="00D44FD0"/>
    <w:rsid w:val="00D539FB"/>
    <w:rsid w:val="00D5733C"/>
    <w:rsid w:val="00D57617"/>
    <w:rsid w:val="00D607EF"/>
    <w:rsid w:val="00D60F88"/>
    <w:rsid w:val="00D625E7"/>
    <w:rsid w:val="00D646BD"/>
    <w:rsid w:val="00D70239"/>
    <w:rsid w:val="00D71201"/>
    <w:rsid w:val="00D720C7"/>
    <w:rsid w:val="00D77A04"/>
    <w:rsid w:val="00D81D06"/>
    <w:rsid w:val="00D84BBF"/>
    <w:rsid w:val="00D8652C"/>
    <w:rsid w:val="00D876E6"/>
    <w:rsid w:val="00DA0821"/>
    <w:rsid w:val="00DA1025"/>
    <w:rsid w:val="00DA22EC"/>
    <w:rsid w:val="00DA5860"/>
    <w:rsid w:val="00DB1A49"/>
    <w:rsid w:val="00DB2767"/>
    <w:rsid w:val="00DC4729"/>
    <w:rsid w:val="00DE556F"/>
    <w:rsid w:val="00E03B6D"/>
    <w:rsid w:val="00E0649E"/>
    <w:rsid w:val="00E164C6"/>
    <w:rsid w:val="00E17160"/>
    <w:rsid w:val="00E35BEC"/>
    <w:rsid w:val="00E42DF0"/>
    <w:rsid w:val="00E50821"/>
    <w:rsid w:val="00E50EF8"/>
    <w:rsid w:val="00E51F91"/>
    <w:rsid w:val="00E65C0E"/>
    <w:rsid w:val="00E676F7"/>
    <w:rsid w:val="00E7086E"/>
    <w:rsid w:val="00E7184A"/>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6381"/>
    <w:rsid w:val="00EA7728"/>
    <w:rsid w:val="00EB2173"/>
    <w:rsid w:val="00EB62E6"/>
    <w:rsid w:val="00EC02C6"/>
    <w:rsid w:val="00ED1B30"/>
    <w:rsid w:val="00ED250E"/>
    <w:rsid w:val="00ED6535"/>
    <w:rsid w:val="00EE1AC1"/>
    <w:rsid w:val="00EE39D6"/>
    <w:rsid w:val="00EE413C"/>
    <w:rsid w:val="00EE52AD"/>
    <w:rsid w:val="00F01F92"/>
    <w:rsid w:val="00F03B44"/>
    <w:rsid w:val="00F10A08"/>
    <w:rsid w:val="00F139CF"/>
    <w:rsid w:val="00F22AC5"/>
    <w:rsid w:val="00F254D1"/>
    <w:rsid w:val="00F314BC"/>
    <w:rsid w:val="00F32B82"/>
    <w:rsid w:val="00F4043E"/>
    <w:rsid w:val="00F40CB5"/>
    <w:rsid w:val="00F41BBC"/>
    <w:rsid w:val="00F43B9D"/>
    <w:rsid w:val="00F444F0"/>
    <w:rsid w:val="00F50847"/>
    <w:rsid w:val="00F53F27"/>
    <w:rsid w:val="00F546D1"/>
    <w:rsid w:val="00F56E62"/>
    <w:rsid w:val="00F6513F"/>
    <w:rsid w:val="00F66272"/>
    <w:rsid w:val="00F6ACA0"/>
    <w:rsid w:val="00F709C0"/>
    <w:rsid w:val="00F85346"/>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2EFF"/>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PlainText">
    <w:name w:val="Plain Text"/>
    <w:basedOn w:val="Normal"/>
    <w:link w:val="PlainTextChar"/>
    <w:uiPriority w:val="99"/>
    <w:semiHidden/>
    <w:unhideWhenUsed/>
    <w:rsid w:val="000A1A8A"/>
    <w:pPr>
      <w:overflowPunct/>
      <w:autoSpaceDE/>
      <w:autoSpaceDN/>
      <w:adjustRightInd/>
      <w:textAlignment w:val="auto"/>
    </w:pPr>
    <w:rPr>
      <w:rFonts w:ascii="Calibr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0A1A8A"/>
    <w:rPr>
      <w:rFonts w:ascii="Calibri" w:hAnsi="Calibri" w:cstheme="minorBidi"/>
      <w:kern w:val="2"/>
      <w:sz w:val="22"/>
      <w:szCs w:val="21"/>
      <w:lang w:eastAsia="en-US"/>
      <w14:ligatures w14:val="standardContextual"/>
    </w:rPr>
  </w:style>
  <w:style w:type="paragraph" w:styleId="NormalWeb">
    <w:name w:val="Normal (Web)"/>
    <w:basedOn w:val="Normal"/>
    <w:uiPriority w:val="99"/>
    <w:semiHidden/>
    <w:unhideWhenUsed/>
    <w:rsid w:val="000A1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604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37685268">
      <w:bodyDiv w:val="1"/>
      <w:marLeft w:val="0"/>
      <w:marRight w:val="0"/>
      <w:marTop w:val="0"/>
      <w:marBottom w:val="0"/>
      <w:divBdr>
        <w:top w:val="none" w:sz="0" w:space="0" w:color="auto"/>
        <w:left w:val="none" w:sz="0" w:space="0" w:color="auto"/>
        <w:bottom w:val="none" w:sz="0" w:space="0" w:color="auto"/>
        <w:right w:val="none" w:sz="0" w:space="0" w:color="auto"/>
      </w:divBdr>
    </w:div>
    <w:div w:id="9343620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891452">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2807188">
      <w:bodyDiv w:val="1"/>
      <w:marLeft w:val="0"/>
      <w:marRight w:val="0"/>
      <w:marTop w:val="0"/>
      <w:marBottom w:val="0"/>
      <w:divBdr>
        <w:top w:val="none" w:sz="0" w:space="0" w:color="auto"/>
        <w:left w:val="none" w:sz="0" w:space="0" w:color="auto"/>
        <w:bottom w:val="none" w:sz="0" w:space="0" w:color="auto"/>
        <w:right w:val="none" w:sz="0" w:space="0" w:color="auto"/>
      </w:divBdr>
    </w:div>
    <w:div w:id="15790505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omensaid.org.uk/what-we-do/supporting-survivors/"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6/64/section/4A" TargetMode="External"/><Relationship Id="rId2" Type="http://schemas.openxmlformats.org/officeDocument/2006/relationships/customXml" Target="../customXml/item2.xml"/><Relationship Id="rId16" Type="http://schemas.openxmlformats.org/officeDocument/2006/relationships/hyperlink" Target="https://www.gov.uk/government/publications/achieving-best-evidence-in-criminal-proceeding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25</Pages>
  <Words>6885</Words>
  <Characters>39251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Pepperell,Simon swp8524</cp:lastModifiedBy>
  <cp:revision>4</cp:revision>
  <cp:lastPrinted>2014-08-26T08:55:00Z</cp:lastPrinted>
  <dcterms:created xsi:type="dcterms:W3CDTF">2024-07-16T10:33:00Z</dcterms:created>
  <dcterms:modified xsi:type="dcterms:W3CDTF">2024-08-02T13:19:00Z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2024-04-17T12:12:02Z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c6c45318-8b79-401c-b8ae-843e4acba286</vt:lpwstr>
  </property>
  <property fmtid="{D5CDD505-2E9C-101B-9397-08002B2CF9AE}" pid="9" name="MSIP_Label_66cf8fe5-b7b7-4df7-b38d-1c61ac2f6639_ContentBits">
    <vt:lpwstr>0</vt:lpwstr>
  </property>
</Properties>
</file>