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F2814" w:rsidRDefault="00C31D85" w:rsidP="00126B52">
      <w:pPr>
        <w:spacing w:after="0"/>
        <w:ind w:left="426"/>
        <w:rPr>
          <w:rFonts w:cs="Arial"/>
          <w:lang w:val="en-GB"/>
        </w:rPr>
      </w:pPr>
      <w:r w:rsidRPr="00EF2814">
        <w:rPr>
          <w:noProof/>
          <w:lang w:val="en-GB" w:eastAsia="en-IN"/>
        </w:rPr>
        <w:drawing>
          <wp:anchor distT="0" distB="0" distL="114300" distR="114300" simplePos="0" relativeHeight="251659264" behindDoc="1" locked="0" layoutInCell="1" allowOverlap="1" wp14:anchorId="309E58E3" wp14:editId="0DFB4E3D">
            <wp:simplePos x="0" y="0"/>
            <wp:positionH relativeFrom="margin">
              <wp:align>center</wp:align>
            </wp:positionH>
            <wp:positionV relativeFrom="paragraph">
              <wp:posOffset>7620</wp:posOffset>
            </wp:positionV>
            <wp:extent cx="3291840" cy="1052830"/>
            <wp:effectExtent l="0" t="0" r="0" b="0"/>
            <wp:wrapTight wrapText="bothSides">
              <wp:wrapPolygon edited="0">
                <wp:start x="875" y="3127"/>
                <wp:lineTo x="875" y="11334"/>
                <wp:lineTo x="1875" y="16415"/>
                <wp:lineTo x="2500" y="17978"/>
                <wp:lineTo x="7375" y="17978"/>
                <wp:lineTo x="13375" y="17197"/>
                <wp:lineTo x="15000" y="16415"/>
                <wp:lineTo x="17375" y="12897"/>
                <wp:lineTo x="17250" y="10162"/>
                <wp:lineTo x="21375" y="8598"/>
                <wp:lineTo x="21375" y="5081"/>
                <wp:lineTo x="19375" y="3127"/>
                <wp:lineTo x="875" y="312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3291840" cy="10528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253CFB" w14:textId="2DFFF591" w:rsidR="00ED1049" w:rsidRPr="00EF2814" w:rsidRDefault="00ED1049" w:rsidP="00126B52">
      <w:pPr>
        <w:spacing w:after="0"/>
        <w:ind w:left="426"/>
        <w:rPr>
          <w:rFonts w:cs="Arial"/>
          <w:szCs w:val="24"/>
          <w:lang w:val="en-GB"/>
        </w:rPr>
      </w:pPr>
    </w:p>
    <w:p w14:paraId="41A133E3" w14:textId="77777777" w:rsidR="00ED1049" w:rsidRPr="00EF2814" w:rsidRDefault="00ED1049" w:rsidP="00126B52">
      <w:pPr>
        <w:spacing w:after="0"/>
        <w:ind w:left="426"/>
        <w:rPr>
          <w:rFonts w:cs="Arial"/>
          <w:szCs w:val="24"/>
          <w:lang w:val="en-GB"/>
        </w:rPr>
      </w:pPr>
    </w:p>
    <w:p w14:paraId="605068F9" w14:textId="77777777" w:rsidR="00ED1049" w:rsidRPr="00EF2814" w:rsidRDefault="00ED1049" w:rsidP="00126B52">
      <w:pPr>
        <w:spacing w:after="0"/>
        <w:ind w:left="426"/>
        <w:rPr>
          <w:rFonts w:cs="Arial"/>
          <w:szCs w:val="24"/>
          <w:lang w:val="en-GB"/>
        </w:rPr>
      </w:pPr>
    </w:p>
    <w:p w14:paraId="543861DF" w14:textId="77777777" w:rsidR="00ED1049" w:rsidRPr="00EF2814" w:rsidRDefault="00ED1049" w:rsidP="00126B52">
      <w:pPr>
        <w:spacing w:after="0"/>
        <w:rPr>
          <w:rFonts w:cs="Arial"/>
          <w:lang w:val="en-GB"/>
        </w:rPr>
      </w:pPr>
    </w:p>
    <w:p w14:paraId="1B9C9B98" w14:textId="77777777" w:rsidR="00C31D85" w:rsidRPr="00EF2814" w:rsidRDefault="00C31D85" w:rsidP="00126B52">
      <w:pPr>
        <w:spacing w:after="0"/>
        <w:jc w:val="center"/>
        <w:rPr>
          <w:rFonts w:ascii="Aptos" w:hAnsi="Aptos"/>
          <w:b/>
          <w:bCs/>
          <w:sz w:val="36"/>
          <w:szCs w:val="36"/>
          <w:lang w:val="en-GB"/>
        </w:rPr>
      </w:pPr>
    </w:p>
    <w:p w14:paraId="4DDD8929" w14:textId="77777777" w:rsidR="005E31A6" w:rsidRPr="00EF2814" w:rsidRDefault="005E31A6" w:rsidP="000702A0">
      <w:pPr>
        <w:spacing w:before="240" w:after="0"/>
        <w:jc w:val="center"/>
        <w:rPr>
          <w:rFonts w:eastAsia="Times New Roman" w:cs="Arial"/>
          <w:b/>
          <w:bCs/>
          <w:sz w:val="28"/>
          <w:szCs w:val="28"/>
          <w:highlight w:val="white"/>
          <w:lang w:val="en-GB"/>
        </w:rPr>
      </w:pPr>
      <w:r w:rsidRPr="00EF2814">
        <w:rPr>
          <w:rFonts w:eastAsia="Times New Roman" w:cs="Arial"/>
          <w:b/>
          <w:bCs/>
          <w:sz w:val="28"/>
          <w:szCs w:val="28"/>
          <w:highlight w:val="white"/>
          <w:lang w:val="en-GB"/>
        </w:rPr>
        <w:t xml:space="preserve">Module Code: </w:t>
      </w:r>
      <w:r w:rsidRPr="00EF2814">
        <w:rPr>
          <w:rFonts w:eastAsia="Times New Roman" w:cs="Arial"/>
          <w:bCs/>
          <w:sz w:val="28"/>
          <w:szCs w:val="28"/>
          <w:highlight w:val="white"/>
          <w:lang w:val="en-GB"/>
        </w:rPr>
        <w:t>BMHP6020</w:t>
      </w:r>
    </w:p>
    <w:p w14:paraId="46E3D185" w14:textId="77777777" w:rsidR="005E31A6" w:rsidRPr="00EF2814" w:rsidRDefault="005E31A6" w:rsidP="000702A0">
      <w:pPr>
        <w:spacing w:before="240" w:after="0"/>
        <w:jc w:val="center"/>
        <w:rPr>
          <w:rFonts w:eastAsia="Times New Roman" w:cs="Arial"/>
          <w:bCs/>
          <w:sz w:val="28"/>
          <w:szCs w:val="28"/>
          <w:highlight w:val="white"/>
          <w:lang w:val="en-GB"/>
        </w:rPr>
      </w:pPr>
      <w:r w:rsidRPr="00EF2814">
        <w:rPr>
          <w:rFonts w:eastAsia="Times New Roman" w:cs="Arial"/>
          <w:b/>
          <w:bCs/>
          <w:sz w:val="28"/>
          <w:szCs w:val="28"/>
          <w:highlight w:val="white"/>
          <w:lang w:val="en-GB"/>
        </w:rPr>
        <w:t>Module Title:</w:t>
      </w:r>
      <w:r w:rsidRPr="00EF2814">
        <w:rPr>
          <w:rFonts w:eastAsia="Times New Roman" w:cs="Arial"/>
          <w:bCs/>
          <w:sz w:val="28"/>
          <w:szCs w:val="28"/>
          <w:highlight w:val="white"/>
          <w:lang w:val="en-GB"/>
        </w:rPr>
        <w:t xml:space="preserve"> Independent Project</w:t>
      </w:r>
    </w:p>
    <w:p w14:paraId="2CE9BD2D" w14:textId="77777777" w:rsidR="005E31A6" w:rsidRPr="00EF2814" w:rsidRDefault="005E31A6" w:rsidP="000702A0">
      <w:pPr>
        <w:spacing w:before="240" w:after="0"/>
        <w:jc w:val="center"/>
        <w:rPr>
          <w:rFonts w:eastAsia="Times New Roman" w:cs="Arial"/>
          <w:b/>
          <w:bCs/>
          <w:sz w:val="28"/>
          <w:szCs w:val="28"/>
          <w:highlight w:val="white"/>
          <w:lang w:val="en-GB"/>
        </w:rPr>
      </w:pPr>
    </w:p>
    <w:p w14:paraId="2C589395" w14:textId="7CF52757" w:rsidR="005E31A6" w:rsidRPr="00EF2814" w:rsidRDefault="005E31A6" w:rsidP="000702A0">
      <w:pPr>
        <w:spacing w:before="240" w:after="0"/>
        <w:jc w:val="center"/>
        <w:rPr>
          <w:rFonts w:eastAsia="Times New Roman" w:cs="Arial"/>
          <w:bCs/>
          <w:sz w:val="28"/>
          <w:szCs w:val="28"/>
          <w:highlight w:val="white"/>
          <w:lang w:val="en-GB"/>
        </w:rPr>
      </w:pPr>
      <w:r w:rsidRPr="00EF2814">
        <w:rPr>
          <w:rFonts w:eastAsia="Times New Roman" w:cs="Arial"/>
          <w:b/>
          <w:bCs/>
          <w:sz w:val="28"/>
          <w:szCs w:val="28"/>
          <w:highlight w:val="white"/>
          <w:lang w:val="en-GB"/>
        </w:rPr>
        <w:t xml:space="preserve">Assignment Title: </w:t>
      </w:r>
      <w:r w:rsidRPr="00EF2814">
        <w:rPr>
          <w:rFonts w:eastAsia="Times New Roman" w:cs="Arial"/>
          <w:bCs/>
          <w:sz w:val="28"/>
          <w:szCs w:val="28"/>
          <w:highlight w:val="white"/>
          <w:lang w:val="en-GB"/>
        </w:rPr>
        <w:t>Component 1: Portfolio (including 3 elements)</w:t>
      </w:r>
    </w:p>
    <w:p w14:paraId="5D228B13" w14:textId="77777777" w:rsidR="005E31A6" w:rsidRPr="00EF2814" w:rsidRDefault="005E31A6" w:rsidP="000702A0">
      <w:pPr>
        <w:pBdr>
          <w:bottom w:val="single" w:sz="4" w:space="1" w:color="auto"/>
        </w:pBdr>
        <w:spacing w:before="240" w:after="0"/>
        <w:jc w:val="center"/>
        <w:rPr>
          <w:rFonts w:eastAsia="Times New Roman" w:cs="Arial"/>
          <w:b/>
          <w:bCs/>
          <w:sz w:val="28"/>
          <w:szCs w:val="28"/>
          <w:highlight w:val="white"/>
          <w:lang w:val="en-GB"/>
        </w:rPr>
      </w:pPr>
      <w:r w:rsidRPr="00EF2814">
        <w:rPr>
          <w:rFonts w:eastAsia="Times New Roman" w:cs="Arial"/>
          <w:b/>
          <w:bCs/>
          <w:sz w:val="28"/>
          <w:szCs w:val="28"/>
          <w:highlight w:val="white"/>
          <w:lang w:val="en-GB"/>
        </w:rPr>
        <w:t>Research Title: Examining the Effect of COVID-19 Emergency Clinical Training on Staff Competency Levels within the UK Health Care Industry</w:t>
      </w:r>
    </w:p>
    <w:p w14:paraId="113E50D7" w14:textId="77777777" w:rsidR="005E31A6" w:rsidRPr="00EF2814" w:rsidRDefault="005E31A6" w:rsidP="000702A0">
      <w:pPr>
        <w:spacing w:before="240" w:after="0"/>
        <w:jc w:val="center"/>
        <w:rPr>
          <w:rFonts w:eastAsia="Times New Roman" w:cs="Arial"/>
          <w:b/>
          <w:bCs/>
          <w:sz w:val="28"/>
          <w:szCs w:val="28"/>
          <w:highlight w:val="white"/>
          <w:lang w:val="en-GB"/>
        </w:rPr>
      </w:pPr>
    </w:p>
    <w:p w14:paraId="1EB00207" w14:textId="77777777" w:rsidR="005E31A6" w:rsidRPr="00EF2814" w:rsidRDefault="005E31A6" w:rsidP="000702A0">
      <w:pPr>
        <w:spacing w:before="240" w:after="0"/>
        <w:jc w:val="center"/>
        <w:rPr>
          <w:rFonts w:eastAsia="Times New Roman" w:cs="Arial"/>
          <w:bCs/>
          <w:sz w:val="28"/>
          <w:szCs w:val="28"/>
          <w:highlight w:val="white"/>
          <w:lang w:val="en-GB"/>
        </w:rPr>
      </w:pPr>
      <w:r w:rsidRPr="00EF2814">
        <w:rPr>
          <w:rFonts w:eastAsia="Times New Roman" w:cs="Arial"/>
          <w:b/>
          <w:bCs/>
          <w:sz w:val="28"/>
          <w:szCs w:val="28"/>
          <w:highlight w:val="white"/>
          <w:lang w:val="en-GB"/>
        </w:rPr>
        <w:t xml:space="preserve">Student Name: </w:t>
      </w:r>
      <w:r w:rsidRPr="00EF2814">
        <w:rPr>
          <w:rFonts w:eastAsia="Times New Roman" w:cs="Arial"/>
          <w:bCs/>
          <w:sz w:val="28"/>
          <w:szCs w:val="28"/>
          <w:lang w:val="en-GB"/>
        </w:rPr>
        <w:t>Jacqueline Lawrence</w:t>
      </w:r>
    </w:p>
    <w:p w14:paraId="614A89AD" w14:textId="42FF8822" w:rsidR="005E31A6" w:rsidRPr="00EF2814" w:rsidRDefault="005E31A6" w:rsidP="000702A0">
      <w:pPr>
        <w:spacing w:before="240" w:after="0"/>
        <w:jc w:val="center"/>
        <w:rPr>
          <w:rFonts w:eastAsia="Times New Roman" w:cs="Arial"/>
          <w:b/>
          <w:bCs/>
          <w:sz w:val="28"/>
          <w:szCs w:val="28"/>
          <w:highlight w:val="white"/>
          <w:lang w:val="en-GB"/>
        </w:rPr>
      </w:pPr>
      <w:r w:rsidRPr="00EF2814">
        <w:rPr>
          <w:rFonts w:eastAsia="Times New Roman" w:cs="Arial"/>
          <w:b/>
          <w:bCs/>
          <w:sz w:val="28"/>
          <w:szCs w:val="28"/>
          <w:highlight w:val="white"/>
          <w:lang w:val="en-GB"/>
        </w:rPr>
        <w:t>Student ID:</w:t>
      </w:r>
      <w:r w:rsidR="00571C11">
        <w:rPr>
          <w:rFonts w:eastAsia="Times New Roman" w:cs="Arial"/>
          <w:b/>
          <w:bCs/>
          <w:sz w:val="28"/>
          <w:szCs w:val="28"/>
          <w:highlight w:val="white"/>
          <w:lang w:val="en-GB"/>
        </w:rPr>
        <w:t>2315750</w:t>
      </w:r>
    </w:p>
    <w:p w14:paraId="0390A877" w14:textId="77777777" w:rsidR="005E31A6" w:rsidRPr="00EF2814" w:rsidRDefault="005E31A6" w:rsidP="000702A0">
      <w:pPr>
        <w:spacing w:before="240" w:after="0"/>
        <w:jc w:val="center"/>
        <w:rPr>
          <w:rFonts w:eastAsia="Times New Roman" w:cs="Arial"/>
          <w:b/>
          <w:bCs/>
          <w:sz w:val="28"/>
          <w:szCs w:val="28"/>
          <w:highlight w:val="white"/>
          <w:lang w:val="en-GB"/>
        </w:rPr>
      </w:pPr>
    </w:p>
    <w:p w14:paraId="76E7B1FA" w14:textId="203E8F6E" w:rsidR="005E31A6" w:rsidRPr="00EF2814" w:rsidRDefault="005E31A6" w:rsidP="000702A0">
      <w:pPr>
        <w:spacing w:before="240" w:after="0"/>
        <w:jc w:val="center"/>
        <w:rPr>
          <w:rFonts w:eastAsia="Times New Roman" w:cs="Arial"/>
          <w:b/>
          <w:bCs/>
          <w:sz w:val="28"/>
          <w:szCs w:val="28"/>
          <w:lang w:val="en-GB"/>
        </w:rPr>
      </w:pPr>
      <w:r w:rsidRPr="00EF2814">
        <w:rPr>
          <w:rFonts w:eastAsia="Times New Roman" w:cs="Arial"/>
          <w:b/>
          <w:bCs/>
          <w:sz w:val="28"/>
          <w:szCs w:val="28"/>
          <w:highlight w:val="white"/>
          <w:lang w:val="en-GB"/>
        </w:rPr>
        <w:t xml:space="preserve">Word count: </w:t>
      </w:r>
      <w:r w:rsidR="00B47985">
        <w:rPr>
          <w:rFonts w:eastAsia="Times New Roman" w:cs="Arial"/>
          <w:b/>
          <w:bCs/>
          <w:sz w:val="28"/>
          <w:szCs w:val="28"/>
          <w:lang w:val="en-GB"/>
        </w:rPr>
        <w:t>9,5</w:t>
      </w:r>
      <w:r w:rsidR="00CB2962" w:rsidRPr="00EF2814">
        <w:rPr>
          <w:rFonts w:eastAsia="Times New Roman" w:cs="Arial"/>
          <w:b/>
          <w:bCs/>
          <w:sz w:val="28"/>
          <w:szCs w:val="28"/>
          <w:lang w:val="en-GB"/>
        </w:rPr>
        <w:t>00 words</w:t>
      </w:r>
    </w:p>
    <w:p w14:paraId="3AD37523" w14:textId="77777777" w:rsidR="00BC594A" w:rsidRPr="00EF2814" w:rsidRDefault="00BC594A">
      <w:pPr>
        <w:rPr>
          <w:rFonts w:ascii="Aptos" w:hAnsi="Aptos"/>
          <w:b/>
          <w:bCs/>
          <w:lang w:val="en-GB"/>
        </w:rPr>
      </w:pPr>
      <w:r w:rsidRPr="00EF2814">
        <w:rPr>
          <w:rFonts w:ascii="Aptos" w:hAnsi="Aptos"/>
          <w:b/>
          <w:bCs/>
          <w:lang w:val="en-GB"/>
        </w:rPr>
        <w:br w:type="page"/>
      </w:r>
    </w:p>
    <w:sdt>
      <w:sdtPr>
        <w:rPr>
          <w:rFonts w:asciiTheme="minorHAnsi" w:eastAsiaTheme="minorHAnsi" w:hAnsiTheme="minorHAnsi" w:cstheme="minorBidi"/>
          <w:color w:val="auto"/>
          <w:sz w:val="22"/>
          <w:szCs w:val="22"/>
          <w:lang w:val="en-GB"/>
        </w:rPr>
        <w:id w:val="1691406370"/>
        <w:docPartObj>
          <w:docPartGallery w:val="Table of Contents"/>
          <w:docPartUnique/>
        </w:docPartObj>
      </w:sdtPr>
      <w:sdtEndPr>
        <w:rPr>
          <w:rFonts w:ascii="Arial" w:hAnsi="Arial" w:cs="Arial"/>
          <w:bCs/>
          <w:noProof/>
        </w:rPr>
      </w:sdtEndPr>
      <w:sdtContent>
        <w:p w14:paraId="6141AF62" w14:textId="6617997E" w:rsidR="00BC594A" w:rsidRPr="00EF2814" w:rsidRDefault="00BC594A" w:rsidP="000702A0">
          <w:pPr>
            <w:pStyle w:val="TOCHeading"/>
            <w:spacing w:line="360" w:lineRule="auto"/>
            <w:jc w:val="center"/>
            <w:rPr>
              <w:rFonts w:ascii="Arial" w:hAnsi="Arial" w:cs="Arial"/>
              <w:b/>
              <w:color w:val="000000" w:themeColor="text1"/>
              <w:szCs w:val="22"/>
              <w:lang w:val="en-GB"/>
            </w:rPr>
          </w:pPr>
          <w:r w:rsidRPr="00EF2814">
            <w:rPr>
              <w:rFonts w:ascii="Arial" w:hAnsi="Arial" w:cs="Arial"/>
              <w:b/>
              <w:color w:val="000000" w:themeColor="text1"/>
              <w:szCs w:val="22"/>
              <w:lang w:val="en-GB"/>
            </w:rPr>
            <w:t>Table of Contents</w:t>
          </w:r>
        </w:p>
        <w:p w14:paraId="10A73B05" w14:textId="72F7FCCC" w:rsidR="004A6850" w:rsidRPr="00EF2814" w:rsidRDefault="00BC594A">
          <w:pPr>
            <w:pStyle w:val="TOC1"/>
            <w:tabs>
              <w:tab w:val="right" w:leader="dot" w:pos="9350"/>
            </w:tabs>
            <w:rPr>
              <w:rFonts w:asciiTheme="minorHAnsi" w:eastAsiaTheme="minorEastAsia" w:hAnsiTheme="minorHAnsi"/>
              <w:noProof/>
              <w:kern w:val="2"/>
              <w:sz w:val="24"/>
              <w:szCs w:val="24"/>
              <w:lang w:val="en-GB" w:eastAsia="en-IN"/>
              <w14:ligatures w14:val="standardContextual"/>
            </w:rPr>
          </w:pPr>
          <w:r w:rsidRPr="00EF2814">
            <w:rPr>
              <w:rFonts w:cs="Arial"/>
              <w:lang w:val="en-GB"/>
            </w:rPr>
            <w:fldChar w:fldCharType="begin"/>
          </w:r>
          <w:r w:rsidRPr="00EF2814">
            <w:rPr>
              <w:rFonts w:cs="Arial"/>
              <w:lang w:val="en-GB"/>
            </w:rPr>
            <w:instrText xml:space="preserve"> TOC \o "1-3" \h \z \u </w:instrText>
          </w:r>
          <w:r w:rsidRPr="00EF2814">
            <w:rPr>
              <w:rFonts w:cs="Arial"/>
              <w:lang w:val="en-GB"/>
            </w:rPr>
            <w:fldChar w:fldCharType="separate"/>
          </w:r>
          <w:hyperlink w:anchor="_Toc222234336" w:history="1">
            <w:r w:rsidR="004A6850" w:rsidRPr="00EF2814">
              <w:rPr>
                <w:rStyle w:val="Hyperlink"/>
                <w:noProof/>
                <w:lang w:val="en-GB"/>
              </w:rPr>
              <w:t>Element 2 - Methodology poster</w:t>
            </w:r>
            <w:r w:rsidR="004A6850" w:rsidRPr="00EF2814">
              <w:rPr>
                <w:noProof/>
                <w:webHidden/>
                <w:lang w:val="en-GB"/>
              </w:rPr>
              <w:tab/>
            </w:r>
            <w:r w:rsidR="004A6850" w:rsidRPr="00EF2814">
              <w:rPr>
                <w:noProof/>
                <w:webHidden/>
                <w:lang w:val="en-GB"/>
              </w:rPr>
              <w:fldChar w:fldCharType="begin"/>
            </w:r>
            <w:r w:rsidR="004A6850" w:rsidRPr="00EF2814">
              <w:rPr>
                <w:noProof/>
                <w:webHidden/>
                <w:lang w:val="en-GB"/>
              </w:rPr>
              <w:instrText xml:space="preserve"> PAGEREF _Toc222234336 \h </w:instrText>
            </w:r>
            <w:r w:rsidR="004A6850" w:rsidRPr="00EF2814">
              <w:rPr>
                <w:noProof/>
                <w:webHidden/>
                <w:lang w:val="en-GB"/>
              </w:rPr>
            </w:r>
            <w:r w:rsidR="004A6850" w:rsidRPr="00EF2814">
              <w:rPr>
                <w:noProof/>
                <w:webHidden/>
                <w:lang w:val="en-GB"/>
              </w:rPr>
              <w:fldChar w:fldCharType="separate"/>
            </w:r>
            <w:r w:rsidR="004A6850" w:rsidRPr="00EF2814">
              <w:rPr>
                <w:noProof/>
                <w:webHidden/>
                <w:lang w:val="en-GB"/>
              </w:rPr>
              <w:t>4</w:t>
            </w:r>
            <w:r w:rsidR="004A6850" w:rsidRPr="00EF2814">
              <w:rPr>
                <w:noProof/>
                <w:webHidden/>
                <w:lang w:val="en-GB"/>
              </w:rPr>
              <w:fldChar w:fldCharType="end"/>
            </w:r>
          </w:hyperlink>
        </w:p>
        <w:p w14:paraId="7A8FF146" w14:textId="4D264E28" w:rsidR="004A6850" w:rsidRPr="00EF2814" w:rsidRDefault="004A6850">
          <w:pPr>
            <w:pStyle w:val="TOC1"/>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37" w:history="1">
            <w:r w:rsidRPr="00EF2814">
              <w:rPr>
                <w:rStyle w:val="Hyperlink"/>
                <w:rFonts w:cs="Arial"/>
                <w:noProof/>
                <w:lang w:val="en-GB"/>
              </w:rPr>
              <w:t>Element 3 - Dissertation document</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_Toc222234337 \h </w:instrText>
            </w:r>
            <w:r w:rsidRPr="00EF2814">
              <w:rPr>
                <w:noProof/>
                <w:webHidden/>
                <w:lang w:val="en-GB"/>
              </w:rPr>
            </w:r>
            <w:r w:rsidRPr="00EF2814">
              <w:rPr>
                <w:noProof/>
                <w:webHidden/>
                <w:lang w:val="en-GB"/>
              </w:rPr>
              <w:fldChar w:fldCharType="separate"/>
            </w:r>
            <w:r w:rsidRPr="00EF2814">
              <w:rPr>
                <w:noProof/>
                <w:webHidden/>
                <w:lang w:val="en-GB"/>
              </w:rPr>
              <w:t>7</w:t>
            </w:r>
            <w:r w:rsidRPr="00EF2814">
              <w:rPr>
                <w:noProof/>
                <w:webHidden/>
                <w:lang w:val="en-GB"/>
              </w:rPr>
              <w:fldChar w:fldCharType="end"/>
            </w:r>
          </w:hyperlink>
        </w:p>
        <w:p w14:paraId="7F280F0D" w14:textId="4AF75550"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38" w:history="1">
            <w:r w:rsidRPr="00EF2814">
              <w:rPr>
                <w:rStyle w:val="Hyperlink"/>
                <w:noProof/>
                <w:lang w:val="en-GB"/>
              </w:rPr>
              <w:t>Abstract</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_Toc222234338 \h </w:instrText>
            </w:r>
            <w:r w:rsidRPr="00EF2814">
              <w:rPr>
                <w:noProof/>
                <w:webHidden/>
                <w:lang w:val="en-GB"/>
              </w:rPr>
            </w:r>
            <w:r w:rsidRPr="00EF2814">
              <w:rPr>
                <w:noProof/>
                <w:webHidden/>
                <w:lang w:val="en-GB"/>
              </w:rPr>
              <w:fldChar w:fldCharType="separate"/>
            </w:r>
            <w:r w:rsidRPr="00EF2814">
              <w:rPr>
                <w:noProof/>
                <w:webHidden/>
                <w:lang w:val="en-GB"/>
              </w:rPr>
              <w:t>9</w:t>
            </w:r>
            <w:r w:rsidRPr="00EF2814">
              <w:rPr>
                <w:noProof/>
                <w:webHidden/>
                <w:lang w:val="en-GB"/>
              </w:rPr>
              <w:fldChar w:fldCharType="end"/>
            </w:r>
          </w:hyperlink>
        </w:p>
        <w:p w14:paraId="3ED6530B" w14:textId="01D262C7" w:rsidR="004A6850" w:rsidRPr="00EF2814" w:rsidRDefault="004A6850">
          <w:pPr>
            <w:pStyle w:val="TOC1"/>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39" w:history="1">
            <w:r w:rsidRPr="00EF2814">
              <w:rPr>
                <w:rStyle w:val="Hyperlink"/>
                <w:rFonts w:cs="Arial"/>
                <w:noProof/>
                <w:lang w:val="en-GB"/>
              </w:rPr>
              <w:t>Chapter 1 - Introduction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_Toc222234339 \h </w:instrText>
            </w:r>
            <w:r w:rsidRPr="00EF2814">
              <w:rPr>
                <w:noProof/>
                <w:webHidden/>
                <w:lang w:val="en-GB"/>
              </w:rPr>
            </w:r>
            <w:r w:rsidRPr="00EF2814">
              <w:rPr>
                <w:noProof/>
                <w:webHidden/>
                <w:lang w:val="en-GB"/>
              </w:rPr>
              <w:fldChar w:fldCharType="separate"/>
            </w:r>
            <w:r w:rsidRPr="00EF2814">
              <w:rPr>
                <w:noProof/>
                <w:webHidden/>
                <w:lang w:val="en-GB"/>
              </w:rPr>
              <w:t>10</w:t>
            </w:r>
            <w:r w:rsidRPr="00EF2814">
              <w:rPr>
                <w:noProof/>
                <w:webHidden/>
                <w:lang w:val="en-GB"/>
              </w:rPr>
              <w:fldChar w:fldCharType="end"/>
            </w:r>
          </w:hyperlink>
        </w:p>
        <w:p w14:paraId="3F3CA76F" w14:textId="2853B533"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40" w:history="1">
            <w:r w:rsidRPr="00EF2814">
              <w:rPr>
                <w:rStyle w:val="Hyperlink"/>
                <w:noProof/>
                <w:lang w:val="en-GB"/>
              </w:rPr>
              <w:t>1.1 Introduction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_Toc222234340 \h </w:instrText>
            </w:r>
            <w:r w:rsidRPr="00EF2814">
              <w:rPr>
                <w:noProof/>
                <w:webHidden/>
                <w:lang w:val="en-GB"/>
              </w:rPr>
            </w:r>
            <w:r w:rsidRPr="00EF2814">
              <w:rPr>
                <w:noProof/>
                <w:webHidden/>
                <w:lang w:val="en-GB"/>
              </w:rPr>
              <w:fldChar w:fldCharType="separate"/>
            </w:r>
            <w:r w:rsidRPr="00EF2814">
              <w:rPr>
                <w:noProof/>
                <w:webHidden/>
                <w:lang w:val="en-GB"/>
              </w:rPr>
              <w:t>10</w:t>
            </w:r>
            <w:r w:rsidRPr="00EF2814">
              <w:rPr>
                <w:noProof/>
                <w:webHidden/>
                <w:lang w:val="en-GB"/>
              </w:rPr>
              <w:fldChar w:fldCharType="end"/>
            </w:r>
          </w:hyperlink>
        </w:p>
        <w:p w14:paraId="14F03062" w14:textId="7A2572A6"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41" w:history="1">
            <w:r w:rsidRPr="00EF2814">
              <w:rPr>
                <w:rStyle w:val="Hyperlink"/>
                <w:noProof/>
                <w:lang w:val="en-GB"/>
              </w:rPr>
              <w:t>1.2 Definitions and Terminology</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_Toc222234341 \h </w:instrText>
            </w:r>
            <w:r w:rsidRPr="00EF2814">
              <w:rPr>
                <w:noProof/>
                <w:webHidden/>
                <w:lang w:val="en-GB"/>
              </w:rPr>
            </w:r>
            <w:r w:rsidRPr="00EF2814">
              <w:rPr>
                <w:noProof/>
                <w:webHidden/>
                <w:lang w:val="en-GB"/>
              </w:rPr>
              <w:fldChar w:fldCharType="separate"/>
            </w:r>
            <w:r w:rsidRPr="00EF2814">
              <w:rPr>
                <w:noProof/>
                <w:webHidden/>
                <w:lang w:val="en-GB"/>
              </w:rPr>
              <w:t>10</w:t>
            </w:r>
            <w:r w:rsidRPr="00EF2814">
              <w:rPr>
                <w:noProof/>
                <w:webHidden/>
                <w:lang w:val="en-GB"/>
              </w:rPr>
              <w:fldChar w:fldCharType="end"/>
            </w:r>
          </w:hyperlink>
        </w:p>
        <w:p w14:paraId="5D7CD805" w14:textId="32206A0F"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42" w:history="1">
            <w:r w:rsidRPr="00EF2814">
              <w:rPr>
                <w:rStyle w:val="Hyperlink"/>
                <w:noProof/>
                <w:lang w:val="en-GB"/>
              </w:rPr>
              <w:t>1.3 Rationale for Research</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_Toc222234342 \h </w:instrText>
            </w:r>
            <w:r w:rsidRPr="00EF2814">
              <w:rPr>
                <w:noProof/>
                <w:webHidden/>
                <w:lang w:val="en-GB"/>
              </w:rPr>
            </w:r>
            <w:r w:rsidRPr="00EF2814">
              <w:rPr>
                <w:noProof/>
                <w:webHidden/>
                <w:lang w:val="en-GB"/>
              </w:rPr>
              <w:fldChar w:fldCharType="separate"/>
            </w:r>
            <w:r w:rsidRPr="00EF2814">
              <w:rPr>
                <w:noProof/>
                <w:webHidden/>
                <w:lang w:val="en-GB"/>
              </w:rPr>
              <w:t>11</w:t>
            </w:r>
            <w:r w:rsidRPr="00EF2814">
              <w:rPr>
                <w:noProof/>
                <w:webHidden/>
                <w:lang w:val="en-GB"/>
              </w:rPr>
              <w:fldChar w:fldCharType="end"/>
            </w:r>
          </w:hyperlink>
        </w:p>
        <w:p w14:paraId="19782F68" w14:textId="0D8091BD"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43" w:history="1">
            <w:r w:rsidRPr="00EF2814">
              <w:rPr>
                <w:rStyle w:val="Hyperlink"/>
                <w:noProof/>
                <w:lang w:val="en-GB"/>
              </w:rPr>
              <w:t>1.4 Aim and Objectives</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_Toc222234343 \h </w:instrText>
            </w:r>
            <w:r w:rsidRPr="00EF2814">
              <w:rPr>
                <w:noProof/>
                <w:webHidden/>
                <w:lang w:val="en-GB"/>
              </w:rPr>
            </w:r>
            <w:r w:rsidRPr="00EF2814">
              <w:rPr>
                <w:noProof/>
                <w:webHidden/>
                <w:lang w:val="en-GB"/>
              </w:rPr>
              <w:fldChar w:fldCharType="separate"/>
            </w:r>
            <w:r w:rsidRPr="00EF2814">
              <w:rPr>
                <w:noProof/>
                <w:webHidden/>
                <w:lang w:val="en-GB"/>
              </w:rPr>
              <w:t>12</w:t>
            </w:r>
            <w:r w:rsidRPr="00EF2814">
              <w:rPr>
                <w:noProof/>
                <w:webHidden/>
                <w:lang w:val="en-GB"/>
              </w:rPr>
              <w:fldChar w:fldCharType="end"/>
            </w:r>
          </w:hyperlink>
        </w:p>
        <w:p w14:paraId="32BF585D" w14:textId="44BF2D2C"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44" w:history="1">
            <w:r w:rsidRPr="00EF2814">
              <w:rPr>
                <w:rStyle w:val="Hyperlink"/>
                <w:noProof/>
                <w:lang w:val="en-GB"/>
              </w:rPr>
              <w:t>1.5 Conclusion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_Toc222234344 \h </w:instrText>
            </w:r>
            <w:r w:rsidRPr="00EF2814">
              <w:rPr>
                <w:noProof/>
                <w:webHidden/>
                <w:lang w:val="en-GB"/>
              </w:rPr>
            </w:r>
            <w:r w:rsidRPr="00EF2814">
              <w:rPr>
                <w:noProof/>
                <w:webHidden/>
                <w:lang w:val="en-GB"/>
              </w:rPr>
              <w:fldChar w:fldCharType="separate"/>
            </w:r>
            <w:r w:rsidRPr="00EF2814">
              <w:rPr>
                <w:noProof/>
                <w:webHidden/>
                <w:lang w:val="en-GB"/>
              </w:rPr>
              <w:t>13</w:t>
            </w:r>
            <w:r w:rsidRPr="00EF2814">
              <w:rPr>
                <w:noProof/>
                <w:webHidden/>
                <w:lang w:val="en-GB"/>
              </w:rPr>
              <w:fldChar w:fldCharType="end"/>
            </w:r>
          </w:hyperlink>
        </w:p>
        <w:p w14:paraId="71ADA85F" w14:textId="0278D34E" w:rsidR="004A6850" w:rsidRPr="00EF2814" w:rsidRDefault="004A6850">
          <w:pPr>
            <w:pStyle w:val="TOC1"/>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45" w:history="1">
            <w:r w:rsidRPr="00EF2814">
              <w:rPr>
                <w:rStyle w:val="Hyperlink"/>
                <w:rFonts w:cs="Arial"/>
                <w:noProof/>
                <w:highlight w:val="white"/>
                <w:lang w:val="en-GB"/>
              </w:rPr>
              <w:t>Chapter 2 - Background Information and Analysis</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_Toc222234345 \h </w:instrText>
            </w:r>
            <w:r w:rsidRPr="00EF2814">
              <w:rPr>
                <w:noProof/>
                <w:webHidden/>
                <w:lang w:val="en-GB"/>
              </w:rPr>
            </w:r>
            <w:r w:rsidRPr="00EF2814">
              <w:rPr>
                <w:noProof/>
                <w:webHidden/>
                <w:lang w:val="en-GB"/>
              </w:rPr>
              <w:fldChar w:fldCharType="separate"/>
            </w:r>
            <w:r w:rsidRPr="00EF2814">
              <w:rPr>
                <w:noProof/>
                <w:webHidden/>
                <w:lang w:val="en-GB"/>
              </w:rPr>
              <w:t>14</w:t>
            </w:r>
            <w:r w:rsidRPr="00EF2814">
              <w:rPr>
                <w:noProof/>
                <w:webHidden/>
                <w:lang w:val="en-GB"/>
              </w:rPr>
              <w:fldChar w:fldCharType="end"/>
            </w:r>
          </w:hyperlink>
        </w:p>
        <w:p w14:paraId="2E213462" w14:textId="259205E4"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46" w:history="1">
            <w:r w:rsidRPr="00EF2814">
              <w:rPr>
                <w:rStyle w:val="Hyperlink"/>
                <w:noProof/>
                <w:highlight w:val="white"/>
                <w:lang w:val="en-GB"/>
              </w:rPr>
              <w:t>2.1 Introduction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_Toc222234346 \h </w:instrText>
            </w:r>
            <w:r w:rsidRPr="00EF2814">
              <w:rPr>
                <w:noProof/>
                <w:webHidden/>
                <w:lang w:val="en-GB"/>
              </w:rPr>
            </w:r>
            <w:r w:rsidRPr="00EF2814">
              <w:rPr>
                <w:noProof/>
                <w:webHidden/>
                <w:lang w:val="en-GB"/>
              </w:rPr>
              <w:fldChar w:fldCharType="separate"/>
            </w:r>
            <w:r w:rsidRPr="00EF2814">
              <w:rPr>
                <w:noProof/>
                <w:webHidden/>
                <w:lang w:val="en-GB"/>
              </w:rPr>
              <w:t>14</w:t>
            </w:r>
            <w:r w:rsidRPr="00EF2814">
              <w:rPr>
                <w:noProof/>
                <w:webHidden/>
                <w:lang w:val="en-GB"/>
              </w:rPr>
              <w:fldChar w:fldCharType="end"/>
            </w:r>
          </w:hyperlink>
        </w:p>
        <w:p w14:paraId="4AE34E6C" w14:textId="7B7DB192"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47" w:history="1">
            <w:r w:rsidRPr="00EF2814">
              <w:rPr>
                <w:rStyle w:val="Hyperlink"/>
                <w:noProof/>
                <w:highlight w:val="white"/>
                <w:lang w:val="en-GB"/>
              </w:rPr>
              <w:t>2.2 Historical Background</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_Toc222234347 \h </w:instrText>
            </w:r>
            <w:r w:rsidRPr="00EF2814">
              <w:rPr>
                <w:noProof/>
                <w:webHidden/>
                <w:lang w:val="en-GB"/>
              </w:rPr>
            </w:r>
            <w:r w:rsidRPr="00EF2814">
              <w:rPr>
                <w:noProof/>
                <w:webHidden/>
                <w:lang w:val="en-GB"/>
              </w:rPr>
              <w:fldChar w:fldCharType="separate"/>
            </w:r>
            <w:r w:rsidRPr="00EF2814">
              <w:rPr>
                <w:noProof/>
                <w:webHidden/>
                <w:lang w:val="en-GB"/>
              </w:rPr>
              <w:t>14</w:t>
            </w:r>
            <w:r w:rsidRPr="00EF2814">
              <w:rPr>
                <w:noProof/>
                <w:webHidden/>
                <w:lang w:val="en-GB"/>
              </w:rPr>
              <w:fldChar w:fldCharType="end"/>
            </w:r>
          </w:hyperlink>
        </w:p>
        <w:p w14:paraId="0D444F44" w14:textId="71F56FC1"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48" w:history="1">
            <w:r w:rsidRPr="00EF2814">
              <w:rPr>
                <w:rStyle w:val="Hyperlink"/>
                <w:noProof/>
                <w:highlight w:val="white"/>
                <w:lang w:val="en-GB"/>
              </w:rPr>
              <w:t>2.3 Theoretical Background</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_Toc222234348 \h </w:instrText>
            </w:r>
            <w:r w:rsidRPr="00EF2814">
              <w:rPr>
                <w:noProof/>
                <w:webHidden/>
                <w:lang w:val="en-GB"/>
              </w:rPr>
            </w:r>
            <w:r w:rsidRPr="00EF2814">
              <w:rPr>
                <w:noProof/>
                <w:webHidden/>
                <w:lang w:val="en-GB"/>
              </w:rPr>
              <w:fldChar w:fldCharType="separate"/>
            </w:r>
            <w:r w:rsidRPr="00EF2814">
              <w:rPr>
                <w:noProof/>
                <w:webHidden/>
                <w:lang w:val="en-GB"/>
              </w:rPr>
              <w:t>15</w:t>
            </w:r>
            <w:r w:rsidRPr="00EF2814">
              <w:rPr>
                <w:noProof/>
                <w:webHidden/>
                <w:lang w:val="en-GB"/>
              </w:rPr>
              <w:fldChar w:fldCharType="end"/>
            </w:r>
          </w:hyperlink>
        </w:p>
        <w:p w14:paraId="10A1A8DD" w14:textId="2E118E9F"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49" w:history="1">
            <w:r w:rsidRPr="00EF2814">
              <w:rPr>
                <w:rStyle w:val="Hyperlink"/>
                <w:noProof/>
                <w:highlight w:val="white"/>
                <w:lang w:val="en-GB"/>
              </w:rPr>
              <w:t>2.4 International Context</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_Toc222234349 \h </w:instrText>
            </w:r>
            <w:r w:rsidRPr="00EF2814">
              <w:rPr>
                <w:noProof/>
                <w:webHidden/>
                <w:lang w:val="en-GB"/>
              </w:rPr>
            </w:r>
            <w:r w:rsidRPr="00EF2814">
              <w:rPr>
                <w:noProof/>
                <w:webHidden/>
                <w:lang w:val="en-GB"/>
              </w:rPr>
              <w:fldChar w:fldCharType="separate"/>
            </w:r>
            <w:r w:rsidRPr="00EF2814">
              <w:rPr>
                <w:noProof/>
                <w:webHidden/>
                <w:lang w:val="en-GB"/>
              </w:rPr>
              <w:t>17</w:t>
            </w:r>
            <w:r w:rsidRPr="00EF2814">
              <w:rPr>
                <w:noProof/>
                <w:webHidden/>
                <w:lang w:val="en-GB"/>
              </w:rPr>
              <w:fldChar w:fldCharType="end"/>
            </w:r>
          </w:hyperlink>
        </w:p>
        <w:p w14:paraId="24D7F2DD" w14:textId="7C6740C1"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50" w:history="1">
            <w:r w:rsidRPr="00EF2814">
              <w:rPr>
                <w:rStyle w:val="Hyperlink"/>
                <w:noProof/>
                <w:highlight w:val="white"/>
                <w:lang w:val="en-GB"/>
              </w:rPr>
              <w:t>2.5 National/Local UK Context</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_Toc222234350 \h </w:instrText>
            </w:r>
            <w:r w:rsidRPr="00EF2814">
              <w:rPr>
                <w:noProof/>
                <w:webHidden/>
                <w:lang w:val="en-GB"/>
              </w:rPr>
            </w:r>
            <w:r w:rsidRPr="00EF2814">
              <w:rPr>
                <w:noProof/>
                <w:webHidden/>
                <w:lang w:val="en-GB"/>
              </w:rPr>
              <w:fldChar w:fldCharType="separate"/>
            </w:r>
            <w:r w:rsidRPr="00EF2814">
              <w:rPr>
                <w:noProof/>
                <w:webHidden/>
                <w:lang w:val="en-GB"/>
              </w:rPr>
              <w:t>19</w:t>
            </w:r>
            <w:r w:rsidRPr="00EF2814">
              <w:rPr>
                <w:noProof/>
                <w:webHidden/>
                <w:lang w:val="en-GB"/>
              </w:rPr>
              <w:fldChar w:fldCharType="end"/>
            </w:r>
          </w:hyperlink>
        </w:p>
        <w:p w14:paraId="0B8CD431" w14:textId="566596EF"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51" w:history="1">
            <w:r w:rsidRPr="00EF2814">
              <w:rPr>
                <w:rStyle w:val="Hyperlink"/>
                <w:noProof/>
                <w:highlight w:val="white"/>
                <w:lang w:val="en-GB"/>
              </w:rPr>
              <w:t>2.6 Conclusion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_Toc222234351 \h </w:instrText>
            </w:r>
            <w:r w:rsidRPr="00EF2814">
              <w:rPr>
                <w:noProof/>
                <w:webHidden/>
                <w:lang w:val="en-GB"/>
              </w:rPr>
            </w:r>
            <w:r w:rsidRPr="00EF2814">
              <w:rPr>
                <w:noProof/>
                <w:webHidden/>
                <w:lang w:val="en-GB"/>
              </w:rPr>
              <w:fldChar w:fldCharType="separate"/>
            </w:r>
            <w:r w:rsidRPr="00EF2814">
              <w:rPr>
                <w:noProof/>
                <w:webHidden/>
                <w:lang w:val="en-GB"/>
              </w:rPr>
              <w:t>20</w:t>
            </w:r>
            <w:r w:rsidRPr="00EF2814">
              <w:rPr>
                <w:noProof/>
                <w:webHidden/>
                <w:lang w:val="en-GB"/>
              </w:rPr>
              <w:fldChar w:fldCharType="end"/>
            </w:r>
          </w:hyperlink>
        </w:p>
        <w:p w14:paraId="34B50F5A" w14:textId="77A74FDD" w:rsidR="004A6850" w:rsidRPr="00EF2814" w:rsidRDefault="004A6850">
          <w:pPr>
            <w:pStyle w:val="TOC1"/>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52" w:history="1">
            <w:r w:rsidRPr="00EF2814">
              <w:rPr>
                <w:rStyle w:val="Hyperlink"/>
                <w:noProof/>
                <w:lang w:val="en-GB"/>
              </w:rPr>
              <w:t>Chapter 3 – Methods and Search Strategy</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_Toc222234352 \h </w:instrText>
            </w:r>
            <w:r w:rsidRPr="00EF2814">
              <w:rPr>
                <w:noProof/>
                <w:webHidden/>
                <w:lang w:val="en-GB"/>
              </w:rPr>
            </w:r>
            <w:r w:rsidRPr="00EF2814">
              <w:rPr>
                <w:noProof/>
                <w:webHidden/>
                <w:lang w:val="en-GB"/>
              </w:rPr>
              <w:fldChar w:fldCharType="separate"/>
            </w:r>
            <w:r w:rsidRPr="00EF2814">
              <w:rPr>
                <w:noProof/>
                <w:webHidden/>
                <w:lang w:val="en-GB"/>
              </w:rPr>
              <w:t>21</w:t>
            </w:r>
            <w:r w:rsidRPr="00EF2814">
              <w:rPr>
                <w:noProof/>
                <w:webHidden/>
                <w:lang w:val="en-GB"/>
              </w:rPr>
              <w:fldChar w:fldCharType="end"/>
            </w:r>
          </w:hyperlink>
        </w:p>
        <w:p w14:paraId="211AC856" w14:textId="38D6FEAF"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53" w:history="1">
            <w:r w:rsidRPr="00EF2814">
              <w:rPr>
                <w:rStyle w:val="Hyperlink"/>
                <w:noProof/>
                <w:lang w:val="en-GB"/>
              </w:rPr>
              <w:t>3.1 Introduction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_Toc222234353 \h </w:instrText>
            </w:r>
            <w:r w:rsidRPr="00EF2814">
              <w:rPr>
                <w:noProof/>
                <w:webHidden/>
                <w:lang w:val="en-GB"/>
              </w:rPr>
            </w:r>
            <w:r w:rsidRPr="00EF2814">
              <w:rPr>
                <w:noProof/>
                <w:webHidden/>
                <w:lang w:val="en-GB"/>
              </w:rPr>
              <w:fldChar w:fldCharType="separate"/>
            </w:r>
            <w:r w:rsidRPr="00EF2814">
              <w:rPr>
                <w:noProof/>
                <w:webHidden/>
                <w:lang w:val="en-GB"/>
              </w:rPr>
              <w:t>21</w:t>
            </w:r>
            <w:r w:rsidRPr="00EF2814">
              <w:rPr>
                <w:noProof/>
                <w:webHidden/>
                <w:lang w:val="en-GB"/>
              </w:rPr>
              <w:fldChar w:fldCharType="end"/>
            </w:r>
          </w:hyperlink>
        </w:p>
        <w:p w14:paraId="1B846083" w14:textId="1DF051A9"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54" w:history="1">
            <w:r w:rsidRPr="00EF2814">
              <w:rPr>
                <w:rStyle w:val="Hyperlink"/>
                <w:noProof/>
                <w:lang w:val="en-GB"/>
              </w:rPr>
              <w:t>3.2 Search Strategy</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_Toc222234354 \h </w:instrText>
            </w:r>
            <w:r w:rsidRPr="00EF2814">
              <w:rPr>
                <w:noProof/>
                <w:webHidden/>
                <w:lang w:val="en-GB"/>
              </w:rPr>
            </w:r>
            <w:r w:rsidRPr="00EF2814">
              <w:rPr>
                <w:noProof/>
                <w:webHidden/>
                <w:lang w:val="en-GB"/>
              </w:rPr>
              <w:fldChar w:fldCharType="separate"/>
            </w:r>
            <w:r w:rsidRPr="00EF2814">
              <w:rPr>
                <w:noProof/>
                <w:webHidden/>
                <w:lang w:val="en-GB"/>
              </w:rPr>
              <w:t>21</w:t>
            </w:r>
            <w:r w:rsidRPr="00EF2814">
              <w:rPr>
                <w:noProof/>
                <w:webHidden/>
                <w:lang w:val="en-GB"/>
              </w:rPr>
              <w:fldChar w:fldCharType="end"/>
            </w:r>
          </w:hyperlink>
        </w:p>
        <w:p w14:paraId="40775031" w14:textId="7CE2BB33"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55" w:history="1">
            <w:r w:rsidRPr="00EF2814">
              <w:rPr>
                <w:rStyle w:val="Hyperlink"/>
                <w:noProof/>
                <w:lang w:val="en-GB"/>
              </w:rPr>
              <w:t>3.3 Searching for Information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_Toc222234355 \h </w:instrText>
            </w:r>
            <w:r w:rsidRPr="00EF2814">
              <w:rPr>
                <w:noProof/>
                <w:webHidden/>
                <w:lang w:val="en-GB"/>
              </w:rPr>
            </w:r>
            <w:r w:rsidRPr="00EF2814">
              <w:rPr>
                <w:noProof/>
                <w:webHidden/>
                <w:lang w:val="en-GB"/>
              </w:rPr>
              <w:fldChar w:fldCharType="separate"/>
            </w:r>
            <w:r w:rsidRPr="00EF2814">
              <w:rPr>
                <w:noProof/>
                <w:webHidden/>
                <w:lang w:val="en-GB"/>
              </w:rPr>
              <w:t>23</w:t>
            </w:r>
            <w:r w:rsidRPr="00EF2814">
              <w:rPr>
                <w:noProof/>
                <w:webHidden/>
                <w:lang w:val="en-GB"/>
              </w:rPr>
              <w:fldChar w:fldCharType="end"/>
            </w:r>
          </w:hyperlink>
        </w:p>
        <w:p w14:paraId="3C4C3008" w14:textId="7B2DC691"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56" w:history="1">
            <w:r w:rsidRPr="00EF2814">
              <w:rPr>
                <w:rStyle w:val="Hyperlink"/>
                <w:noProof/>
                <w:lang w:val="en-GB"/>
              </w:rPr>
              <w:t>3.4 Research Validation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_Toc222234356 \h </w:instrText>
            </w:r>
            <w:r w:rsidRPr="00EF2814">
              <w:rPr>
                <w:noProof/>
                <w:webHidden/>
                <w:lang w:val="en-GB"/>
              </w:rPr>
            </w:r>
            <w:r w:rsidRPr="00EF2814">
              <w:rPr>
                <w:noProof/>
                <w:webHidden/>
                <w:lang w:val="en-GB"/>
              </w:rPr>
              <w:fldChar w:fldCharType="separate"/>
            </w:r>
            <w:r w:rsidRPr="00EF2814">
              <w:rPr>
                <w:noProof/>
                <w:webHidden/>
                <w:lang w:val="en-GB"/>
              </w:rPr>
              <w:t>24</w:t>
            </w:r>
            <w:r w:rsidRPr="00EF2814">
              <w:rPr>
                <w:noProof/>
                <w:webHidden/>
                <w:lang w:val="en-GB"/>
              </w:rPr>
              <w:fldChar w:fldCharType="end"/>
            </w:r>
          </w:hyperlink>
        </w:p>
        <w:p w14:paraId="51DB80A4" w14:textId="5C0AA019"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57" w:history="1">
            <w:r w:rsidRPr="00EF2814">
              <w:rPr>
                <w:rStyle w:val="Hyperlink"/>
                <w:noProof/>
                <w:lang w:val="en-GB"/>
              </w:rPr>
              <w:t>3.5 Inclusion and Exclusion Criteria</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_Toc222234357 \h </w:instrText>
            </w:r>
            <w:r w:rsidRPr="00EF2814">
              <w:rPr>
                <w:noProof/>
                <w:webHidden/>
                <w:lang w:val="en-GB"/>
              </w:rPr>
            </w:r>
            <w:r w:rsidRPr="00EF2814">
              <w:rPr>
                <w:noProof/>
                <w:webHidden/>
                <w:lang w:val="en-GB"/>
              </w:rPr>
              <w:fldChar w:fldCharType="separate"/>
            </w:r>
            <w:r w:rsidRPr="00EF2814">
              <w:rPr>
                <w:noProof/>
                <w:webHidden/>
                <w:lang w:val="en-GB"/>
              </w:rPr>
              <w:t>26</w:t>
            </w:r>
            <w:r w:rsidRPr="00EF2814">
              <w:rPr>
                <w:noProof/>
                <w:webHidden/>
                <w:lang w:val="en-GB"/>
              </w:rPr>
              <w:fldChar w:fldCharType="end"/>
            </w:r>
          </w:hyperlink>
        </w:p>
        <w:p w14:paraId="6CE2F655" w14:textId="68216F26"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58" w:history="1">
            <w:r w:rsidRPr="00EF2814">
              <w:rPr>
                <w:rStyle w:val="Hyperlink"/>
                <w:noProof/>
                <w:lang w:val="en-GB"/>
              </w:rPr>
              <w:t>3.6 Analysing Research</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_Toc222234358 \h </w:instrText>
            </w:r>
            <w:r w:rsidRPr="00EF2814">
              <w:rPr>
                <w:noProof/>
                <w:webHidden/>
                <w:lang w:val="en-GB"/>
              </w:rPr>
            </w:r>
            <w:r w:rsidRPr="00EF2814">
              <w:rPr>
                <w:noProof/>
                <w:webHidden/>
                <w:lang w:val="en-GB"/>
              </w:rPr>
              <w:fldChar w:fldCharType="separate"/>
            </w:r>
            <w:r w:rsidRPr="00EF2814">
              <w:rPr>
                <w:noProof/>
                <w:webHidden/>
                <w:lang w:val="en-GB"/>
              </w:rPr>
              <w:t>27</w:t>
            </w:r>
            <w:r w:rsidRPr="00EF2814">
              <w:rPr>
                <w:noProof/>
                <w:webHidden/>
                <w:lang w:val="en-GB"/>
              </w:rPr>
              <w:fldChar w:fldCharType="end"/>
            </w:r>
          </w:hyperlink>
        </w:p>
        <w:p w14:paraId="5A110427" w14:textId="75358069"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59" w:history="1">
            <w:r w:rsidRPr="00EF2814">
              <w:rPr>
                <w:rStyle w:val="Hyperlink"/>
                <w:noProof/>
                <w:lang w:val="en-GB"/>
              </w:rPr>
              <w:t>3.7 Ethical Considerations</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_Toc222234359 \h </w:instrText>
            </w:r>
            <w:r w:rsidRPr="00EF2814">
              <w:rPr>
                <w:noProof/>
                <w:webHidden/>
                <w:lang w:val="en-GB"/>
              </w:rPr>
            </w:r>
            <w:r w:rsidRPr="00EF2814">
              <w:rPr>
                <w:noProof/>
                <w:webHidden/>
                <w:lang w:val="en-GB"/>
              </w:rPr>
              <w:fldChar w:fldCharType="separate"/>
            </w:r>
            <w:r w:rsidRPr="00EF2814">
              <w:rPr>
                <w:noProof/>
                <w:webHidden/>
                <w:lang w:val="en-GB"/>
              </w:rPr>
              <w:t>28</w:t>
            </w:r>
            <w:r w:rsidRPr="00EF2814">
              <w:rPr>
                <w:noProof/>
                <w:webHidden/>
                <w:lang w:val="en-GB"/>
              </w:rPr>
              <w:fldChar w:fldCharType="end"/>
            </w:r>
          </w:hyperlink>
        </w:p>
        <w:p w14:paraId="59D92DF3" w14:textId="3D3C27F1"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60" w:history="1">
            <w:r w:rsidRPr="00EF2814">
              <w:rPr>
                <w:rStyle w:val="Hyperlink"/>
                <w:noProof/>
                <w:lang w:val="en-GB"/>
              </w:rPr>
              <w:t>3.8 Chapter Conclusion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_Toc222234360 \h </w:instrText>
            </w:r>
            <w:r w:rsidRPr="00EF2814">
              <w:rPr>
                <w:noProof/>
                <w:webHidden/>
                <w:lang w:val="en-GB"/>
              </w:rPr>
            </w:r>
            <w:r w:rsidRPr="00EF2814">
              <w:rPr>
                <w:noProof/>
                <w:webHidden/>
                <w:lang w:val="en-GB"/>
              </w:rPr>
              <w:fldChar w:fldCharType="separate"/>
            </w:r>
            <w:r w:rsidRPr="00EF2814">
              <w:rPr>
                <w:noProof/>
                <w:webHidden/>
                <w:lang w:val="en-GB"/>
              </w:rPr>
              <w:t>29</w:t>
            </w:r>
            <w:r w:rsidRPr="00EF2814">
              <w:rPr>
                <w:noProof/>
                <w:webHidden/>
                <w:lang w:val="en-GB"/>
              </w:rPr>
              <w:fldChar w:fldCharType="end"/>
            </w:r>
          </w:hyperlink>
        </w:p>
        <w:p w14:paraId="7BC49EB0" w14:textId="555BD618" w:rsidR="004A6850" w:rsidRPr="00EF2814" w:rsidRDefault="004A6850">
          <w:pPr>
            <w:pStyle w:val="TOC1"/>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61" w:history="1">
            <w:r w:rsidRPr="00EF2814">
              <w:rPr>
                <w:rStyle w:val="Hyperlink"/>
                <w:rFonts w:cs="Arial"/>
                <w:noProof/>
                <w:lang w:val="en-GB"/>
              </w:rPr>
              <w:t>Chapter 4 – Findings and Discussion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_Toc222234361 \h </w:instrText>
            </w:r>
            <w:r w:rsidRPr="00EF2814">
              <w:rPr>
                <w:noProof/>
                <w:webHidden/>
                <w:lang w:val="en-GB"/>
              </w:rPr>
            </w:r>
            <w:r w:rsidRPr="00EF2814">
              <w:rPr>
                <w:noProof/>
                <w:webHidden/>
                <w:lang w:val="en-GB"/>
              </w:rPr>
              <w:fldChar w:fldCharType="separate"/>
            </w:r>
            <w:r w:rsidRPr="00EF2814">
              <w:rPr>
                <w:noProof/>
                <w:webHidden/>
                <w:lang w:val="en-GB"/>
              </w:rPr>
              <w:t>30</w:t>
            </w:r>
            <w:r w:rsidRPr="00EF2814">
              <w:rPr>
                <w:noProof/>
                <w:webHidden/>
                <w:lang w:val="en-GB"/>
              </w:rPr>
              <w:fldChar w:fldCharType="end"/>
            </w:r>
          </w:hyperlink>
        </w:p>
        <w:p w14:paraId="4108B6DB" w14:textId="6122E173"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62" w:history="1">
            <w:r w:rsidRPr="00EF2814">
              <w:rPr>
                <w:rStyle w:val="Hyperlink"/>
                <w:noProof/>
                <w:lang w:val="en-GB"/>
              </w:rPr>
              <w:t>4.1 Introduction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_Toc222234362 \h </w:instrText>
            </w:r>
            <w:r w:rsidRPr="00EF2814">
              <w:rPr>
                <w:noProof/>
                <w:webHidden/>
                <w:lang w:val="en-GB"/>
              </w:rPr>
            </w:r>
            <w:r w:rsidRPr="00EF2814">
              <w:rPr>
                <w:noProof/>
                <w:webHidden/>
                <w:lang w:val="en-GB"/>
              </w:rPr>
              <w:fldChar w:fldCharType="separate"/>
            </w:r>
            <w:r w:rsidRPr="00EF2814">
              <w:rPr>
                <w:noProof/>
                <w:webHidden/>
                <w:lang w:val="en-GB"/>
              </w:rPr>
              <w:t>30</w:t>
            </w:r>
            <w:r w:rsidRPr="00EF2814">
              <w:rPr>
                <w:noProof/>
                <w:webHidden/>
                <w:lang w:val="en-GB"/>
              </w:rPr>
              <w:fldChar w:fldCharType="end"/>
            </w:r>
          </w:hyperlink>
        </w:p>
        <w:p w14:paraId="065BBF36" w14:textId="535BBEC8"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63" w:history="1">
            <w:r w:rsidRPr="00EF2814">
              <w:rPr>
                <w:rStyle w:val="Hyperlink"/>
                <w:noProof/>
                <w:lang w:val="en-GB"/>
              </w:rPr>
              <w:t>4.2 Thematic Analysis</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_Toc222234363 \h </w:instrText>
            </w:r>
            <w:r w:rsidRPr="00EF2814">
              <w:rPr>
                <w:noProof/>
                <w:webHidden/>
                <w:lang w:val="en-GB"/>
              </w:rPr>
            </w:r>
            <w:r w:rsidRPr="00EF2814">
              <w:rPr>
                <w:noProof/>
                <w:webHidden/>
                <w:lang w:val="en-GB"/>
              </w:rPr>
              <w:fldChar w:fldCharType="separate"/>
            </w:r>
            <w:r w:rsidRPr="00EF2814">
              <w:rPr>
                <w:noProof/>
                <w:webHidden/>
                <w:lang w:val="en-GB"/>
              </w:rPr>
              <w:t>30</w:t>
            </w:r>
            <w:r w:rsidRPr="00EF2814">
              <w:rPr>
                <w:noProof/>
                <w:webHidden/>
                <w:lang w:val="en-GB"/>
              </w:rPr>
              <w:fldChar w:fldCharType="end"/>
            </w:r>
          </w:hyperlink>
        </w:p>
        <w:p w14:paraId="08C33152" w14:textId="445C3AFE"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64" w:history="1">
            <w:r w:rsidRPr="00EF2814">
              <w:rPr>
                <w:rStyle w:val="Hyperlink"/>
                <w:noProof/>
                <w:lang w:val="en-GB"/>
              </w:rPr>
              <w:t>4.3 Theme 1 - Effectiveness of Emergency Clinical Training</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_Toc222234364 \h </w:instrText>
            </w:r>
            <w:r w:rsidRPr="00EF2814">
              <w:rPr>
                <w:noProof/>
                <w:webHidden/>
                <w:lang w:val="en-GB"/>
              </w:rPr>
            </w:r>
            <w:r w:rsidRPr="00EF2814">
              <w:rPr>
                <w:noProof/>
                <w:webHidden/>
                <w:lang w:val="en-GB"/>
              </w:rPr>
              <w:fldChar w:fldCharType="separate"/>
            </w:r>
            <w:r w:rsidRPr="00EF2814">
              <w:rPr>
                <w:noProof/>
                <w:webHidden/>
                <w:lang w:val="en-GB"/>
              </w:rPr>
              <w:t>31</w:t>
            </w:r>
            <w:r w:rsidRPr="00EF2814">
              <w:rPr>
                <w:noProof/>
                <w:webHidden/>
                <w:lang w:val="en-GB"/>
              </w:rPr>
              <w:fldChar w:fldCharType="end"/>
            </w:r>
          </w:hyperlink>
        </w:p>
        <w:p w14:paraId="4347BAD4" w14:textId="125186B1"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65" w:history="1">
            <w:r w:rsidRPr="00EF2814">
              <w:rPr>
                <w:rStyle w:val="Hyperlink"/>
                <w:noProof/>
                <w:lang w:val="en-GB"/>
              </w:rPr>
              <w:t>4.4 Theme 2 - Workforce Flexibility and Role Adaptation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_Toc222234365 \h </w:instrText>
            </w:r>
            <w:r w:rsidRPr="00EF2814">
              <w:rPr>
                <w:noProof/>
                <w:webHidden/>
                <w:lang w:val="en-GB"/>
              </w:rPr>
            </w:r>
            <w:r w:rsidRPr="00EF2814">
              <w:rPr>
                <w:noProof/>
                <w:webHidden/>
                <w:lang w:val="en-GB"/>
              </w:rPr>
              <w:fldChar w:fldCharType="separate"/>
            </w:r>
            <w:r w:rsidRPr="00EF2814">
              <w:rPr>
                <w:noProof/>
                <w:webHidden/>
                <w:lang w:val="en-GB"/>
              </w:rPr>
              <w:t>33</w:t>
            </w:r>
            <w:r w:rsidRPr="00EF2814">
              <w:rPr>
                <w:noProof/>
                <w:webHidden/>
                <w:lang w:val="en-GB"/>
              </w:rPr>
              <w:fldChar w:fldCharType="end"/>
            </w:r>
          </w:hyperlink>
        </w:p>
        <w:p w14:paraId="31D73F04" w14:textId="565214A7"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66" w:history="1">
            <w:r w:rsidRPr="00EF2814">
              <w:rPr>
                <w:rStyle w:val="Hyperlink"/>
                <w:noProof/>
                <w:lang w:val="en-GB"/>
              </w:rPr>
              <w:t>4.5 Theme 3 - Competency Development and Clinical Confidence</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_Toc222234366 \h </w:instrText>
            </w:r>
            <w:r w:rsidRPr="00EF2814">
              <w:rPr>
                <w:noProof/>
                <w:webHidden/>
                <w:lang w:val="en-GB"/>
              </w:rPr>
            </w:r>
            <w:r w:rsidRPr="00EF2814">
              <w:rPr>
                <w:noProof/>
                <w:webHidden/>
                <w:lang w:val="en-GB"/>
              </w:rPr>
              <w:fldChar w:fldCharType="separate"/>
            </w:r>
            <w:r w:rsidRPr="00EF2814">
              <w:rPr>
                <w:noProof/>
                <w:webHidden/>
                <w:lang w:val="en-GB"/>
              </w:rPr>
              <w:t>37</w:t>
            </w:r>
            <w:r w:rsidRPr="00EF2814">
              <w:rPr>
                <w:noProof/>
                <w:webHidden/>
                <w:lang w:val="en-GB"/>
              </w:rPr>
              <w:fldChar w:fldCharType="end"/>
            </w:r>
          </w:hyperlink>
        </w:p>
        <w:p w14:paraId="29995ACA" w14:textId="66747190"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67" w:history="1">
            <w:r w:rsidRPr="00EF2814">
              <w:rPr>
                <w:rStyle w:val="Hyperlink"/>
                <w:noProof/>
                <w:lang w:val="en-GB"/>
              </w:rPr>
              <w:t>4.6 Theme 4 - Barriers to Emergency Training Delivery</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_Toc222234367 \h </w:instrText>
            </w:r>
            <w:r w:rsidRPr="00EF2814">
              <w:rPr>
                <w:noProof/>
                <w:webHidden/>
                <w:lang w:val="en-GB"/>
              </w:rPr>
            </w:r>
            <w:r w:rsidRPr="00EF2814">
              <w:rPr>
                <w:noProof/>
                <w:webHidden/>
                <w:lang w:val="en-GB"/>
              </w:rPr>
              <w:fldChar w:fldCharType="separate"/>
            </w:r>
            <w:r w:rsidRPr="00EF2814">
              <w:rPr>
                <w:noProof/>
                <w:webHidden/>
                <w:lang w:val="en-GB"/>
              </w:rPr>
              <w:t>39</w:t>
            </w:r>
            <w:r w:rsidRPr="00EF2814">
              <w:rPr>
                <w:noProof/>
                <w:webHidden/>
                <w:lang w:val="en-GB"/>
              </w:rPr>
              <w:fldChar w:fldCharType="end"/>
            </w:r>
          </w:hyperlink>
        </w:p>
        <w:p w14:paraId="7B3CC528" w14:textId="4E9F2C5A"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68" w:history="1">
            <w:r w:rsidRPr="00EF2814">
              <w:rPr>
                <w:rStyle w:val="Hyperlink"/>
                <w:noProof/>
                <w:lang w:val="en-GB"/>
              </w:rPr>
              <w:t>4.7 Theme 5 - Support Systems and Workforce Resilience</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_Toc222234368 \h </w:instrText>
            </w:r>
            <w:r w:rsidRPr="00EF2814">
              <w:rPr>
                <w:noProof/>
                <w:webHidden/>
                <w:lang w:val="en-GB"/>
              </w:rPr>
            </w:r>
            <w:r w:rsidRPr="00EF2814">
              <w:rPr>
                <w:noProof/>
                <w:webHidden/>
                <w:lang w:val="en-GB"/>
              </w:rPr>
              <w:fldChar w:fldCharType="separate"/>
            </w:r>
            <w:r w:rsidRPr="00EF2814">
              <w:rPr>
                <w:noProof/>
                <w:webHidden/>
                <w:lang w:val="en-GB"/>
              </w:rPr>
              <w:t>41</w:t>
            </w:r>
            <w:r w:rsidRPr="00EF2814">
              <w:rPr>
                <w:noProof/>
                <w:webHidden/>
                <w:lang w:val="en-GB"/>
              </w:rPr>
              <w:fldChar w:fldCharType="end"/>
            </w:r>
          </w:hyperlink>
        </w:p>
        <w:p w14:paraId="65647E33" w14:textId="6F1FE11C"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69" w:history="1">
            <w:r w:rsidRPr="00EF2814">
              <w:rPr>
                <w:rStyle w:val="Hyperlink"/>
                <w:noProof/>
                <w:lang w:val="en-GB"/>
              </w:rPr>
              <w:t>4.8 Chapter Conclusion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_Toc222234369 \h </w:instrText>
            </w:r>
            <w:r w:rsidRPr="00EF2814">
              <w:rPr>
                <w:noProof/>
                <w:webHidden/>
                <w:lang w:val="en-GB"/>
              </w:rPr>
            </w:r>
            <w:r w:rsidRPr="00EF2814">
              <w:rPr>
                <w:noProof/>
                <w:webHidden/>
                <w:lang w:val="en-GB"/>
              </w:rPr>
              <w:fldChar w:fldCharType="separate"/>
            </w:r>
            <w:r w:rsidRPr="00EF2814">
              <w:rPr>
                <w:noProof/>
                <w:webHidden/>
                <w:lang w:val="en-GB"/>
              </w:rPr>
              <w:t>43</w:t>
            </w:r>
            <w:r w:rsidRPr="00EF2814">
              <w:rPr>
                <w:noProof/>
                <w:webHidden/>
                <w:lang w:val="en-GB"/>
              </w:rPr>
              <w:fldChar w:fldCharType="end"/>
            </w:r>
          </w:hyperlink>
        </w:p>
        <w:p w14:paraId="5B4A4F4E" w14:textId="263B8401" w:rsidR="004A6850" w:rsidRPr="00EF2814" w:rsidRDefault="004A6850">
          <w:pPr>
            <w:pStyle w:val="TOC1"/>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70" w:history="1">
            <w:r w:rsidRPr="00EF2814">
              <w:rPr>
                <w:rStyle w:val="Hyperlink"/>
                <w:rFonts w:cs="Arial"/>
                <w:noProof/>
                <w:lang w:val="en-GB"/>
              </w:rPr>
              <w:t>Chapter 5 – Conclusion and Recommendations</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_Toc222234370 \h </w:instrText>
            </w:r>
            <w:r w:rsidRPr="00EF2814">
              <w:rPr>
                <w:noProof/>
                <w:webHidden/>
                <w:lang w:val="en-GB"/>
              </w:rPr>
            </w:r>
            <w:r w:rsidRPr="00EF2814">
              <w:rPr>
                <w:noProof/>
                <w:webHidden/>
                <w:lang w:val="en-GB"/>
              </w:rPr>
              <w:fldChar w:fldCharType="separate"/>
            </w:r>
            <w:r w:rsidRPr="00EF2814">
              <w:rPr>
                <w:noProof/>
                <w:webHidden/>
                <w:lang w:val="en-GB"/>
              </w:rPr>
              <w:t>45</w:t>
            </w:r>
            <w:r w:rsidRPr="00EF2814">
              <w:rPr>
                <w:noProof/>
                <w:webHidden/>
                <w:lang w:val="en-GB"/>
              </w:rPr>
              <w:fldChar w:fldCharType="end"/>
            </w:r>
          </w:hyperlink>
        </w:p>
        <w:p w14:paraId="4CD148F0" w14:textId="492B180B"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71" w:history="1">
            <w:r w:rsidRPr="00EF2814">
              <w:rPr>
                <w:rStyle w:val="Hyperlink"/>
                <w:noProof/>
                <w:lang w:val="en-GB"/>
              </w:rPr>
              <w:t>5.1 Overall Conclusion</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_Toc222234371 \h </w:instrText>
            </w:r>
            <w:r w:rsidRPr="00EF2814">
              <w:rPr>
                <w:noProof/>
                <w:webHidden/>
                <w:lang w:val="en-GB"/>
              </w:rPr>
            </w:r>
            <w:r w:rsidRPr="00EF2814">
              <w:rPr>
                <w:noProof/>
                <w:webHidden/>
                <w:lang w:val="en-GB"/>
              </w:rPr>
              <w:fldChar w:fldCharType="separate"/>
            </w:r>
            <w:r w:rsidRPr="00EF2814">
              <w:rPr>
                <w:noProof/>
                <w:webHidden/>
                <w:lang w:val="en-GB"/>
              </w:rPr>
              <w:t>45</w:t>
            </w:r>
            <w:r w:rsidRPr="00EF2814">
              <w:rPr>
                <w:noProof/>
                <w:webHidden/>
                <w:lang w:val="en-GB"/>
              </w:rPr>
              <w:fldChar w:fldCharType="end"/>
            </w:r>
          </w:hyperlink>
        </w:p>
        <w:p w14:paraId="13E804B8" w14:textId="424339A1" w:rsidR="004A6850" w:rsidRPr="00EF2814" w:rsidRDefault="004A6850">
          <w:pPr>
            <w:pStyle w:val="TOC2"/>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72" w:history="1">
            <w:r w:rsidRPr="00EF2814">
              <w:rPr>
                <w:rStyle w:val="Hyperlink"/>
                <w:noProof/>
                <w:lang w:val="en-GB"/>
              </w:rPr>
              <w:t>5.2 Recommendations</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_Toc222234372 \h </w:instrText>
            </w:r>
            <w:r w:rsidRPr="00EF2814">
              <w:rPr>
                <w:noProof/>
                <w:webHidden/>
                <w:lang w:val="en-GB"/>
              </w:rPr>
            </w:r>
            <w:r w:rsidRPr="00EF2814">
              <w:rPr>
                <w:noProof/>
                <w:webHidden/>
                <w:lang w:val="en-GB"/>
              </w:rPr>
              <w:fldChar w:fldCharType="separate"/>
            </w:r>
            <w:r w:rsidRPr="00EF2814">
              <w:rPr>
                <w:noProof/>
                <w:webHidden/>
                <w:lang w:val="en-GB"/>
              </w:rPr>
              <w:t>46</w:t>
            </w:r>
            <w:r w:rsidRPr="00EF2814">
              <w:rPr>
                <w:noProof/>
                <w:webHidden/>
                <w:lang w:val="en-GB"/>
              </w:rPr>
              <w:fldChar w:fldCharType="end"/>
            </w:r>
          </w:hyperlink>
        </w:p>
        <w:p w14:paraId="4709BF0A" w14:textId="23951A49" w:rsidR="004A6850" w:rsidRPr="00EF2814" w:rsidRDefault="004A6850">
          <w:pPr>
            <w:pStyle w:val="TOC3"/>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73" w:history="1">
            <w:r w:rsidRPr="00EF2814">
              <w:rPr>
                <w:rStyle w:val="Hyperlink"/>
                <w:rFonts w:cs="Arial"/>
                <w:noProof/>
                <w:lang w:val="en-GB"/>
              </w:rPr>
              <w:t>5.2.1 Recommendation 1: Strengthening Workforce Preparedness through Targeted Training and Skill Development</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_Toc222234373 \h </w:instrText>
            </w:r>
            <w:r w:rsidRPr="00EF2814">
              <w:rPr>
                <w:noProof/>
                <w:webHidden/>
                <w:lang w:val="en-GB"/>
              </w:rPr>
            </w:r>
            <w:r w:rsidRPr="00EF2814">
              <w:rPr>
                <w:noProof/>
                <w:webHidden/>
                <w:lang w:val="en-GB"/>
              </w:rPr>
              <w:fldChar w:fldCharType="separate"/>
            </w:r>
            <w:r w:rsidRPr="00EF2814">
              <w:rPr>
                <w:noProof/>
                <w:webHidden/>
                <w:lang w:val="en-GB"/>
              </w:rPr>
              <w:t>46</w:t>
            </w:r>
            <w:r w:rsidRPr="00EF2814">
              <w:rPr>
                <w:noProof/>
                <w:webHidden/>
                <w:lang w:val="en-GB"/>
              </w:rPr>
              <w:fldChar w:fldCharType="end"/>
            </w:r>
          </w:hyperlink>
        </w:p>
        <w:p w14:paraId="5BF2C550" w14:textId="609A79A9" w:rsidR="004A6850" w:rsidRPr="00EF2814" w:rsidRDefault="004A6850">
          <w:pPr>
            <w:pStyle w:val="TOC3"/>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74" w:history="1">
            <w:r w:rsidRPr="00EF2814">
              <w:rPr>
                <w:rStyle w:val="Hyperlink"/>
                <w:rFonts w:cs="Arial"/>
                <w:noProof/>
                <w:lang w:val="en-GB"/>
              </w:rPr>
              <w:t>5.2.2 Recommendation 2: Enhancing Workforce Flexibility to Support Adaptive and Resilient Care Delivery</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_Toc222234374 \h </w:instrText>
            </w:r>
            <w:r w:rsidRPr="00EF2814">
              <w:rPr>
                <w:noProof/>
                <w:webHidden/>
                <w:lang w:val="en-GB"/>
              </w:rPr>
            </w:r>
            <w:r w:rsidRPr="00EF2814">
              <w:rPr>
                <w:noProof/>
                <w:webHidden/>
                <w:lang w:val="en-GB"/>
              </w:rPr>
              <w:fldChar w:fldCharType="separate"/>
            </w:r>
            <w:r w:rsidRPr="00EF2814">
              <w:rPr>
                <w:noProof/>
                <w:webHidden/>
                <w:lang w:val="en-GB"/>
              </w:rPr>
              <w:t>47</w:t>
            </w:r>
            <w:r w:rsidRPr="00EF2814">
              <w:rPr>
                <w:noProof/>
                <w:webHidden/>
                <w:lang w:val="en-GB"/>
              </w:rPr>
              <w:fldChar w:fldCharType="end"/>
            </w:r>
          </w:hyperlink>
        </w:p>
        <w:p w14:paraId="0B88705F" w14:textId="4E31CA1D" w:rsidR="004A6850" w:rsidRPr="00EF2814" w:rsidRDefault="004A6850">
          <w:pPr>
            <w:pStyle w:val="TOC3"/>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75" w:history="1">
            <w:r w:rsidRPr="00EF2814">
              <w:rPr>
                <w:rStyle w:val="Hyperlink"/>
                <w:rFonts w:cs="Arial"/>
                <w:noProof/>
                <w:lang w:val="en-GB"/>
              </w:rPr>
              <w:t>5.2.3 Recommendation 3: Aligning Policy Implementation with Frontline Practice to Improve Service Outcomes</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_Toc222234375 \h </w:instrText>
            </w:r>
            <w:r w:rsidRPr="00EF2814">
              <w:rPr>
                <w:noProof/>
                <w:webHidden/>
                <w:lang w:val="en-GB"/>
              </w:rPr>
            </w:r>
            <w:r w:rsidRPr="00EF2814">
              <w:rPr>
                <w:noProof/>
                <w:webHidden/>
                <w:lang w:val="en-GB"/>
              </w:rPr>
              <w:fldChar w:fldCharType="separate"/>
            </w:r>
            <w:r w:rsidRPr="00EF2814">
              <w:rPr>
                <w:noProof/>
                <w:webHidden/>
                <w:lang w:val="en-GB"/>
              </w:rPr>
              <w:t>47</w:t>
            </w:r>
            <w:r w:rsidRPr="00EF2814">
              <w:rPr>
                <w:noProof/>
                <w:webHidden/>
                <w:lang w:val="en-GB"/>
              </w:rPr>
              <w:fldChar w:fldCharType="end"/>
            </w:r>
          </w:hyperlink>
        </w:p>
        <w:p w14:paraId="0C4BABFB" w14:textId="5E0535C2" w:rsidR="004A6850" w:rsidRPr="00EF2814" w:rsidRDefault="004A6850">
          <w:pPr>
            <w:pStyle w:val="TOC1"/>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76" w:history="1">
            <w:r w:rsidRPr="00EF2814">
              <w:rPr>
                <w:rStyle w:val="Hyperlink"/>
                <w:noProof/>
                <w:lang w:val="en-GB"/>
              </w:rPr>
              <w:t>References</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_Toc222234376 \h </w:instrText>
            </w:r>
            <w:r w:rsidRPr="00EF2814">
              <w:rPr>
                <w:noProof/>
                <w:webHidden/>
                <w:lang w:val="en-GB"/>
              </w:rPr>
            </w:r>
            <w:r w:rsidRPr="00EF2814">
              <w:rPr>
                <w:noProof/>
                <w:webHidden/>
                <w:lang w:val="en-GB"/>
              </w:rPr>
              <w:fldChar w:fldCharType="separate"/>
            </w:r>
            <w:r w:rsidRPr="00EF2814">
              <w:rPr>
                <w:noProof/>
                <w:webHidden/>
                <w:lang w:val="en-GB"/>
              </w:rPr>
              <w:t>49</w:t>
            </w:r>
            <w:r w:rsidRPr="00EF2814">
              <w:rPr>
                <w:noProof/>
                <w:webHidden/>
                <w:lang w:val="en-GB"/>
              </w:rPr>
              <w:fldChar w:fldCharType="end"/>
            </w:r>
          </w:hyperlink>
        </w:p>
        <w:p w14:paraId="4E1169E4" w14:textId="681A6804" w:rsidR="004A6850" w:rsidRPr="00EF2814" w:rsidRDefault="004A6850">
          <w:pPr>
            <w:pStyle w:val="TOC1"/>
            <w:tabs>
              <w:tab w:val="right" w:leader="dot" w:pos="9350"/>
            </w:tabs>
            <w:rPr>
              <w:rFonts w:asciiTheme="minorHAnsi" w:eastAsiaTheme="minorEastAsia" w:hAnsiTheme="minorHAnsi"/>
              <w:noProof/>
              <w:kern w:val="2"/>
              <w:sz w:val="24"/>
              <w:szCs w:val="24"/>
              <w:lang w:val="en-GB" w:eastAsia="en-IN"/>
              <w14:ligatures w14:val="standardContextual"/>
            </w:rPr>
          </w:pPr>
          <w:hyperlink w:anchor="_Toc222234377" w:history="1">
            <w:r w:rsidRPr="00EF2814">
              <w:rPr>
                <w:rStyle w:val="Hyperlink"/>
                <w:noProof/>
                <w:lang w:val="en-GB"/>
              </w:rPr>
              <w:t>Appendices</w:t>
            </w:r>
            <w:r w:rsidRPr="00EF2814">
              <w:rPr>
                <w:noProof/>
                <w:webHidden/>
                <w:lang w:val="en-GB"/>
              </w:rPr>
              <w:tab/>
            </w:r>
            <w:r w:rsidRPr="00EF2814">
              <w:rPr>
                <w:noProof/>
                <w:webHidden/>
                <w:lang w:val="en-GB"/>
              </w:rPr>
              <w:fldChar w:fldCharType="begin"/>
            </w:r>
            <w:r w:rsidRPr="00EF2814">
              <w:rPr>
                <w:noProof/>
                <w:webHidden/>
                <w:lang w:val="en-GB"/>
              </w:rPr>
              <w:instrText xml:space="preserve"> PAGEREF _Toc222234377 \h </w:instrText>
            </w:r>
            <w:r w:rsidRPr="00EF2814">
              <w:rPr>
                <w:noProof/>
                <w:webHidden/>
                <w:lang w:val="en-GB"/>
              </w:rPr>
            </w:r>
            <w:r w:rsidRPr="00EF2814">
              <w:rPr>
                <w:noProof/>
                <w:webHidden/>
                <w:lang w:val="en-GB"/>
              </w:rPr>
              <w:fldChar w:fldCharType="separate"/>
            </w:r>
            <w:r w:rsidRPr="00EF2814">
              <w:rPr>
                <w:noProof/>
                <w:webHidden/>
                <w:lang w:val="en-GB"/>
              </w:rPr>
              <w:t>63</w:t>
            </w:r>
            <w:r w:rsidRPr="00EF2814">
              <w:rPr>
                <w:noProof/>
                <w:webHidden/>
                <w:lang w:val="en-GB"/>
              </w:rPr>
              <w:fldChar w:fldCharType="end"/>
            </w:r>
          </w:hyperlink>
        </w:p>
        <w:p w14:paraId="2FF23804" w14:textId="0D182207" w:rsidR="00BC594A" w:rsidRPr="00EF2814" w:rsidRDefault="00BC594A" w:rsidP="000702A0">
          <w:pPr>
            <w:rPr>
              <w:rFonts w:cs="Arial"/>
              <w:lang w:val="en-GB"/>
            </w:rPr>
          </w:pPr>
          <w:r w:rsidRPr="00EF2814">
            <w:rPr>
              <w:rFonts w:cs="Arial"/>
              <w:bCs/>
              <w:noProof/>
              <w:lang w:val="en-GB"/>
            </w:rPr>
            <w:fldChar w:fldCharType="end"/>
          </w:r>
        </w:p>
      </w:sdtContent>
    </w:sdt>
    <w:p w14:paraId="41A4DC93" w14:textId="3E64C482" w:rsidR="00C31D85" w:rsidRPr="00EF2814" w:rsidRDefault="00CC0A8F" w:rsidP="00BC594A">
      <w:pPr>
        <w:rPr>
          <w:lang w:val="en-GB"/>
        </w:rPr>
        <w:sectPr w:rsidR="00C31D85" w:rsidRPr="00EF2814" w:rsidSect="00E837CB">
          <w:headerReference w:type="default" r:id="rId12"/>
          <w:footerReference w:type="default" r:id="rId13"/>
          <w:headerReference w:type="first" r:id="rId14"/>
          <w:type w:val="continuous"/>
          <w:pgSz w:w="12240" w:h="15840" w:code="1"/>
          <w:pgMar w:top="1440" w:right="1440" w:bottom="1440" w:left="1440" w:header="432" w:footer="288" w:gutter="0"/>
          <w:cols w:space="720"/>
          <w:titlePg/>
          <w:docGrid w:linePitch="360"/>
        </w:sectPr>
      </w:pPr>
      <w:r w:rsidRPr="00EF2814">
        <w:rPr>
          <w:lang w:val="en-GB"/>
        </w:rPr>
        <w:br w:type="page"/>
      </w:r>
    </w:p>
    <w:tbl>
      <w:tblPr>
        <w:tblStyle w:val="TableGrid"/>
        <w:tblW w:w="14616" w:type="dxa"/>
        <w:tblLook w:val="04A0" w:firstRow="1" w:lastRow="0" w:firstColumn="1" w:lastColumn="0" w:noHBand="0" w:noVBand="1"/>
      </w:tblPr>
      <w:tblGrid>
        <w:gridCol w:w="7225"/>
        <w:gridCol w:w="7391"/>
      </w:tblGrid>
      <w:tr w:rsidR="00802FF1" w:rsidRPr="00EF2814" w14:paraId="2F1EE6C0" w14:textId="77777777" w:rsidTr="0098500B">
        <w:trPr>
          <w:trHeight w:val="597"/>
        </w:trPr>
        <w:tc>
          <w:tcPr>
            <w:tcW w:w="14616" w:type="dxa"/>
            <w:gridSpan w:val="2"/>
            <w:shd w:val="clear" w:color="auto" w:fill="D9D9D9" w:themeFill="background1" w:themeFillShade="D9"/>
            <w:vAlign w:val="center"/>
          </w:tcPr>
          <w:p w14:paraId="080E7EB0" w14:textId="35A6E57C" w:rsidR="00802FF1" w:rsidRPr="00EF2814" w:rsidRDefault="005E31A6" w:rsidP="00490CC9">
            <w:pPr>
              <w:spacing w:after="0"/>
              <w:jc w:val="center"/>
              <w:rPr>
                <w:rFonts w:cs="Arial"/>
                <w:b/>
                <w:sz w:val="24"/>
                <w:lang w:val="en-GB"/>
              </w:rPr>
            </w:pPr>
            <w:r w:rsidRPr="00EF2814">
              <w:rPr>
                <w:rFonts w:cs="Arial"/>
                <w:b/>
                <w:noProof/>
                <w:sz w:val="24"/>
                <w:lang w:val="en-GB" w:eastAsia="en-IN"/>
              </w:rPr>
              <w:lastRenderedPageBreak/>
              <mc:AlternateContent>
                <mc:Choice Requires="wps">
                  <w:drawing>
                    <wp:anchor distT="0" distB="0" distL="114300" distR="114300" simplePos="0" relativeHeight="251666432" behindDoc="0" locked="0" layoutInCell="1" allowOverlap="1" wp14:anchorId="5EBEA2E2" wp14:editId="3F4F296F">
                      <wp:simplePos x="0" y="0"/>
                      <wp:positionH relativeFrom="column">
                        <wp:posOffset>-60325</wp:posOffset>
                      </wp:positionH>
                      <wp:positionV relativeFrom="paragraph">
                        <wp:posOffset>-472440</wp:posOffset>
                      </wp:positionV>
                      <wp:extent cx="6685280" cy="356235"/>
                      <wp:effectExtent l="0" t="0" r="1270" b="5715"/>
                      <wp:wrapNone/>
                      <wp:docPr id="8" name="Text Box 8"/>
                      <wp:cNvGraphicFramePr/>
                      <a:graphic xmlns:a="http://schemas.openxmlformats.org/drawingml/2006/main">
                        <a:graphicData uri="http://schemas.microsoft.com/office/word/2010/wordprocessingShape">
                          <wps:wsp>
                            <wps:cNvSpPr txBox="1"/>
                            <wps:spPr>
                              <a:xfrm>
                                <a:off x="0" y="0"/>
                                <a:ext cx="6685280" cy="3562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EB714D" w14:textId="77777777" w:rsidR="009F715E" w:rsidRDefault="009F715E" w:rsidP="00E66391">
                                  <w:pPr>
                                    <w:pStyle w:val="Heading1"/>
                                  </w:pPr>
                                  <w:bookmarkStart w:id="0" w:name="_a5cous2iwmo8" w:colFirst="0" w:colLast="0"/>
                                  <w:bookmarkStart w:id="1" w:name="_Toc222234336"/>
                                  <w:bookmarkEnd w:id="0"/>
                                  <w:r>
                                    <w:t xml:space="preserve">Element 2 - </w:t>
                                  </w:r>
                                  <w:r w:rsidRPr="00E66391">
                                    <w:t>Methodology</w:t>
                                  </w:r>
                                  <w:r>
                                    <w:t xml:space="preserve"> poster</w:t>
                                  </w:r>
                                  <w:bookmarkEnd w:id="1"/>
                                </w:p>
                                <w:p w14:paraId="69E838BB" w14:textId="77777777" w:rsidR="009F715E" w:rsidRDefault="009F715E" w:rsidP="005E31A6">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EA2E2" id="_x0000_t202" coordsize="21600,21600" o:spt="202" path="m,l,21600r21600,l21600,xe">
                      <v:stroke joinstyle="miter"/>
                      <v:path gradientshapeok="t" o:connecttype="rect"/>
                    </v:shapetype>
                    <v:shape id="Text Box 8" o:spid="_x0000_s1026" type="#_x0000_t202" style="position:absolute;left:0;text-align:left;margin-left:-4.75pt;margin-top:-37.2pt;width:526.4pt;height:28.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" fillcolor="white [3201]" stroked="f" strokeweight=".5pt">
                      <v:textbox>
                        <w:txbxContent>
                          <w:p w14:paraId="6EEB714D" w14:textId="77777777" w:rsidR="009F715E" w:rsidRDefault="009F715E" w:rsidP="00E66391">
                            <w:pPr>
                              <w:pStyle w:val="Heading1"/>
                            </w:pPr>
                            <w:bookmarkStart w:id="2" w:name="_a5cous2iwmo8" w:colFirst="0" w:colLast="0"/>
                            <w:bookmarkStart w:id="3" w:name="_Toc222234336"/>
                            <w:bookmarkEnd w:id="2"/>
                            <w:r>
                              <w:t xml:space="preserve">Element 2 - </w:t>
                            </w:r>
                            <w:r w:rsidRPr="00E66391">
                              <w:t>Methodology</w:t>
                            </w:r>
                            <w:r>
                              <w:t xml:space="preserve"> poster</w:t>
                            </w:r>
                            <w:bookmarkEnd w:id="3"/>
                          </w:p>
                          <w:p w14:paraId="69E838BB" w14:textId="77777777" w:rsidR="009F715E" w:rsidRDefault="009F715E" w:rsidP="005E31A6">
                            <w:pPr>
                              <w:pStyle w:val="Heading1"/>
                            </w:pPr>
                          </w:p>
                        </w:txbxContent>
                      </v:textbox>
                    </v:shape>
                  </w:pict>
                </mc:Fallback>
              </mc:AlternateContent>
            </w:r>
            <w:r w:rsidR="00BF4C80" w:rsidRPr="00EF2814">
              <w:rPr>
                <w:rFonts w:cs="Arial"/>
                <w:b/>
                <w:sz w:val="24"/>
                <w:lang w:val="en-GB"/>
              </w:rPr>
              <w:t>Examining the Effect of COVID-19 Emergency Clinical Training on Staff Competency Levels within the UK Health Care Industry</w:t>
            </w:r>
          </w:p>
        </w:tc>
      </w:tr>
      <w:tr w:rsidR="00C31D85" w:rsidRPr="00EF2814" w14:paraId="51100EC3" w14:textId="77777777" w:rsidTr="0098500B">
        <w:trPr>
          <w:trHeight w:val="1856"/>
        </w:trPr>
        <w:tc>
          <w:tcPr>
            <w:tcW w:w="7225" w:type="dxa"/>
            <w:shd w:val="clear" w:color="auto" w:fill="F7CAAC" w:themeFill="accent2" w:themeFillTint="66"/>
          </w:tcPr>
          <w:p w14:paraId="7D5ABB49" w14:textId="7F1E70AD" w:rsidR="00C31D85" w:rsidRPr="00EF2814" w:rsidRDefault="003F0733" w:rsidP="00126B52">
            <w:pPr>
              <w:tabs>
                <w:tab w:val="left" w:pos="4800"/>
              </w:tabs>
              <w:spacing w:after="0" w:line="276" w:lineRule="auto"/>
              <w:rPr>
                <w:rFonts w:ascii="Aptos" w:hAnsi="Aptos"/>
                <w:b/>
                <w:bCs/>
                <w:lang w:val="en-GB"/>
              </w:rPr>
            </w:pPr>
            <w:r w:rsidRPr="00EF2814">
              <w:rPr>
                <w:rFonts w:ascii="Aptos" w:hAnsi="Aptos"/>
                <w:b/>
                <w:bCs/>
                <w:sz w:val="40"/>
                <w:szCs w:val="40"/>
                <w:lang w:val="en-GB"/>
              </w:rPr>
              <w:t>01</w:t>
            </w:r>
            <w:r w:rsidRPr="00EF2814">
              <w:rPr>
                <w:rFonts w:ascii="Aptos" w:hAnsi="Aptos"/>
                <w:lang w:val="en-GB"/>
              </w:rPr>
              <w:t xml:space="preserve"> </w:t>
            </w:r>
            <w:r w:rsidRPr="003F0733">
              <w:rPr>
                <w:rFonts w:ascii="Aptos" w:hAnsi="Aptos"/>
                <w:b/>
                <w:bCs/>
                <w:lang w:val="en-GB"/>
              </w:rPr>
              <w:t>Introduction</w:t>
            </w:r>
            <w:r w:rsidR="001A2DAB" w:rsidRPr="00EF2814">
              <w:rPr>
                <w:rFonts w:ascii="Aptos" w:hAnsi="Aptos"/>
                <w:b/>
                <w:bCs/>
                <w:lang w:val="en-GB"/>
              </w:rPr>
              <w:t xml:space="preserve"> and </w:t>
            </w:r>
            <w:r w:rsidR="00AB5409" w:rsidRPr="00EF2814">
              <w:rPr>
                <w:rFonts w:ascii="Aptos" w:hAnsi="Aptos"/>
                <w:b/>
                <w:bCs/>
                <w:lang w:val="en-GB"/>
              </w:rPr>
              <w:t xml:space="preserve">Research </w:t>
            </w:r>
            <w:r w:rsidR="001A2DAB" w:rsidRPr="00EF2814">
              <w:rPr>
                <w:rFonts w:ascii="Aptos" w:hAnsi="Aptos"/>
                <w:b/>
                <w:bCs/>
                <w:lang w:val="en-GB"/>
              </w:rPr>
              <w:t xml:space="preserve">Aim </w:t>
            </w:r>
            <w:r w:rsidR="0098500B" w:rsidRPr="00EF2814">
              <w:rPr>
                <w:rFonts w:ascii="Aptos" w:hAnsi="Aptos"/>
                <w:b/>
                <w:bCs/>
                <w:lang w:val="en-GB"/>
              </w:rPr>
              <w:tab/>
            </w:r>
          </w:p>
          <w:p w14:paraId="001CEBE6" w14:textId="77777777" w:rsidR="00A133ED" w:rsidRPr="00EF2814" w:rsidRDefault="00A133ED" w:rsidP="00126B52">
            <w:pPr>
              <w:pStyle w:val="NormalWeb"/>
              <w:spacing w:before="0" w:beforeAutospacing="0" w:after="0" w:afterAutospacing="0" w:line="276" w:lineRule="auto"/>
              <w:rPr>
                <w:lang w:val="en-GB"/>
              </w:rPr>
            </w:pPr>
            <w:r w:rsidRPr="00EF2814">
              <w:rPr>
                <w:rFonts w:ascii="Arial" w:hAnsi="Arial" w:cs="Arial"/>
                <w:b/>
                <w:bCs/>
                <w:color w:val="000000"/>
                <w:sz w:val="22"/>
                <w:szCs w:val="22"/>
                <w:lang w:val="en-GB"/>
              </w:rPr>
              <w:t>Introduction </w:t>
            </w:r>
          </w:p>
          <w:p w14:paraId="7092939E" w14:textId="77777777" w:rsidR="00A133ED" w:rsidRPr="00EF2814" w:rsidRDefault="00A133ED" w:rsidP="00126B52">
            <w:pPr>
              <w:pStyle w:val="NormalWeb"/>
              <w:spacing w:before="0" w:beforeAutospacing="0" w:after="0" w:afterAutospacing="0" w:line="276" w:lineRule="auto"/>
              <w:rPr>
                <w:lang w:val="en-GB"/>
              </w:rPr>
            </w:pPr>
            <w:r w:rsidRPr="00EF2814">
              <w:rPr>
                <w:rFonts w:ascii="Arial" w:hAnsi="Arial" w:cs="Arial"/>
                <w:color w:val="000000"/>
                <w:sz w:val="22"/>
                <w:szCs w:val="22"/>
                <w:lang w:val="en-GB"/>
              </w:rPr>
              <w:t>In this poster, the methodological approach employed for conducting the study will be discussed, which will include the research purpose, overall qualitative research design, research strategy employed for searching, data selection process, thematic analysis, data validation, and other important considerations.</w:t>
            </w:r>
          </w:p>
          <w:p w14:paraId="42361607" w14:textId="77777777" w:rsidR="00A133ED" w:rsidRPr="00EF2814" w:rsidRDefault="00A133ED" w:rsidP="00126B52">
            <w:pPr>
              <w:pStyle w:val="NormalWeb"/>
              <w:spacing w:before="0" w:beforeAutospacing="0" w:after="0" w:afterAutospacing="0" w:line="276" w:lineRule="auto"/>
              <w:rPr>
                <w:lang w:val="en-GB"/>
              </w:rPr>
            </w:pPr>
            <w:r w:rsidRPr="00EF2814">
              <w:rPr>
                <w:rFonts w:ascii="Arial" w:hAnsi="Arial" w:cs="Arial"/>
                <w:b/>
                <w:bCs/>
                <w:color w:val="000000"/>
                <w:sz w:val="22"/>
                <w:szCs w:val="22"/>
                <w:lang w:val="en-GB"/>
              </w:rPr>
              <w:t>Research Aim</w:t>
            </w:r>
          </w:p>
          <w:p w14:paraId="4F873229" w14:textId="51C82EE1" w:rsidR="000E56ED" w:rsidRPr="00EF2814" w:rsidRDefault="00A133ED" w:rsidP="00126B52">
            <w:pPr>
              <w:pStyle w:val="NormalWeb"/>
              <w:spacing w:before="0" w:beforeAutospacing="0" w:after="0" w:afterAutospacing="0" w:line="276" w:lineRule="auto"/>
              <w:rPr>
                <w:lang w:val="en-GB"/>
              </w:rPr>
            </w:pPr>
            <w:r w:rsidRPr="00EF2814">
              <w:rPr>
                <w:rFonts w:ascii="Arial" w:hAnsi="Arial" w:cs="Arial"/>
                <w:color w:val="000000"/>
                <w:sz w:val="22"/>
                <w:szCs w:val="22"/>
                <w:lang w:val="en-GB"/>
              </w:rPr>
              <w:t>The research study aims to examine the effect of COVID-19 emergency clinical training on healthcare staff competency levels within the UK healthcare industry.</w:t>
            </w:r>
          </w:p>
        </w:tc>
        <w:tc>
          <w:tcPr>
            <w:tcW w:w="7391" w:type="dxa"/>
            <w:shd w:val="clear" w:color="auto" w:fill="FFE599" w:themeFill="accent4" w:themeFillTint="66"/>
          </w:tcPr>
          <w:p w14:paraId="512F9F0B" w14:textId="77777777" w:rsidR="00C31D85" w:rsidRPr="00EF2814" w:rsidRDefault="00C31D85" w:rsidP="00126B52">
            <w:pPr>
              <w:spacing w:after="0" w:line="276" w:lineRule="auto"/>
              <w:rPr>
                <w:rFonts w:ascii="Aptos" w:hAnsi="Aptos"/>
                <w:lang w:val="en-GB"/>
              </w:rPr>
            </w:pPr>
            <w:r w:rsidRPr="00EF2814">
              <w:rPr>
                <w:rFonts w:ascii="Aptos" w:hAnsi="Aptos"/>
                <w:b/>
                <w:bCs/>
                <w:sz w:val="40"/>
                <w:szCs w:val="40"/>
                <w:lang w:val="en-GB"/>
              </w:rPr>
              <w:t>02</w:t>
            </w:r>
            <w:r w:rsidR="00AB5409" w:rsidRPr="00EF2814">
              <w:rPr>
                <w:rFonts w:ascii="Aptos" w:hAnsi="Aptos"/>
                <w:b/>
                <w:bCs/>
                <w:sz w:val="40"/>
                <w:szCs w:val="40"/>
                <w:lang w:val="en-GB"/>
              </w:rPr>
              <w:t xml:space="preserve"> </w:t>
            </w:r>
            <w:r w:rsidR="00AB5409" w:rsidRPr="00EF2814">
              <w:rPr>
                <w:rFonts w:ascii="Aptos" w:hAnsi="Aptos"/>
                <w:b/>
                <w:bCs/>
                <w:lang w:val="en-GB"/>
              </w:rPr>
              <w:t>Search Strategy</w:t>
            </w:r>
            <w:r w:rsidR="00AB5409" w:rsidRPr="00EF2814">
              <w:rPr>
                <w:rFonts w:ascii="Aptos" w:hAnsi="Aptos"/>
                <w:lang w:val="en-GB"/>
              </w:rPr>
              <w:t xml:space="preserve"> </w:t>
            </w:r>
          </w:p>
          <w:p w14:paraId="109C23A4" w14:textId="4DD58F6A" w:rsidR="0098500B" w:rsidRPr="00EF2814" w:rsidRDefault="00F26D36" w:rsidP="00126B52">
            <w:pPr>
              <w:spacing w:after="0" w:line="276" w:lineRule="auto"/>
              <w:rPr>
                <w:rFonts w:ascii="Aptos" w:hAnsi="Aptos"/>
                <w:lang w:val="en-GB"/>
              </w:rPr>
            </w:pPr>
            <w:r w:rsidRPr="00EF2814">
              <w:rPr>
                <w:rFonts w:cs="Arial"/>
                <w:color w:val="000000"/>
                <w:lang w:val="en-GB"/>
              </w:rPr>
              <w:t xml:space="preserve">The term search strategy refers to an approach of searching for secondary data. The research process for the proposed study will involve a designated set of keywords, Boolean logic, and academic databases, which will be relied upon to yield a body of credible literature on the emergency clinical training for COVID-19, as well as staff competency, within the U.K (Khurshid </w:t>
            </w:r>
            <w:r w:rsidRPr="00EF2814">
              <w:rPr>
                <w:rFonts w:cs="Arial"/>
                <w:i/>
                <w:iCs/>
                <w:color w:val="000000"/>
                <w:lang w:val="en-GB"/>
              </w:rPr>
              <w:t>et al.</w:t>
            </w:r>
            <w:r w:rsidRPr="00EF2814">
              <w:rPr>
                <w:rFonts w:cs="Arial"/>
                <w:color w:val="000000"/>
                <w:lang w:val="en-GB"/>
              </w:rPr>
              <w:t>, 2022).</w:t>
            </w:r>
            <w:r w:rsidR="003F0733">
              <w:rPr>
                <w:rFonts w:cs="Arial"/>
                <w:color w:val="000000"/>
                <w:lang w:val="en-GB"/>
              </w:rPr>
              <w:t xml:space="preserve"> </w:t>
            </w:r>
          </w:p>
          <w:p w14:paraId="0797306B" w14:textId="4E291CFC" w:rsidR="0029329C" w:rsidRPr="00EF2814" w:rsidRDefault="0098500B" w:rsidP="00126B52">
            <w:pPr>
              <w:tabs>
                <w:tab w:val="left" w:pos="5385"/>
              </w:tabs>
              <w:spacing w:after="0" w:line="276" w:lineRule="auto"/>
              <w:rPr>
                <w:rFonts w:ascii="Aptos" w:hAnsi="Aptos"/>
                <w:lang w:val="en-GB"/>
              </w:rPr>
            </w:pPr>
            <w:r w:rsidRPr="00EF2814">
              <w:rPr>
                <w:rFonts w:ascii="Aptos" w:hAnsi="Aptos"/>
                <w:lang w:val="en-GB"/>
              </w:rPr>
              <w:tab/>
            </w:r>
          </w:p>
        </w:tc>
      </w:tr>
      <w:tr w:rsidR="00C31D85" w:rsidRPr="00EF2814" w14:paraId="56FBFF17" w14:textId="77777777" w:rsidTr="0098500B">
        <w:trPr>
          <w:trHeight w:val="1856"/>
        </w:trPr>
        <w:tc>
          <w:tcPr>
            <w:tcW w:w="7225" w:type="dxa"/>
            <w:shd w:val="clear" w:color="auto" w:fill="C5E0B3" w:themeFill="accent6" w:themeFillTint="66"/>
          </w:tcPr>
          <w:p w14:paraId="30AEBD55" w14:textId="77777777" w:rsidR="00C31D85" w:rsidRPr="00EF2814" w:rsidRDefault="00C31D85" w:rsidP="00126B52">
            <w:pPr>
              <w:spacing w:after="0" w:line="276" w:lineRule="auto"/>
              <w:rPr>
                <w:rFonts w:ascii="Aptos" w:hAnsi="Aptos"/>
                <w:lang w:val="en-GB"/>
              </w:rPr>
            </w:pPr>
            <w:r w:rsidRPr="00EF2814">
              <w:rPr>
                <w:rFonts w:ascii="Aptos" w:hAnsi="Aptos"/>
                <w:b/>
                <w:bCs/>
                <w:sz w:val="40"/>
                <w:szCs w:val="40"/>
                <w:lang w:val="en-GB"/>
              </w:rPr>
              <w:t>03</w:t>
            </w:r>
            <w:r w:rsidR="00AB5409" w:rsidRPr="00EF2814">
              <w:rPr>
                <w:rFonts w:ascii="Aptos" w:hAnsi="Aptos"/>
                <w:lang w:val="en-GB"/>
              </w:rPr>
              <w:t xml:space="preserve"> </w:t>
            </w:r>
            <w:r w:rsidR="00AB5409" w:rsidRPr="00EF2814">
              <w:rPr>
                <w:rFonts w:ascii="Aptos" w:hAnsi="Aptos"/>
                <w:b/>
                <w:bCs/>
                <w:lang w:val="en-GB"/>
              </w:rPr>
              <w:t>Searching for Information</w:t>
            </w:r>
            <w:r w:rsidR="00AB5409" w:rsidRPr="00EF2814">
              <w:rPr>
                <w:rFonts w:ascii="Aptos" w:hAnsi="Aptos"/>
                <w:lang w:val="en-GB"/>
              </w:rPr>
              <w:t xml:space="preserve"> </w:t>
            </w:r>
          </w:p>
          <w:p w14:paraId="701333EA" w14:textId="3B4B1174" w:rsidR="0029329C" w:rsidRPr="00EF2814" w:rsidRDefault="00F26D36" w:rsidP="00126B52">
            <w:pPr>
              <w:spacing w:after="0" w:line="276" w:lineRule="auto"/>
              <w:rPr>
                <w:rFonts w:ascii="Aptos" w:hAnsi="Aptos"/>
                <w:lang w:val="en-GB"/>
              </w:rPr>
            </w:pPr>
            <w:r w:rsidRPr="00EF2814">
              <w:rPr>
                <w:rFonts w:cs="Arial"/>
                <w:color w:val="000000"/>
                <w:lang w:val="en-GB"/>
              </w:rPr>
              <w:t xml:space="preserve">Search using various academic databases such as Google Scholar, PubMed, and NHS publications (Heath </w:t>
            </w:r>
            <w:r w:rsidRPr="00EF2814">
              <w:rPr>
                <w:rFonts w:cs="Arial"/>
                <w:i/>
                <w:iCs/>
                <w:color w:val="000000"/>
                <w:lang w:val="en-GB"/>
              </w:rPr>
              <w:t>et al.,</w:t>
            </w:r>
            <w:r w:rsidRPr="00EF2814">
              <w:rPr>
                <w:rFonts w:cs="Arial"/>
                <w:color w:val="000000"/>
                <w:lang w:val="en-GB"/>
              </w:rPr>
              <w:t xml:space="preserve"> 2022). Refine the keywords and search each abstract </w:t>
            </w:r>
            <w:proofErr w:type="gramStart"/>
            <w:r w:rsidRPr="00EF2814">
              <w:rPr>
                <w:rFonts w:cs="Arial"/>
                <w:color w:val="000000"/>
                <w:lang w:val="en-GB"/>
              </w:rPr>
              <w:t>in regard to</w:t>
            </w:r>
            <w:proofErr w:type="gramEnd"/>
            <w:r w:rsidRPr="00EF2814">
              <w:rPr>
                <w:rFonts w:cs="Arial"/>
                <w:color w:val="000000"/>
                <w:lang w:val="en-GB"/>
              </w:rPr>
              <w:t xml:space="preserve"> relevance and reliability </w:t>
            </w:r>
            <w:proofErr w:type="gramStart"/>
            <w:r w:rsidRPr="00EF2814">
              <w:rPr>
                <w:rFonts w:cs="Arial"/>
                <w:color w:val="000000"/>
                <w:lang w:val="en-GB"/>
              </w:rPr>
              <w:t>with regard to</w:t>
            </w:r>
            <w:proofErr w:type="gramEnd"/>
            <w:r w:rsidRPr="00EF2814">
              <w:rPr>
                <w:rFonts w:cs="Arial"/>
                <w:color w:val="000000"/>
                <w:lang w:val="en-GB"/>
              </w:rPr>
              <w:t xml:space="preserve"> the research aim and objectives.</w:t>
            </w:r>
          </w:p>
        </w:tc>
        <w:tc>
          <w:tcPr>
            <w:tcW w:w="7391" w:type="dxa"/>
          </w:tcPr>
          <w:p w14:paraId="0ED7B4C8" w14:textId="5039E665" w:rsidR="005F7D75" w:rsidRPr="00EF2814" w:rsidRDefault="00C31D85" w:rsidP="00126B52">
            <w:pPr>
              <w:spacing w:after="0" w:line="276" w:lineRule="auto"/>
              <w:rPr>
                <w:rFonts w:ascii="Aptos" w:hAnsi="Aptos"/>
                <w:lang w:val="en-GB"/>
              </w:rPr>
            </w:pPr>
            <w:r w:rsidRPr="00EF2814">
              <w:rPr>
                <w:rFonts w:ascii="Aptos" w:hAnsi="Aptos"/>
                <w:b/>
                <w:bCs/>
                <w:sz w:val="40"/>
                <w:szCs w:val="40"/>
                <w:lang w:val="en-GB"/>
              </w:rPr>
              <w:t>04</w:t>
            </w:r>
            <w:r w:rsidR="00AB5409" w:rsidRPr="00EF2814">
              <w:rPr>
                <w:rFonts w:ascii="Aptos" w:hAnsi="Aptos"/>
                <w:lang w:val="en-GB"/>
              </w:rPr>
              <w:t xml:space="preserve"> </w:t>
            </w:r>
            <w:r w:rsidR="00AB5409" w:rsidRPr="00EF2814">
              <w:rPr>
                <w:rFonts w:ascii="Aptos" w:hAnsi="Aptos"/>
                <w:b/>
                <w:bCs/>
                <w:lang w:val="en-GB"/>
              </w:rPr>
              <w:t>Picture / Graph / Visual Aid / Statistics</w:t>
            </w:r>
            <w:r w:rsidR="00AB5409" w:rsidRPr="00EF2814">
              <w:rPr>
                <w:rFonts w:ascii="Aptos" w:hAnsi="Aptos"/>
                <w:lang w:val="en-GB"/>
              </w:rPr>
              <w:t xml:space="preserve"> </w:t>
            </w:r>
          </w:p>
          <w:p w14:paraId="56246B2D" w14:textId="58488F06" w:rsidR="00BF4C80" w:rsidRPr="00EF2814" w:rsidRDefault="006B271B" w:rsidP="00126B52">
            <w:pPr>
              <w:spacing w:after="0" w:line="276" w:lineRule="auto"/>
              <w:rPr>
                <w:rFonts w:ascii="Aptos" w:hAnsi="Aptos"/>
                <w:lang w:val="en-GB"/>
              </w:rPr>
            </w:pPr>
            <w:r w:rsidRPr="00EF2814">
              <w:rPr>
                <w:noProof/>
                <w:lang w:val="en-GB" w:eastAsia="en-IN"/>
              </w:rPr>
              <w:drawing>
                <wp:anchor distT="0" distB="0" distL="114300" distR="114300" simplePos="0" relativeHeight="251662336" behindDoc="1" locked="0" layoutInCell="1" allowOverlap="1" wp14:anchorId="3C992EEB" wp14:editId="6B4AD2C8">
                  <wp:simplePos x="0" y="0"/>
                  <wp:positionH relativeFrom="column">
                    <wp:posOffset>74295</wp:posOffset>
                  </wp:positionH>
                  <wp:positionV relativeFrom="paragraph">
                    <wp:posOffset>45720</wp:posOffset>
                  </wp:positionV>
                  <wp:extent cx="3514725" cy="1762125"/>
                  <wp:effectExtent l="0" t="0" r="9525" b="9525"/>
                  <wp:wrapTight wrapText="bothSides">
                    <wp:wrapPolygon edited="0">
                      <wp:start x="0" y="0"/>
                      <wp:lineTo x="0" y="21483"/>
                      <wp:lineTo x="21541" y="21483"/>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514725" cy="1762125"/>
                          </a:xfrm>
                          <a:prstGeom prst="rect">
                            <a:avLst/>
                          </a:prstGeom>
                        </pic:spPr>
                      </pic:pic>
                    </a:graphicData>
                  </a:graphic>
                  <wp14:sizeRelH relativeFrom="page">
                    <wp14:pctWidth>0</wp14:pctWidth>
                  </wp14:sizeRelH>
                  <wp14:sizeRelV relativeFrom="page">
                    <wp14:pctHeight>0</wp14:pctHeight>
                  </wp14:sizeRelV>
                </wp:anchor>
              </w:drawing>
            </w:r>
          </w:p>
          <w:p w14:paraId="6EDE62FB" w14:textId="047369B8" w:rsidR="003D5E3F" w:rsidRPr="00EF2814" w:rsidRDefault="003D5E3F" w:rsidP="00126B52">
            <w:pPr>
              <w:spacing w:after="0" w:line="276" w:lineRule="auto"/>
              <w:rPr>
                <w:rFonts w:ascii="Aptos" w:hAnsi="Aptos"/>
                <w:lang w:val="en-GB"/>
              </w:rPr>
            </w:pPr>
          </w:p>
          <w:p w14:paraId="64883A28" w14:textId="77777777" w:rsidR="003D5E3F" w:rsidRPr="00EF2814" w:rsidRDefault="003D5E3F" w:rsidP="00126B52">
            <w:pPr>
              <w:spacing w:after="0" w:line="276" w:lineRule="auto"/>
              <w:rPr>
                <w:rFonts w:ascii="Aptos" w:hAnsi="Aptos"/>
                <w:lang w:val="en-GB"/>
              </w:rPr>
            </w:pPr>
          </w:p>
          <w:p w14:paraId="592BFDDA" w14:textId="77777777" w:rsidR="003D5E3F" w:rsidRPr="00EF2814" w:rsidRDefault="003D5E3F" w:rsidP="00126B52">
            <w:pPr>
              <w:spacing w:after="0" w:line="276" w:lineRule="auto"/>
              <w:rPr>
                <w:rFonts w:ascii="Aptos" w:hAnsi="Aptos"/>
                <w:lang w:val="en-GB"/>
              </w:rPr>
            </w:pPr>
          </w:p>
          <w:p w14:paraId="07B66E90" w14:textId="48E84CCE" w:rsidR="003D5E3F" w:rsidRPr="00EF2814" w:rsidRDefault="003D5E3F" w:rsidP="00126B52">
            <w:pPr>
              <w:spacing w:after="0" w:line="276" w:lineRule="auto"/>
              <w:rPr>
                <w:rFonts w:ascii="Aptos" w:hAnsi="Aptos"/>
                <w:lang w:val="en-GB"/>
              </w:rPr>
            </w:pPr>
          </w:p>
          <w:p w14:paraId="2BBB997C" w14:textId="5A7A884E" w:rsidR="003D5E3F" w:rsidRPr="00EF2814" w:rsidRDefault="006B271B" w:rsidP="00126B52">
            <w:pPr>
              <w:spacing w:after="0" w:line="276" w:lineRule="auto"/>
              <w:rPr>
                <w:rFonts w:ascii="Aptos" w:hAnsi="Aptos"/>
                <w:lang w:val="en-GB"/>
              </w:rPr>
            </w:pPr>
            <w:r w:rsidRPr="00EF2814">
              <w:rPr>
                <w:noProof/>
                <w:lang w:val="en-GB" w:eastAsia="en-IN"/>
              </w:rPr>
              <w:lastRenderedPageBreak/>
              <mc:AlternateContent>
                <mc:Choice Requires="wps">
                  <w:drawing>
                    <wp:anchor distT="0" distB="0" distL="114300" distR="114300" simplePos="0" relativeHeight="251665408" behindDoc="0" locked="0" layoutInCell="1" allowOverlap="1" wp14:anchorId="2287F87D" wp14:editId="3E1513B5">
                      <wp:simplePos x="0" y="0"/>
                      <wp:positionH relativeFrom="column">
                        <wp:posOffset>-40005</wp:posOffset>
                      </wp:positionH>
                      <wp:positionV relativeFrom="paragraph">
                        <wp:posOffset>2189480</wp:posOffset>
                      </wp:positionV>
                      <wp:extent cx="1714500" cy="3048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17145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C91AA3F" w14:textId="1CDB2F7A" w:rsidR="009F715E" w:rsidRPr="006B271B" w:rsidRDefault="009F715E" w:rsidP="006B271B">
                                  <w:pPr>
                                    <w:spacing w:after="0"/>
                                    <w:rPr>
                                      <w:rFonts w:cs="Arial"/>
                                      <w:sz w:val="18"/>
                                      <w:szCs w:val="18"/>
                                    </w:rPr>
                                  </w:pPr>
                                  <w:r w:rsidRPr="006B271B">
                                    <w:rPr>
                                      <w:rFonts w:cs="Arial"/>
                                      <w:sz w:val="18"/>
                                      <w:szCs w:val="18"/>
                                    </w:rPr>
                                    <w:t xml:space="preserve">(Source: </w:t>
                                  </w:r>
                                  <w:r w:rsidRPr="006B271B">
                                    <w:rPr>
                                      <w:rFonts w:cs="Arial"/>
                                      <w:color w:val="000000"/>
                                      <w:sz w:val="18"/>
                                      <w:szCs w:val="18"/>
                                    </w:rPr>
                                    <w:t xml:space="preserve">Tringale </w:t>
                                  </w:r>
                                  <w:r w:rsidRPr="006B271B">
                                    <w:rPr>
                                      <w:rFonts w:cs="Arial"/>
                                      <w:i/>
                                      <w:iCs/>
                                      <w:color w:val="000000"/>
                                      <w:sz w:val="18"/>
                                      <w:szCs w:val="18"/>
                                    </w:rPr>
                                    <w:t>et al.</w:t>
                                  </w:r>
                                  <w:r w:rsidRPr="006B271B">
                                    <w:rPr>
                                      <w:rFonts w:cs="Arial"/>
                                      <w:color w:val="000000"/>
                                      <w:sz w:val="18"/>
                                      <w:szCs w:val="18"/>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7F87D" id="Text Box 5" o:spid="_x0000_s1027" type="#_x0000_t202" style="position:absolute;left:0;text-align:left;margin-left:-3.15pt;margin-top:172.4pt;width:13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" fillcolor="white [3201]" strokeweight=".5pt">
                      <v:textbox>
                        <w:txbxContent>
                          <w:p w14:paraId="3C91AA3F" w14:textId="1CDB2F7A" w:rsidR="009F715E" w:rsidRPr="006B271B" w:rsidRDefault="009F715E" w:rsidP="006B271B">
                            <w:pPr>
                              <w:spacing w:after="0"/>
                              <w:rPr>
                                <w:rFonts w:cs="Arial"/>
                                <w:sz w:val="18"/>
                                <w:szCs w:val="18"/>
                              </w:rPr>
                            </w:pPr>
                            <w:r w:rsidRPr="006B271B">
                              <w:rPr>
                                <w:rFonts w:cs="Arial"/>
                                <w:sz w:val="18"/>
                                <w:szCs w:val="18"/>
                              </w:rPr>
                              <w:t xml:space="preserve">(Source: </w:t>
                            </w:r>
                            <w:r w:rsidRPr="006B271B">
                              <w:rPr>
                                <w:rFonts w:cs="Arial"/>
                                <w:color w:val="000000"/>
                                <w:sz w:val="18"/>
                                <w:szCs w:val="18"/>
                              </w:rPr>
                              <w:t xml:space="preserve">Tringale </w:t>
                            </w:r>
                            <w:r w:rsidRPr="006B271B">
                              <w:rPr>
                                <w:rFonts w:cs="Arial"/>
                                <w:i/>
                                <w:iCs/>
                                <w:color w:val="000000"/>
                                <w:sz w:val="18"/>
                                <w:szCs w:val="18"/>
                              </w:rPr>
                              <w:t>et al.</w:t>
                            </w:r>
                            <w:r w:rsidRPr="006B271B">
                              <w:rPr>
                                <w:rFonts w:cs="Arial"/>
                                <w:color w:val="000000"/>
                                <w:sz w:val="18"/>
                                <w:szCs w:val="18"/>
                              </w:rPr>
                              <w:t>, 2022)</w:t>
                            </w:r>
                          </w:p>
                        </w:txbxContent>
                      </v:textbox>
                    </v:shape>
                  </w:pict>
                </mc:Fallback>
              </mc:AlternateContent>
            </w:r>
            <w:r w:rsidRPr="00EF2814">
              <w:rPr>
                <w:noProof/>
                <w:lang w:val="en-GB" w:eastAsia="en-IN"/>
              </w:rPr>
              <mc:AlternateContent>
                <mc:Choice Requires="wps">
                  <w:drawing>
                    <wp:anchor distT="0" distB="0" distL="114300" distR="114300" simplePos="0" relativeHeight="251664384" behindDoc="0" locked="0" layoutInCell="1" allowOverlap="1" wp14:anchorId="51A66B69" wp14:editId="3507A58A">
                      <wp:simplePos x="0" y="0"/>
                      <wp:positionH relativeFrom="column">
                        <wp:posOffset>2950845</wp:posOffset>
                      </wp:positionH>
                      <wp:positionV relativeFrom="paragraph">
                        <wp:posOffset>646430</wp:posOffset>
                      </wp:positionV>
                      <wp:extent cx="1438275" cy="2286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438275"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BF68E9" w14:textId="1B9D0FC3" w:rsidR="009F715E" w:rsidRPr="006B271B" w:rsidRDefault="009F715E" w:rsidP="006B271B">
                                  <w:pPr>
                                    <w:spacing w:after="0"/>
                                    <w:rPr>
                                      <w:rFonts w:cs="Arial"/>
                                      <w:sz w:val="16"/>
                                    </w:rPr>
                                  </w:pPr>
                                  <w:r w:rsidRPr="006B271B">
                                    <w:rPr>
                                      <w:rFonts w:cs="Arial"/>
                                      <w:sz w:val="16"/>
                                    </w:rPr>
                                    <w:t xml:space="preserve">(Source: </w:t>
                                  </w:r>
                                  <w:r w:rsidRPr="006B271B">
                                    <w:rPr>
                                      <w:rFonts w:cs="Arial"/>
                                      <w:color w:val="000000"/>
                                      <w:sz w:val="16"/>
                                    </w:rPr>
                                    <w:t xml:space="preserve">Heath </w:t>
                                  </w:r>
                                  <w:r w:rsidRPr="006B271B">
                                    <w:rPr>
                                      <w:rFonts w:cs="Arial"/>
                                      <w:i/>
                                      <w:iCs/>
                                      <w:color w:val="000000"/>
                                      <w:sz w:val="16"/>
                                    </w:rPr>
                                    <w:t>et al.,</w:t>
                                  </w:r>
                                  <w:r w:rsidRPr="006B271B">
                                    <w:rPr>
                                      <w:rFonts w:cs="Arial"/>
                                      <w:color w:val="000000"/>
                                      <w:sz w:val="16"/>
                                    </w:rP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66B69" id="Text Box 4" o:spid="_x0000_s1028" type="#_x0000_t202" style="position:absolute;left:0;text-align:left;margin-left:232.35pt;margin-top:50.9pt;width:113.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" fillcolor="white [3201]" strokeweight=".5pt">
                      <v:textbox>
                        <w:txbxContent>
                          <w:p w14:paraId="75BF68E9" w14:textId="1B9D0FC3" w:rsidR="009F715E" w:rsidRPr="006B271B" w:rsidRDefault="009F715E" w:rsidP="006B271B">
                            <w:pPr>
                              <w:spacing w:after="0"/>
                              <w:rPr>
                                <w:rFonts w:cs="Arial"/>
                                <w:sz w:val="16"/>
                              </w:rPr>
                            </w:pPr>
                            <w:r w:rsidRPr="006B271B">
                              <w:rPr>
                                <w:rFonts w:cs="Arial"/>
                                <w:sz w:val="16"/>
                              </w:rPr>
                              <w:t xml:space="preserve">(Source: </w:t>
                            </w:r>
                            <w:r w:rsidRPr="006B271B">
                              <w:rPr>
                                <w:rFonts w:cs="Arial"/>
                                <w:color w:val="000000"/>
                                <w:sz w:val="16"/>
                              </w:rPr>
                              <w:t xml:space="preserve">Heath </w:t>
                            </w:r>
                            <w:r w:rsidRPr="006B271B">
                              <w:rPr>
                                <w:rFonts w:cs="Arial"/>
                                <w:i/>
                                <w:iCs/>
                                <w:color w:val="000000"/>
                                <w:sz w:val="16"/>
                              </w:rPr>
                              <w:t>et al.,</w:t>
                            </w:r>
                            <w:r w:rsidRPr="006B271B">
                              <w:rPr>
                                <w:rFonts w:cs="Arial"/>
                                <w:color w:val="000000"/>
                                <w:sz w:val="16"/>
                              </w:rPr>
                              <w:t xml:space="preserve"> 2022)</w:t>
                            </w:r>
                          </w:p>
                        </w:txbxContent>
                      </v:textbox>
                    </v:shape>
                  </w:pict>
                </mc:Fallback>
              </mc:AlternateContent>
            </w:r>
            <w:r w:rsidRPr="00EF2814">
              <w:rPr>
                <w:noProof/>
                <w:lang w:val="en-GB" w:eastAsia="en-IN"/>
              </w:rPr>
              <w:drawing>
                <wp:anchor distT="0" distB="0" distL="114300" distR="114300" simplePos="0" relativeHeight="251663360" behindDoc="1" locked="0" layoutInCell="1" allowOverlap="1" wp14:anchorId="61BFF4C5" wp14:editId="114FCBED">
                  <wp:simplePos x="0" y="0"/>
                  <wp:positionH relativeFrom="column">
                    <wp:posOffset>1546860</wp:posOffset>
                  </wp:positionH>
                  <wp:positionV relativeFrom="paragraph">
                    <wp:posOffset>970280</wp:posOffset>
                  </wp:positionV>
                  <wp:extent cx="3074670" cy="1685925"/>
                  <wp:effectExtent l="0" t="0" r="0" b="9525"/>
                  <wp:wrapTight wrapText="bothSides">
                    <wp:wrapPolygon edited="0">
                      <wp:start x="0" y="0"/>
                      <wp:lineTo x="0" y="21478"/>
                      <wp:lineTo x="21413" y="21478"/>
                      <wp:lineTo x="2141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074670" cy="1685925"/>
                          </a:xfrm>
                          <a:prstGeom prst="rect">
                            <a:avLst/>
                          </a:prstGeom>
                        </pic:spPr>
                      </pic:pic>
                    </a:graphicData>
                  </a:graphic>
                  <wp14:sizeRelH relativeFrom="page">
                    <wp14:pctWidth>0</wp14:pctWidth>
                  </wp14:sizeRelH>
                  <wp14:sizeRelV relativeFrom="page">
                    <wp14:pctHeight>0</wp14:pctHeight>
                  </wp14:sizeRelV>
                </wp:anchor>
              </w:drawing>
            </w:r>
          </w:p>
        </w:tc>
      </w:tr>
      <w:tr w:rsidR="00C31D85" w:rsidRPr="00EF2814" w14:paraId="71279A0E" w14:textId="77777777" w:rsidTr="00931C60">
        <w:trPr>
          <w:trHeight w:val="699"/>
        </w:trPr>
        <w:tc>
          <w:tcPr>
            <w:tcW w:w="14616" w:type="dxa"/>
            <w:gridSpan w:val="2"/>
            <w:shd w:val="clear" w:color="auto" w:fill="9CC2E5" w:themeFill="accent5" w:themeFillTint="99"/>
          </w:tcPr>
          <w:p w14:paraId="559B5E23" w14:textId="458A97AD" w:rsidR="00C31D85" w:rsidRPr="00EF2814" w:rsidRDefault="00C31D85" w:rsidP="00126B52">
            <w:pPr>
              <w:spacing w:after="0" w:line="276" w:lineRule="auto"/>
              <w:jc w:val="center"/>
              <w:rPr>
                <w:rFonts w:ascii="Aptos" w:hAnsi="Aptos"/>
                <w:b/>
                <w:bCs/>
                <w:lang w:val="en-GB"/>
              </w:rPr>
            </w:pPr>
            <w:r w:rsidRPr="00EF2814">
              <w:rPr>
                <w:rFonts w:ascii="Aptos" w:hAnsi="Aptos"/>
                <w:b/>
                <w:bCs/>
                <w:sz w:val="40"/>
                <w:szCs w:val="40"/>
                <w:lang w:val="en-GB"/>
              </w:rPr>
              <w:lastRenderedPageBreak/>
              <w:t>05</w:t>
            </w:r>
            <w:r w:rsidR="00AB5409" w:rsidRPr="00EF2814">
              <w:rPr>
                <w:rFonts w:ascii="Aptos" w:hAnsi="Aptos"/>
                <w:lang w:val="en-GB"/>
              </w:rPr>
              <w:t xml:space="preserve"> </w:t>
            </w:r>
            <w:r w:rsidR="00AB5409" w:rsidRPr="00EF2814">
              <w:rPr>
                <w:rFonts w:ascii="Aptos" w:hAnsi="Aptos"/>
                <w:b/>
                <w:bCs/>
                <w:lang w:val="en-GB"/>
              </w:rPr>
              <w:t>Research Validation and Analysis</w:t>
            </w:r>
          </w:p>
          <w:p w14:paraId="7454B819" w14:textId="453DFDE4" w:rsidR="00516CC0" w:rsidRPr="00EF2814" w:rsidRDefault="00F26D36" w:rsidP="00126B52">
            <w:pPr>
              <w:spacing w:after="0" w:line="276" w:lineRule="auto"/>
              <w:rPr>
                <w:rFonts w:ascii="Aptos" w:hAnsi="Aptos"/>
                <w:lang w:val="en-GB"/>
              </w:rPr>
            </w:pPr>
            <w:r w:rsidRPr="00EF2814">
              <w:rPr>
                <w:rFonts w:cs="Arial"/>
                <w:color w:val="000000"/>
                <w:lang w:val="en-GB"/>
              </w:rPr>
              <w:t xml:space="preserve">In performing secondary research, validation means that the sources of information used are credible, reliable, and relevant. Preference will be given to peer-reviewed journals and authoritative UK healthcare reports (Tringale </w:t>
            </w:r>
            <w:r w:rsidRPr="00EF2814">
              <w:rPr>
                <w:rFonts w:cs="Arial"/>
                <w:i/>
                <w:iCs/>
                <w:color w:val="000000"/>
                <w:lang w:val="en-GB"/>
              </w:rPr>
              <w:t>et al.</w:t>
            </w:r>
            <w:r w:rsidRPr="00EF2814">
              <w:rPr>
                <w:rFonts w:cs="Arial"/>
                <w:color w:val="000000"/>
                <w:lang w:val="en-GB"/>
              </w:rPr>
              <w:t xml:space="preserve">, 2022). However, the use of secondary data curtails one's control over the quality of data. Secondary research analysis is done through a systematic review of the literature by using thematic analysis </w:t>
            </w:r>
            <w:proofErr w:type="gramStart"/>
            <w:r w:rsidRPr="00EF2814">
              <w:rPr>
                <w:rFonts w:cs="Arial"/>
                <w:color w:val="000000"/>
                <w:lang w:val="en-GB"/>
              </w:rPr>
              <w:t>in order to</w:t>
            </w:r>
            <w:proofErr w:type="gramEnd"/>
            <w:r w:rsidRPr="00EF2814">
              <w:rPr>
                <w:rFonts w:cs="Arial"/>
                <w:color w:val="000000"/>
                <w:lang w:val="en-GB"/>
              </w:rPr>
              <w:t xml:space="preserve"> identify recurring patterns about training effectiveness, competency development, and workforce challenges that can be used for presenting findings in Chapter 4.</w:t>
            </w:r>
          </w:p>
        </w:tc>
      </w:tr>
      <w:tr w:rsidR="00AB5409" w:rsidRPr="00EF2814" w14:paraId="1159AF67" w14:textId="77777777" w:rsidTr="0098500B">
        <w:trPr>
          <w:trHeight w:val="1856"/>
        </w:trPr>
        <w:tc>
          <w:tcPr>
            <w:tcW w:w="7225" w:type="dxa"/>
            <w:shd w:val="clear" w:color="auto" w:fill="C9C9C9" w:themeFill="accent3" w:themeFillTint="99"/>
          </w:tcPr>
          <w:p w14:paraId="398EE9B0" w14:textId="77777777" w:rsidR="00AB5409" w:rsidRPr="00EF2814" w:rsidRDefault="00AB5409" w:rsidP="00126B52">
            <w:pPr>
              <w:spacing w:after="0" w:line="276" w:lineRule="auto"/>
              <w:rPr>
                <w:rFonts w:ascii="Aptos" w:hAnsi="Aptos"/>
                <w:lang w:val="en-GB"/>
              </w:rPr>
            </w:pPr>
            <w:r w:rsidRPr="00EF2814">
              <w:rPr>
                <w:rFonts w:ascii="Aptos" w:hAnsi="Aptos"/>
                <w:b/>
                <w:bCs/>
                <w:sz w:val="40"/>
                <w:szCs w:val="40"/>
                <w:lang w:val="en-GB"/>
              </w:rPr>
              <w:t>06</w:t>
            </w:r>
            <w:r w:rsidRPr="00EF2814">
              <w:rPr>
                <w:rFonts w:ascii="Aptos" w:hAnsi="Aptos"/>
                <w:lang w:val="en-GB"/>
              </w:rPr>
              <w:t xml:space="preserve"> </w:t>
            </w:r>
            <w:r w:rsidRPr="00EF2814">
              <w:rPr>
                <w:rFonts w:ascii="Aptos" w:hAnsi="Aptos"/>
                <w:b/>
                <w:bCs/>
                <w:lang w:val="en-GB"/>
              </w:rPr>
              <w:t>Inclusion Criteria</w:t>
            </w:r>
            <w:r w:rsidRPr="00EF2814">
              <w:rPr>
                <w:rFonts w:ascii="Aptos" w:hAnsi="Aptos"/>
                <w:lang w:val="en-GB"/>
              </w:rPr>
              <w:t xml:space="preserve"> </w:t>
            </w:r>
          </w:p>
          <w:p w14:paraId="00628477" w14:textId="2772F151" w:rsidR="00516CC0" w:rsidRPr="00EF2814" w:rsidRDefault="00F26D36" w:rsidP="00126B52">
            <w:pPr>
              <w:spacing w:after="0" w:line="276" w:lineRule="auto"/>
              <w:contextualSpacing/>
              <w:rPr>
                <w:rFonts w:ascii="Aptos" w:hAnsi="Aptos"/>
                <w:lang w:val="en-GB"/>
              </w:rPr>
            </w:pPr>
            <w:r w:rsidRPr="00EF2814">
              <w:rPr>
                <w:rFonts w:cs="Arial"/>
                <w:color w:val="000000"/>
                <w:lang w:val="en-GB"/>
              </w:rPr>
              <w:t xml:space="preserve">Secondary sources that have been published in the past ten years will also be included in the study, ensuring that they are relevant to today's situations (Al-Ansi </w:t>
            </w:r>
            <w:r w:rsidRPr="00EF2814">
              <w:rPr>
                <w:rFonts w:cs="Arial"/>
                <w:i/>
                <w:iCs/>
                <w:color w:val="000000"/>
                <w:lang w:val="en-GB"/>
              </w:rPr>
              <w:t>et al.</w:t>
            </w:r>
            <w:r w:rsidRPr="00EF2814">
              <w:rPr>
                <w:rFonts w:cs="Arial"/>
                <w:color w:val="000000"/>
                <w:lang w:val="en-GB"/>
              </w:rPr>
              <w:t xml:space="preserve">, 2023). </w:t>
            </w:r>
            <w:proofErr w:type="gramStart"/>
            <w:r w:rsidRPr="00EF2814">
              <w:rPr>
                <w:rFonts w:cs="Arial"/>
                <w:color w:val="000000"/>
                <w:lang w:val="en-GB"/>
              </w:rPr>
              <w:t>In order to</w:t>
            </w:r>
            <w:proofErr w:type="gramEnd"/>
            <w:r w:rsidRPr="00EF2814">
              <w:rPr>
                <w:rFonts w:cs="Arial"/>
                <w:color w:val="000000"/>
                <w:lang w:val="en-GB"/>
              </w:rPr>
              <w:t xml:space="preserve"> ensure the relevance of the sources to the context of the study, sources will be drawn strictly from the UK healthcare literature. The sources will be journal articles, government publications, and NHS publications, and they must be completely available online.</w:t>
            </w:r>
          </w:p>
        </w:tc>
        <w:tc>
          <w:tcPr>
            <w:tcW w:w="7391" w:type="dxa"/>
            <w:shd w:val="clear" w:color="auto" w:fill="FFCCCC"/>
          </w:tcPr>
          <w:p w14:paraId="51867809" w14:textId="1D06763C" w:rsidR="00AB5409" w:rsidRPr="00EF2814" w:rsidRDefault="00AB5409" w:rsidP="00126B52">
            <w:pPr>
              <w:spacing w:after="0" w:line="276" w:lineRule="auto"/>
              <w:rPr>
                <w:rFonts w:ascii="Aptos" w:hAnsi="Aptos"/>
                <w:lang w:val="en-GB"/>
              </w:rPr>
            </w:pPr>
            <w:r w:rsidRPr="00EF2814">
              <w:rPr>
                <w:rFonts w:ascii="Aptos" w:hAnsi="Aptos"/>
                <w:b/>
                <w:bCs/>
                <w:sz w:val="40"/>
                <w:szCs w:val="40"/>
                <w:lang w:val="en-GB"/>
              </w:rPr>
              <w:t>07</w:t>
            </w:r>
            <w:r w:rsidRPr="00EF2814">
              <w:rPr>
                <w:rFonts w:ascii="Aptos" w:hAnsi="Aptos"/>
                <w:lang w:val="en-GB"/>
              </w:rPr>
              <w:t xml:space="preserve"> </w:t>
            </w:r>
            <w:r w:rsidRPr="00EF2814">
              <w:rPr>
                <w:rFonts w:ascii="Aptos" w:hAnsi="Aptos"/>
                <w:b/>
                <w:bCs/>
                <w:lang w:val="en-GB"/>
              </w:rPr>
              <w:t>Exclusion Criteria</w:t>
            </w:r>
            <w:r w:rsidRPr="00EF2814">
              <w:rPr>
                <w:rFonts w:ascii="Aptos" w:hAnsi="Aptos"/>
                <w:lang w:val="en-GB"/>
              </w:rPr>
              <w:t xml:space="preserve"> </w:t>
            </w:r>
          </w:p>
          <w:p w14:paraId="253F8839" w14:textId="740329F0" w:rsidR="00516CC0" w:rsidRPr="00EF2814" w:rsidRDefault="00F26D36" w:rsidP="00126B52">
            <w:pPr>
              <w:spacing w:after="0" w:line="276" w:lineRule="auto"/>
              <w:contextualSpacing/>
              <w:rPr>
                <w:rFonts w:ascii="Aptos" w:hAnsi="Aptos"/>
                <w:lang w:val="en-GB"/>
              </w:rPr>
            </w:pPr>
            <w:r w:rsidRPr="00EF2814">
              <w:rPr>
                <w:rFonts w:cs="Arial"/>
                <w:color w:val="000000"/>
                <w:lang w:val="en-GB"/>
              </w:rPr>
              <w:t>Those published more than ten years ago would be excluded to avoid using outdated sources. Literature published outside the UK will be excluded to ensure maximum contextual relevance (Anderson and Lemken, 2022). In addition to this, non-peer-reviewed publications, opinion-based writings, or those not fully accessible online would be excluded. Also, non-scientific studies or those not closely related to emergency clinical training.</w:t>
            </w:r>
          </w:p>
        </w:tc>
      </w:tr>
      <w:tr w:rsidR="00C31D85" w:rsidRPr="00EF2814" w14:paraId="583C9C87" w14:textId="77777777" w:rsidTr="00D2064C">
        <w:trPr>
          <w:trHeight w:val="4750"/>
        </w:trPr>
        <w:tc>
          <w:tcPr>
            <w:tcW w:w="14616" w:type="dxa"/>
            <w:gridSpan w:val="2"/>
            <w:shd w:val="clear" w:color="auto" w:fill="BDD6EE" w:themeFill="accent5" w:themeFillTint="66"/>
          </w:tcPr>
          <w:p w14:paraId="44C8BC9D" w14:textId="77777777" w:rsidR="00C31D85" w:rsidRPr="00EF2814" w:rsidRDefault="00C31D85" w:rsidP="00126B52">
            <w:pPr>
              <w:spacing w:after="0" w:line="276" w:lineRule="auto"/>
              <w:jc w:val="center"/>
              <w:rPr>
                <w:rFonts w:ascii="Aptos" w:hAnsi="Aptos"/>
                <w:b/>
                <w:bCs/>
                <w:lang w:val="en-GB"/>
              </w:rPr>
            </w:pPr>
            <w:r w:rsidRPr="00EF2814">
              <w:rPr>
                <w:rFonts w:ascii="Aptos" w:hAnsi="Aptos"/>
                <w:b/>
                <w:bCs/>
                <w:sz w:val="40"/>
                <w:szCs w:val="40"/>
                <w:lang w:val="en-GB"/>
              </w:rPr>
              <w:lastRenderedPageBreak/>
              <w:t>0</w:t>
            </w:r>
            <w:r w:rsidR="00AB5409" w:rsidRPr="00EF2814">
              <w:rPr>
                <w:rFonts w:ascii="Aptos" w:hAnsi="Aptos"/>
                <w:b/>
                <w:bCs/>
                <w:sz w:val="40"/>
                <w:szCs w:val="40"/>
                <w:lang w:val="en-GB"/>
              </w:rPr>
              <w:t>8</w:t>
            </w:r>
            <w:r w:rsidR="00AB5409" w:rsidRPr="00EF2814">
              <w:rPr>
                <w:rFonts w:ascii="Aptos" w:hAnsi="Aptos"/>
                <w:lang w:val="en-GB"/>
              </w:rPr>
              <w:t xml:space="preserve"> </w:t>
            </w:r>
            <w:r w:rsidR="00AB5409" w:rsidRPr="00EF2814">
              <w:rPr>
                <w:rFonts w:ascii="Aptos" w:hAnsi="Aptos"/>
                <w:b/>
                <w:bCs/>
                <w:lang w:val="en-GB"/>
              </w:rPr>
              <w:t>Ethical Considerations</w:t>
            </w:r>
          </w:p>
          <w:p w14:paraId="28D04039" w14:textId="773DD3C1" w:rsidR="00F52F83" w:rsidRPr="00EF2814" w:rsidRDefault="00F26D36" w:rsidP="00126B52">
            <w:pPr>
              <w:spacing w:after="0" w:line="276" w:lineRule="auto"/>
              <w:rPr>
                <w:rFonts w:ascii="Aptos" w:hAnsi="Aptos"/>
                <w:b/>
                <w:bCs/>
                <w:lang w:val="en-GB"/>
              </w:rPr>
            </w:pPr>
            <w:r w:rsidRPr="00EF2814">
              <w:rPr>
                <w:rFonts w:ascii="Aptos" w:hAnsi="Aptos"/>
                <w:noProof/>
                <w:lang w:val="en-GB" w:eastAsia="en-IN"/>
              </w:rPr>
              <w:drawing>
                <wp:anchor distT="0" distB="0" distL="114300" distR="114300" simplePos="0" relativeHeight="251661312" behindDoc="1" locked="0" layoutInCell="1" allowOverlap="1" wp14:anchorId="208D47B1" wp14:editId="18D09608">
                  <wp:simplePos x="0" y="0"/>
                  <wp:positionH relativeFrom="column">
                    <wp:posOffset>156845</wp:posOffset>
                  </wp:positionH>
                  <wp:positionV relativeFrom="paragraph">
                    <wp:posOffset>452120</wp:posOffset>
                  </wp:positionV>
                  <wp:extent cx="8886825" cy="2124075"/>
                  <wp:effectExtent l="19050" t="0" r="9525" b="0"/>
                  <wp:wrapTight wrapText="bothSides">
                    <wp:wrapPolygon edited="0">
                      <wp:start x="-46" y="387"/>
                      <wp:lineTo x="-46" y="21309"/>
                      <wp:lineTo x="21577" y="21309"/>
                      <wp:lineTo x="21577" y="387"/>
                      <wp:lineTo x="-46" y="387"/>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r w:rsidRPr="00EF2814">
              <w:rPr>
                <w:rFonts w:cs="Arial"/>
                <w:color w:val="000000"/>
                <w:lang w:val="en-GB"/>
              </w:rPr>
              <w:t>In the context of secondary research, ethics are defined as a fair and honest practice with respect to the use of previously collected information while following strict ethical, legal, and professional guidelines.</w:t>
            </w:r>
          </w:p>
        </w:tc>
      </w:tr>
    </w:tbl>
    <w:p w14:paraId="53F82A21" w14:textId="10756BDE" w:rsidR="00F441B8" w:rsidRPr="00EF2814" w:rsidRDefault="00F441B8" w:rsidP="00126B52">
      <w:pPr>
        <w:spacing w:after="0"/>
        <w:rPr>
          <w:lang w:val="en-GB"/>
        </w:rPr>
      </w:pPr>
    </w:p>
    <w:p w14:paraId="4C01DB62" w14:textId="7775AA3B" w:rsidR="00F441B8" w:rsidRPr="00EF2814" w:rsidRDefault="00F441B8" w:rsidP="00126B52">
      <w:pPr>
        <w:tabs>
          <w:tab w:val="left" w:pos="3285"/>
        </w:tabs>
        <w:spacing w:after="0"/>
        <w:rPr>
          <w:lang w:val="en-GB"/>
        </w:rPr>
      </w:pPr>
      <w:r w:rsidRPr="00EF2814">
        <w:rPr>
          <w:lang w:val="en-GB"/>
        </w:rPr>
        <w:tab/>
      </w:r>
    </w:p>
    <w:p w14:paraId="7E10DC44" w14:textId="67DF2AB1" w:rsidR="00C31D85" w:rsidRPr="00EF2814" w:rsidRDefault="00F441B8" w:rsidP="00126B52">
      <w:pPr>
        <w:tabs>
          <w:tab w:val="left" w:pos="3285"/>
        </w:tabs>
        <w:spacing w:after="0"/>
        <w:rPr>
          <w:lang w:val="en-GB"/>
        </w:rPr>
        <w:sectPr w:rsidR="00C31D85" w:rsidRPr="00EF2814" w:rsidSect="00C31D85">
          <w:pgSz w:w="15840" w:h="12240" w:orient="landscape" w:code="1"/>
          <w:pgMar w:top="720" w:right="720" w:bottom="576" w:left="720" w:header="432" w:footer="288" w:gutter="0"/>
          <w:cols w:space="720"/>
          <w:titlePg/>
          <w:docGrid w:linePitch="360"/>
        </w:sectPr>
      </w:pPr>
      <w:r w:rsidRPr="00EF2814">
        <w:rPr>
          <w:lang w:val="en-GB"/>
        </w:rPr>
        <w:tab/>
      </w:r>
    </w:p>
    <w:p w14:paraId="663C4288" w14:textId="754D5649" w:rsidR="00126B52" w:rsidRPr="00EF2814" w:rsidRDefault="00126B52" w:rsidP="00AD2E14">
      <w:pPr>
        <w:pStyle w:val="Heading1"/>
        <w:spacing w:line="360" w:lineRule="auto"/>
        <w:rPr>
          <w:rFonts w:cs="Arial"/>
          <w:lang w:val="en-GB"/>
        </w:rPr>
      </w:pPr>
      <w:bookmarkStart w:id="2" w:name="_Toc222234337"/>
      <w:r w:rsidRPr="00EF2814">
        <w:rPr>
          <w:rFonts w:cs="Arial"/>
          <w:lang w:val="en-GB"/>
        </w:rPr>
        <w:lastRenderedPageBreak/>
        <w:t>Element 3</w:t>
      </w:r>
      <w:r w:rsidR="004905BD" w:rsidRPr="00EF2814">
        <w:rPr>
          <w:rFonts w:cs="Arial"/>
          <w:lang w:val="en-GB"/>
        </w:rPr>
        <w:t xml:space="preserve"> -</w:t>
      </w:r>
      <w:r w:rsidRPr="00EF2814">
        <w:rPr>
          <w:rFonts w:cs="Arial"/>
          <w:lang w:val="en-GB"/>
        </w:rPr>
        <w:t xml:space="preserve"> Dissertation document</w:t>
      </w:r>
      <w:bookmarkEnd w:id="2"/>
      <w:r w:rsidRPr="00EF2814">
        <w:rPr>
          <w:rFonts w:cs="Arial"/>
          <w:lang w:val="en-GB"/>
        </w:rPr>
        <w:t xml:space="preserve"> </w:t>
      </w:r>
    </w:p>
    <w:p w14:paraId="60BF38DF" w14:textId="77777777" w:rsidR="008918D9" w:rsidRPr="00EF2814" w:rsidRDefault="008918D9" w:rsidP="008918D9">
      <w:pPr>
        <w:jc w:val="center"/>
        <w:rPr>
          <w:rFonts w:eastAsia="Times New Roman" w:cs="Arial"/>
          <w:b/>
          <w:bCs/>
          <w:sz w:val="28"/>
          <w:szCs w:val="28"/>
          <w:lang w:val="en-GB"/>
        </w:rPr>
      </w:pPr>
      <w:r w:rsidRPr="00EF2814">
        <w:rPr>
          <w:rFonts w:eastAsia="Times New Roman" w:cs="Arial"/>
          <w:b/>
          <w:bCs/>
          <w:sz w:val="28"/>
          <w:szCs w:val="28"/>
          <w:lang w:val="en-GB"/>
        </w:rPr>
        <w:t>Declaration</w:t>
      </w:r>
    </w:p>
    <w:p w14:paraId="791A6D9A" w14:textId="77777777" w:rsidR="00FE5D4D" w:rsidRDefault="008918D9" w:rsidP="007B49C1">
      <w:pPr>
        <w:spacing w:before="200"/>
        <w:rPr>
          <w:rFonts w:eastAsia="Times New Roman" w:cs="Arial"/>
          <w:lang w:val="en-GB"/>
        </w:rPr>
      </w:pPr>
      <w:r w:rsidRPr="00EF2814">
        <w:rPr>
          <w:rFonts w:eastAsia="Times New Roman" w:cs="Arial"/>
          <w:lang w:val="en-GB"/>
        </w:rPr>
        <w:t>I hereby declare that this dissertation is an outcome of my own independent work, by investigating an emerging research topic, which creates the depth of research. Further, all sources used in this research project are explicitly referenced, and the bibliography is provided at the end of the project.</w:t>
      </w:r>
    </w:p>
    <w:p w14:paraId="53DA5005" w14:textId="4094A555" w:rsidR="000702A0" w:rsidRPr="007B49C1" w:rsidRDefault="008918D9" w:rsidP="007B49C1">
      <w:pPr>
        <w:spacing w:before="200"/>
        <w:rPr>
          <w:rFonts w:eastAsia="Times New Roman" w:cs="Arial"/>
          <w:lang w:val="en-GB"/>
        </w:rPr>
      </w:pPr>
      <w:r w:rsidRPr="00EF2814">
        <w:rPr>
          <w:rFonts w:eastAsia="Times New Roman" w:cs="Arial"/>
          <w:lang w:val="en-GB"/>
        </w:rPr>
        <w:t>----</w:t>
      </w:r>
      <w:proofErr w:type="spellStart"/>
      <w:r w:rsidR="00FE5D4D">
        <w:rPr>
          <w:rFonts w:eastAsia="Times New Roman" w:cs="Arial"/>
          <w:lang w:val="en-GB"/>
        </w:rPr>
        <w:t>JLawrence</w:t>
      </w:r>
      <w:proofErr w:type="spellEnd"/>
      <w:r w:rsidRPr="00EF2814">
        <w:rPr>
          <w:rFonts w:eastAsia="Times New Roman" w:cs="Arial"/>
          <w:lang w:val="en-GB"/>
        </w:rPr>
        <w:t>------------                                                                                        ----</w:t>
      </w:r>
      <w:r w:rsidR="00FE5D4D">
        <w:rPr>
          <w:rFonts w:eastAsia="Times New Roman" w:cs="Arial"/>
          <w:lang w:val="en-GB"/>
        </w:rPr>
        <w:t>04/06/2026</w:t>
      </w:r>
      <w:r w:rsidRPr="00EF2814">
        <w:rPr>
          <w:rFonts w:eastAsia="Times New Roman" w:cs="Arial"/>
          <w:lang w:val="en-GB"/>
        </w:rPr>
        <w:t xml:space="preserve">-------                                                                                        </w:t>
      </w:r>
      <w:r w:rsidR="000702A0" w:rsidRPr="00EF2814">
        <w:rPr>
          <w:lang w:val="en-GB"/>
        </w:rPr>
        <w:br w:type="page"/>
      </w:r>
    </w:p>
    <w:p w14:paraId="76BA4E22" w14:textId="6D4D91AB" w:rsidR="00D667E3" w:rsidRPr="00EF2814" w:rsidRDefault="00D667E3" w:rsidP="005B1B4C">
      <w:pPr>
        <w:jc w:val="center"/>
        <w:rPr>
          <w:b/>
          <w:bCs/>
          <w:sz w:val="28"/>
          <w:szCs w:val="28"/>
          <w:lang w:val="en-GB"/>
        </w:rPr>
      </w:pPr>
      <w:r w:rsidRPr="00EF2814">
        <w:rPr>
          <w:b/>
          <w:bCs/>
          <w:sz w:val="28"/>
          <w:szCs w:val="28"/>
          <w:lang w:val="en-GB"/>
        </w:rPr>
        <w:lastRenderedPageBreak/>
        <w:t>Acknowledgements</w:t>
      </w:r>
    </w:p>
    <w:p w14:paraId="64545F91" w14:textId="77777777" w:rsidR="00D667E3" w:rsidRPr="00EF2814" w:rsidRDefault="00D667E3" w:rsidP="000702A0">
      <w:pPr>
        <w:spacing w:before="240" w:after="0"/>
        <w:rPr>
          <w:rFonts w:cs="Arial"/>
          <w:lang w:val="en-GB"/>
        </w:rPr>
      </w:pPr>
      <w:r w:rsidRPr="00EF2814">
        <w:rPr>
          <w:rFonts w:cs="Arial"/>
          <w:lang w:val="en-GB"/>
        </w:rPr>
        <w:t>I would like to thank my academic supervisor for their support throughout this entire research project, and I would like to take a moment to thank them for that. I would also like to thank the University of Wales Trinity Saint David for their support throughout this project, particularly regarding the academic databases that have been necessary for the literature aspect of this research. I would like to thank the tutors and students for their support and helpful discussions that have aided me in my understanding of research methods and thematic analysis. Their support helped me complete this dissertation successfully.</w:t>
      </w:r>
    </w:p>
    <w:p w14:paraId="13E32933" w14:textId="77777777" w:rsidR="00D667E3" w:rsidRPr="00EF2814" w:rsidRDefault="00D667E3" w:rsidP="000702A0">
      <w:pPr>
        <w:spacing w:before="240" w:after="0"/>
        <w:rPr>
          <w:rFonts w:cs="Arial"/>
          <w:lang w:val="en-GB"/>
        </w:rPr>
      </w:pPr>
      <w:r w:rsidRPr="00EF2814">
        <w:rPr>
          <w:rFonts w:cs="Arial"/>
          <w:lang w:val="en-GB"/>
        </w:rPr>
        <w:t>Sincerely yours,</w:t>
      </w:r>
    </w:p>
    <w:p w14:paraId="0CB0561C" w14:textId="35849A65" w:rsidR="00D667E3" w:rsidRPr="00EF2814" w:rsidRDefault="00D667E3" w:rsidP="000702A0">
      <w:pPr>
        <w:spacing w:before="240" w:after="0"/>
        <w:rPr>
          <w:rFonts w:cs="Arial"/>
          <w:lang w:val="en-GB"/>
        </w:rPr>
      </w:pPr>
      <w:r w:rsidRPr="00EF2814">
        <w:rPr>
          <w:rFonts w:cs="Arial"/>
          <w:lang w:val="en-GB"/>
        </w:rPr>
        <w:t>[Name]</w:t>
      </w:r>
      <w:r w:rsidR="00B67EEF">
        <w:rPr>
          <w:rFonts w:cs="Arial"/>
          <w:lang w:val="en-GB"/>
        </w:rPr>
        <w:t xml:space="preserve"> Jacqueline Lawrence</w:t>
      </w:r>
    </w:p>
    <w:p w14:paraId="31606A6E" w14:textId="77777777" w:rsidR="00D667E3" w:rsidRPr="00EF2814" w:rsidRDefault="00D667E3" w:rsidP="00AD2E14">
      <w:pPr>
        <w:spacing w:after="0"/>
        <w:rPr>
          <w:b/>
          <w:color w:val="000000" w:themeColor="text1"/>
          <w:spacing w:val="10"/>
          <w:sz w:val="28"/>
          <w:lang w:val="en-GB"/>
        </w:rPr>
      </w:pPr>
      <w:r w:rsidRPr="00EF2814">
        <w:rPr>
          <w:lang w:val="en-GB"/>
        </w:rPr>
        <w:br w:type="page"/>
      </w:r>
    </w:p>
    <w:p w14:paraId="3FB72370" w14:textId="24E99E08" w:rsidR="00D667E3" w:rsidRPr="00EF2814" w:rsidRDefault="00D667E3" w:rsidP="004A6850">
      <w:pPr>
        <w:jc w:val="center"/>
        <w:rPr>
          <w:b/>
          <w:bCs/>
          <w:sz w:val="28"/>
          <w:szCs w:val="28"/>
          <w:lang w:val="en-GB"/>
        </w:rPr>
      </w:pPr>
      <w:bookmarkStart w:id="3" w:name="_Toc222234338"/>
      <w:r w:rsidRPr="00EF2814">
        <w:rPr>
          <w:b/>
          <w:bCs/>
          <w:sz w:val="28"/>
          <w:szCs w:val="28"/>
          <w:lang w:val="en-GB"/>
        </w:rPr>
        <w:lastRenderedPageBreak/>
        <w:t>Abstract</w:t>
      </w:r>
      <w:bookmarkEnd w:id="3"/>
    </w:p>
    <w:p w14:paraId="785C20DB" w14:textId="77777777" w:rsidR="008C02E0" w:rsidRPr="00EF2814" w:rsidRDefault="008C02E0" w:rsidP="008C02E0">
      <w:pPr>
        <w:spacing w:before="240" w:after="0"/>
        <w:rPr>
          <w:lang w:val="en-GB"/>
        </w:rPr>
      </w:pPr>
      <w:r w:rsidRPr="00EF2814">
        <w:rPr>
          <w:lang w:val="en-GB"/>
        </w:rPr>
        <w:t xml:space="preserve">The research study focuses on the impact of the COVID-19 emergency clinical training on the competency level in the UK healthcare sector. The research aims to determine the impact of rapid training initiatives on the knowledge, skills and confidence of the staff as well as their professional preparedness in pandemic situations. The study is implicit in the field of health and social care, given that it examines the preparedness of the workforce, patient safety, and their resilience during a crisis. </w:t>
      </w:r>
    </w:p>
    <w:p w14:paraId="7C52B082" w14:textId="016558D1" w:rsidR="000702A0" w:rsidRPr="00EF2814" w:rsidRDefault="008C02E0" w:rsidP="008C02E0">
      <w:pPr>
        <w:spacing w:before="240" w:after="0"/>
        <w:rPr>
          <w:rFonts w:cs="Arial"/>
          <w:lang w:val="en-GB"/>
        </w:rPr>
      </w:pPr>
      <w:r w:rsidRPr="00EF2814">
        <w:rPr>
          <w:lang w:val="en-GB"/>
        </w:rPr>
        <w:t>A secondary research design has been considered for the study that aimed at gathering information from published literature and NHS reports. The recurring patterns and themes are developed based on thematic analysis. This approach provides an opportunity to investigate the effectiveness of training, flexibility of workforce, delivery limitations and support systems. Through a critical review of the literature, the study gives an insight into evidence-based research concerning the aspects of strengths and limitations of the emergency training. Besides, evidence-based suggestions on future practice, policy and workforce development for healthcare emergencies are established.</w:t>
      </w:r>
    </w:p>
    <w:p w14:paraId="6FD7510F" w14:textId="76963A97" w:rsidR="00D667E3" w:rsidRPr="00EF2814" w:rsidRDefault="00D667E3" w:rsidP="000702A0">
      <w:pPr>
        <w:spacing w:before="240" w:after="0"/>
        <w:rPr>
          <w:rFonts w:cs="Arial"/>
          <w:lang w:val="en-GB"/>
        </w:rPr>
      </w:pPr>
      <w:r w:rsidRPr="00EF2814">
        <w:rPr>
          <w:rFonts w:cs="Arial"/>
          <w:lang w:val="en-GB"/>
        </w:rPr>
        <w:t>The findings indicated that high-quality emergency clinical training, workforce flexibility, and role adaptation are key factors that improve the resilience of services. The key themes included the importance of simulation training, multidisciplinary working, and policy alignment. These themes and findings together showed that prepared and flexible workforces are important in improving the quality of care, decision-making, and continuity in high-pressure clinical contexts.</w:t>
      </w:r>
    </w:p>
    <w:p w14:paraId="324D9054" w14:textId="77777777" w:rsidR="00D667E3" w:rsidRPr="00EF2814" w:rsidRDefault="00D667E3" w:rsidP="000702A0">
      <w:pPr>
        <w:spacing w:before="240" w:after="0"/>
        <w:rPr>
          <w:rFonts w:cs="Arial"/>
          <w:lang w:val="en-GB"/>
        </w:rPr>
      </w:pPr>
      <w:r w:rsidRPr="00EF2814">
        <w:rPr>
          <w:rFonts w:cs="Arial"/>
          <w:lang w:val="en-GB"/>
        </w:rPr>
        <w:t xml:space="preserve">The study was constrained </w:t>
      </w:r>
      <w:proofErr w:type="gramStart"/>
      <w:r w:rsidRPr="00EF2814">
        <w:rPr>
          <w:rFonts w:cs="Arial"/>
          <w:lang w:val="en-GB"/>
        </w:rPr>
        <w:t>by the use of</w:t>
      </w:r>
      <w:proofErr w:type="gramEnd"/>
      <w:r w:rsidRPr="00EF2814">
        <w:rPr>
          <w:rFonts w:cs="Arial"/>
          <w:lang w:val="en-GB"/>
        </w:rPr>
        <w:t xml:space="preserve"> secondary data, which limited the study to accessing direct service perspectives and real-time service data. The differences in the study settings and workforces also created limitations for the study. This might affect the generalisability of the results of the study, and the results should be treated with caution when generalising the results to other health and social care organisations.</w:t>
      </w:r>
    </w:p>
    <w:p w14:paraId="64A6C54C" w14:textId="77777777" w:rsidR="00D667E3" w:rsidRPr="00EF2814" w:rsidRDefault="00D667E3" w:rsidP="000702A0">
      <w:pPr>
        <w:spacing w:before="240" w:after="0"/>
        <w:rPr>
          <w:rFonts w:cs="Arial"/>
          <w:lang w:val="en-GB"/>
        </w:rPr>
      </w:pPr>
      <w:r w:rsidRPr="00EF2814">
        <w:rPr>
          <w:rFonts w:cs="Arial"/>
          <w:lang w:val="en-GB"/>
        </w:rPr>
        <w:t>The recommendations were to enhance workforce preparedness by providing training, enhance workforce flexibility by implementing multiskilling and adaptive workforce practices, and align policy with the views of frontline services.</w:t>
      </w:r>
    </w:p>
    <w:p w14:paraId="690234DF" w14:textId="77777777" w:rsidR="00126B52" w:rsidRPr="00EF2814" w:rsidRDefault="00126B52" w:rsidP="000702A0">
      <w:pPr>
        <w:spacing w:before="240" w:after="0"/>
        <w:rPr>
          <w:rFonts w:cs="Arial"/>
          <w:lang w:val="en-GB"/>
        </w:rPr>
      </w:pPr>
    </w:p>
    <w:p w14:paraId="2E462F99" w14:textId="77777777" w:rsidR="00AD772C" w:rsidRPr="00EF2814" w:rsidRDefault="00AD772C" w:rsidP="00AD2E14">
      <w:pPr>
        <w:spacing w:after="0"/>
        <w:rPr>
          <w:rFonts w:eastAsia="Times New Roman" w:cs="Arial"/>
          <w:b/>
          <w:bCs/>
          <w:sz w:val="28"/>
          <w:szCs w:val="28"/>
          <w:highlight w:val="white"/>
          <w:lang w:val="en-GB"/>
        </w:rPr>
      </w:pPr>
      <w:r w:rsidRPr="00EF2814">
        <w:rPr>
          <w:rFonts w:eastAsia="Times New Roman" w:cs="Arial"/>
          <w:b/>
          <w:bCs/>
          <w:sz w:val="28"/>
          <w:szCs w:val="28"/>
          <w:highlight w:val="white"/>
          <w:lang w:val="en-GB"/>
        </w:rPr>
        <w:br w:type="page"/>
      </w:r>
    </w:p>
    <w:p w14:paraId="32F70727" w14:textId="2218D8E9" w:rsidR="00126B52" w:rsidRPr="00EF2814" w:rsidRDefault="00126B52" w:rsidP="00AD2E14">
      <w:pPr>
        <w:spacing w:after="0"/>
        <w:jc w:val="center"/>
        <w:rPr>
          <w:rFonts w:eastAsia="Times New Roman" w:cs="Arial"/>
          <w:b/>
          <w:bCs/>
          <w:i/>
          <w:sz w:val="28"/>
          <w:szCs w:val="28"/>
          <w:highlight w:val="white"/>
          <w:lang w:val="en-GB"/>
        </w:rPr>
      </w:pPr>
      <w:r w:rsidRPr="00EF2814">
        <w:rPr>
          <w:rFonts w:eastAsia="Times New Roman" w:cs="Arial"/>
          <w:b/>
          <w:bCs/>
          <w:i/>
          <w:sz w:val="28"/>
          <w:szCs w:val="28"/>
          <w:highlight w:val="white"/>
          <w:lang w:val="en-GB"/>
        </w:rPr>
        <w:lastRenderedPageBreak/>
        <w:t>Title: Examining the Effect of COVID-19 Emergency Clinical Training on Staff Competency Levels wit</w:t>
      </w:r>
      <w:r w:rsidR="009C6120" w:rsidRPr="00EF2814">
        <w:rPr>
          <w:rFonts w:eastAsia="Times New Roman" w:cs="Arial"/>
          <w:b/>
          <w:bCs/>
          <w:i/>
          <w:sz w:val="28"/>
          <w:szCs w:val="28"/>
          <w:highlight w:val="white"/>
          <w:lang w:val="en-GB"/>
        </w:rPr>
        <w:t>hin the UK Health Care Industry</w:t>
      </w:r>
    </w:p>
    <w:p w14:paraId="6975F777" w14:textId="77777777" w:rsidR="005578F0" w:rsidRPr="00EF2814" w:rsidRDefault="005578F0" w:rsidP="00AD2E14">
      <w:pPr>
        <w:spacing w:after="0"/>
        <w:rPr>
          <w:lang w:val="en-GB"/>
        </w:rPr>
      </w:pPr>
    </w:p>
    <w:p w14:paraId="5588639F" w14:textId="6318A64D" w:rsidR="00126B52" w:rsidRPr="00EF2814" w:rsidRDefault="00126B52" w:rsidP="008C02E0">
      <w:pPr>
        <w:pStyle w:val="Heading1"/>
        <w:spacing w:before="240" w:line="360" w:lineRule="auto"/>
        <w:rPr>
          <w:rFonts w:cs="Arial"/>
          <w:szCs w:val="32"/>
          <w:lang w:val="en-GB"/>
        </w:rPr>
      </w:pPr>
      <w:bookmarkStart w:id="4" w:name="_Toc222234339"/>
      <w:r w:rsidRPr="00EF2814">
        <w:rPr>
          <w:rFonts w:cs="Arial"/>
          <w:szCs w:val="32"/>
          <w:lang w:val="en-GB"/>
        </w:rPr>
        <w:t>Chapter</w:t>
      </w:r>
      <w:r w:rsidR="004E48A2" w:rsidRPr="00EF2814">
        <w:rPr>
          <w:rFonts w:cs="Arial"/>
          <w:szCs w:val="32"/>
          <w:lang w:val="en-GB"/>
        </w:rPr>
        <w:t xml:space="preserve"> 1 -</w:t>
      </w:r>
      <w:r w:rsidRPr="00EF2814">
        <w:rPr>
          <w:rFonts w:cs="Arial"/>
          <w:szCs w:val="32"/>
          <w:lang w:val="en-GB"/>
        </w:rPr>
        <w:t xml:space="preserve"> Introduction</w:t>
      </w:r>
      <w:bookmarkStart w:id="5" w:name="_5eg0kx8v1pm4" w:colFirst="0" w:colLast="0"/>
      <w:bookmarkEnd w:id="4"/>
      <w:bookmarkEnd w:id="5"/>
    </w:p>
    <w:p w14:paraId="14B330DF" w14:textId="257735CE" w:rsidR="00126B52" w:rsidRPr="00EF2814" w:rsidRDefault="00126B52" w:rsidP="005B1B4C">
      <w:pPr>
        <w:pStyle w:val="Heading2"/>
        <w:rPr>
          <w:lang w:val="en-GB"/>
        </w:rPr>
      </w:pPr>
      <w:bookmarkStart w:id="6" w:name="_Toc222234340"/>
      <w:r w:rsidRPr="00EF2814">
        <w:rPr>
          <w:lang w:val="en-GB"/>
        </w:rPr>
        <w:t>1.1 Introduction</w:t>
      </w:r>
      <w:bookmarkEnd w:id="6"/>
    </w:p>
    <w:p w14:paraId="55F46D11" w14:textId="39669708" w:rsidR="00126B52" w:rsidRPr="00EF2814" w:rsidRDefault="00126B52" w:rsidP="008C02E0">
      <w:pPr>
        <w:spacing w:before="240" w:after="0"/>
        <w:rPr>
          <w:rFonts w:cs="Arial"/>
          <w:b/>
          <w:sz w:val="32"/>
          <w:szCs w:val="32"/>
          <w:lang w:val="en-GB"/>
        </w:rPr>
      </w:pPr>
      <w:r w:rsidRPr="00EF2814">
        <w:rPr>
          <w:rFonts w:cs="Arial"/>
          <w:b/>
          <w:sz w:val="24"/>
          <w:lang w:val="en-GB"/>
        </w:rPr>
        <w:t>Overview of the Topic</w:t>
      </w:r>
    </w:p>
    <w:p w14:paraId="1D0919EB" w14:textId="77777777" w:rsidR="00126B52" w:rsidRPr="00EF2814" w:rsidRDefault="00126B52" w:rsidP="008C02E0">
      <w:pPr>
        <w:spacing w:before="240" w:after="0"/>
        <w:rPr>
          <w:rFonts w:cs="Arial"/>
          <w:lang w:val="en-GB"/>
        </w:rPr>
      </w:pPr>
      <w:r w:rsidRPr="00EF2814">
        <w:rPr>
          <w:rFonts w:cs="Arial"/>
          <w:lang w:val="en-GB"/>
        </w:rPr>
        <w:t xml:space="preserve">The COVID-19 outbreak struck the UK healthcare system and demanded rapid mobilisation of the workforce, as well as emergency clinical training. Medical staff were also redeployed to new functions, in which, in most of the cases, there were hastily trained programmes to address the emergent service needs. Although these programmes were critical to the preservation of patient care, there were issues which were raised over competency in staff, patient safety, and confidence (Carrillo </w:t>
      </w:r>
      <w:r w:rsidRPr="00EF2814">
        <w:rPr>
          <w:rFonts w:cs="Arial"/>
          <w:i/>
          <w:iCs/>
          <w:lang w:val="en-GB"/>
        </w:rPr>
        <w:t>et al.</w:t>
      </w:r>
      <w:r w:rsidRPr="00EF2814">
        <w:rPr>
          <w:rFonts w:cs="Arial"/>
          <w:lang w:val="en-GB"/>
        </w:rPr>
        <w:t xml:space="preserve">, 2024). There was a great need to have emergency clinical training as a mechanism of reinforcing workforce ability in the case of crisis situations. Thanks to the ability to understand its efficacy, the NHS still struggles against the problem of the labour shortage. </w:t>
      </w:r>
    </w:p>
    <w:p w14:paraId="0133FFB3" w14:textId="77777777" w:rsidR="00126B52" w:rsidRPr="00EF2814" w:rsidRDefault="00126B52" w:rsidP="008C02E0">
      <w:pPr>
        <w:spacing w:before="240" w:after="0"/>
        <w:rPr>
          <w:rFonts w:cs="Arial"/>
          <w:b/>
          <w:bCs/>
          <w:sz w:val="24"/>
          <w:szCs w:val="24"/>
          <w:lang w:val="en-GB"/>
        </w:rPr>
      </w:pPr>
      <w:r w:rsidRPr="00EF2814">
        <w:rPr>
          <w:rFonts w:cs="Arial"/>
          <w:b/>
          <w:bCs/>
          <w:sz w:val="24"/>
          <w:szCs w:val="24"/>
          <w:lang w:val="en-GB"/>
        </w:rPr>
        <w:t>Aim of the Dissertation</w:t>
      </w:r>
    </w:p>
    <w:p w14:paraId="42E539C3" w14:textId="77777777" w:rsidR="00126B52" w:rsidRPr="00EF2814" w:rsidRDefault="00126B52" w:rsidP="008C02E0">
      <w:pPr>
        <w:spacing w:before="240" w:after="0"/>
        <w:rPr>
          <w:rFonts w:cs="Arial"/>
          <w:lang w:val="en-GB"/>
        </w:rPr>
      </w:pPr>
      <w:r w:rsidRPr="00EF2814">
        <w:rPr>
          <w:rFonts w:cs="Arial"/>
          <w:lang w:val="en-GB"/>
        </w:rPr>
        <w:t>The overall aim of this dissertation is to evaluate the impact of emergency clinical training across the COVID-19 pandemic period on the level of competence of health personnel within the UK healthcare sector. The aim of this study was to assess the impact of emergency clinical training programs on overall clinical adequacy, knowledge acquisition, effectiveness, and professional readiness (Falk and Lindström, 2022). Through evaluation of the available secondary sources, the study will determine the advantages and issues related to emergency training provision. The dissertation is also aimed at offering evidence-based findings that can be used to create more efficient and sustainable emergency training models to help in sustaining the resilience and competency of the workforce in the upcoming healthcare emergencies.</w:t>
      </w:r>
    </w:p>
    <w:p w14:paraId="6EE5CF78" w14:textId="77777777" w:rsidR="00126B52" w:rsidRPr="00EF2814" w:rsidRDefault="00126B52" w:rsidP="005B1B4C">
      <w:pPr>
        <w:pStyle w:val="Heading2"/>
        <w:rPr>
          <w:lang w:val="en-GB"/>
        </w:rPr>
      </w:pPr>
      <w:bookmarkStart w:id="7" w:name="_oja8rzp8yjd2" w:colFirst="0" w:colLast="0"/>
      <w:bookmarkStart w:id="8" w:name="_Toc222234341"/>
      <w:bookmarkEnd w:id="7"/>
      <w:r w:rsidRPr="00EF2814">
        <w:rPr>
          <w:lang w:val="en-GB"/>
        </w:rPr>
        <w:t>1.2 Definitions and Terminology</w:t>
      </w:r>
      <w:bookmarkEnd w:id="8"/>
    </w:p>
    <w:p w14:paraId="01552DE7" w14:textId="77777777" w:rsidR="00126B52" w:rsidRPr="00EF2814" w:rsidRDefault="00126B52" w:rsidP="008C02E0">
      <w:pPr>
        <w:spacing w:before="240" w:after="0"/>
        <w:rPr>
          <w:rFonts w:cs="Arial"/>
          <w:b/>
          <w:bCs/>
          <w:sz w:val="24"/>
          <w:szCs w:val="24"/>
          <w:lang w:val="en-GB"/>
        </w:rPr>
      </w:pPr>
      <w:r w:rsidRPr="00EF2814">
        <w:rPr>
          <w:rFonts w:cs="Arial"/>
          <w:b/>
          <w:bCs/>
          <w:sz w:val="24"/>
          <w:szCs w:val="24"/>
          <w:lang w:val="en-GB"/>
        </w:rPr>
        <w:t>Key Definitions</w:t>
      </w:r>
    </w:p>
    <w:p w14:paraId="3BCE9B69" w14:textId="77777777" w:rsidR="00126B52" w:rsidRPr="00EF2814" w:rsidRDefault="00126B52" w:rsidP="008C02E0">
      <w:pPr>
        <w:spacing w:before="240" w:after="0"/>
        <w:rPr>
          <w:rFonts w:cs="Arial"/>
          <w:lang w:val="en-GB"/>
        </w:rPr>
      </w:pPr>
      <w:r w:rsidRPr="00EF2814">
        <w:rPr>
          <w:rFonts w:cs="Arial"/>
          <w:lang w:val="en-GB"/>
        </w:rPr>
        <w:lastRenderedPageBreak/>
        <w:t xml:space="preserve">Emergency clinical training is a kind of training that is conducted in crisis situations to impart the much-needed clinical skills to the healthcare staff within a short period. Staff competency refers to the set of knowledge, skills, behaviours and professional judgement necessary to carry out clinical tasks in a safe and effective way. Secondary research will focus on examining the available published literature and not gathering primary data (Cheong </w:t>
      </w:r>
      <w:r w:rsidRPr="00EF2814">
        <w:rPr>
          <w:rFonts w:cs="Arial"/>
          <w:i/>
          <w:iCs/>
          <w:lang w:val="en-GB"/>
        </w:rPr>
        <w:t>et al.</w:t>
      </w:r>
      <w:r w:rsidRPr="00EF2814">
        <w:rPr>
          <w:rFonts w:cs="Arial"/>
          <w:lang w:val="en-GB"/>
        </w:rPr>
        <w:t>, 2023). Thematic analysis is a qualitative technique that is utilised in discovering, examining, and reporting trends or themes in data. These are the keywords of this research because they define the methodology and explain how competency outcomes can be determined in the UK healthcare market.</w:t>
      </w:r>
    </w:p>
    <w:p w14:paraId="002CD03C" w14:textId="77777777" w:rsidR="00126B52" w:rsidRPr="00EF2814" w:rsidRDefault="00126B52" w:rsidP="008C02E0">
      <w:pPr>
        <w:spacing w:before="240" w:after="0"/>
        <w:rPr>
          <w:rFonts w:cs="Arial"/>
          <w:b/>
          <w:bCs/>
          <w:sz w:val="24"/>
          <w:szCs w:val="24"/>
          <w:lang w:val="en-GB"/>
        </w:rPr>
      </w:pPr>
      <w:r w:rsidRPr="00EF2814">
        <w:rPr>
          <w:rFonts w:cs="Arial"/>
          <w:b/>
          <w:bCs/>
          <w:sz w:val="24"/>
          <w:szCs w:val="24"/>
          <w:lang w:val="en-GB"/>
        </w:rPr>
        <w:t>Acronyms and Abbreviations</w:t>
      </w:r>
    </w:p>
    <w:p w14:paraId="523D3881" w14:textId="0AE54A6E" w:rsidR="00126B52" w:rsidRPr="00EF2814" w:rsidRDefault="00126B52" w:rsidP="008C02E0">
      <w:pPr>
        <w:spacing w:before="240" w:after="0"/>
        <w:rPr>
          <w:rFonts w:cs="Arial"/>
          <w:lang w:val="en-GB"/>
        </w:rPr>
      </w:pPr>
      <w:r w:rsidRPr="00EF2814">
        <w:rPr>
          <w:rFonts w:cs="Arial"/>
          <w:lang w:val="en-GB"/>
        </w:rPr>
        <w:t xml:space="preserve">Different acronyms are employed in this dissertation to make the work </w:t>
      </w:r>
      <w:r w:rsidR="00B67EEF" w:rsidRPr="00EF2814">
        <w:rPr>
          <w:rFonts w:cs="Arial"/>
          <w:lang w:val="en-GB"/>
        </w:rPr>
        <w:t>more concise and clearer</w:t>
      </w:r>
      <w:r w:rsidRPr="00EF2814">
        <w:rPr>
          <w:rFonts w:cs="Arial"/>
          <w:lang w:val="en-GB"/>
        </w:rPr>
        <w:t xml:space="preserve">. NHS is the National Health Service, which is the main service offering health care in the UK. COVID-19 is an acronym that means Coronavirus Disease 2019, an international pandemic that has affected health care delivery and training (Leung </w:t>
      </w:r>
      <w:r w:rsidRPr="00EF2814">
        <w:rPr>
          <w:rFonts w:cs="Arial"/>
          <w:i/>
          <w:iCs/>
          <w:lang w:val="en-GB"/>
        </w:rPr>
        <w:t>et al.</w:t>
      </w:r>
      <w:r w:rsidRPr="00EF2814">
        <w:rPr>
          <w:rFonts w:cs="Arial"/>
          <w:lang w:val="en-GB"/>
        </w:rPr>
        <w:t xml:space="preserve">, 2022). The acronym PPE is used to denote Personal Protective Equipment, which is necessary to ensure the safety of the staff </w:t>
      </w:r>
      <w:proofErr w:type="gramStart"/>
      <w:r w:rsidRPr="00EF2814">
        <w:rPr>
          <w:rFonts w:cs="Arial"/>
          <w:lang w:val="en-GB"/>
        </w:rPr>
        <w:t>in regard to</w:t>
      </w:r>
      <w:proofErr w:type="gramEnd"/>
      <w:r w:rsidRPr="00EF2814">
        <w:rPr>
          <w:rFonts w:cs="Arial"/>
          <w:lang w:val="en-GB"/>
        </w:rPr>
        <w:t xml:space="preserve"> the pandemic. CPD is the Continuing Professional Development, which emphasises continual development of competency. HCPs refer to Healthcare Professionals, which include clinical personnel in facilities. </w:t>
      </w:r>
    </w:p>
    <w:p w14:paraId="11AD9B3D" w14:textId="77777777" w:rsidR="00126B52" w:rsidRPr="00EF2814" w:rsidRDefault="00126B52" w:rsidP="005B1B4C">
      <w:pPr>
        <w:pStyle w:val="Heading2"/>
        <w:rPr>
          <w:lang w:val="en-GB"/>
        </w:rPr>
      </w:pPr>
      <w:bookmarkStart w:id="9" w:name="_i9ai0lxgt4gi" w:colFirst="0" w:colLast="0"/>
      <w:bookmarkStart w:id="10" w:name="_Toc222234342"/>
      <w:bookmarkEnd w:id="9"/>
      <w:r w:rsidRPr="00EF2814">
        <w:rPr>
          <w:lang w:val="en-GB"/>
        </w:rPr>
        <w:t>1.3 Rationale for Research</w:t>
      </w:r>
      <w:bookmarkEnd w:id="10"/>
    </w:p>
    <w:p w14:paraId="4C292403" w14:textId="77777777" w:rsidR="00126B52" w:rsidRPr="00EF2814" w:rsidRDefault="00126B52" w:rsidP="008C02E0">
      <w:pPr>
        <w:spacing w:before="240" w:after="0"/>
        <w:rPr>
          <w:rFonts w:cs="Arial"/>
          <w:b/>
          <w:bCs/>
          <w:sz w:val="24"/>
          <w:szCs w:val="24"/>
          <w:lang w:val="en-GB"/>
        </w:rPr>
      </w:pPr>
      <w:r w:rsidRPr="00EF2814">
        <w:rPr>
          <w:rFonts w:cs="Arial"/>
          <w:b/>
          <w:bCs/>
          <w:sz w:val="24"/>
          <w:szCs w:val="24"/>
          <w:lang w:val="en-GB"/>
        </w:rPr>
        <w:t>Purpose of the Research</w:t>
      </w:r>
    </w:p>
    <w:p w14:paraId="61577169" w14:textId="77777777" w:rsidR="00126B52" w:rsidRPr="00EF2814" w:rsidRDefault="00126B52" w:rsidP="008C02E0">
      <w:pPr>
        <w:spacing w:before="240" w:after="0"/>
        <w:rPr>
          <w:rFonts w:cs="Arial"/>
          <w:lang w:val="en-GB"/>
        </w:rPr>
      </w:pPr>
      <w:r w:rsidRPr="00EF2814">
        <w:rPr>
          <w:rFonts w:cs="Arial"/>
          <w:lang w:val="en-GB"/>
        </w:rPr>
        <w:t xml:space="preserve">The study was selected </w:t>
      </w:r>
      <w:proofErr w:type="gramStart"/>
      <w:r w:rsidRPr="00EF2814">
        <w:rPr>
          <w:rFonts w:cs="Arial"/>
          <w:lang w:val="en-GB"/>
        </w:rPr>
        <w:t>based on the fact that</w:t>
      </w:r>
      <w:proofErr w:type="gramEnd"/>
      <w:r w:rsidRPr="00EF2814">
        <w:rPr>
          <w:rFonts w:cs="Arial"/>
          <w:lang w:val="en-GB"/>
        </w:rPr>
        <w:t xml:space="preserve"> COVID-19 brought about major changes in the clinical training practises of the UK healthcare system. Emergency clinical training was necessary to assist in the rapid reallocation of the workforce, but the effects of this on the competency of staff have not been fully investigated. Available sources present the urgency and the magnitude of the pandemic training, but do not provide much assessment of its efficiency (Stark </w:t>
      </w:r>
      <w:r w:rsidRPr="00EF2814">
        <w:rPr>
          <w:rFonts w:cs="Arial"/>
          <w:i/>
          <w:iCs/>
          <w:lang w:val="en-GB"/>
        </w:rPr>
        <w:t>et al.</w:t>
      </w:r>
      <w:r w:rsidRPr="00EF2814">
        <w:rPr>
          <w:rFonts w:cs="Arial"/>
          <w:lang w:val="en-GB"/>
        </w:rPr>
        <w:t>, 2022). As workforce shortages continue to rise and more companies depend on increasingly flexible ways of staffing, competency is a highly pertinent issue of investigation. This study is a reaction to the contemporary discussion of the preparedness of the workforce, patient safety, and quality of training and provides an insight into the construction of more resilient and effective training strategies.</w:t>
      </w:r>
    </w:p>
    <w:p w14:paraId="72A6BFAE" w14:textId="77777777" w:rsidR="00126B52" w:rsidRPr="00EF2814" w:rsidRDefault="00126B52" w:rsidP="008C02E0">
      <w:pPr>
        <w:spacing w:before="240" w:after="0"/>
        <w:rPr>
          <w:rFonts w:cs="Arial"/>
          <w:b/>
          <w:bCs/>
          <w:sz w:val="24"/>
          <w:szCs w:val="24"/>
          <w:lang w:val="en-GB"/>
        </w:rPr>
      </w:pPr>
      <w:r w:rsidRPr="00EF2814">
        <w:rPr>
          <w:rFonts w:cs="Arial"/>
          <w:b/>
          <w:bCs/>
          <w:sz w:val="24"/>
          <w:szCs w:val="24"/>
          <w:lang w:val="en-GB"/>
        </w:rPr>
        <w:t xml:space="preserve">Identified Problems and Research Gaps </w:t>
      </w:r>
    </w:p>
    <w:p w14:paraId="02145DB1" w14:textId="77777777" w:rsidR="00126B52" w:rsidRPr="00EF2814" w:rsidRDefault="00126B52" w:rsidP="008C02E0">
      <w:pPr>
        <w:spacing w:before="240" w:after="0"/>
        <w:rPr>
          <w:rFonts w:cs="Arial"/>
          <w:lang w:val="en-GB"/>
        </w:rPr>
      </w:pPr>
      <w:r w:rsidRPr="00EF2814">
        <w:rPr>
          <w:rFonts w:cs="Arial"/>
          <w:lang w:val="en-GB"/>
        </w:rPr>
        <w:lastRenderedPageBreak/>
        <w:t xml:space="preserve">The existing literature appears to rely mostly on responses to the COVID-19 emergencies instead of critically analysing the consequences of emergency clinical training of staff competency. The literature on the UK-specific qualitative research examining the effects of accelerated training on clinical confidence, retention, and professional preparedness is scarce (Chapwanya, 2025). Also, the current research usually deals with the short-term management of crises, overlooking the future effects on the development of the workforce. The given dissertation fills those gaps by synthesising secondary qualitative evidence </w:t>
      </w:r>
      <w:proofErr w:type="gramStart"/>
      <w:r w:rsidRPr="00EF2814">
        <w:rPr>
          <w:rFonts w:cs="Arial"/>
          <w:lang w:val="en-GB"/>
        </w:rPr>
        <w:t>in order to</w:t>
      </w:r>
      <w:proofErr w:type="gramEnd"/>
      <w:r w:rsidRPr="00EF2814">
        <w:rPr>
          <w:rFonts w:cs="Arial"/>
          <w:lang w:val="en-GB"/>
        </w:rPr>
        <w:t xml:space="preserve"> determine common themes concerning competency outcomes. In such a way, the study helps to better recognise the effectiveness of training and educate the upcoming emergency preparedness in the UK healthcare sector.</w:t>
      </w:r>
    </w:p>
    <w:p w14:paraId="625AFCEE" w14:textId="77777777" w:rsidR="00126B52" w:rsidRPr="00EF2814" w:rsidRDefault="00126B52" w:rsidP="005B1B4C">
      <w:pPr>
        <w:pStyle w:val="Heading2"/>
        <w:rPr>
          <w:lang w:val="en-GB"/>
        </w:rPr>
      </w:pPr>
      <w:bookmarkStart w:id="11" w:name="_83ytaxere48o" w:colFirst="0" w:colLast="0"/>
      <w:bookmarkStart w:id="12" w:name="_Toc222234343"/>
      <w:bookmarkEnd w:id="11"/>
      <w:r w:rsidRPr="00EF2814">
        <w:rPr>
          <w:lang w:val="en-GB"/>
        </w:rPr>
        <w:t>1.4 Aim and Objectives</w:t>
      </w:r>
      <w:bookmarkEnd w:id="12"/>
      <w:r w:rsidRPr="00EF2814">
        <w:rPr>
          <w:lang w:val="en-GB"/>
        </w:rPr>
        <w:t xml:space="preserve"> </w:t>
      </w:r>
    </w:p>
    <w:p w14:paraId="57A6280E" w14:textId="77777777" w:rsidR="00126B52" w:rsidRPr="00EF2814" w:rsidRDefault="00126B52" w:rsidP="008C02E0">
      <w:pPr>
        <w:spacing w:before="240" w:after="0"/>
        <w:rPr>
          <w:rFonts w:cs="Arial"/>
          <w:b/>
          <w:bCs/>
          <w:lang w:val="en-GB"/>
        </w:rPr>
      </w:pPr>
      <w:r w:rsidRPr="00EF2814">
        <w:rPr>
          <w:rFonts w:cs="Arial"/>
          <w:b/>
          <w:bCs/>
          <w:lang w:val="en-GB"/>
        </w:rPr>
        <w:t xml:space="preserve">Aim </w:t>
      </w:r>
    </w:p>
    <w:p w14:paraId="1C5B79A7" w14:textId="77777777" w:rsidR="00126B52" w:rsidRPr="00EF2814" w:rsidRDefault="00126B52" w:rsidP="008C02E0">
      <w:pPr>
        <w:spacing w:before="240" w:after="0"/>
        <w:rPr>
          <w:rFonts w:cs="Arial"/>
          <w:lang w:val="en-GB"/>
        </w:rPr>
      </w:pPr>
      <w:r w:rsidRPr="00EF2814">
        <w:rPr>
          <w:rFonts w:cs="Arial"/>
          <w:lang w:val="en-GB"/>
        </w:rPr>
        <w:t>The research study aims to examine the effect of COVID-19 emergency clinical training on healthcare staff competency levels within the UK healthcare industry.</w:t>
      </w:r>
    </w:p>
    <w:p w14:paraId="7C56C9F7" w14:textId="77777777" w:rsidR="00126B52" w:rsidRPr="00EF2814" w:rsidRDefault="00126B52" w:rsidP="008C02E0">
      <w:pPr>
        <w:spacing w:before="240" w:after="0"/>
        <w:rPr>
          <w:rFonts w:cs="Arial"/>
          <w:lang w:val="en-GB"/>
        </w:rPr>
      </w:pPr>
      <w:r w:rsidRPr="00EF2814">
        <w:rPr>
          <w:rFonts w:cs="Arial"/>
          <w:lang w:val="en-GB"/>
        </w:rPr>
        <w:t xml:space="preserve">The purpose of the research study is to assess the impact of COVID-19 emergency clinical training on levels of competency among healthcare staff in the healthcare sector of the UK through a profound analysis of existing literature and empirical evidence created and collected throughout the pandemic period. With such a study, it is possible to assess and explore the specific impact of emergency training initiatives on the level of knowledge, skills, and confidence, as well as competency levels, associated with healthcare staff. Moreover, it is possible to discern differences between competency levels and the specific professional roles and practices of the healthcare sector. </w:t>
      </w:r>
    </w:p>
    <w:p w14:paraId="288F01D1" w14:textId="77777777" w:rsidR="00126B52" w:rsidRPr="00EF2814" w:rsidRDefault="00126B52" w:rsidP="008C02E0">
      <w:pPr>
        <w:spacing w:before="240" w:after="0"/>
        <w:rPr>
          <w:rFonts w:cs="Arial"/>
          <w:b/>
          <w:bCs/>
          <w:lang w:val="en-GB"/>
        </w:rPr>
      </w:pPr>
      <w:r w:rsidRPr="00EF2814">
        <w:rPr>
          <w:rFonts w:cs="Arial"/>
          <w:b/>
          <w:bCs/>
          <w:lang w:val="en-GB"/>
        </w:rPr>
        <w:t>Objectives</w:t>
      </w:r>
    </w:p>
    <w:p w14:paraId="114576C9" w14:textId="77777777" w:rsidR="00126B52" w:rsidRPr="00EF2814" w:rsidRDefault="00126B52" w:rsidP="008C02E0">
      <w:pPr>
        <w:numPr>
          <w:ilvl w:val="0"/>
          <w:numId w:val="17"/>
        </w:numPr>
        <w:spacing w:before="240" w:after="0"/>
        <w:rPr>
          <w:rFonts w:cs="Arial"/>
          <w:lang w:val="en-GB"/>
        </w:rPr>
      </w:pPr>
      <w:r w:rsidRPr="00EF2814">
        <w:rPr>
          <w:rFonts w:cs="Arial"/>
          <w:b/>
          <w:bCs/>
          <w:lang w:val="en-GB"/>
        </w:rPr>
        <w:t>RQ1:</w:t>
      </w:r>
      <w:r w:rsidRPr="00EF2814">
        <w:rPr>
          <w:rFonts w:cs="Arial"/>
          <w:lang w:val="en-GB"/>
        </w:rPr>
        <w:t xml:space="preserve"> To examine existing literature and theoretical frameworks on COVID-19 emergency clinical training and staff competency within the UK health care industry.</w:t>
      </w:r>
    </w:p>
    <w:p w14:paraId="30EAB7EA" w14:textId="77777777" w:rsidR="00126B52" w:rsidRPr="00EF2814" w:rsidRDefault="00126B52" w:rsidP="008C02E0">
      <w:pPr>
        <w:numPr>
          <w:ilvl w:val="0"/>
          <w:numId w:val="17"/>
        </w:numPr>
        <w:spacing w:before="240" w:after="0"/>
        <w:rPr>
          <w:rFonts w:cs="Arial"/>
          <w:lang w:val="en-GB"/>
        </w:rPr>
      </w:pPr>
      <w:r w:rsidRPr="00EF2814">
        <w:rPr>
          <w:rFonts w:cs="Arial"/>
          <w:b/>
          <w:bCs/>
          <w:lang w:val="en-GB"/>
        </w:rPr>
        <w:t xml:space="preserve">RQ2: </w:t>
      </w:r>
      <w:r w:rsidRPr="00EF2814">
        <w:rPr>
          <w:rFonts w:cs="Arial"/>
          <w:lang w:val="en-GB"/>
        </w:rPr>
        <w:t>To examine the interrelationship existing between COVID-19 emergency clinical training and healthcare staff competency levels within the UK healthcare industry.</w:t>
      </w:r>
    </w:p>
    <w:p w14:paraId="379E5D02" w14:textId="77777777" w:rsidR="00126B52" w:rsidRPr="00EF2814" w:rsidRDefault="00126B52" w:rsidP="008C02E0">
      <w:pPr>
        <w:numPr>
          <w:ilvl w:val="0"/>
          <w:numId w:val="17"/>
        </w:numPr>
        <w:spacing w:before="240" w:after="0"/>
        <w:rPr>
          <w:rFonts w:cs="Arial"/>
          <w:lang w:val="en-GB"/>
        </w:rPr>
      </w:pPr>
      <w:r w:rsidRPr="00EF2814">
        <w:rPr>
          <w:rFonts w:cs="Arial"/>
          <w:b/>
          <w:bCs/>
          <w:lang w:val="en-GB"/>
        </w:rPr>
        <w:t xml:space="preserve">RQ3: </w:t>
      </w:r>
      <w:r w:rsidRPr="00EF2814">
        <w:rPr>
          <w:rFonts w:cs="Arial"/>
          <w:lang w:val="en-GB"/>
        </w:rPr>
        <w:t>To define the challenges and benefits of COVID-19 emergency clinical training for healthcare staff within the UK healthcare industry.</w:t>
      </w:r>
    </w:p>
    <w:p w14:paraId="5162D6C3" w14:textId="77777777" w:rsidR="00126B52" w:rsidRPr="00EF2814" w:rsidRDefault="00126B52" w:rsidP="008C02E0">
      <w:pPr>
        <w:numPr>
          <w:ilvl w:val="0"/>
          <w:numId w:val="17"/>
        </w:numPr>
        <w:spacing w:before="240" w:after="0"/>
        <w:rPr>
          <w:rFonts w:cs="Arial"/>
          <w:lang w:val="en-GB"/>
        </w:rPr>
      </w:pPr>
      <w:r w:rsidRPr="00EF2814">
        <w:rPr>
          <w:rFonts w:cs="Arial"/>
          <w:b/>
          <w:bCs/>
          <w:lang w:val="en-GB"/>
        </w:rPr>
        <w:lastRenderedPageBreak/>
        <w:t xml:space="preserve">RQ4: </w:t>
      </w:r>
      <w:r w:rsidRPr="00EF2814">
        <w:rPr>
          <w:rFonts w:cs="Arial"/>
          <w:lang w:val="en-GB"/>
        </w:rPr>
        <w:t>To propose strategies regarding the improvement of emergency clinical training to enhance staff competency within the UK health care industry.</w:t>
      </w:r>
    </w:p>
    <w:p w14:paraId="57D5EA27" w14:textId="77777777" w:rsidR="00126B52" w:rsidRPr="00EF2814" w:rsidRDefault="00126B52" w:rsidP="005B1B4C">
      <w:pPr>
        <w:pStyle w:val="Heading2"/>
        <w:rPr>
          <w:lang w:val="en-GB"/>
        </w:rPr>
      </w:pPr>
      <w:bookmarkStart w:id="13" w:name="_yzgucsqh1dir" w:colFirst="0" w:colLast="0"/>
      <w:bookmarkStart w:id="14" w:name="_Toc222234344"/>
      <w:bookmarkEnd w:id="13"/>
      <w:r w:rsidRPr="00EF2814">
        <w:rPr>
          <w:lang w:val="en-GB"/>
        </w:rPr>
        <w:t>1.5 Conclusion</w:t>
      </w:r>
      <w:bookmarkEnd w:id="14"/>
      <w:r w:rsidRPr="00EF2814">
        <w:rPr>
          <w:lang w:val="en-GB"/>
        </w:rPr>
        <w:t xml:space="preserve"> </w:t>
      </w:r>
    </w:p>
    <w:p w14:paraId="4484C8E9" w14:textId="77777777" w:rsidR="00126B52" w:rsidRPr="00EF2814" w:rsidRDefault="00126B52" w:rsidP="008C02E0">
      <w:pPr>
        <w:spacing w:before="240" w:after="0"/>
        <w:rPr>
          <w:rFonts w:cs="Arial"/>
          <w:lang w:val="en-GB"/>
        </w:rPr>
      </w:pPr>
      <w:r w:rsidRPr="00EF2814">
        <w:rPr>
          <w:rFonts w:cs="Arial"/>
          <w:lang w:val="en-GB"/>
        </w:rPr>
        <w:t>Chapter 1 presented the research context, explained the impact of COVID-19 emergency training, introduced concepts, and justified the study. It also established the research aim and objectives, with particular emphasis on the significance of staff competency within the UK healthcare sector. Additionally, chapter 2 is expected to advance on such grounds by presenting information pertaining to emergency clinical training in its historical, theoretical, international, and UK context, thereby laying a foundation for subsequent methodological decisions as they relate to existing literature.</w:t>
      </w:r>
    </w:p>
    <w:p w14:paraId="2126C3F1" w14:textId="3DD7D312" w:rsidR="00126B52" w:rsidRPr="00EF2814" w:rsidRDefault="00126B52" w:rsidP="008C02E0">
      <w:pPr>
        <w:spacing w:before="240" w:after="0"/>
        <w:rPr>
          <w:rFonts w:cs="Arial"/>
          <w:b/>
          <w:sz w:val="28"/>
          <w:szCs w:val="40"/>
          <w:highlight w:val="white"/>
          <w:lang w:val="en-GB"/>
        </w:rPr>
      </w:pPr>
    </w:p>
    <w:p w14:paraId="7469B3F9" w14:textId="77777777" w:rsidR="00322850" w:rsidRPr="00EF2814" w:rsidRDefault="00322850" w:rsidP="008C02E0">
      <w:pPr>
        <w:spacing w:before="240" w:after="0"/>
        <w:rPr>
          <w:rFonts w:cs="Arial"/>
          <w:b/>
          <w:color w:val="000000" w:themeColor="text1"/>
          <w:spacing w:val="10"/>
          <w:sz w:val="32"/>
          <w:highlight w:val="white"/>
          <w:lang w:val="en-GB"/>
        </w:rPr>
      </w:pPr>
      <w:r w:rsidRPr="00EF2814">
        <w:rPr>
          <w:rFonts w:cs="Arial"/>
          <w:highlight w:val="white"/>
          <w:lang w:val="en-GB"/>
        </w:rPr>
        <w:br w:type="page"/>
      </w:r>
    </w:p>
    <w:p w14:paraId="6737B835" w14:textId="7E0A83A8" w:rsidR="00126B52" w:rsidRPr="00EF2814" w:rsidRDefault="00126B52" w:rsidP="008C02E0">
      <w:pPr>
        <w:pStyle w:val="Heading1"/>
        <w:spacing w:before="240" w:line="360" w:lineRule="auto"/>
        <w:rPr>
          <w:rFonts w:cs="Arial"/>
          <w:highlight w:val="white"/>
          <w:lang w:val="en-GB"/>
        </w:rPr>
      </w:pPr>
      <w:bookmarkStart w:id="15" w:name="_Toc222234345"/>
      <w:r w:rsidRPr="00EF2814">
        <w:rPr>
          <w:rFonts w:cs="Arial"/>
          <w:highlight w:val="white"/>
          <w:lang w:val="en-GB"/>
        </w:rPr>
        <w:lastRenderedPageBreak/>
        <w:t>Chapter 2 - Background Information and Analysis</w:t>
      </w:r>
      <w:bookmarkEnd w:id="15"/>
    </w:p>
    <w:p w14:paraId="5FA2CA47" w14:textId="77777777" w:rsidR="00126B52" w:rsidRPr="00EF2814" w:rsidRDefault="00126B52" w:rsidP="005B1B4C">
      <w:pPr>
        <w:pStyle w:val="Heading2"/>
        <w:rPr>
          <w:highlight w:val="white"/>
          <w:lang w:val="en-GB"/>
        </w:rPr>
      </w:pPr>
      <w:bookmarkStart w:id="16" w:name="_Toc221375992"/>
      <w:bookmarkStart w:id="17" w:name="_Toc222234346"/>
      <w:r w:rsidRPr="00EF2814">
        <w:rPr>
          <w:highlight w:val="white"/>
          <w:lang w:val="en-GB"/>
        </w:rPr>
        <w:t>2.1 Introduction</w:t>
      </w:r>
      <w:bookmarkEnd w:id="16"/>
      <w:bookmarkEnd w:id="17"/>
    </w:p>
    <w:p w14:paraId="0336FDC2" w14:textId="77777777" w:rsidR="00126B52" w:rsidRPr="00EF2814" w:rsidRDefault="00126B52" w:rsidP="008C02E0">
      <w:pPr>
        <w:spacing w:before="240" w:after="0"/>
        <w:rPr>
          <w:rFonts w:cs="Arial"/>
          <w:b/>
          <w:sz w:val="24"/>
          <w:highlight w:val="white"/>
          <w:lang w:val="en-GB"/>
        </w:rPr>
      </w:pPr>
      <w:bookmarkStart w:id="18" w:name="_Toc221375993"/>
      <w:r w:rsidRPr="00EF2814">
        <w:rPr>
          <w:rFonts w:cs="Arial"/>
          <w:b/>
          <w:sz w:val="24"/>
          <w:highlight w:val="white"/>
          <w:lang w:val="en-GB"/>
        </w:rPr>
        <w:t>Purpose of the chapter</w:t>
      </w:r>
      <w:bookmarkEnd w:id="18"/>
    </w:p>
    <w:p w14:paraId="6FB1A788"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The purpose of this chapter is to establish the background and context of the paper by illustrating the effects of the emergency clinical training on healthcare staff competency levels working in the Uk healthcare industry during the COVID-19 crisis. It provides the background of the historical, theoretical and contextual information which is needed to understand the significance of this study. When put in the broader perspective of how health care reacted to the pandemic, these factors will be outlined in the context of the chapter, presenting why the sudden interventions of training were necessary to sustain the service delivery and patient safety.</w:t>
      </w:r>
    </w:p>
    <w:p w14:paraId="0D75051F"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The chapter will trace the history of emergency training practices during pandemics and highlight the issues in the UK health sector, the theory on which the competency development is grounded, and the realities of working in crises. Considerably, it preconditions the further analysis process by explaining the systemic influences that determined the preparedness of the staff and evaluating the effectiveness of the related interventions.</w:t>
      </w:r>
    </w:p>
    <w:p w14:paraId="5D523247" w14:textId="77777777" w:rsidR="00126B52" w:rsidRPr="00EF2814" w:rsidRDefault="00126B52" w:rsidP="005B1B4C">
      <w:pPr>
        <w:pStyle w:val="Heading2"/>
        <w:rPr>
          <w:highlight w:val="white"/>
          <w:lang w:val="en-GB"/>
        </w:rPr>
      </w:pPr>
      <w:bookmarkStart w:id="19" w:name="_Toc221375994"/>
      <w:bookmarkStart w:id="20" w:name="_Toc222234347"/>
      <w:r w:rsidRPr="00EF2814">
        <w:rPr>
          <w:highlight w:val="white"/>
          <w:lang w:val="en-GB"/>
        </w:rPr>
        <w:t>2.2 Historical Background</w:t>
      </w:r>
      <w:bookmarkEnd w:id="19"/>
      <w:bookmarkEnd w:id="20"/>
    </w:p>
    <w:p w14:paraId="355FBA97" w14:textId="77777777" w:rsidR="00126B52" w:rsidRPr="00EF2814" w:rsidRDefault="00126B52" w:rsidP="008C02E0">
      <w:pPr>
        <w:spacing w:before="240" w:after="0"/>
        <w:rPr>
          <w:rFonts w:cs="Arial"/>
          <w:b/>
          <w:sz w:val="24"/>
          <w:highlight w:val="white"/>
          <w:lang w:val="en-GB"/>
        </w:rPr>
      </w:pPr>
      <w:bookmarkStart w:id="21" w:name="_Toc221375995"/>
      <w:r w:rsidRPr="00EF2814">
        <w:rPr>
          <w:rFonts w:cs="Arial"/>
          <w:b/>
          <w:sz w:val="24"/>
          <w:highlight w:val="white"/>
          <w:lang w:val="en-GB"/>
        </w:rPr>
        <w:t>Development of the topic</w:t>
      </w:r>
      <w:bookmarkEnd w:id="21"/>
    </w:p>
    <w:p w14:paraId="348602CE"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 xml:space="preserve">The history of emergency clinical training in the UK health care sector has its roots in the old traditions of workforce preparedness in case of a public health crisis. According to the evidence by Hartley </w:t>
      </w:r>
      <w:r w:rsidRPr="00EF2814">
        <w:rPr>
          <w:rFonts w:eastAsia="Times New Roman" w:cs="Arial"/>
          <w:i/>
          <w:iCs/>
          <w:highlight w:val="white"/>
          <w:lang w:val="en-GB"/>
        </w:rPr>
        <w:t>et al.,</w:t>
      </w:r>
      <w:r w:rsidRPr="00EF2814">
        <w:rPr>
          <w:rFonts w:eastAsia="Times New Roman" w:cs="Arial"/>
          <w:highlight w:val="white"/>
          <w:lang w:val="en-GB"/>
        </w:rPr>
        <w:t xml:space="preserve"> (2025) the NHS, in the past, depended on rapid upskilling and redeployment initiatives as an emergency response to impactful incidents, for example, influenza outbreaks and terrorist attacks. Nevertheless, the COVID-19 pandemic that started spreading in the UK at the beginning of March 2020 has been marked as an unprecedented challenge in history (NHS England, 2024). Based on the evidence by Rcog (2026), UK hospitals were overloaded with work pressure, and the staff started to be relocated across specialities. Apart from this, junior doctors and nurses started to be assigned to critical care units as well as respiratory units. This high demand for flexibility led to the emergence of emergency training programs that would provide the pertinent staff with appropriate competencies in infection control, ventilator handling, and other emergency care necessities.</w:t>
      </w:r>
    </w:p>
    <w:p w14:paraId="14266B69"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lastRenderedPageBreak/>
        <w:t xml:space="preserve">Upon understanding the history and origins, key milestones are introduced. These are the introduction of accelerated training modules by </w:t>
      </w:r>
      <w:r w:rsidRPr="00EF2814">
        <w:rPr>
          <w:rFonts w:eastAsia="Times New Roman" w:cs="Arial"/>
          <w:b/>
          <w:bCs/>
          <w:highlight w:val="white"/>
          <w:lang w:val="en-GB"/>
        </w:rPr>
        <w:t>"Health Education England"</w:t>
      </w:r>
      <w:r w:rsidRPr="00EF2814">
        <w:rPr>
          <w:rFonts w:eastAsia="Times New Roman" w:cs="Arial"/>
          <w:highlight w:val="white"/>
          <w:lang w:val="en-GB"/>
        </w:rPr>
        <w:t xml:space="preserve"> (HEE), the </w:t>
      </w:r>
      <w:r w:rsidRPr="00EF2814">
        <w:rPr>
          <w:rFonts w:eastAsia="Times New Roman" w:cs="Arial"/>
          <w:b/>
          <w:bCs/>
          <w:highlight w:val="white"/>
          <w:lang w:val="en-GB"/>
        </w:rPr>
        <w:t>"General Medical Council"</w:t>
      </w:r>
      <w:r w:rsidRPr="00EF2814">
        <w:rPr>
          <w:rFonts w:eastAsia="Times New Roman" w:cs="Arial"/>
          <w:highlight w:val="white"/>
          <w:lang w:val="en-GB"/>
        </w:rPr>
        <w:t xml:space="preserve"> (GMC), and professional organisations like the </w:t>
      </w:r>
      <w:r w:rsidRPr="00EF2814">
        <w:rPr>
          <w:rFonts w:eastAsia="Times New Roman" w:cs="Arial"/>
          <w:b/>
          <w:bCs/>
          <w:highlight w:val="white"/>
          <w:lang w:val="en-GB"/>
        </w:rPr>
        <w:t>"Royal College of Nursing"</w:t>
      </w:r>
      <w:r w:rsidRPr="00EF2814">
        <w:rPr>
          <w:rFonts w:eastAsia="Times New Roman" w:cs="Arial"/>
          <w:highlight w:val="white"/>
          <w:lang w:val="en-GB"/>
        </w:rPr>
        <w:t xml:space="preserve"> (RCN) (Rcog, 2026; GMC, 2021; GOV.UK, 2026). The work of these organisations was focused on staff coordination to ensure that redeployed staff </w:t>
      </w:r>
      <w:proofErr w:type="gramStart"/>
      <w:r w:rsidRPr="00EF2814">
        <w:rPr>
          <w:rFonts w:eastAsia="Times New Roman" w:cs="Arial"/>
          <w:highlight w:val="white"/>
          <w:lang w:val="en-GB"/>
        </w:rPr>
        <w:t>were capable of providing</w:t>
      </w:r>
      <w:proofErr w:type="gramEnd"/>
      <w:r w:rsidRPr="00EF2814">
        <w:rPr>
          <w:rFonts w:eastAsia="Times New Roman" w:cs="Arial"/>
          <w:highlight w:val="white"/>
          <w:lang w:val="en-GB"/>
        </w:rPr>
        <w:t xml:space="preserve"> efficient assistance in the frontline care without risks to themselves. Skills gap among trainees was a significant implication of the surveys by the GMC, since most of them mentioned the burnout risks (Wise, 2022). Thus, emergency training should be structured to maintain the resilience of the workforce.</w:t>
      </w:r>
    </w:p>
    <w:p w14:paraId="20F35511" w14:textId="77777777" w:rsidR="00126B52" w:rsidRPr="00EF2814" w:rsidRDefault="00126B52" w:rsidP="008C02E0">
      <w:pPr>
        <w:spacing w:before="240" w:after="0"/>
        <w:rPr>
          <w:rFonts w:cs="Arial"/>
          <w:b/>
          <w:sz w:val="24"/>
          <w:highlight w:val="white"/>
          <w:lang w:val="en-GB"/>
        </w:rPr>
      </w:pPr>
      <w:bookmarkStart w:id="22" w:name="_Toc221375996"/>
      <w:r w:rsidRPr="00EF2814">
        <w:rPr>
          <w:rFonts w:cs="Arial"/>
          <w:b/>
          <w:sz w:val="24"/>
          <w:highlight w:val="white"/>
          <w:lang w:val="en-GB"/>
        </w:rPr>
        <w:t>Significant historical figures and contributions</w:t>
      </w:r>
      <w:bookmarkEnd w:id="22"/>
    </w:p>
    <w:p w14:paraId="32133050"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 xml:space="preserve">The potential contributions have been made by national organisations and figures who influenced the training environment during emergencies. As emphasised by Thefederation.uk (2026), the </w:t>
      </w:r>
      <w:r w:rsidRPr="00EF2814">
        <w:rPr>
          <w:rFonts w:eastAsia="Times New Roman" w:cs="Arial"/>
          <w:b/>
          <w:bCs/>
          <w:highlight w:val="white"/>
          <w:lang w:val="en-GB"/>
        </w:rPr>
        <w:t>Health Education England</w:t>
      </w:r>
      <w:r w:rsidRPr="00EF2814">
        <w:rPr>
          <w:rFonts w:eastAsia="Times New Roman" w:cs="Arial"/>
          <w:highlight w:val="white"/>
          <w:lang w:val="en-GB"/>
        </w:rPr>
        <w:t xml:space="preserve"> was influential in the development of rapid-response curricula. Correspondingly, the </w:t>
      </w:r>
      <w:r w:rsidRPr="00EF2814">
        <w:rPr>
          <w:rFonts w:eastAsia="Times New Roman" w:cs="Arial"/>
          <w:b/>
          <w:bCs/>
          <w:highlight w:val="white"/>
          <w:lang w:val="en-GB"/>
        </w:rPr>
        <w:t>Royal Colleges</w:t>
      </w:r>
      <w:r w:rsidRPr="00EF2814">
        <w:rPr>
          <w:rFonts w:eastAsia="Times New Roman" w:cs="Arial"/>
          <w:highlight w:val="white"/>
          <w:lang w:val="en-GB"/>
        </w:rPr>
        <w:t xml:space="preserve"> offered specific advice minutely to ensure the quality of care (Choudry </w:t>
      </w:r>
      <w:r w:rsidRPr="00EF2814">
        <w:rPr>
          <w:rFonts w:eastAsia="Times New Roman" w:cs="Arial"/>
          <w:i/>
          <w:iCs/>
          <w:highlight w:val="white"/>
          <w:lang w:val="en-GB"/>
        </w:rPr>
        <w:t>et al.,</w:t>
      </w:r>
      <w:r w:rsidRPr="00EF2814">
        <w:rPr>
          <w:rFonts w:eastAsia="Times New Roman" w:cs="Arial"/>
          <w:highlight w:val="white"/>
          <w:lang w:val="en-GB"/>
        </w:rPr>
        <w:t xml:space="preserve"> 2026). The core publicly funded institution of the UK, </w:t>
      </w:r>
      <w:r w:rsidRPr="00EF2814">
        <w:rPr>
          <w:rFonts w:eastAsia="Times New Roman" w:cs="Arial"/>
          <w:b/>
          <w:bCs/>
          <w:highlight w:val="white"/>
          <w:lang w:val="en-GB"/>
        </w:rPr>
        <w:t>the NHS</w:t>
      </w:r>
      <w:r w:rsidRPr="00EF2814">
        <w:rPr>
          <w:rFonts w:eastAsia="Times New Roman" w:cs="Arial"/>
          <w:highlight w:val="white"/>
          <w:lang w:val="en-GB"/>
        </w:rPr>
        <w:t>, has been flexibly redistributing resources and focusing on competency-based training (NHS England, 2024). At the same time, the scholarly contribution has also helped in capturing the experiences of clinical trainees so that the knowledge gained can ensure future preparedness.</w:t>
      </w:r>
    </w:p>
    <w:p w14:paraId="25313D50"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The above-introduced activities created a system of emergency clinical training needs which not only met the short-term demands relevant to the pandemic but also shaped long-term concepts regarding workforce development. The chronological process reveals the role of crisis as a driving force in training, whereby the COVID-19 pandemic is a landmark that caused a redefinition of the concept of competency, resilience, and adaptability in the health policy of the UK.</w:t>
      </w:r>
    </w:p>
    <w:p w14:paraId="6D09EE24" w14:textId="77777777" w:rsidR="00126B52" w:rsidRPr="00EF2814" w:rsidRDefault="00126B52" w:rsidP="005B1B4C">
      <w:pPr>
        <w:pStyle w:val="Heading2"/>
        <w:rPr>
          <w:highlight w:val="white"/>
          <w:lang w:val="en-GB"/>
        </w:rPr>
      </w:pPr>
      <w:bookmarkStart w:id="23" w:name="_Toc221375997"/>
      <w:bookmarkStart w:id="24" w:name="_Toc222234348"/>
      <w:r w:rsidRPr="00EF2814">
        <w:rPr>
          <w:highlight w:val="white"/>
          <w:lang w:val="en-GB"/>
        </w:rPr>
        <w:t>2.3 Theoretical Background</w:t>
      </w:r>
      <w:bookmarkEnd w:id="23"/>
      <w:bookmarkEnd w:id="24"/>
    </w:p>
    <w:p w14:paraId="3101D13E" w14:textId="77777777" w:rsidR="00126B52" w:rsidRPr="00EF2814" w:rsidRDefault="00126B52" w:rsidP="008C02E0">
      <w:pPr>
        <w:spacing w:before="240" w:after="0"/>
        <w:rPr>
          <w:rFonts w:cs="Arial"/>
          <w:b/>
          <w:sz w:val="24"/>
          <w:highlight w:val="white"/>
          <w:lang w:val="en-GB"/>
        </w:rPr>
      </w:pPr>
      <w:bookmarkStart w:id="25" w:name="_Toc221375998"/>
      <w:r w:rsidRPr="00EF2814">
        <w:rPr>
          <w:rFonts w:cs="Arial"/>
          <w:b/>
          <w:sz w:val="24"/>
          <w:highlight w:val="white"/>
          <w:lang w:val="en-GB"/>
        </w:rPr>
        <w:t>Key theories and concepts</w:t>
      </w:r>
      <w:bookmarkEnd w:id="25"/>
    </w:p>
    <w:p w14:paraId="2DC4FC3C"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Some of the theories that can be utilised to study the context of emergency clinical training and staff competency during the COVID-19 pandemic include:</w:t>
      </w:r>
    </w:p>
    <w:p w14:paraId="790D52EC" w14:textId="77777777" w:rsidR="00126B52" w:rsidRPr="00EF2814" w:rsidRDefault="00126B52" w:rsidP="008C02E0">
      <w:pPr>
        <w:numPr>
          <w:ilvl w:val="0"/>
          <w:numId w:val="15"/>
        </w:numPr>
        <w:spacing w:before="240" w:after="0"/>
        <w:rPr>
          <w:rFonts w:eastAsia="Times New Roman" w:cs="Arial"/>
          <w:highlight w:val="white"/>
          <w:lang w:val="en-GB"/>
        </w:rPr>
      </w:pPr>
      <w:r w:rsidRPr="00EF2814">
        <w:rPr>
          <w:rFonts w:eastAsia="Times New Roman" w:cs="Arial"/>
          <w:b/>
          <w:bCs/>
          <w:highlight w:val="white"/>
          <w:lang w:val="en-GB"/>
        </w:rPr>
        <w:t>Competency-Based Training (CBT) -</w:t>
      </w:r>
      <w:r w:rsidRPr="00EF2814">
        <w:rPr>
          <w:rFonts w:eastAsia="Times New Roman" w:cs="Arial"/>
          <w:highlight w:val="white"/>
          <w:lang w:val="en-GB"/>
        </w:rPr>
        <w:t xml:space="preserve"> Drawing attention to the theory, Hussein (2024) emphasises quantifiable skills and knowledge that are needed to promote effective </w:t>
      </w:r>
      <w:r w:rsidRPr="00EF2814">
        <w:rPr>
          <w:rFonts w:eastAsia="Times New Roman" w:cs="Arial"/>
          <w:highlight w:val="white"/>
          <w:lang w:val="en-GB"/>
        </w:rPr>
        <w:lastRenderedPageBreak/>
        <w:t>practice. CBT is relevant in the healthcare setting due to its proven effectiveness in enhancing proficiency in vital aspects, including infection control and patient safety.</w:t>
      </w:r>
    </w:p>
    <w:p w14:paraId="0F3332BB" w14:textId="77777777" w:rsidR="00126B52" w:rsidRPr="00EF2814" w:rsidRDefault="00126B52" w:rsidP="008C02E0">
      <w:pPr>
        <w:numPr>
          <w:ilvl w:val="0"/>
          <w:numId w:val="15"/>
        </w:numPr>
        <w:spacing w:before="240" w:after="0"/>
        <w:rPr>
          <w:rFonts w:eastAsia="Times New Roman" w:cs="Arial"/>
          <w:highlight w:val="white"/>
          <w:lang w:val="en-GB"/>
        </w:rPr>
      </w:pPr>
      <w:r w:rsidRPr="00EF2814">
        <w:rPr>
          <w:rFonts w:eastAsia="Times New Roman" w:cs="Arial"/>
          <w:b/>
          <w:bCs/>
          <w:highlight w:val="white"/>
          <w:lang w:val="en-GB"/>
        </w:rPr>
        <w:t xml:space="preserve">Adult Learning Theory - </w:t>
      </w:r>
      <w:r w:rsidRPr="00EF2814">
        <w:rPr>
          <w:rFonts w:eastAsia="Times New Roman" w:cs="Arial"/>
          <w:highlight w:val="white"/>
          <w:lang w:val="en-GB"/>
        </w:rPr>
        <w:t xml:space="preserve">The focus is on self-directed learning, practice relevance, and problem-oriented approaches. Based on the evidence by Philpott </w:t>
      </w:r>
      <w:r w:rsidRPr="00EF2814">
        <w:rPr>
          <w:rFonts w:eastAsia="Times New Roman" w:cs="Arial"/>
          <w:i/>
          <w:iCs/>
          <w:highlight w:val="white"/>
          <w:lang w:val="en-GB"/>
        </w:rPr>
        <w:t>et al.,</w:t>
      </w:r>
      <w:r w:rsidRPr="00EF2814">
        <w:rPr>
          <w:rFonts w:eastAsia="Times New Roman" w:cs="Arial"/>
          <w:highlight w:val="white"/>
          <w:lang w:val="en-GB"/>
        </w:rPr>
        <w:t xml:space="preserve"> (2022) the COVID-19-based emergency training was strongly dependent on experiential and practical approaches aligned with professionals.</w:t>
      </w:r>
    </w:p>
    <w:p w14:paraId="3A2DE150" w14:textId="77777777" w:rsidR="00126B52" w:rsidRPr="00EF2814" w:rsidRDefault="00126B52" w:rsidP="008C02E0">
      <w:pPr>
        <w:numPr>
          <w:ilvl w:val="0"/>
          <w:numId w:val="15"/>
        </w:numPr>
        <w:spacing w:before="240" w:after="0"/>
        <w:rPr>
          <w:rFonts w:eastAsia="Times New Roman" w:cs="Arial"/>
          <w:highlight w:val="white"/>
          <w:lang w:val="en-GB"/>
        </w:rPr>
      </w:pPr>
      <w:r w:rsidRPr="00EF2814">
        <w:rPr>
          <w:rFonts w:eastAsia="Times New Roman" w:cs="Arial"/>
          <w:b/>
          <w:bCs/>
          <w:highlight w:val="white"/>
          <w:lang w:val="en-GB"/>
        </w:rPr>
        <w:t xml:space="preserve">Resilience Theory - </w:t>
      </w:r>
      <w:r w:rsidRPr="00EF2814">
        <w:rPr>
          <w:rFonts w:eastAsia="Times New Roman" w:cs="Arial"/>
          <w:highlight w:val="white"/>
          <w:lang w:val="en-GB"/>
        </w:rPr>
        <w:t xml:space="preserve">Based on the evidence by Egan </w:t>
      </w:r>
      <w:r w:rsidRPr="00EF2814">
        <w:rPr>
          <w:rFonts w:eastAsia="Times New Roman" w:cs="Arial"/>
          <w:i/>
          <w:iCs/>
          <w:highlight w:val="white"/>
          <w:lang w:val="en-GB"/>
        </w:rPr>
        <w:t>et al.,</w:t>
      </w:r>
      <w:r w:rsidRPr="00EF2814">
        <w:rPr>
          <w:rFonts w:eastAsia="Times New Roman" w:cs="Arial"/>
          <w:highlight w:val="white"/>
          <w:lang w:val="en-GB"/>
        </w:rPr>
        <w:t xml:space="preserve"> (2024) the theory dwells on the ability of systems and individuals to respond to stress. In the context of healthcare, it describes how emergency training aided the resilience of staff in stressful situations.</w:t>
      </w:r>
    </w:p>
    <w:p w14:paraId="0D298871" w14:textId="77777777" w:rsidR="00126B52" w:rsidRPr="00EF2814" w:rsidRDefault="00126B52" w:rsidP="008C02E0">
      <w:pPr>
        <w:numPr>
          <w:ilvl w:val="0"/>
          <w:numId w:val="15"/>
        </w:numPr>
        <w:spacing w:before="240" w:after="0"/>
        <w:rPr>
          <w:rFonts w:eastAsia="Times New Roman" w:cs="Arial"/>
          <w:highlight w:val="white"/>
          <w:lang w:val="en-GB"/>
        </w:rPr>
      </w:pPr>
      <w:r w:rsidRPr="00EF2814">
        <w:rPr>
          <w:rFonts w:eastAsia="Times New Roman" w:cs="Arial"/>
          <w:b/>
          <w:bCs/>
          <w:highlight w:val="white"/>
          <w:lang w:val="en-GB"/>
        </w:rPr>
        <w:t>Realist Evaluation Framework -</w:t>
      </w:r>
      <w:r w:rsidRPr="00EF2814">
        <w:rPr>
          <w:rFonts w:eastAsia="Times New Roman" w:cs="Arial"/>
          <w:highlight w:val="white"/>
          <w:lang w:val="en-GB"/>
        </w:rPr>
        <w:t xml:space="preserve"> The theory assesses the issue of what works, who benefits and in what situations. As per the emphasis by Haynes </w:t>
      </w:r>
      <w:r w:rsidRPr="00EF2814">
        <w:rPr>
          <w:rFonts w:eastAsia="Times New Roman" w:cs="Arial"/>
          <w:i/>
          <w:iCs/>
          <w:highlight w:val="white"/>
          <w:lang w:val="en-GB"/>
        </w:rPr>
        <w:t>et al.,</w:t>
      </w:r>
      <w:r w:rsidRPr="00EF2814">
        <w:rPr>
          <w:rFonts w:eastAsia="Times New Roman" w:cs="Arial"/>
          <w:highlight w:val="white"/>
          <w:lang w:val="en-GB"/>
        </w:rPr>
        <w:t xml:space="preserve"> (2021) this theory is especially applicable in the determination of the variable effectiveness of COVID-19 training programs in various NHS settings.</w:t>
      </w:r>
    </w:p>
    <w:p w14:paraId="0D640A61" w14:textId="77777777" w:rsidR="00126B52" w:rsidRPr="00EF2814" w:rsidRDefault="00126B52" w:rsidP="008C02E0">
      <w:pPr>
        <w:spacing w:before="240" w:after="0"/>
        <w:rPr>
          <w:rFonts w:cs="Arial"/>
          <w:b/>
          <w:sz w:val="24"/>
          <w:highlight w:val="white"/>
          <w:lang w:val="en-GB"/>
        </w:rPr>
      </w:pPr>
      <w:bookmarkStart w:id="26" w:name="_Toc221375999"/>
      <w:r w:rsidRPr="00EF2814">
        <w:rPr>
          <w:rFonts w:cs="Arial"/>
          <w:b/>
          <w:sz w:val="24"/>
          <w:highlight w:val="white"/>
          <w:lang w:val="en-GB"/>
        </w:rPr>
        <w:t>Application of theories</w:t>
      </w:r>
      <w:bookmarkEnd w:id="26"/>
    </w:p>
    <w:p w14:paraId="51EEEEF9"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 xml:space="preserve">A scoping review of global health worker training modifications in the COVID-19 situation observed that the CBT frameworks steered the rapid curriculum development to ensure that the staff were able to attain competency benchmarks in the face of reduced training timeframes (Malloch </w:t>
      </w:r>
      <w:r w:rsidRPr="00EF2814">
        <w:rPr>
          <w:rFonts w:eastAsia="Times New Roman" w:cs="Arial"/>
          <w:i/>
          <w:iCs/>
          <w:highlight w:val="white"/>
          <w:lang w:val="en-GB"/>
        </w:rPr>
        <w:t>et al.,</w:t>
      </w:r>
      <w:r w:rsidRPr="00EF2814">
        <w:rPr>
          <w:rFonts w:eastAsia="Times New Roman" w:cs="Arial"/>
          <w:highlight w:val="white"/>
          <w:lang w:val="en-GB"/>
        </w:rPr>
        <w:t xml:space="preserve"> 2021). Precisely, the </w:t>
      </w:r>
      <w:r w:rsidRPr="00EF2814">
        <w:rPr>
          <w:rFonts w:eastAsia="Times New Roman" w:cs="Arial"/>
          <w:b/>
          <w:bCs/>
          <w:highlight w:val="white"/>
          <w:lang w:val="en-GB"/>
        </w:rPr>
        <w:t>"Education and Training Framework"</w:t>
      </w:r>
      <w:r w:rsidRPr="00EF2814">
        <w:rPr>
          <w:rFonts w:eastAsia="Times New Roman" w:cs="Arial"/>
          <w:highlight w:val="white"/>
          <w:lang w:val="en-GB"/>
        </w:rPr>
        <w:t xml:space="preserve"> established by NHS England prioritise the principles of "adult learning" to the forefront as it made training resources modular and easily accessible (Skillsforhealth, 2026). Thus, it enabled staff members to attain up-skilling faster in aspects like ventilator use and PPE.</w:t>
      </w:r>
    </w:p>
    <w:p w14:paraId="5652A816"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 xml:space="preserve">Realist evaluation studies, as empirically presented by Lefroy </w:t>
      </w:r>
      <w:r w:rsidRPr="00EF2814">
        <w:rPr>
          <w:rFonts w:eastAsia="Times New Roman" w:cs="Arial"/>
          <w:i/>
          <w:iCs/>
          <w:highlight w:val="white"/>
          <w:lang w:val="en-GB"/>
        </w:rPr>
        <w:t>et al.,</w:t>
      </w:r>
      <w:r w:rsidRPr="00EF2814">
        <w:rPr>
          <w:rFonts w:eastAsia="Times New Roman" w:cs="Arial"/>
          <w:highlight w:val="white"/>
          <w:lang w:val="en-GB"/>
        </w:rPr>
        <w:t xml:space="preserve"> (2023) showed that the effectiveness of training was not uniform across the board. For example, employees being redeployed into an intensive care setting gained more structured and simulation-based training than in online-based modules. A study by Boutros </w:t>
      </w:r>
      <w:r w:rsidRPr="00EF2814">
        <w:rPr>
          <w:rFonts w:eastAsia="Times New Roman" w:cs="Arial"/>
          <w:i/>
          <w:iCs/>
          <w:highlight w:val="white"/>
          <w:lang w:val="en-GB"/>
        </w:rPr>
        <w:t>et al.,</w:t>
      </w:r>
      <w:r w:rsidRPr="00EF2814">
        <w:rPr>
          <w:rFonts w:eastAsia="Times New Roman" w:cs="Arial"/>
          <w:highlight w:val="white"/>
          <w:lang w:val="en-GB"/>
        </w:rPr>
        <w:t xml:space="preserve"> (2023) on resilience theory revealed that, in addition to technical training, emergency training also enhanced psychological preparedness, in terms of fear and confidence of those returning to work following deployment.</w:t>
      </w:r>
    </w:p>
    <w:p w14:paraId="3C0747D5" w14:textId="77777777" w:rsidR="00126B52" w:rsidRPr="00EF2814" w:rsidRDefault="00126B52" w:rsidP="008C02E0">
      <w:pPr>
        <w:spacing w:before="240" w:after="0"/>
        <w:rPr>
          <w:rFonts w:cs="Arial"/>
          <w:b/>
          <w:sz w:val="24"/>
          <w:highlight w:val="white"/>
          <w:lang w:val="en-GB"/>
        </w:rPr>
      </w:pPr>
      <w:bookmarkStart w:id="27" w:name="_Toc221376000"/>
      <w:r w:rsidRPr="00EF2814">
        <w:rPr>
          <w:rFonts w:cs="Arial"/>
          <w:b/>
          <w:sz w:val="24"/>
          <w:highlight w:val="white"/>
          <w:lang w:val="en-GB"/>
        </w:rPr>
        <w:t>Critical evaluation</w:t>
      </w:r>
      <w:bookmarkEnd w:id="27"/>
    </w:p>
    <w:p w14:paraId="7E5B892C"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Although the theories present solid grounds, limitations still exist:</w:t>
      </w:r>
    </w:p>
    <w:p w14:paraId="18AA522D" w14:textId="77777777" w:rsidR="00126B52" w:rsidRPr="00EF2814" w:rsidRDefault="00126B52" w:rsidP="008C02E0">
      <w:pPr>
        <w:numPr>
          <w:ilvl w:val="0"/>
          <w:numId w:val="14"/>
        </w:numPr>
        <w:spacing w:before="240" w:after="0"/>
        <w:rPr>
          <w:rFonts w:eastAsia="Times New Roman" w:cs="Arial"/>
          <w:highlight w:val="white"/>
          <w:lang w:val="en-GB"/>
        </w:rPr>
      </w:pPr>
      <w:r w:rsidRPr="00EF2814">
        <w:rPr>
          <w:rFonts w:eastAsia="Times New Roman" w:cs="Arial"/>
          <w:b/>
          <w:bCs/>
          <w:highlight w:val="white"/>
          <w:lang w:val="en-GB"/>
        </w:rPr>
        <w:lastRenderedPageBreak/>
        <w:t xml:space="preserve">Competency-Based Training - </w:t>
      </w:r>
      <w:r w:rsidRPr="00EF2814">
        <w:rPr>
          <w:rFonts w:eastAsia="Times New Roman" w:cs="Arial"/>
          <w:highlight w:val="white"/>
          <w:lang w:val="en-GB"/>
        </w:rPr>
        <w:t>Its potential strengths are based on transparency and quantification (Hussein, 2024). However, critics argued that the theory has oversimplified complex clinical decision-making and dismissed the holistic care approach.</w:t>
      </w:r>
    </w:p>
    <w:p w14:paraId="591F3F1E" w14:textId="77777777" w:rsidR="00126B52" w:rsidRPr="00EF2814" w:rsidRDefault="00126B52" w:rsidP="008C02E0">
      <w:pPr>
        <w:numPr>
          <w:ilvl w:val="0"/>
          <w:numId w:val="14"/>
        </w:numPr>
        <w:spacing w:before="240" w:after="0"/>
        <w:rPr>
          <w:rFonts w:eastAsia="Times New Roman" w:cs="Arial"/>
          <w:highlight w:val="white"/>
          <w:lang w:val="en-GB"/>
        </w:rPr>
      </w:pPr>
      <w:r w:rsidRPr="00EF2814">
        <w:rPr>
          <w:rFonts w:eastAsia="Times New Roman" w:cs="Arial"/>
          <w:b/>
          <w:bCs/>
          <w:highlight w:val="white"/>
          <w:lang w:val="en-GB"/>
        </w:rPr>
        <w:t>Adult Learning Theory -</w:t>
      </w:r>
      <w:r w:rsidRPr="00EF2814">
        <w:rPr>
          <w:rFonts w:eastAsia="Times New Roman" w:cs="Arial"/>
          <w:highlight w:val="white"/>
          <w:lang w:val="en-GB"/>
        </w:rPr>
        <w:t xml:space="preserve"> It works well in the customisation of training according to the participants. Nevertheless, the theory focuses on self-motivation, which is insignificant to crisis fatigue.</w:t>
      </w:r>
    </w:p>
    <w:p w14:paraId="1EC559A3" w14:textId="77777777" w:rsidR="00126B52" w:rsidRPr="00EF2814" w:rsidRDefault="00126B52" w:rsidP="008C02E0">
      <w:pPr>
        <w:numPr>
          <w:ilvl w:val="0"/>
          <w:numId w:val="14"/>
        </w:numPr>
        <w:spacing w:before="240" w:after="0"/>
        <w:rPr>
          <w:rFonts w:eastAsia="Times New Roman" w:cs="Arial"/>
          <w:highlight w:val="white"/>
          <w:lang w:val="en-GB"/>
        </w:rPr>
      </w:pPr>
      <w:r w:rsidRPr="00EF2814">
        <w:rPr>
          <w:rFonts w:eastAsia="Times New Roman" w:cs="Arial"/>
          <w:b/>
          <w:bCs/>
          <w:highlight w:val="white"/>
          <w:lang w:val="en-GB"/>
        </w:rPr>
        <w:t xml:space="preserve">Resilience Theory - </w:t>
      </w:r>
      <w:r w:rsidRPr="00EF2814">
        <w:rPr>
          <w:rFonts w:eastAsia="Times New Roman" w:cs="Arial"/>
          <w:highlight w:val="white"/>
          <w:lang w:val="en-GB"/>
        </w:rPr>
        <w:t>Not complex enough to be easily useful in training design, but nice to learn about the adaptation process since organisational culture shapes it as much as individual capacity.</w:t>
      </w:r>
    </w:p>
    <w:p w14:paraId="140C7FBC" w14:textId="77777777" w:rsidR="00126B52" w:rsidRPr="00EF2814" w:rsidRDefault="00126B52" w:rsidP="008C02E0">
      <w:pPr>
        <w:numPr>
          <w:ilvl w:val="0"/>
          <w:numId w:val="14"/>
        </w:numPr>
        <w:spacing w:before="240" w:after="0"/>
        <w:rPr>
          <w:rFonts w:eastAsia="Times New Roman" w:cs="Arial"/>
          <w:highlight w:val="white"/>
          <w:lang w:val="en-GB"/>
        </w:rPr>
      </w:pPr>
      <w:r w:rsidRPr="00EF2814">
        <w:rPr>
          <w:rFonts w:eastAsia="Times New Roman" w:cs="Arial"/>
          <w:b/>
          <w:bCs/>
          <w:highlight w:val="white"/>
          <w:lang w:val="en-GB"/>
        </w:rPr>
        <w:t xml:space="preserve">Realist Evaluation - </w:t>
      </w:r>
      <w:r w:rsidRPr="00EF2814">
        <w:rPr>
          <w:rFonts w:eastAsia="Times New Roman" w:cs="Arial"/>
          <w:highlight w:val="white"/>
          <w:lang w:val="en-GB"/>
        </w:rPr>
        <w:t xml:space="preserve">As implied by Haynes </w:t>
      </w:r>
      <w:r w:rsidRPr="00EF2814">
        <w:rPr>
          <w:rFonts w:eastAsia="Times New Roman" w:cs="Arial"/>
          <w:i/>
          <w:iCs/>
          <w:highlight w:val="white"/>
          <w:lang w:val="en-GB"/>
        </w:rPr>
        <w:t>et al.,</w:t>
      </w:r>
      <w:r w:rsidRPr="00EF2814">
        <w:rPr>
          <w:rFonts w:eastAsia="Times New Roman" w:cs="Arial"/>
          <w:highlight w:val="white"/>
          <w:lang w:val="en-GB"/>
        </w:rPr>
        <w:t xml:space="preserve"> (2021) is effective in understanding the value of adaptations. However, it requires vast data collection that seems challenging to obtain during the pandemic.</w:t>
      </w:r>
    </w:p>
    <w:p w14:paraId="3E8D07A5"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Since the outbreak, controversies have remained persistent. There are still discussions on whether competency frameworks can be used as a sufficient means of capturing the relational and ethical aspects of care, and whether emergency training must focus on technical competence rather than enhanced professional growth. However, a combination of these theories enabled a powerful perspective in the study of the role of COVID-19 emergency training in the competency of the staff in the UK healthcare sector.</w:t>
      </w:r>
    </w:p>
    <w:p w14:paraId="436B0F32" w14:textId="77777777" w:rsidR="00126B52" w:rsidRPr="00EF2814" w:rsidRDefault="00126B52" w:rsidP="005B1B4C">
      <w:pPr>
        <w:pStyle w:val="Heading2"/>
        <w:rPr>
          <w:highlight w:val="white"/>
          <w:lang w:val="en-GB"/>
        </w:rPr>
      </w:pPr>
      <w:bookmarkStart w:id="28" w:name="_Toc221376001"/>
      <w:bookmarkStart w:id="29" w:name="_Toc222234349"/>
      <w:r w:rsidRPr="00EF2814">
        <w:rPr>
          <w:highlight w:val="white"/>
          <w:lang w:val="en-GB"/>
        </w:rPr>
        <w:t>2.4 International Context</w:t>
      </w:r>
      <w:bookmarkEnd w:id="28"/>
      <w:bookmarkEnd w:id="29"/>
    </w:p>
    <w:p w14:paraId="7D32CB39" w14:textId="77777777" w:rsidR="00126B52" w:rsidRPr="00EF2814" w:rsidRDefault="00126B52" w:rsidP="008C02E0">
      <w:pPr>
        <w:spacing w:before="240" w:after="0"/>
        <w:rPr>
          <w:rFonts w:cs="Arial"/>
          <w:b/>
          <w:sz w:val="24"/>
          <w:highlight w:val="white"/>
          <w:lang w:val="en-GB"/>
        </w:rPr>
      </w:pPr>
      <w:bookmarkStart w:id="30" w:name="_Toc221376002"/>
      <w:r w:rsidRPr="00EF2814">
        <w:rPr>
          <w:rFonts w:cs="Arial"/>
          <w:b/>
          <w:sz w:val="24"/>
          <w:highlight w:val="white"/>
          <w:lang w:val="en-GB"/>
        </w:rPr>
        <w:t>Global perspective</w:t>
      </w:r>
      <w:bookmarkEnd w:id="30"/>
    </w:p>
    <w:p w14:paraId="20AB56A6"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 xml:space="preserve">Clinical training related to emergencies during COVID-19 has received global responses, where the healthcare system across countries has been adjusting to unpredictable demands (Filip </w:t>
      </w:r>
      <w:r w:rsidRPr="00EF2814">
        <w:rPr>
          <w:rFonts w:eastAsia="Times New Roman" w:cs="Arial"/>
          <w:i/>
          <w:iCs/>
          <w:highlight w:val="white"/>
          <w:lang w:val="en-GB"/>
        </w:rPr>
        <w:t>et al.,</w:t>
      </w:r>
      <w:r w:rsidRPr="00EF2814">
        <w:rPr>
          <w:rFonts w:eastAsia="Times New Roman" w:cs="Arial"/>
          <w:highlight w:val="white"/>
          <w:lang w:val="en-GB"/>
        </w:rPr>
        <w:t xml:space="preserve"> 2022). As stated by Vera San Juan</w:t>
      </w:r>
      <w:r w:rsidRPr="00EF2814">
        <w:rPr>
          <w:rFonts w:eastAsia="Times New Roman" w:cs="Arial"/>
          <w:i/>
          <w:iCs/>
          <w:highlight w:val="white"/>
          <w:lang w:val="en-GB"/>
        </w:rPr>
        <w:t xml:space="preserve"> et al.,</w:t>
      </w:r>
      <w:r w:rsidRPr="00EF2814">
        <w:rPr>
          <w:rFonts w:eastAsia="Times New Roman" w:cs="Arial"/>
          <w:highlight w:val="white"/>
          <w:lang w:val="en-GB"/>
        </w:rPr>
        <w:t xml:space="preserve"> (2022) nations elaborated quick trainings to prepare staff for re-deployment across different care units for infection prevention, critical care, and ventilator application. Globally, organisations, like the </w:t>
      </w:r>
      <w:r w:rsidRPr="00EF2814">
        <w:rPr>
          <w:rFonts w:eastAsia="Times New Roman" w:cs="Arial"/>
          <w:b/>
          <w:bCs/>
          <w:highlight w:val="white"/>
          <w:lang w:val="en-GB"/>
        </w:rPr>
        <w:t>World Health Organisation</w:t>
      </w:r>
      <w:r w:rsidRPr="00EF2814">
        <w:rPr>
          <w:rFonts w:eastAsia="Times New Roman" w:cs="Arial"/>
          <w:highlight w:val="white"/>
          <w:lang w:val="en-GB"/>
        </w:rPr>
        <w:t xml:space="preserve"> (WHO), provide guidelines to standardise the training methods focusing on the competency-based frameworks and digital learning resources (WHO, 2020). One major trend was the use of online modules, simulation training and cross-disciplinary redeployment, which were used to maintain workforce capacity.</w:t>
      </w:r>
    </w:p>
    <w:p w14:paraId="6827EB67" w14:textId="77777777" w:rsidR="00126B52" w:rsidRPr="00EF2814" w:rsidRDefault="00126B52" w:rsidP="008C02E0">
      <w:pPr>
        <w:spacing w:before="240" w:after="0"/>
        <w:rPr>
          <w:rFonts w:cs="Arial"/>
          <w:b/>
          <w:sz w:val="24"/>
          <w:highlight w:val="white"/>
          <w:lang w:val="en-GB"/>
        </w:rPr>
      </w:pPr>
      <w:bookmarkStart w:id="31" w:name="_Toc221376003"/>
      <w:r w:rsidRPr="00EF2814">
        <w:rPr>
          <w:rFonts w:cs="Arial"/>
          <w:b/>
          <w:sz w:val="24"/>
          <w:highlight w:val="white"/>
          <w:lang w:val="en-GB"/>
        </w:rPr>
        <w:lastRenderedPageBreak/>
        <w:t>Comparative analysis</w:t>
      </w:r>
      <w:bookmarkEnd w:id="31"/>
    </w:p>
    <w:p w14:paraId="5E7ECB19"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 xml:space="preserve">Varied strategies were implemented across different regions. Hospitals in the United States launched a fast simulation training program for nurses and physicians, using virtual reality, and simulating scenarios in an ICU (Seam </w:t>
      </w:r>
      <w:r w:rsidRPr="00EF2814">
        <w:rPr>
          <w:rFonts w:eastAsia="Times New Roman" w:cs="Arial"/>
          <w:i/>
          <w:iCs/>
          <w:highlight w:val="white"/>
          <w:lang w:val="en-GB"/>
        </w:rPr>
        <w:t>et al.,</w:t>
      </w:r>
      <w:r w:rsidRPr="00EF2814">
        <w:rPr>
          <w:rFonts w:eastAsia="Times New Roman" w:cs="Arial"/>
          <w:highlight w:val="white"/>
          <w:lang w:val="en-GB"/>
        </w:rPr>
        <w:t xml:space="preserve"> 2020). Lamberti-Castronuovo </w:t>
      </w:r>
      <w:r w:rsidRPr="00EF2814">
        <w:rPr>
          <w:rFonts w:eastAsia="Times New Roman" w:cs="Arial"/>
          <w:i/>
          <w:iCs/>
          <w:highlight w:val="white"/>
          <w:lang w:val="en-GB"/>
        </w:rPr>
        <w:t>et al.,</w:t>
      </w:r>
      <w:r w:rsidRPr="00EF2814">
        <w:rPr>
          <w:rFonts w:eastAsia="Times New Roman" w:cs="Arial"/>
          <w:highlight w:val="white"/>
          <w:lang w:val="en-GB"/>
        </w:rPr>
        <w:t xml:space="preserve"> (2022) explained that emergency training in Italy, which underlines the respiratory management and triage guidelines, was one of the first European epicentres, backed up by the national health authorities. The UK focused on the modular online training using the Health Education England, whereas China counted on the centralised government-based training programs with the inclusion of the military medical experience (GOV.UK, 2026; Ma </w:t>
      </w:r>
      <w:r w:rsidRPr="00EF2814">
        <w:rPr>
          <w:rFonts w:eastAsia="Times New Roman" w:cs="Arial"/>
          <w:i/>
          <w:iCs/>
          <w:highlight w:val="white"/>
          <w:lang w:val="en-GB"/>
        </w:rPr>
        <w:t>et al.,</w:t>
      </w:r>
      <w:r w:rsidRPr="00EF2814">
        <w:rPr>
          <w:rFonts w:eastAsia="Times New Roman" w:cs="Arial"/>
          <w:highlight w:val="white"/>
          <w:lang w:val="en-GB"/>
        </w:rPr>
        <w:t xml:space="preserve"> 2025). All these methods bring out the differences between decentralised and centralised training delivery modes.</w:t>
      </w:r>
    </w:p>
    <w:p w14:paraId="41426183" w14:textId="77777777" w:rsidR="00126B52" w:rsidRPr="00EF2814" w:rsidRDefault="00126B52" w:rsidP="008C02E0">
      <w:pPr>
        <w:spacing w:before="240" w:after="0"/>
        <w:rPr>
          <w:rFonts w:cs="Arial"/>
          <w:b/>
          <w:sz w:val="24"/>
          <w:highlight w:val="white"/>
          <w:lang w:val="en-GB"/>
        </w:rPr>
      </w:pPr>
      <w:bookmarkStart w:id="32" w:name="_Toc221376004"/>
      <w:r w:rsidRPr="00EF2814">
        <w:rPr>
          <w:rFonts w:cs="Arial"/>
          <w:b/>
          <w:sz w:val="24"/>
          <w:highlight w:val="white"/>
          <w:lang w:val="en-GB"/>
        </w:rPr>
        <w:t>Case studies</w:t>
      </w:r>
      <w:bookmarkEnd w:id="32"/>
    </w:p>
    <w:p w14:paraId="2AA3B9DB"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 xml:space="preserve">International partnerships came into operation with an attempt to exchange resources and best practices. According to the information by WHO (2021), WHO collaborated with universities and health ministries to introduce open-access training modules. This is because the </w:t>
      </w:r>
      <w:r w:rsidRPr="00EF2814">
        <w:rPr>
          <w:rFonts w:eastAsia="Times New Roman" w:cs="Arial"/>
          <w:b/>
          <w:bCs/>
          <w:highlight w:val="white"/>
          <w:lang w:val="en-GB"/>
        </w:rPr>
        <w:t>"International Council of Nurses"</w:t>
      </w:r>
      <w:r w:rsidRPr="00EF2814">
        <w:rPr>
          <w:rFonts w:eastAsia="Times New Roman" w:cs="Arial"/>
          <w:highlight w:val="white"/>
          <w:lang w:val="en-GB"/>
        </w:rPr>
        <w:t xml:space="preserve"> supported knowledge sharing across countries. Comparatively, the training needs were organised through the European Union, whereby the clinical standards were evenly </w:t>
      </w:r>
      <w:proofErr w:type="spellStart"/>
      <w:r w:rsidRPr="00EF2814">
        <w:rPr>
          <w:rFonts w:eastAsia="Times New Roman" w:cs="Arial"/>
          <w:highlight w:val="white"/>
          <w:lang w:val="en-GB"/>
        </w:rPr>
        <w:t>strategised</w:t>
      </w:r>
      <w:proofErr w:type="spellEnd"/>
      <w:r w:rsidRPr="00EF2814">
        <w:rPr>
          <w:rFonts w:eastAsia="Times New Roman" w:cs="Arial"/>
          <w:highlight w:val="white"/>
          <w:lang w:val="en-GB"/>
        </w:rPr>
        <w:t xml:space="preserve"> across member states. These campaigns enforced the significance of shared education in the event of a worldwide crisis like the Covid-19 pandemic.</w:t>
      </w:r>
    </w:p>
    <w:p w14:paraId="661DC32C" w14:textId="77777777" w:rsidR="00126B52" w:rsidRPr="00EF2814" w:rsidRDefault="00126B52" w:rsidP="008C02E0">
      <w:pPr>
        <w:numPr>
          <w:ilvl w:val="0"/>
          <w:numId w:val="16"/>
        </w:numPr>
        <w:spacing w:before="240" w:after="0"/>
        <w:rPr>
          <w:rFonts w:eastAsia="Times New Roman" w:cs="Arial"/>
          <w:highlight w:val="white"/>
          <w:lang w:val="en-GB"/>
        </w:rPr>
      </w:pPr>
      <w:r w:rsidRPr="00EF2814">
        <w:rPr>
          <w:rFonts w:eastAsia="Times New Roman" w:cs="Arial"/>
          <w:b/>
          <w:bCs/>
          <w:highlight w:val="white"/>
          <w:lang w:val="en-GB"/>
        </w:rPr>
        <w:t>United States -</w:t>
      </w:r>
      <w:r w:rsidRPr="00EF2814">
        <w:rPr>
          <w:rFonts w:eastAsia="Times New Roman" w:cs="Arial"/>
          <w:highlight w:val="white"/>
          <w:lang w:val="en-GB"/>
        </w:rPr>
        <w:t xml:space="preserve"> The Johns Hopkins Hospital designed quick response training to redeployed employees, which links online training with simulation. As evidenced by Seam </w:t>
      </w:r>
      <w:r w:rsidRPr="00EF2814">
        <w:rPr>
          <w:rFonts w:eastAsia="Times New Roman" w:cs="Arial"/>
          <w:i/>
          <w:iCs/>
          <w:highlight w:val="white"/>
          <w:lang w:val="en-GB"/>
        </w:rPr>
        <w:t>et al.,</w:t>
      </w:r>
      <w:r w:rsidRPr="00EF2814">
        <w:rPr>
          <w:rFonts w:eastAsia="Times New Roman" w:cs="Arial"/>
          <w:highlight w:val="white"/>
          <w:lang w:val="en-GB"/>
        </w:rPr>
        <w:t xml:space="preserve"> (2020) successful approaches include virtual achievements in ICUs. However, critical challenges are unavoidable, including staff exhaustion and access to technology.</w:t>
      </w:r>
    </w:p>
    <w:p w14:paraId="1ED56D2A" w14:textId="77777777" w:rsidR="00126B52" w:rsidRPr="00EF2814" w:rsidRDefault="00126B52" w:rsidP="008C02E0">
      <w:pPr>
        <w:numPr>
          <w:ilvl w:val="0"/>
          <w:numId w:val="16"/>
        </w:numPr>
        <w:spacing w:before="240" w:after="0"/>
        <w:rPr>
          <w:rFonts w:eastAsia="Times New Roman" w:cs="Arial"/>
          <w:highlight w:val="white"/>
          <w:lang w:val="en-GB"/>
        </w:rPr>
      </w:pPr>
      <w:r w:rsidRPr="00EF2814">
        <w:rPr>
          <w:rFonts w:eastAsia="Times New Roman" w:cs="Arial"/>
          <w:b/>
          <w:bCs/>
          <w:highlight w:val="white"/>
          <w:lang w:val="en-GB"/>
        </w:rPr>
        <w:t xml:space="preserve">Italy </w:t>
      </w:r>
      <w:r w:rsidRPr="00EF2814">
        <w:rPr>
          <w:rFonts w:eastAsia="Times New Roman" w:cs="Arial"/>
          <w:highlight w:val="white"/>
          <w:lang w:val="en-GB"/>
        </w:rPr>
        <w:t>- Training programs aimed at breathing and PPE are of an emergency nature. Improved efficiency of triage was seen to be successful, although this was hampered by the insufficiency of trainers and equipment.</w:t>
      </w:r>
    </w:p>
    <w:p w14:paraId="7CC9B999" w14:textId="77777777" w:rsidR="00126B52" w:rsidRPr="00EF2814" w:rsidRDefault="00126B52" w:rsidP="008C02E0">
      <w:pPr>
        <w:numPr>
          <w:ilvl w:val="0"/>
          <w:numId w:val="16"/>
        </w:numPr>
        <w:spacing w:before="240" w:after="0"/>
        <w:rPr>
          <w:rFonts w:eastAsia="Times New Roman" w:cs="Arial"/>
          <w:highlight w:val="white"/>
          <w:lang w:val="en-GB"/>
        </w:rPr>
      </w:pPr>
      <w:r w:rsidRPr="00EF2814">
        <w:rPr>
          <w:rFonts w:eastAsia="Times New Roman" w:cs="Arial"/>
          <w:b/>
          <w:bCs/>
          <w:highlight w:val="white"/>
          <w:lang w:val="en-GB"/>
        </w:rPr>
        <w:t xml:space="preserve">China </w:t>
      </w:r>
      <w:r w:rsidRPr="00EF2814">
        <w:rPr>
          <w:rFonts w:eastAsia="Times New Roman" w:cs="Arial"/>
          <w:highlight w:val="white"/>
          <w:lang w:val="en-GB"/>
        </w:rPr>
        <w:t xml:space="preserve">- Core training units, as demonstrated by Ma </w:t>
      </w:r>
      <w:r w:rsidRPr="00EF2814">
        <w:rPr>
          <w:rFonts w:eastAsia="Times New Roman" w:cs="Arial"/>
          <w:i/>
          <w:iCs/>
          <w:highlight w:val="white"/>
          <w:lang w:val="en-GB"/>
        </w:rPr>
        <w:t>et al.,</w:t>
      </w:r>
      <w:r w:rsidRPr="00EF2814">
        <w:rPr>
          <w:rFonts w:eastAsia="Times New Roman" w:cs="Arial"/>
          <w:highlight w:val="white"/>
          <w:lang w:val="en-GB"/>
        </w:rPr>
        <w:t xml:space="preserve"> (2025) are subjected to military medical teams, which guarantee standard procedures-based knowledge dissemination. Although it was working well at scaling training to a large scale, critics pointed out inflexibility in making local adaptations.</w:t>
      </w:r>
    </w:p>
    <w:p w14:paraId="61E21E83" w14:textId="77777777" w:rsidR="00126B52" w:rsidRPr="00EF2814" w:rsidRDefault="00126B52" w:rsidP="008C02E0">
      <w:pPr>
        <w:numPr>
          <w:ilvl w:val="0"/>
          <w:numId w:val="16"/>
        </w:numPr>
        <w:spacing w:before="240" w:after="0"/>
        <w:rPr>
          <w:rFonts w:eastAsia="Times New Roman" w:cs="Arial"/>
          <w:highlight w:val="white"/>
          <w:lang w:val="en-GB"/>
        </w:rPr>
      </w:pPr>
      <w:r w:rsidRPr="00EF2814">
        <w:rPr>
          <w:rFonts w:eastAsia="Times New Roman" w:cs="Arial"/>
          <w:b/>
          <w:bCs/>
          <w:highlight w:val="white"/>
          <w:lang w:val="en-GB"/>
        </w:rPr>
        <w:lastRenderedPageBreak/>
        <w:t xml:space="preserve">UK </w:t>
      </w:r>
      <w:r w:rsidRPr="00EF2814">
        <w:rPr>
          <w:rFonts w:eastAsia="Times New Roman" w:cs="Arial"/>
          <w:highlight w:val="white"/>
          <w:lang w:val="en-GB"/>
        </w:rPr>
        <w:t>- According to the study by the online training resources of the UK, Health Education England (HEE), and virtual training are accessible to a broad audience (GOV.UK, 2026). However, some employees explained that the virtual training modules lacked the richness of hands-on simulation.</w:t>
      </w:r>
    </w:p>
    <w:p w14:paraId="3AB97237" w14:textId="77777777" w:rsidR="00126B52" w:rsidRPr="00EF2814" w:rsidRDefault="00126B52" w:rsidP="005B1B4C">
      <w:pPr>
        <w:pStyle w:val="Heading2"/>
        <w:rPr>
          <w:highlight w:val="white"/>
          <w:lang w:val="en-GB"/>
        </w:rPr>
      </w:pPr>
      <w:bookmarkStart w:id="33" w:name="_Toc221376005"/>
      <w:bookmarkStart w:id="34" w:name="_Toc222234350"/>
      <w:r w:rsidRPr="00EF2814">
        <w:rPr>
          <w:highlight w:val="white"/>
          <w:lang w:val="en-GB"/>
        </w:rPr>
        <w:t>2.5 National/Local UK Context</w:t>
      </w:r>
      <w:bookmarkEnd w:id="33"/>
      <w:bookmarkEnd w:id="34"/>
    </w:p>
    <w:p w14:paraId="775F6DA9" w14:textId="77777777" w:rsidR="00126B52" w:rsidRPr="00EF2814" w:rsidRDefault="00126B52" w:rsidP="008C02E0">
      <w:pPr>
        <w:spacing w:before="240" w:after="0"/>
        <w:rPr>
          <w:rFonts w:cs="Arial"/>
          <w:b/>
          <w:sz w:val="24"/>
          <w:highlight w:val="white"/>
          <w:lang w:val="en-GB"/>
        </w:rPr>
      </w:pPr>
      <w:bookmarkStart w:id="35" w:name="_Toc221376006"/>
      <w:r w:rsidRPr="00EF2814">
        <w:rPr>
          <w:rFonts w:cs="Arial"/>
          <w:b/>
          <w:sz w:val="24"/>
          <w:highlight w:val="white"/>
          <w:lang w:val="en-GB"/>
        </w:rPr>
        <w:t>UK perspective</w:t>
      </w:r>
      <w:bookmarkEnd w:id="35"/>
    </w:p>
    <w:p w14:paraId="22FEE9C0"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 xml:space="preserve">In the UK, emergency clinical training during the COVID-19 pandemic has been considered a vital tool in maintaining the health care delivery under extreme demand. Hartley </w:t>
      </w:r>
      <w:r w:rsidRPr="00EF2814">
        <w:rPr>
          <w:rFonts w:eastAsia="Times New Roman" w:cs="Arial"/>
          <w:i/>
          <w:iCs/>
          <w:highlight w:val="white"/>
          <w:lang w:val="en-GB"/>
        </w:rPr>
        <w:t>et al.,</w:t>
      </w:r>
      <w:r w:rsidRPr="00EF2814">
        <w:rPr>
          <w:rFonts w:eastAsia="Times New Roman" w:cs="Arial"/>
          <w:highlight w:val="white"/>
          <w:lang w:val="en-GB"/>
        </w:rPr>
        <w:t xml:space="preserve"> (2025) implied that under unpredictable demands at the NHS, continuous redeployment of staff is a critical step. Understandably, accelerated training programs based on infection control, critical care, and ventilator management were organised by the </w:t>
      </w:r>
      <w:r w:rsidRPr="00EF2814">
        <w:rPr>
          <w:rFonts w:eastAsia="Times New Roman" w:cs="Arial"/>
          <w:b/>
          <w:bCs/>
          <w:highlight w:val="white"/>
          <w:lang w:val="en-GB"/>
        </w:rPr>
        <w:t>Royal Colleges</w:t>
      </w:r>
      <w:r w:rsidRPr="00EF2814">
        <w:rPr>
          <w:rFonts w:eastAsia="Times New Roman" w:cs="Arial"/>
          <w:highlight w:val="white"/>
          <w:lang w:val="en-GB"/>
        </w:rPr>
        <w:t xml:space="preserve"> and </w:t>
      </w:r>
      <w:r w:rsidRPr="00EF2814">
        <w:rPr>
          <w:rFonts w:eastAsia="Times New Roman" w:cs="Arial"/>
          <w:b/>
          <w:bCs/>
          <w:highlight w:val="white"/>
          <w:lang w:val="en-GB"/>
        </w:rPr>
        <w:t xml:space="preserve">Health Education England </w:t>
      </w:r>
      <w:r w:rsidRPr="00EF2814">
        <w:rPr>
          <w:rFonts w:eastAsia="Times New Roman" w:cs="Arial"/>
          <w:highlight w:val="white"/>
          <w:lang w:val="en-GB"/>
        </w:rPr>
        <w:t xml:space="preserve">(HEE) (NHS 2022). Trends in the country are focused on </w:t>
      </w:r>
      <w:r w:rsidRPr="00EF2814">
        <w:rPr>
          <w:rFonts w:eastAsia="Times New Roman" w:cs="Arial"/>
          <w:b/>
          <w:bCs/>
          <w:highlight w:val="white"/>
          <w:lang w:val="en-GB"/>
        </w:rPr>
        <w:t>competency-based models</w:t>
      </w:r>
      <w:r w:rsidRPr="00EF2814">
        <w:rPr>
          <w:rFonts w:eastAsia="Times New Roman" w:cs="Arial"/>
          <w:highlight w:val="white"/>
          <w:lang w:val="en-GB"/>
        </w:rPr>
        <w:t xml:space="preserve"> and </w:t>
      </w:r>
      <w:r w:rsidRPr="00EF2814">
        <w:rPr>
          <w:rFonts w:eastAsia="Times New Roman" w:cs="Arial"/>
          <w:b/>
          <w:bCs/>
          <w:highlight w:val="white"/>
          <w:lang w:val="en-GB"/>
        </w:rPr>
        <w:t>online learning services</w:t>
      </w:r>
      <w:r w:rsidRPr="00EF2814">
        <w:rPr>
          <w:rFonts w:eastAsia="Times New Roman" w:cs="Arial"/>
          <w:highlight w:val="white"/>
          <w:lang w:val="en-GB"/>
        </w:rPr>
        <w:t xml:space="preserve">, as well as </w:t>
      </w:r>
      <w:r w:rsidRPr="00EF2814">
        <w:rPr>
          <w:rFonts w:eastAsia="Times New Roman" w:cs="Arial"/>
          <w:b/>
          <w:bCs/>
          <w:highlight w:val="white"/>
          <w:lang w:val="en-GB"/>
        </w:rPr>
        <w:t>modular training tools</w:t>
      </w:r>
      <w:r w:rsidRPr="00EF2814">
        <w:rPr>
          <w:rFonts w:eastAsia="Times New Roman" w:cs="Arial"/>
          <w:highlight w:val="white"/>
          <w:lang w:val="en-GB"/>
        </w:rPr>
        <w:t xml:space="preserve"> to make them available to diverse employees.</w:t>
      </w:r>
    </w:p>
    <w:p w14:paraId="285A403F" w14:textId="77777777" w:rsidR="00126B52" w:rsidRPr="00EF2814" w:rsidRDefault="00126B52" w:rsidP="008C02E0">
      <w:pPr>
        <w:spacing w:before="240" w:after="0"/>
        <w:rPr>
          <w:rFonts w:cs="Arial"/>
          <w:b/>
          <w:sz w:val="24"/>
          <w:highlight w:val="white"/>
          <w:lang w:val="en-GB"/>
        </w:rPr>
      </w:pPr>
      <w:bookmarkStart w:id="36" w:name="_Toc221376007"/>
      <w:r w:rsidRPr="00EF2814">
        <w:rPr>
          <w:rFonts w:cs="Arial"/>
          <w:b/>
          <w:sz w:val="24"/>
          <w:highlight w:val="white"/>
          <w:lang w:val="en-GB"/>
        </w:rPr>
        <w:t>Policy and regulation</w:t>
      </w:r>
      <w:bookmarkEnd w:id="36"/>
    </w:p>
    <w:p w14:paraId="295F6E08"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 xml:space="preserve">The provision of emergency training has been influenced by national policies and regulations. Workforce responsibilities that are prioritised under the </w:t>
      </w:r>
      <w:r w:rsidRPr="00EF2814">
        <w:rPr>
          <w:rFonts w:eastAsia="Times New Roman" w:cs="Arial"/>
          <w:b/>
          <w:bCs/>
          <w:highlight w:val="white"/>
          <w:lang w:val="en-GB"/>
        </w:rPr>
        <w:t>Care Act 2014</w:t>
      </w:r>
      <w:r w:rsidRPr="00EF2814">
        <w:rPr>
          <w:rFonts w:eastAsia="Times New Roman" w:cs="Arial"/>
          <w:highlight w:val="white"/>
          <w:lang w:val="en-GB"/>
        </w:rPr>
        <w:t xml:space="preserve"> and </w:t>
      </w:r>
      <w:r w:rsidRPr="00EF2814">
        <w:rPr>
          <w:rFonts w:eastAsia="Times New Roman" w:cs="Arial"/>
          <w:b/>
          <w:bCs/>
          <w:highlight w:val="white"/>
          <w:lang w:val="en-GB"/>
        </w:rPr>
        <w:t>Health and Social Care Act 2012</w:t>
      </w:r>
      <w:r w:rsidRPr="00EF2814">
        <w:rPr>
          <w:rFonts w:eastAsia="Times New Roman" w:cs="Arial"/>
          <w:highlight w:val="white"/>
          <w:lang w:val="en-GB"/>
        </w:rPr>
        <w:t xml:space="preserve"> outlined a legal framework (GOV.UK, 2024; Legislation 2022). Accordingly, emergency directives, such as those issued by the </w:t>
      </w:r>
      <w:r w:rsidRPr="00EF2814">
        <w:rPr>
          <w:rFonts w:eastAsia="Times New Roman" w:cs="Arial"/>
          <w:b/>
          <w:bCs/>
          <w:highlight w:val="white"/>
          <w:lang w:val="en-GB"/>
        </w:rPr>
        <w:t>Department of Health and Social Care</w:t>
      </w:r>
      <w:r w:rsidRPr="00EF2814">
        <w:rPr>
          <w:rFonts w:eastAsia="Times New Roman" w:cs="Arial"/>
          <w:highlight w:val="white"/>
          <w:lang w:val="en-GB"/>
        </w:rPr>
        <w:t xml:space="preserve"> (DHSC) and </w:t>
      </w:r>
      <w:r w:rsidRPr="00EF2814">
        <w:rPr>
          <w:rFonts w:eastAsia="Times New Roman" w:cs="Arial"/>
          <w:b/>
          <w:bCs/>
          <w:highlight w:val="white"/>
          <w:lang w:val="en-GB"/>
        </w:rPr>
        <w:t>NHS England</w:t>
      </w:r>
      <w:r w:rsidRPr="00EF2814">
        <w:rPr>
          <w:rFonts w:eastAsia="Times New Roman" w:cs="Arial"/>
          <w:highlight w:val="white"/>
          <w:lang w:val="en-GB"/>
        </w:rPr>
        <w:t xml:space="preserve">, require swift upskilling (Accipio, 2026). The </w:t>
      </w:r>
      <w:r w:rsidRPr="00EF2814">
        <w:rPr>
          <w:rFonts w:eastAsia="Times New Roman" w:cs="Arial"/>
          <w:b/>
          <w:bCs/>
          <w:highlight w:val="white"/>
          <w:lang w:val="en-GB"/>
        </w:rPr>
        <w:t>General Medical Council</w:t>
      </w:r>
      <w:r w:rsidRPr="00EF2814">
        <w:rPr>
          <w:rFonts w:eastAsia="Times New Roman" w:cs="Arial"/>
          <w:highlight w:val="white"/>
          <w:lang w:val="en-GB"/>
        </w:rPr>
        <w:t xml:space="preserve"> (GMC) provided new temporary changes in training requirements, thus increasing flexibility in redeployment without compromising professional standards (GMC, 2021). These policies ensure that emergency training is consistent with regulatory expectations in terms of balancing urgency and accountability.</w:t>
      </w:r>
    </w:p>
    <w:p w14:paraId="4D0CE4C6" w14:textId="77777777" w:rsidR="00126B52" w:rsidRPr="00EF2814" w:rsidRDefault="00126B52" w:rsidP="008C02E0">
      <w:pPr>
        <w:spacing w:before="240" w:after="0"/>
        <w:rPr>
          <w:rFonts w:cs="Arial"/>
          <w:b/>
          <w:sz w:val="24"/>
          <w:highlight w:val="white"/>
          <w:lang w:val="en-GB"/>
        </w:rPr>
      </w:pPr>
      <w:bookmarkStart w:id="37" w:name="_Toc221376008"/>
      <w:r w:rsidRPr="00EF2814">
        <w:rPr>
          <w:rFonts w:cs="Arial"/>
          <w:b/>
          <w:sz w:val="24"/>
          <w:highlight w:val="white"/>
          <w:lang w:val="en-GB"/>
        </w:rPr>
        <w:t>Local context</w:t>
      </w:r>
      <w:bookmarkEnd w:id="37"/>
    </w:p>
    <w:p w14:paraId="02B15ECB"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 xml:space="preserve">NHS Trusts introduced region-based initiatives at the local level. For instance, London hospitals focused on simulations in preparing staff for the job (Chelwest, 2022). Correspondingly, the rural Trusts were more dependent on online modules under resource limitations. Maddock </w:t>
      </w:r>
      <w:r w:rsidRPr="00EF2814">
        <w:rPr>
          <w:rFonts w:eastAsia="Times New Roman" w:cs="Arial"/>
          <w:i/>
          <w:iCs/>
          <w:highlight w:val="white"/>
          <w:lang w:val="en-GB"/>
        </w:rPr>
        <w:t>et al.,</w:t>
      </w:r>
      <w:r w:rsidRPr="00EF2814">
        <w:rPr>
          <w:rFonts w:eastAsia="Times New Roman" w:cs="Arial"/>
          <w:highlight w:val="white"/>
          <w:lang w:val="en-GB"/>
        </w:rPr>
        <w:t xml:space="preserve"> (2022) implied that regional disparities are encountered under demand differences, workforce </w:t>
      </w:r>
      <w:r w:rsidRPr="00EF2814">
        <w:rPr>
          <w:rFonts w:eastAsia="Times New Roman" w:cs="Arial"/>
          <w:highlight w:val="white"/>
          <w:lang w:val="en-GB"/>
        </w:rPr>
        <w:lastRenderedPageBreak/>
        <w:t>availability, &amp; infrastructure. It also facilitated custom training through local partnerships with institutions of higher education and professional associations. This indicates that employees can meet the demands within local contexts.</w:t>
      </w:r>
    </w:p>
    <w:p w14:paraId="698E4392"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The national and local response in the UK introduced a balance between the centralisation of policy and localisation of the response. At the same time, it ensured emergency clinical training as both nationally standardised and context sensitive.</w:t>
      </w:r>
    </w:p>
    <w:p w14:paraId="11C3303B" w14:textId="77777777" w:rsidR="00126B52" w:rsidRPr="00EF2814" w:rsidRDefault="00126B52" w:rsidP="005B1B4C">
      <w:pPr>
        <w:pStyle w:val="Heading2"/>
        <w:rPr>
          <w:highlight w:val="white"/>
          <w:lang w:val="en-GB"/>
        </w:rPr>
      </w:pPr>
      <w:bookmarkStart w:id="38" w:name="_Toc221376009"/>
      <w:bookmarkStart w:id="39" w:name="_Toc222234351"/>
      <w:r w:rsidRPr="00EF2814">
        <w:rPr>
          <w:highlight w:val="white"/>
          <w:lang w:val="en-GB"/>
        </w:rPr>
        <w:t>2.6 Conclusion</w:t>
      </w:r>
      <w:bookmarkEnd w:id="38"/>
      <w:bookmarkEnd w:id="39"/>
    </w:p>
    <w:p w14:paraId="081DF90A"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The chapter has presented the background in the context of studying the impact of COVID-19 emergency clinical training on the level of competency among the staff within the UK healthcare industry. The evidence has provided insights into the history of development of the emergency training, identified the main theoretical concepts like competency-based training and resilience theory, as well as discussed, the international practices showing both common issues and potential solutions. The UK situation has been analysed through national policies, regulatory frameworks and local activities. Further information evidenced centralised guidance, which has been redefined to suit the local demands.</w:t>
      </w:r>
    </w:p>
    <w:p w14:paraId="00E7B18E"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t>Overall, these viewpoints lay a good groundwork for the research. The following chapter, Methodology, would expand on this background, providing the research design, data gathering procedures and methods of data analysis. Contextual information herein would be used to make methodological decisions that identify the theoretical rigour and practical relevance gathered from the study.</w:t>
      </w:r>
    </w:p>
    <w:p w14:paraId="53933B8C" w14:textId="77777777" w:rsidR="00126B52" w:rsidRPr="00EF2814" w:rsidRDefault="00126B52" w:rsidP="008C02E0">
      <w:pPr>
        <w:spacing w:before="240" w:after="0"/>
        <w:rPr>
          <w:rFonts w:eastAsia="Times New Roman" w:cs="Arial"/>
          <w:highlight w:val="white"/>
          <w:lang w:val="en-GB"/>
        </w:rPr>
      </w:pPr>
      <w:r w:rsidRPr="00EF2814">
        <w:rPr>
          <w:rFonts w:eastAsia="Times New Roman" w:cs="Arial"/>
          <w:highlight w:val="white"/>
          <w:lang w:val="en-GB"/>
        </w:rPr>
        <w:br w:type="page"/>
      </w:r>
    </w:p>
    <w:p w14:paraId="7888D0B4" w14:textId="7AC4BF7F" w:rsidR="004E1EEE" w:rsidRPr="00EF2814" w:rsidRDefault="004E1EEE" w:rsidP="008C02E0">
      <w:pPr>
        <w:pStyle w:val="Heading1"/>
        <w:spacing w:before="240" w:line="360" w:lineRule="auto"/>
        <w:rPr>
          <w:rFonts w:cs="Arial"/>
          <w:lang w:val="en-GB"/>
        </w:rPr>
      </w:pPr>
      <w:bookmarkStart w:id="40" w:name="_xm9mchuj0vuz" w:colFirst="0" w:colLast="0"/>
      <w:bookmarkStart w:id="41" w:name="_Toc222234352"/>
      <w:bookmarkEnd w:id="40"/>
      <w:r w:rsidRPr="00EF2814">
        <w:rPr>
          <w:lang w:val="en-GB"/>
        </w:rPr>
        <w:lastRenderedPageBreak/>
        <w:t>C</w:t>
      </w:r>
      <w:r w:rsidR="00D47C9D" w:rsidRPr="00EF2814">
        <w:rPr>
          <w:lang w:val="en-GB"/>
        </w:rPr>
        <w:t>hapter</w:t>
      </w:r>
      <w:r w:rsidRPr="00EF2814">
        <w:rPr>
          <w:lang w:val="en-GB"/>
        </w:rPr>
        <w:t xml:space="preserve"> 3 – Methods and Search Strategy</w:t>
      </w:r>
      <w:bookmarkEnd w:id="41"/>
    </w:p>
    <w:p w14:paraId="54ACE929" w14:textId="77777777" w:rsidR="00126B52" w:rsidRPr="00EF2814" w:rsidRDefault="00126B52" w:rsidP="005B1B4C">
      <w:pPr>
        <w:pStyle w:val="Heading2"/>
        <w:rPr>
          <w:lang w:val="en-GB"/>
        </w:rPr>
      </w:pPr>
      <w:bookmarkStart w:id="42" w:name="_Toc222234353"/>
      <w:r w:rsidRPr="00EF2814">
        <w:rPr>
          <w:lang w:val="en-GB"/>
        </w:rPr>
        <w:t>3.1 Introduction</w:t>
      </w:r>
      <w:bookmarkEnd w:id="42"/>
    </w:p>
    <w:p w14:paraId="08799E44" w14:textId="77777777" w:rsidR="00126B52" w:rsidRPr="00EF2814" w:rsidRDefault="00126B52" w:rsidP="008C02E0">
      <w:pPr>
        <w:spacing w:before="240" w:after="0"/>
        <w:rPr>
          <w:rFonts w:cs="Arial"/>
          <w:b/>
          <w:bCs/>
          <w:sz w:val="24"/>
          <w:szCs w:val="24"/>
          <w:lang w:val="en-GB"/>
        </w:rPr>
      </w:pPr>
      <w:r w:rsidRPr="00EF2814">
        <w:rPr>
          <w:rFonts w:cs="Arial"/>
          <w:b/>
          <w:bCs/>
          <w:sz w:val="24"/>
          <w:szCs w:val="24"/>
          <w:lang w:val="en-GB"/>
        </w:rPr>
        <w:t>Purpose of the Chapter</w:t>
      </w:r>
    </w:p>
    <w:p w14:paraId="3CB95E69" w14:textId="77777777" w:rsidR="00126B52" w:rsidRPr="00EF2814" w:rsidRDefault="00126B52" w:rsidP="008C02E0">
      <w:pPr>
        <w:spacing w:before="240" w:after="0"/>
        <w:rPr>
          <w:rFonts w:cs="Arial"/>
          <w:lang w:val="en-GB"/>
        </w:rPr>
      </w:pPr>
      <w:r w:rsidRPr="00EF2814">
        <w:rPr>
          <w:rFonts w:cs="Arial"/>
          <w:lang w:val="en-GB"/>
        </w:rPr>
        <w:t>In this chapter, there is an explanation of how the research was carried out using the desk-based study approach, i.e., using secondary literature sources. It is a more detailed version of the academic methodology poster that the author created, justifying the whole process.</w:t>
      </w:r>
    </w:p>
    <w:p w14:paraId="2E67B577" w14:textId="77777777" w:rsidR="00126B52" w:rsidRPr="00EF2814" w:rsidRDefault="00126B52" w:rsidP="008C02E0">
      <w:pPr>
        <w:spacing w:before="240" w:after="0"/>
        <w:rPr>
          <w:rFonts w:cs="Arial"/>
          <w:b/>
          <w:bCs/>
          <w:sz w:val="24"/>
          <w:szCs w:val="24"/>
          <w:lang w:val="en-GB"/>
        </w:rPr>
      </w:pPr>
      <w:r w:rsidRPr="00EF2814">
        <w:rPr>
          <w:rFonts w:cs="Arial"/>
          <w:b/>
          <w:bCs/>
          <w:sz w:val="24"/>
          <w:szCs w:val="24"/>
          <w:lang w:val="en-GB"/>
        </w:rPr>
        <w:t>Connection to the Dissertation</w:t>
      </w:r>
    </w:p>
    <w:p w14:paraId="5BA96F78" w14:textId="77777777" w:rsidR="00126B52" w:rsidRPr="00EF2814" w:rsidRDefault="00126B52" w:rsidP="008C02E0">
      <w:pPr>
        <w:spacing w:before="240" w:after="0"/>
        <w:rPr>
          <w:rFonts w:cs="Arial"/>
          <w:lang w:val="en-GB"/>
        </w:rPr>
      </w:pPr>
      <w:r w:rsidRPr="00EF2814">
        <w:rPr>
          <w:rFonts w:cs="Arial"/>
          <w:lang w:val="en-GB"/>
        </w:rPr>
        <w:t>The research methods discussed in this chapter are crucial in identifying and selecting relevant literature for analysis; these research methods have a direct impact on the thematic analysis presented in Chapter 4 of this research work.</w:t>
      </w:r>
    </w:p>
    <w:p w14:paraId="0E263540" w14:textId="77777777" w:rsidR="00126B52" w:rsidRPr="00EF2814" w:rsidRDefault="00126B52" w:rsidP="005B1B4C">
      <w:pPr>
        <w:pStyle w:val="Heading2"/>
        <w:rPr>
          <w:lang w:val="en-GB"/>
        </w:rPr>
      </w:pPr>
      <w:bookmarkStart w:id="43" w:name="_9vhio0fe8iue" w:colFirst="0" w:colLast="0"/>
      <w:bookmarkStart w:id="44" w:name="_Toc222234354"/>
      <w:bookmarkEnd w:id="43"/>
      <w:r w:rsidRPr="00EF2814">
        <w:rPr>
          <w:lang w:val="en-GB"/>
        </w:rPr>
        <w:t>3.2 Search Strategy</w:t>
      </w:r>
      <w:bookmarkEnd w:id="44"/>
    </w:p>
    <w:p w14:paraId="6AD585E1" w14:textId="77777777" w:rsidR="00126B52" w:rsidRPr="00EF2814" w:rsidRDefault="00126B52" w:rsidP="008C02E0">
      <w:pPr>
        <w:spacing w:before="240" w:after="0"/>
        <w:rPr>
          <w:rFonts w:cs="Arial"/>
          <w:b/>
          <w:bCs/>
          <w:sz w:val="24"/>
          <w:szCs w:val="24"/>
          <w:lang w:val="en-GB"/>
        </w:rPr>
      </w:pPr>
      <w:r w:rsidRPr="00EF2814">
        <w:rPr>
          <w:rFonts w:cs="Arial"/>
          <w:b/>
          <w:bCs/>
          <w:sz w:val="24"/>
          <w:szCs w:val="24"/>
          <w:lang w:val="en-GB"/>
        </w:rPr>
        <w:t>Developing Keywords</w:t>
      </w:r>
    </w:p>
    <w:p w14:paraId="1C7DFA55" w14:textId="77777777" w:rsidR="00126B52" w:rsidRPr="00EF2814" w:rsidRDefault="00126B52" w:rsidP="008C02E0">
      <w:pPr>
        <w:numPr>
          <w:ilvl w:val="0"/>
          <w:numId w:val="18"/>
        </w:numPr>
        <w:spacing w:before="240" w:after="0"/>
        <w:rPr>
          <w:rFonts w:cs="Arial"/>
          <w:lang w:val="en-GB"/>
        </w:rPr>
      </w:pPr>
      <w:r w:rsidRPr="00EF2814">
        <w:rPr>
          <w:rFonts w:cs="Arial"/>
          <w:lang w:val="en-GB"/>
        </w:rPr>
        <w:t>COVID-19</w:t>
      </w:r>
    </w:p>
    <w:p w14:paraId="27F95071" w14:textId="77777777" w:rsidR="00126B52" w:rsidRPr="00EF2814" w:rsidRDefault="00126B52" w:rsidP="008C02E0">
      <w:pPr>
        <w:numPr>
          <w:ilvl w:val="0"/>
          <w:numId w:val="18"/>
        </w:numPr>
        <w:spacing w:before="240" w:after="0"/>
        <w:rPr>
          <w:rFonts w:cs="Arial"/>
          <w:lang w:val="en-GB"/>
        </w:rPr>
      </w:pPr>
      <w:r w:rsidRPr="00EF2814">
        <w:rPr>
          <w:rFonts w:cs="Arial"/>
          <w:lang w:val="en-GB"/>
        </w:rPr>
        <w:t>Pandemic</w:t>
      </w:r>
    </w:p>
    <w:p w14:paraId="228FD66B" w14:textId="77777777" w:rsidR="00126B52" w:rsidRPr="00EF2814" w:rsidRDefault="00126B52" w:rsidP="008C02E0">
      <w:pPr>
        <w:numPr>
          <w:ilvl w:val="0"/>
          <w:numId w:val="18"/>
        </w:numPr>
        <w:spacing w:before="240" w:after="0"/>
        <w:rPr>
          <w:rFonts w:cs="Arial"/>
          <w:lang w:val="en-GB"/>
        </w:rPr>
      </w:pPr>
      <w:r w:rsidRPr="00EF2814">
        <w:rPr>
          <w:rFonts w:cs="Arial"/>
          <w:lang w:val="en-GB"/>
        </w:rPr>
        <w:t>Emergency</w:t>
      </w:r>
    </w:p>
    <w:p w14:paraId="032198C6" w14:textId="77777777" w:rsidR="00126B52" w:rsidRPr="00EF2814" w:rsidRDefault="00126B52" w:rsidP="008C02E0">
      <w:pPr>
        <w:numPr>
          <w:ilvl w:val="0"/>
          <w:numId w:val="18"/>
        </w:numPr>
        <w:spacing w:before="240" w:after="0"/>
        <w:rPr>
          <w:rFonts w:cs="Arial"/>
          <w:lang w:val="en-GB"/>
        </w:rPr>
      </w:pPr>
      <w:r w:rsidRPr="00EF2814">
        <w:rPr>
          <w:rFonts w:cs="Arial"/>
          <w:lang w:val="en-GB"/>
        </w:rPr>
        <w:t>Training</w:t>
      </w:r>
    </w:p>
    <w:p w14:paraId="3AEE8580" w14:textId="77777777" w:rsidR="00126B52" w:rsidRPr="00EF2814" w:rsidRDefault="00126B52" w:rsidP="008C02E0">
      <w:pPr>
        <w:numPr>
          <w:ilvl w:val="0"/>
          <w:numId w:val="18"/>
        </w:numPr>
        <w:spacing w:before="240" w:after="0"/>
        <w:rPr>
          <w:rFonts w:cs="Arial"/>
          <w:lang w:val="en-GB"/>
        </w:rPr>
      </w:pPr>
      <w:r w:rsidRPr="00EF2814">
        <w:rPr>
          <w:rFonts w:cs="Arial"/>
          <w:lang w:val="en-GB"/>
        </w:rPr>
        <w:t>Clinical</w:t>
      </w:r>
    </w:p>
    <w:p w14:paraId="6B84415D" w14:textId="77777777" w:rsidR="00126B52" w:rsidRPr="00EF2814" w:rsidRDefault="00126B52" w:rsidP="008C02E0">
      <w:pPr>
        <w:numPr>
          <w:ilvl w:val="0"/>
          <w:numId w:val="18"/>
        </w:numPr>
        <w:spacing w:before="240" w:after="0"/>
        <w:rPr>
          <w:rFonts w:cs="Arial"/>
          <w:lang w:val="en-GB"/>
        </w:rPr>
      </w:pPr>
      <w:r w:rsidRPr="00EF2814">
        <w:rPr>
          <w:rFonts w:cs="Arial"/>
          <w:lang w:val="en-GB"/>
        </w:rPr>
        <w:t>Healthcare</w:t>
      </w:r>
    </w:p>
    <w:p w14:paraId="4BCC70AA" w14:textId="77777777" w:rsidR="00126B52" w:rsidRPr="00EF2814" w:rsidRDefault="00126B52" w:rsidP="008C02E0">
      <w:pPr>
        <w:numPr>
          <w:ilvl w:val="0"/>
          <w:numId w:val="18"/>
        </w:numPr>
        <w:spacing w:before="240" w:after="0"/>
        <w:rPr>
          <w:rFonts w:cs="Arial"/>
          <w:lang w:val="en-GB"/>
        </w:rPr>
      </w:pPr>
      <w:r w:rsidRPr="00EF2814">
        <w:rPr>
          <w:rFonts w:cs="Arial"/>
          <w:lang w:val="en-GB"/>
        </w:rPr>
        <w:t>Workforce</w:t>
      </w:r>
    </w:p>
    <w:p w14:paraId="7D0B088A" w14:textId="77777777" w:rsidR="00126B52" w:rsidRPr="00EF2814" w:rsidRDefault="00126B52" w:rsidP="008C02E0">
      <w:pPr>
        <w:numPr>
          <w:ilvl w:val="0"/>
          <w:numId w:val="18"/>
        </w:numPr>
        <w:spacing w:before="240" w:after="0"/>
        <w:rPr>
          <w:rFonts w:cs="Arial"/>
          <w:lang w:val="en-GB"/>
        </w:rPr>
      </w:pPr>
      <w:r w:rsidRPr="00EF2814">
        <w:rPr>
          <w:rFonts w:cs="Arial"/>
          <w:lang w:val="en-GB"/>
        </w:rPr>
        <w:t>Staff</w:t>
      </w:r>
    </w:p>
    <w:p w14:paraId="2B538DB8" w14:textId="77777777" w:rsidR="00126B52" w:rsidRPr="00EF2814" w:rsidRDefault="00126B52" w:rsidP="008C02E0">
      <w:pPr>
        <w:numPr>
          <w:ilvl w:val="0"/>
          <w:numId w:val="18"/>
        </w:numPr>
        <w:spacing w:before="240" w:after="0"/>
        <w:rPr>
          <w:rFonts w:cs="Arial"/>
          <w:lang w:val="en-GB"/>
        </w:rPr>
      </w:pPr>
      <w:r w:rsidRPr="00EF2814">
        <w:rPr>
          <w:rFonts w:cs="Arial"/>
          <w:lang w:val="en-GB"/>
        </w:rPr>
        <w:t>Competency</w:t>
      </w:r>
    </w:p>
    <w:p w14:paraId="3F70A1C9" w14:textId="77777777" w:rsidR="00126B52" w:rsidRPr="00EF2814" w:rsidRDefault="00126B52" w:rsidP="008C02E0">
      <w:pPr>
        <w:numPr>
          <w:ilvl w:val="0"/>
          <w:numId w:val="18"/>
        </w:numPr>
        <w:spacing w:before="240" w:after="0"/>
        <w:rPr>
          <w:rFonts w:cs="Arial"/>
          <w:lang w:val="en-GB"/>
        </w:rPr>
      </w:pPr>
      <w:r w:rsidRPr="00EF2814">
        <w:rPr>
          <w:rFonts w:cs="Arial"/>
          <w:lang w:val="en-GB"/>
        </w:rPr>
        <w:t>Skills</w:t>
      </w:r>
    </w:p>
    <w:p w14:paraId="5EFB82F8" w14:textId="77777777" w:rsidR="00126B52" w:rsidRPr="00EF2814" w:rsidRDefault="00126B52" w:rsidP="008C02E0">
      <w:pPr>
        <w:numPr>
          <w:ilvl w:val="0"/>
          <w:numId w:val="18"/>
        </w:numPr>
        <w:spacing w:before="240" w:after="0"/>
        <w:rPr>
          <w:rFonts w:cs="Arial"/>
          <w:lang w:val="en-GB"/>
        </w:rPr>
      </w:pPr>
      <w:r w:rsidRPr="00EF2814">
        <w:rPr>
          <w:rFonts w:cs="Arial"/>
          <w:lang w:val="en-GB"/>
        </w:rPr>
        <w:lastRenderedPageBreak/>
        <w:t>NHS</w:t>
      </w:r>
    </w:p>
    <w:p w14:paraId="71DC53F5" w14:textId="77777777" w:rsidR="00126B52" w:rsidRPr="00EF2814" w:rsidRDefault="00126B52" w:rsidP="008C02E0">
      <w:pPr>
        <w:numPr>
          <w:ilvl w:val="0"/>
          <w:numId w:val="18"/>
        </w:numPr>
        <w:spacing w:before="240" w:after="0"/>
        <w:rPr>
          <w:rFonts w:cs="Arial"/>
          <w:lang w:val="en-GB"/>
        </w:rPr>
      </w:pPr>
      <w:r w:rsidRPr="00EF2814">
        <w:rPr>
          <w:rFonts w:cs="Arial"/>
          <w:lang w:val="en-GB"/>
        </w:rPr>
        <w:t>Redeployment</w:t>
      </w:r>
    </w:p>
    <w:p w14:paraId="2C8DE57A" w14:textId="77777777" w:rsidR="00126B52" w:rsidRPr="00EF2814" w:rsidRDefault="00126B52" w:rsidP="008C02E0">
      <w:pPr>
        <w:numPr>
          <w:ilvl w:val="0"/>
          <w:numId w:val="18"/>
        </w:numPr>
        <w:spacing w:before="240" w:after="0"/>
        <w:rPr>
          <w:rFonts w:cs="Arial"/>
          <w:lang w:val="en-GB"/>
        </w:rPr>
      </w:pPr>
      <w:r w:rsidRPr="00EF2814">
        <w:rPr>
          <w:rFonts w:cs="Arial"/>
          <w:lang w:val="en-GB"/>
        </w:rPr>
        <w:t>Preparedness</w:t>
      </w:r>
    </w:p>
    <w:p w14:paraId="5AA93C61" w14:textId="77777777" w:rsidR="00126B52" w:rsidRPr="00EF2814" w:rsidRDefault="00126B52" w:rsidP="008C02E0">
      <w:pPr>
        <w:numPr>
          <w:ilvl w:val="0"/>
          <w:numId w:val="18"/>
        </w:numPr>
        <w:spacing w:before="240" w:after="0"/>
        <w:rPr>
          <w:rFonts w:cs="Arial"/>
          <w:lang w:val="en-GB"/>
        </w:rPr>
      </w:pPr>
      <w:r w:rsidRPr="00EF2814">
        <w:rPr>
          <w:rFonts w:cs="Arial"/>
          <w:lang w:val="en-GB"/>
        </w:rPr>
        <w:t>Capacity</w:t>
      </w:r>
    </w:p>
    <w:p w14:paraId="297E44E2" w14:textId="77777777" w:rsidR="00126B52" w:rsidRPr="00EF2814" w:rsidRDefault="00126B52" w:rsidP="008C02E0">
      <w:pPr>
        <w:numPr>
          <w:ilvl w:val="0"/>
          <w:numId w:val="18"/>
        </w:numPr>
        <w:spacing w:before="240" w:after="0"/>
        <w:rPr>
          <w:rFonts w:cs="Arial"/>
          <w:lang w:val="en-GB"/>
        </w:rPr>
      </w:pPr>
      <w:r w:rsidRPr="00EF2814">
        <w:rPr>
          <w:rFonts w:cs="Arial"/>
          <w:lang w:val="en-GB"/>
        </w:rPr>
        <w:t>Resilience</w:t>
      </w:r>
    </w:p>
    <w:p w14:paraId="6C255E4D" w14:textId="77777777" w:rsidR="00126B52" w:rsidRPr="00EF2814" w:rsidRDefault="00126B52" w:rsidP="008C02E0">
      <w:pPr>
        <w:spacing w:before="240" w:after="0"/>
        <w:rPr>
          <w:rFonts w:cs="Arial"/>
          <w:b/>
          <w:bCs/>
          <w:i/>
          <w:iCs/>
          <w:lang w:val="en-GB"/>
        </w:rPr>
      </w:pPr>
      <w:r w:rsidRPr="00EF2814">
        <w:rPr>
          <w:rFonts w:cs="Arial"/>
          <w:b/>
          <w:bCs/>
          <w:i/>
          <w:iCs/>
          <w:lang w:val="en-GB"/>
        </w:rPr>
        <w:t>Technical and professional synonyms</w:t>
      </w:r>
    </w:p>
    <w:p w14:paraId="709FA5C2" w14:textId="77777777" w:rsidR="00126B52" w:rsidRPr="00EF2814" w:rsidRDefault="00126B52" w:rsidP="008C02E0">
      <w:pPr>
        <w:spacing w:before="240" w:after="0"/>
        <w:jc w:val="center"/>
        <w:rPr>
          <w:rFonts w:cs="Arial"/>
          <w:b/>
          <w:bCs/>
          <w:lang w:val="en-GB"/>
        </w:rPr>
      </w:pPr>
      <w:r w:rsidRPr="00EF2814">
        <w:rPr>
          <w:rFonts w:cs="Arial"/>
          <w:b/>
          <w:bCs/>
          <w:noProof/>
          <w:lang w:val="en-GB" w:eastAsia="en-IN"/>
        </w:rPr>
        <w:drawing>
          <wp:inline distT="114300" distB="114300" distL="114300" distR="114300" wp14:anchorId="75837848" wp14:editId="329FF5DB">
            <wp:extent cx="5379720" cy="2583180"/>
            <wp:effectExtent l="19050" t="19050" r="11430" b="2667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425958" cy="2605382"/>
                    </a:xfrm>
                    <a:prstGeom prst="rect">
                      <a:avLst/>
                    </a:prstGeom>
                    <a:ln>
                      <a:solidFill>
                        <a:schemeClr val="tx1"/>
                      </a:solidFill>
                    </a:ln>
                  </pic:spPr>
                </pic:pic>
              </a:graphicData>
            </a:graphic>
          </wp:inline>
        </w:drawing>
      </w:r>
    </w:p>
    <w:p w14:paraId="37A6F1FF" w14:textId="2E02DE9B" w:rsidR="00126B52" w:rsidRPr="00EF2814" w:rsidRDefault="00126B52" w:rsidP="008C02E0">
      <w:pPr>
        <w:spacing w:before="240" w:after="0"/>
        <w:jc w:val="center"/>
        <w:rPr>
          <w:rFonts w:cs="Arial"/>
          <w:b/>
          <w:bCs/>
          <w:lang w:val="en-GB"/>
        </w:rPr>
      </w:pPr>
      <w:r w:rsidRPr="00EF2814">
        <w:rPr>
          <w:rFonts w:cs="Arial"/>
          <w:b/>
          <w:bCs/>
          <w:lang w:val="en-GB"/>
        </w:rPr>
        <w:t>Figure</w:t>
      </w:r>
      <w:r w:rsidR="00AA3852" w:rsidRPr="00EF2814">
        <w:rPr>
          <w:rFonts w:cs="Arial"/>
          <w:b/>
          <w:bCs/>
          <w:lang w:val="en-GB"/>
        </w:rPr>
        <w:t xml:space="preserve"> 3.1</w:t>
      </w:r>
      <w:r w:rsidRPr="00EF2814">
        <w:rPr>
          <w:rFonts w:cs="Arial"/>
          <w:b/>
          <w:bCs/>
          <w:lang w:val="en-GB"/>
        </w:rPr>
        <w:t>: Technical and professional synonyms</w:t>
      </w:r>
    </w:p>
    <w:p w14:paraId="1A9E9A7B" w14:textId="77777777" w:rsidR="00126B52" w:rsidRPr="00EF2814" w:rsidRDefault="00126B52" w:rsidP="008C02E0">
      <w:pPr>
        <w:spacing w:before="240" w:after="0"/>
        <w:jc w:val="center"/>
        <w:rPr>
          <w:rFonts w:cs="Arial"/>
          <w:b/>
          <w:bCs/>
          <w:lang w:val="en-GB"/>
        </w:rPr>
      </w:pPr>
      <w:r w:rsidRPr="00EF2814">
        <w:rPr>
          <w:rFonts w:cs="Arial"/>
          <w:lang w:val="en-GB"/>
        </w:rPr>
        <w:t>(Source: Author)</w:t>
      </w:r>
    </w:p>
    <w:p w14:paraId="5199282A" w14:textId="77777777" w:rsidR="00126B52" w:rsidRPr="00EF2814" w:rsidRDefault="00126B52" w:rsidP="008C02E0">
      <w:pPr>
        <w:spacing w:before="240" w:after="0"/>
        <w:rPr>
          <w:rFonts w:cs="Arial"/>
          <w:lang w:val="en-GB"/>
        </w:rPr>
      </w:pPr>
      <w:r w:rsidRPr="00EF2814">
        <w:rPr>
          <w:rFonts w:cs="Arial"/>
          <w:b/>
          <w:bCs/>
          <w:lang w:val="en-GB"/>
        </w:rPr>
        <w:t>Boolean Operators</w:t>
      </w:r>
    </w:p>
    <w:tbl>
      <w:tblPr>
        <w:tblW w:w="973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4462"/>
        <w:gridCol w:w="2268"/>
      </w:tblGrid>
      <w:tr w:rsidR="00126B52" w:rsidRPr="00EF2814" w14:paraId="30CAE2B2" w14:textId="77777777" w:rsidTr="001E544F">
        <w:tc>
          <w:tcPr>
            <w:tcW w:w="3009" w:type="dxa"/>
            <w:tcMar>
              <w:top w:w="100" w:type="dxa"/>
              <w:left w:w="100" w:type="dxa"/>
              <w:bottom w:w="100" w:type="dxa"/>
              <w:right w:w="100" w:type="dxa"/>
            </w:tcMar>
          </w:tcPr>
          <w:p w14:paraId="7BA6B808" w14:textId="77777777" w:rsidR="00126B52" w:rsidRPr="00EF2814" w:rsidRDefault="00126B52" w:rsidP="008C02E0">
            <w:pPr>
              <w:widowControl w:val="0"/>
              <w:pBdr>
                <w:top w:val="nil"/>
                <w:left w:val="nil"/>
                <w:bottom w:val="nil"/>
                <w:right w:val="nil"/>
                <w:between w:val="nil"/>
              </w:pBdr>
              <w:spacing w:before="240" w:after="0"/>
              <w:rPr>
                <w:rFonts w:cs="Arial"/>
                <w:b/>
                <w:bCs/>
                <w:lang w:val="en-GB"/>
              </w:rPr>
            </w:pPr>
            <w:r w:rsidRPr="00EF2814">
              <w:rPr>
                <w:rFonts w:cs="Arial"/>
                <w:b/>
                <w:bCs/>
                <w:lang w:val="en-GB"/>
              </w:rPr>
              <w:t>Boolean Operator</w:t>
            </w:r>
          </w:p>
        </w:tc>
        <w:tc>
          <w:tcPr>
            <w:tcW w:w="4462" w:type="dxa"/>
            <w:tcMar>
              <w:top w:w="100" w:type="dxa"/>
              <w:left w:w="100" w:type="dxa"/>
              <w:bottom w:w="100" w:type="dxa"/>
              <w:right w:w="100" w:type="dxa"/>
            </w:tcMar>
          </w:tcPr>
          <w:p w14:paraId="45EF16DF" w14:textId="77777777" w:rsidR="00126B52" w:rsidRPr="00EF2814" w:rsidRDefault="00126B52" w:rsidP="008C02E0">
            <w:pPr>
              <w:widowControl w:val="0"/>
              <w:pBdr>
                <w:top w:val="nil"/>
                <w:left w:val="nil"/>
                <w:bottom w:val="nil"/>
                <w:right w:val="nil"/>
                <w:between w:val="nil"/>
              </w:pBdr>
              <w:spacing w:before="240" w:after="0"/>
              <w:rPr>
                <w:rFonts w:cs="Arial"/>
                <w:b/>
                <w:bCs/>
                <w:lang w:val="en-GB"/>
              </w:rPr>
            </w:pPr>
            <w:r w:rsidRPr="00EF2814">
              <w:rPr>
                <w:rFonts w:cs="Arial"/>
                <w:b/>
                <w:bCs/>
                <w:lang w:val="en-GB"/>
              </w:rPr>
              <w:t>Purpose in Search Strategy</w:t>
            </w:r>
          </w:p>
        </w:tc>
        <w:tc>
          <w:tcPr>
            <w:tcW w:w="2268" w:type="dxa"/>
            <w:tcMar>
              <w:top w:w="100" w:type="dxa"/>
              <w:left w:w="100" w:type="dxa"/>
              <w:bottom w:w="100" w:type="dxa"/>
              <w:right w:w="100" w:type="dxa"/>
            </w:tcMar>
          </w:tcPr>
          <w:p w14:paraId="004D4E8B" w14:textId="77777777" w:rsidR="00126B52" w:rsidRPr="00EF2814" w:rsidRDefault="00126B52" w:rsidP="008C02E0">
            <w:pPr>
              <w:widowControl w:val="0"/>
              <w:pBdr>
                <w:top w:val="nil"/>
                <w:left w:val="nil"/>
                <w:bottom w:val="nil"/>
                <w:right w:val="nil"/>
                <w:between w:val="nil"/>
              </w:pBdr>
              <w:spacing w:before="240" w:after="0"/>
              <w:rPr>
                <w:rFonts w:cs="Arial"/>
                <w:b/>
                <w:bCs/>
                <w:lang w:val="en-GB"/>
              </w:rPr>
            </w:pPr>
            <w:r w:rsidRPr="00EF2814">
              <w:rPr>
                <w:rFonts w:cs="Arial"/>
                <w:b/>
                <w:bCs/>
                <w:lang w:val="en-GB"/>
              </w:rPr>
              <w:t>Example Application</w:t>
            </w:r>
          </w:p>
        </w:tc>
      </w:tr>
      <w:tr w:rsidR="00126B52" w:rsidRPr="00EF2814" w14:paraId="7F47213C" w14:textId="77777777" w:rsidTr="001E544F">
        <w:tc>
          <w:tcPr>
            <w:tcW w:w="3009" w:type="dxa"/>
            <w:tcMar>
              <w:top w:w="100" w:type="dxa"/>
              <w:left w:w="100" w:type="dxa"/>
              <w:bottom w:w="100" w:type="dxa"/>
              <w:right w:w="100" w:type="dxa"/>
            </w:tcMar>
          </w:tcPr>
          <w:p w14:paraId="726782FB" w14:textId="77777777" w:rsidR="00126B52" w:rsidRPr="00EF2814" w:rsidRDefault="00126B52" w:rsidP="008C02E0">
            <w:pPr>
              <w:widowControl w:val="0"/>
              <w:pBdr>
                <w:top w:val="nil"/>
                <w:left w:val="nil"/>
                <w:bottom w:val="nil"/>
                <w:right w:val="nil"/>
                <w:between w:val="nil"/>
              </w:pBdr>
              <w:spacing w:before="240" w:after="0"/>
              <w:rPr>
                <w:rFonts w:cs="Arial"/>
                <w:b/>
                <w:bCs/>
                <w:lang w:val="en-GB"/>
              </w:rPr>
            </w:pPr>
            <w:r w:rsidRPr="00EF2814">
              <w:rPr>
                <w:rFonts w:cs="Arial"/>
                <w:b/>
                <w:bCs/>
                <w:lang w:val="en-GB"/>
              </w:rPr>
              <w:t>AND</w:t>
            </w:r>
          </w:p>
        </w:tc>
        <w:tc>
          <w:tcPr>
            <w:tcW w:w="4462" w:type="dxa"/>
            <w:tcMar>
              <w:top w:w="100" w:type="dxa"/>
              <w:left w:w="100" w:type="dxa"/>
              <w:bottom w:w="100" w:type="dxa"/>
              <w:right w:w="100" w:type="dxa"/>
            </w:tcMar>
          </w:tcPr>
          <w:p w14:paraId="0818C7E1" w14:textId="77777777" w:rsidR="00126B52" w:rsidRPr="00EF2814" w:rsidRDefault="00126B52" w:rsidP="008C02E0">
            <w:pPr>
              <w:spacing w:before="240" w:after="0"/>
              <w:rPr>
                <w:rFonts w:cs="Arial"/>
                <w:lang w:val="en-GB"/>
              </w:rPr>
            </w:pPr>
            <w:r w:rsidRPr="00EF2814">
              <w:rPr>
                <w:rFonts w:cs="Arial"/>
                <w:lang w:val="en-GB"/>
              </w:rPr>
              <w:t>Used to merge key concepts and narrow search outcomes to highly relevant studies.</w:t>
            </w:r>
          </w:p>
        </w:tc>
        <w:tc>
          <w:tcPr>
            <w:tcW w:w="2268" w:type="dxa"/>
            <w:tcMar>
              <w:top w:w="100" w:type="dxa"/>
              <w:left w:w="100" w:type="dxa"/>
              <w:bottom w:w="100" w:type="dxa"/>
              <w:right w:w="100" w:type="dxa"/>
            </w:tcMar>
          </w:tcPr>
          <w:p w14:paraId="39B8BD68" w14:textId="77777777" w:rsidR="00126B52" w:rsidRPr="00EF2814" w:rsidRDefault="00126B52" w:rsidP="008C02E0">
            <w:pPr>
              <w:spacing w:before="240" w:after="0"/>
              <w:rPr>
                <w:rFonts w:cs="Arial"/>
                <w:lang w:val="en-GB"/>
              </w:rPr>
            </w:pPr>
            <w:r w:rsidRPr="00EF2814">
              <w:rPr>
                <w:rFonts w:cs="Arial"/>
                <w:lang w:val="en-GB"/>
              </w:rPr>
              <w:t>COVID-19 AND emergency clinical training</w:t>
            </w:r>
          </w:p>
        </w:tc>
      </w:tr>
      <w:tr w:rsidR="00126B52" w:rsidRPr="00EF2814" w14:paraId="0C90E2A7" w14:textId="77777777" w:rsidTr="001E544F">
        <w:tc>
          <w:tcPr>
            <w:tcW w:w="3009" w:type="dxa"/>
            <w:tcMar>
              <w:top w:w="100" w:type="dxa"/>
              <w:left w:w="100" w:type="dxa"/>
              <w:bottom w:w="100" w:type="dxa"/>
              <w:right w:w="100" w:type="dxa"/>
            </w:tcMar>
          </w:tcPr>
          <w:p w14:paraId="66D2EE8F" w14:textId="77777777" w:rsidR="00126B52" w:rsidRPr="00EF2814" w:rsidRDefault="00126B52" w:rsidP="008C02E0">
            <w:pPr>
              <w:widowControl w:val="0"/>
              <w:pBdr>
                <w:top w:val="nil"/>
                <w:left w:val="nil"/>
                <w:bottom w:val="nil"/>
                <w:right w:val="nil"/>
                <w:between w:val="nil"/>
              </w:pBdr>
              <w:spacing w:before="240" w:after="0"/>
              <w:rPr>
                <w:rFonts w:cs="Arial"/>
                <w:b/>
                <w:bCs/>
                <w:lang w:val="en-GB"/>
              </w:rPr>
            </w:pPr>
            <w:r w:rsidRPr="00EF2814">
              <w:rPr>
                <w:rFonts w:cs="Arial"/>
                <w:b/>
                <w:bCs/>
                <w:lang w:val="en-GB"/>
              </w:rPr>
              <w:lastRenderedPageBreak/>
              <w:t>OR</w:t>
            </w:r>
          </w:p>
        </w:tc>
        <w:tc>
          <w:tcPr>
            <w:tcW w:w="4462" w:type="dxa"/>
            <w:tcMar>
              <w:top w:w="100" w:type="dxa"/>
              <w:left w:w="100" w:type="dxa"/>
              <w:bottom w:w="100" w:type="dxa"/>
              <w:right w:w="100" w:type="dxa"/>
            </w:tcMar>
          </w:tcPr>
          <w:p w14:paraId="4516D637" w14:textId="77777777" w:rsidR="00126B52" w:rsidRPr="00EF2814" w:rsidRDefault="00126B52" w:rsidP="008C02E0">
            <w:pPr>
              <w:spacing w:before="240" w:after="0"/>
              <w:rPr>
                <w:rFonts w:cs="Arial"/>
                <w:lang w:val="en-GB"/>
              </w:rPr>
            </w:pPr>
            <w:r w:rsidRPr="00EF2814">
              <w:rPr>
                <w:rFonts w:cs="Arial"/>
                <w:lang w:val="en-GB"/>
              </w:rPr>
              <w:t>Used to expand searches by including alternative or synonymous terms.</w:t>
            </w:r>
          </w:p>
        </w:tc>
        <w:tc>
          <w:tcPr>
            <w:tcW w:w="2268" w:type="dxa"/>
            <w:tcMar>
              <w:top w:w="100" w:type="dxa"/>
              <w:left w:w="100" w:type="dxa"/>
              <w:bottom w:w="100" w:type="dxa"/>
              <w:right w:w="100" w:type="dxa"/>
            </w:tcMar>
          </w:tcPr>
          <w:p w14:paraId="1824D5E6" w14:textId="77777777" w:rsidR="00126B52" w:rsidRPr="00EF2814" w:rsidRDefault="00126B52" w:rsidP="008C02E0">
            <w:pPr>
              <w:spacing w:before="240" w:after="0"/>
              <w:rPr>
                <w:rFonts w:cs="Arial"/>
                <w:lang w:val="en-GB"/>
              </w:rPr>
            </w:pPr>
            <w:r w:rsidRPr="00EF2814">
              <w:rPr>
                <w:rFonts w:cs="Arial"/>
                <w:lang w:val="en-GB"/>
              </w:rPr>
              <w:t>Competency OR clinical skills</w:t>
            </w:r>
          </w:p>
          <w:p w14:paraId="582E8AD5" w14:textId="77777777" w:rsidR="00126B52" w:rsidRPr="00EF2814" w:rsidRDefault="00126B52" w:rsidP="008C02E0">
            <w:pPr>
              <w:spacing w:before="240" w:after="0"/>
              <w:rPr>
                <w:rFonts w:cs="Arial"/>
                <w:lang w:val="en-GB"/>
              </w:rPr>
            </w:pPr>
          </w:p>
        </w:tc>
      </w:tr>
      <w:tr w:rsidR="00126B52" w:rsidRPr="00EF2814" w14:paraId="5E5549E9" w14:textId="77777777" w:rsidTr="001E544F">
        <w:tc>
          <w:tcPr>
            <w:tcW w:w="3009" w:type="dxa"/>
            <w:tcMar>
              <w:top w:w="100" w:type="dxa"/>
              <w:left w:w="100" w:type="dxa"/>
              <w:bottom w:w="100" w:type="dxa"/>
              <w:right w:w="100" w:type="dxa"/>
            </w:tcMar>
          </w:tcPr>
          <w:p w14:paraId="2D53C8E8" w14:textId="77777777" w:rsidR="00126B52" w:rsidRPr="00EF2814" w:rsidRDefault="00126B52" w:rsidP="008C02E0">
            <w:pPr>
              <w:widowControl w:val="0"/>
              <w:pBdr>
                <w:top w:val="nil"/>
                <w:left w:val="nil"/>
                <w:bottom w:val="nil"/>
                <w:right w:val="nil"/>
                <w:between w:val="nil"/>
              </w:pBdr>
              <w:spacing w:before="240" w:after="0"/>
              <w:rPr>
                <w:rFonts w:cs="Arial"/>
                <w:b/>
                <w:bCs/>
                <w:lang w:val="en-GB"/>
              </w:rPr>
            </w:pPr>
            <w:r w:rsidRPr="00EF2814">
              <w:rPr>
                <w:rFonts w:cs="Arial"/>
                <w:b/>
                <w:bCs/>
                <w:lang w:val="en-GB"/>
              </w:rPr>
              <w:t>NOT</w:t>
            </w:r>
          </w:p>
        </w:tc>
        <w:tc>
          <w:tcPr>
            <w:tcW w:w="4462" w:type="dxa"/>
            <w:tcMar>
              <w:top w:w="100" w:type="dxa"/>
              <w:left w:w="100" w:type="dxa"/>
              <w:bottom w:w="100" w:type="dxa"/>
              <w:right w:w="100" w:type="dxa"/>
            </w:tcMar>
          </w:tcPr>
          <w:p w14:paraId="024F3484" w14:textId="77777777" w:rsidR="00126B52" w:rsidRPr="00EF2814" w:rsidRDefault="00126B52" w:rsidP="008C02E0">
            <w:pPr>
              <w:spacing w:before="240" w:after="0"/>
              <w:rPr>
                <w:rFonts w:cs="Arial"/>
                <w:lang w:val="en-GB"/>
              </w:rPr>
            </w:pPr>
            <w:r w:rsidRPr="00EF2814">
              <w:rPr>
                <w:rFonts w:cs="Arial"/>
                <w:lang w:val="en-GB"/>
              </w:rPr>
              <w:t>Excludes irrelevant subjects. Refines search focus.</w:t>
            </w:r>
          </w:p>
        </w:tc>
        <w:tc>
          <w:tcPr>
            <w:tcW w:w="2268" w:type="dxa"/>
            <w:tcMar>
              <w:top w:w="100" w:type="dxa"/>
              <w:left w:w="100" w:type="dxa"/>
              <w:bottom w:w="100" w:type="dxa"/>
              <w:right w:w="100" w:type="dxa"/>
            </w:tcMar>
          </w:tcPr>
          <w:p w14:paraId="339E6354" w14:textId="77777777" w:rsidR="00126B52" w:rsidRPr="00EF2814" w:rsidRDefault="00126B52" w:rsidP="008C02E0">
            <w:pPr>
              <w:spacing w:before="240" w:after="0"/>
              <w:rPr>
                <w:rFonts w:cs="Arial"/>
                <w:lang w:val="en-GB"/>
              </w:rPr>
            </w:pPr>
            <w:r w:rsidRPr="00EF2814">
              <w:rPr>
                <w:rFonts w:cs="Arial"/>
                <w:lang w:val="en-GB"/>
              </w:rPr>
              <w:t>Training NOT student</w:t>
            </w:r>
          </w:p>
        </w:tc>
      </w:tr>
    </w:tbl>
    <w:p w14:paraId="09014990" w14:textId="77777777" w:rsidR="00126B52" w:rsidRPr="00EF2814" w:rsidRDefault="00126B52" w:rsidP="008C02E0">
      <w:pPr>
        <w:spacing w:before="240" w:after="0"/>
        <w:rPr>
          <w:rFonts w:cs="Arial"/>
          <w:lang w:val="en-GB"/>
        </w:rPr>
      </w:pPr>
    </w:p>
    <w:p w14:paraId="116FCB98" w14:textId="77777777" w:rsidR="00126B52" w:rsidRPr="00EF2814" w:rsidRDefault="00126B52" w:rsidP="008C02E0">
      <w:pPr>
        <w:spacing w:before="240" w:after="0"/>
        <w:rPr>
          <w:rFonts w:cs="Arial"/>
          <w:b/>
          <w:bCs/>
          <w:lang w:val="en-GB"/>
        </w:rPr>
      </w:pPr>
      <w:r w:rsidRPr="00EF2814">
        <w:rPr>
          <w:rFonts w:cs="Arial"/>
          <w:b/>
          <w:bCs/>
          <w:lang w:val="en-GB"/>
        </w:rPr>
        <w:t>Structured Search Plan</w:t>
      </w:r>
    </w:p>
    <w:p w14:paraId="08E23521" w14:textId="77777777" w:rsidR="00126B52" w:rsidRPr="00EF2814" w:rsidRDefault="00126B52" w:rsidP="008C02E0">
      <w:pPr>
        <w:spacing w:before="240" w:after="0"/>
        <w:rPr>
          <w:rFonts w:cs="Arial"/>
          <w:lang w:val="en-GB"/>
        </w:rPr>
      </w:pPr>
      <w:r w:rsidRPr="00EF2814">
        <w:rPr>
          <w:rFonts w:cs="Arial"/>
          <w:lang w:val="en-GB"/>
        </w:rPr>
        <w:t>A search strategy was developed for a structured search comprising concepts, keywords and Boolean search operators (Munasinghe and Ranasinghe, 2023). A search log was used for recording the search strategy to improve transparency and replicability for identifying potential secondary literature.</w:t>
      </w:r>
    </w:p>
    <w:p w14:paraId="691CDB39" w14:textId="17FA09C9" w:rsidR="00126B52" w:rsidRPr="00EF2814" w:rsidRDefault="00476B07" w:rsidP="005B1B4C">
      <w:pPr>
        <w:pStyle w:val="Heading2"/>
        <w:rPr>
          <w:lang w:val="en-GB"/>
        </w:rPr>
      </w:pPr>
      <w:bookmarkStart w:id="45" w:name="_uyex4toz6bsz" w:colFirst="0" w:colLast="0"/>
      <w:bookmarkStart w:id="46" w:name="_Toc222234355"/>
      <w:bookmarkEnd w:id="45"/>
      <w:r w:rsidRPr="00EF2814">
        <w:rPr>
          <w:lang w:val="en-GB"/>
        </w:rPr>
        <w:t>3.3</w:t>
      </w:r>
      <w:r w:rsidR="00126B52" w:rsidRPr="00EF2814">
        <w:rPr>
          <w:lang w:val="en-GB"/>
        </w:rPr>
        <w:t xml:space="preserve"> Searching for Information</w:t>
      </w:r>
      <w:bookmarkEnd w:id="46"/>
      <w:r w:rsidR="00126B52" w:rsidRPr="00EF2814">
        <w:rPr>
          <w:lang w:val="en-GB"/>
        </w:rPr>
        <w:t xml:space="preserve"> </w:t>
      </w:r>
    </w:p>
    <w:p w14:paraId="1313084E" w14:textId="77777777" w:rsidR="00126B52" w:rsidRPr="00EF2814" w:rsidRDefault="00126B52" w:rsidP="008C02E0">
      <w:pPr>
        <w:spacing w:before="240" w:after="0"/>
        <w:rPr>
          <w:rFonts w:cs="Arial"/>
          <w:b/>
          <w:bCs/>
          <w:lang w:val="en-GB"/>
        </w:rPr>
      </w:pPr>
      <w:r w:rsidRPr="00EF2814">
        <w:rPr>
          <w:rFonts w:cs="Arial"/>
          <w:b/>
          <w:bCs/>
          <w:lang w:val="en-GB"/>
        </w:rPr>
        <w:t>Databases and Platforms</w:t>
      </w:r>
    </w:p>
    <w:p w14:paraId="5C324FB5" w14:textId="77777777" w:rsidR="00126B52" w:rsidRPr="00EF2814" w:rsidRDefault="00126B52" w:rsidP="008C02E0">
      <w:pPr>
        <w:spacing w:before="240" w:after="0"/>
        <w:rPr>
          <w:rFonts w:cs="Arial"/>
          <w:b/>
          <w:bCs/>
          <w:lang w:val="en-GB"/>
        </w:rPr>
      </w:pPr>
      <w:r w:rsidRPr="00EF2814">
        <w:rPr>
          <w:rFonts w:cs="Arial"/>
          <w:lang w:val="en-GB"/>
        </w:rPr>
        <w:t xml:space="preserve">Sources were obtained from the use of Google Scholar, PubMed, and the UWTSD library online (Pisano </w:t>
      </w:r>
      <w:r w:rsidRPr="00EF2814">
        <w:rPr>
          <w:rFonts w:cs="Arial"/>
          <w:i/>
          <w:iCs/>
          <w:lang w:val="en-GB"/>
        </w:rPr>
        <w:t>et al.</w:t>
      </w:r>
      <w:r w:rsidRPr="00EF2814">
        <w:rPr>
          <w:rFonts w:cs="Arial"/>
          <w:lang w:val="en-GB"/>
        </w:rPr>
        <w:t>, 2023). These websites were selected for the most relevant reasons that included the availability of peer-reviewed journals, UK healthcare research articles, and reliable policy documents.</w:t>
      </w:r>
    </w:p>
    <w:p w14:paraId="1128B583" w14:textId="77777777" w:rsidR="00126B52" w:rsidRPr="00EF2814" w:rsidRDefault="00126B52" w:rsidP="008C02E0">
      <w:pPr>
        <w:spacing w:before="240" w:after="0"/>
        <w:rPr>
          <w:rFonts w:cs="Arial"/>
          <w:b/>
          <w:bCs/>
          <w:lang w:val="en-GB"/>
        </w:rPr>
      </w:pPr>
      <w:r w:rsidRPr="00EF2814">
        <w:rPr>
          <w:rFonts w:cs="Arial"/>
          <w:b/>
          <w:bCs/>
          <w:lang w:val="en-GB"/>
        </w:rPr>
        <w:t>Using Filters</w:t>
      </w:r>
    </w:p>
    <w:p w14:paraId="61C82580" w14:textId="77777777" w:rsidR="00126B52" w:rsidRPr="00EF2814" w:rsidRDefault="00126B52" w:rsidP="008C02E0">
      <w:pPr>
        <w:spacing w:before="240" w:after="0"/>
        <w:rPr>
          <w:rFonts w:cs="Arial"/>
          <w:b/>
          <w:bCs/>
          <w:lang w:val="en-GB"/>
        </w:rPr>
      </w:pPr>
      <w:r w:rsidRPr="00EF2814">
        <w:rPr>
          <w:rFonts w:cs="Arial"/>
          <w:lang w:val="en-GB"/>
        </w:rPr>
        <w:t>Various filters have been applied in refining the literature, and they included publication dates within the last ten years, as well as UK-oriented research and peer-reviewed articles.</w:t>
      </w:r>
    </w:p>
    <w:p w14:paraId="56538135" w14:textId="77777777" w:rsidR="00126B52" w:rsidRPr="00EF2814" w:rsidRDefault="00126B52" w:rsidP="008C02E0">
      <w:pPr>
        <w:spacing w:before="240" w:after="0"/>
        <w:rPr>
          <w:rFonts w:cs="Arial"/>
          <w:b/>
          <w:bCs/>
          <w:lang w:val="en-GB"/>
        </w:rPr>
      </w:pPr>
      <w:r w:rsidRPr="00EF2814">
        <w:rPr>
          <w:rFonts w:cs="Arial"/>
          <w:b/>
          <w:bCs/>
          <w:lang w:val="en-GB"/>
        </w:rPr>
        <w:t>Search Process</w:t>
      </w:r>
    </w:p>
    <w:p w14:paraId="5C90A2B2" w14:textId="7C5EBDDA" w:rsidR="00126B52" w:rsidRPr="00EF2814" w:rsidRDefault="00126B52" w:rsidP="008C02E0">
      <w:pPr>
        <w:spacing w:before="240" w:after="0"/>
        <w:rPr>
          <w:rFonts w:cs="Arial"/>
          <w:lang w:val="en-GB"/>
        </w:rPr>
      </w:pPr>
      <w:r w:rsidRPr="00EF2814">
        <w:rPr>
          <w:rFonts w:cs="Arial"/>
          <w:lang w:val="en-GB"/>
        </w:rPr>
        <w:t xml:space="preserve">Refinement of search processes was facilitated through the alteration of keywords, the use of alternative synonyms, and the adjustment of Boolean search combinations (Badami </w:t>
      </w:r>
      <w:r w:rsidRPr="00EF2814">
        <w:rPr>
          <w:rFonts w:cs="Arial"/>
          <w:i/>
          <w:iCs/>
          <w:lang w:val="en-GB"/>
        </w:rPr>
        <w:t>et al.,</w:t>
      </w:r>
      <w:r w:rsidRPr="00EF2814">
        <w:rPr>
          <w:rFonts w:cs="Arial"/>
          <w:lang w:val="en-GB"/>
        </w:rPr>
        <w:t xml:space="preserve"> 2023). </w:t>
      </w:r>
      <w:r w:rsidRPr="00EF2814">
        <w:rPr>
          <w:rFonts w:cs="Arial"/>
          <w:lang w:val="en-GB"/>
        </w:rPr>
        <w:lastRenderedPageBreak/>
        <w:t>Furthermore, a table was used for tracking sources, which helped record search processes and databases used, as well as findings of significance.</w:t>
      </w:r>
      <w:r w:rsidR="00476B07" w:rsidRPr="00EF2814">
        <w:rPr>
          <w:rFonts w:cs="Arial"/>
          <w:lang w:val="en-GB"/>
        </w:rPr>
        <w:t xml:space="preserve"> </w:t>
      </w:r>
      <w:r w:rsidR="00476B07" w:rsidRPr="00EF2814">
        <w:rPr>
          <w:rFonts w:eastAsia="Times New Roman" w:cs="Arial"/>
          <w:b/>
          <w:bCs/>
          <w:i/>
          <w:iCs/>
          <w:color w:val="222222"/>
          <w:sz w:val="24"/>
          <w:szCs w:val="24"/>
          <w:lang w:val="en-GB"/>
        </w:rPr>
        <w:t>[</w:t>
      </w:r>
      <w:r w:rsidR="00CA46CA" w:rsidRPr="00EF2814">
        <w:rPr>
          <w:rFonts w:eastAsia="Times New Roman" w:cs="Arial"/>
          <w:b/>
          <w:bCs/>
          <w:i/>
          <w:iCs/>
          <w:color w:val="222222"/>
          <w:sz w:val="24"/>
          <w:szCs w:val="24"/>
          <w:lang w:val="en-GB"/>
        </w:rPr>
        <w:t>Referred</w:t>
      </w:r>
      <w:r w:rsidR="00476B07" w:rsidRPr="00EF2814">
        <w:rPr>
          <w:rFonts w:eastAsia="Times New Roman" w:cs="Arial"/>
          <w:b/>
          <w:bCs/>
          <w:i/>
          <w:iCs/>
          <w:color w:val="222222"/>
          <w:sz w:val="24"/>
          <w:szCs w:val="24"/>
          <w:lang w:val="en-GB"/>
        </w:rPr>
        <w:t xml:space="preserve"> to Appendix 1]</w:t>
      </w:r>
    </w:p>
    <w:p w14:paraId="33BE7BB4" w14:textId="77777777" w:rsidR="00126B52" w:rsidRPr="00EF2814" w:rsidRDefault="00126B52" w:rsidP="005B1B4C">
      <w:pPr>
        <w:pStyle w:val="Heading2"/>
        <w:rPr>
          <w:lang w:val="en-GB"/>
        </w:rPr>
      </w:pPr>
      <w:bookmarkStart w:id="47" w:name="_coow644vn3dj" w:colFirst="0" w:colLast="0"/>
      <w:bookmarkStart w:id="48" w:name="_Toc222234356"/>
      <w:bookmarkEnd w:id="47"/>
      <w:r w:rsidRPr="00EF2814">
        <w:rPr>
          <w:lang w:val="en-GB"/>
        </w:rPr>
        <w:t>3.4 Research Validation</w:t>
      </w:r>
      <w:bookmarkEnd w:id="48"/>
      <w:r w:rsidRPr="00EF2814">
        <w:rPr>
          <w:lang w:val="en-GB"/>
        </w:rPr>
        <w:t xml:space="preserve"> </w:t>
      </w:r>
    </w:p>
    <w:p w14:paraId="2D9C7797" w14:textId="77777777" w:rsidR="00126B52" w:rsidRPr="00EF2814" w:rsidRDefault="00126B52" w:rsidP="008C02E0">
      <w:pPr>
        <w:spacing w:before="240" w:after="0"/>
        <w:rPr>
          <w:rFonts w:cs="Arial"/>
          <w:b/>
          <w:bCs/>
          <w:lang w:val="en-GB"/>
        </w:rPr>
      </w:pPr>
      <w:r w:rsidRPr="00EF2814">
        <w:rPr>
          <w:rFonts w:cs="Arial"/>
          <w:b/>
          <w:bCs/>
          <w:lang w:val="en-GB"/>
        </w:rPr>
        <w:t>Skimming Techniques</w:t>
      </w:r>
    </w:p>
    <w:p w14:paraId="66A4B578" w14:textId="77777777" w:rsidR="00126B52" w:rsidRPr="00EF2814" w:rsidRDefault="00126B52" w:rsidP="008C02E0">
      <w:pPr>
        <w:spacing w:before="240" w:after="0"/>
        <w:rPr>
          <w:rFonts w:cs="Arial"/>
          <w:b/>
          <w:bCs/>
          <w:lang w:val="en-GB"/>
        </w:rPr>
      </w:pPr>
      <w:r w:rsidRPr="00EF2814">
        <w:rPr>
          <w:rFonts w:cs="Arial"/>
          <w:lang w:val="en-GB"/>
        </w:rPr>
        <w:t>Skimming techniques were employed to assess the relevance of articles by title, abstract, introduction, and conclusion to make an early exclusion of unsuitable sources while including literature that was compatible with the research aim.</w:t>
      </w:r>
    </w:p>
    <w:p w14:paraId="57D29FB9" w14:textId="77777777" w:rsidR="00126B52" w:rsidRPr="00EF2814" w:rsidRDefault="00126B52" w:rsidP="008C02E0">
      <w:pPr>
        <w:spacing w:before="240" w:after="0"/>
        <w:rPr>
          <w:rFonts w:cs="Arial"/>
          <w:lang w:val="en-GB"/>
        </w:rPr>
      </w:pPr>
      <w:r w:rsidRPr="00EF2814">
        <w:rPr>
          <w:rFonts w:cs="Arial"/>
          <w:b/>
          <w:bCs/>
          <w:lang w:val="en-GB"/>
        </w:rPr>
        <w:t>CRAAP Test Application</w:t>
      </w:r>
    </w:p>
    <w:tbl>
      <w:tblPr>
        <w:tblW w:w="9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98"/>
      </w:tblGrid>
      <w:tr w:rsidR="00126B52" w:rsidRPr="00EF2814" w14:paraId="1528E779" w14:textId="77777777" w:rsidTr="00854F07">
        <w:trPr>
          <w:trHeight w:val="1130"/>
        </w:trPr>
        <w:tc>
          <w:tcPr>
            <w:tcW w:w="9598" w:type="dxa"/>
            <w:tcMar>
              <w:top w:w="100" w:type="dxa"/>
              <w:left w:w="100" w:type="dxa"/>
              <w:bottom w:w="100" w:type="dxa"/>
              <w:right w:w="100" w:type="dxa"/>
            </w:tcMar>
          </w:tcPr>
          <w:p w14:paraId="464661F6" w14:textId="77777777" w:rsidR="00126B52" w:rsidRPr="00EF2814" w:rsidRDefault="00126B52" w:rsidP="00854F07">
            <w:pPr>
              <w:widowControl w:val="0"/>
              <w:spacing w:after="0"/>
              <w:rPr>
                <w:rFonts w:cs="Arial"/>
                <w:lang w:val="en-GB"/>
              </w:rPr>
            </w:pPr>
            <w:r w:rsidRPr="00EF2814">
              <w:rPr>
                <w:rFonts w:cs="Arial"/>
                <w:b/>
                <w:bCs/>
                <w:lang w:val="en-GB"/>
              </w:rPr>
              <w:t xml:space="preserve">1. </w:t>
            </w:r>
            <w:r w:rsidRPr="00EF2814">
              <w:rPr>
                <w:rFonts w:cs="Arial"/>
                <w:lang w:val="en-GB"/>
              </w:rPr>
              <w:t xml:space="preserve">Goniewicz, M., </w:t>
            </w:r>
            <w:proofErr w:type="spellStart"/>
            <w:r w:rsidRPr="00EF2814">
              <w:rPr>
                <w:rFonts w:cs="Arial"/>
                <w:lang w:val="en-GB"/>
              </w:rPr>
              <w:t>Włoszczak-Szubzda</w:t>
            </w:r>
            <w:proofErr w:type="spellEnd"/>
            <w:r w:rsidRPr="00EF2814">
              <w:rPr>
                <w:rFonts w:cs="Arial"/>
                <w:lang w:val="en-GB"/>
              </w:rPr>
              <w:t>, A., Al-</w:t>
            </w:r>
            <w:proofErr w:type="spellStart"/>
            <w:r w:rsidRPr="00EF2814">
              <w:rPr>
                <w:rFonts w:cs="Arial"/>
                <w:lang w:val="en-GB"/>
              </w:rPr>
              <w:t>Wathinani</w:t>
            </w:r>
            <w:proofErr w:type="spellEnd"/>
            <w:r w:rsidRPr="00EF2814">
              <w:rPr>
                <w:rFonts w:cs="Arial"/>
                <w:lang w:val="en-GB"/>
              </w:rPr>
              <w:t xml:space="preserve">, A.M. and Goniewicz, K. (2023) ‘Resilience in Emergency Medicine during COVID-19: Evaluating Staff Expectations and Preparedness’, </w:t>
            </w:r>
            <w:r w:rsidRPr="00EF2814">
              <w:rPr>
                <w:rFonts w:cs="Arial"/>
                <w:i/>
                <w:iCs/>
                <w:lang w:val="en-GB"/>
              </w:rPr>
              <w:t>Journal of Personalized Medicine</w:t>
            </w:r>
            <w:r w:rsidRPr="00EF2814">
              <w:rPr>
                <w:rFonts w:cs="Arial"/>
                <w:lang w:val="en-GB"/>
              </w:rPr>
              <w:t>, 13(11), pp. 15-45. Available at: https://doi.org/10.3390/jpm13111545.</w:t>
            </w:r>
          </w:p>
        </w:tc>
      </w:tr>
      <w:tr w:rsidR="00126B52" w:rsidRPr="00EF2814" w14:paraId="31101A13" w14:textId="77777777" w:rsidTr="00854F07">
        <w:trPr>
          <w:trHeight w:val="382"/>
        </w:trPr>
        <w:tc>
          <w:tcPr>
            <w:tcW w:w="9598" w:type="dxa"/>
            <w:tcMar>
              <w:top w:w="100" w:type="dxa"/>
              <w:left w:w="100" w:type="dxa"/>
              <w:bottom w:w="100" w:type="dxa"/>
              <w:right w:w="100" w:type="dxa"/>
            </w:tcMar>
          </w:tcPr>
          <w:p w14:paraId="5D44BCE9" w14:textId="77777777" w:rsidR="00126B52" w:rsidRPr="00EF2814" w:rsidRDefault="00126B52" w:rsidP="00854F07">
            <w:pPr>
              <w:spacing w:after="0"/>
              <w:rPr>
                <w:rFonts w:cs="Arial"/>
                <w:lang w:val="en-GB"/>
              </w:rPr>
            </w:pPr>
            <w:r w:rsidRPr="00EF2814">
              <w:rPr>
                <w:rFonts w:cs="Arial"/>
                <w:b/>
                <w:bCs/>
                <w:lang w:val="en-GB"/>
              </w:rPr>
              <w:t>Currency:</w:t>
            </w:r>
            <w:r w:rsidRPr="00EF2814">
              <w:rPr>
                <w:rFonts w:cs="Arial"/>
                <w:lang w:val="en-GB"/>
              </w:rPr>
              <w:t xml:space="preserve"> Recently published in the post-pandemic era.</w:t>
            </w:r>
          </w:p>
        </w:tc>
      </w:tr>
      <w:tr w:rsidR="00126B52" w:rsidRPr="00EF2814" w14:paraId="1355FC3E" w14:textId="77777777" w:rsidTr="00854F07">
        <w:trPr>
          <w:trHeight w:val="382"/>
        </w:trPr>
        <w:tc>
          <w:tcPr>
            <w:tcW w:w="9598" w:type="dxa"/>
            <w:tcMar>
              <w:top w:w="100" w:type="dxa"/>
              <w:left w:w="100" w:type="dxa"/>
              <w:bottom w:w="100" w:type="dxa"/>
              <w:right w:w="100" w:type="dxa"/>
            </w:tcMar>
          </w:tcPr>
          <w:p w14:paraId="51C5262A" w14:textId="77777777" w:rsidR="00126B52" w:rsidRPr="00EF2814" w:rsidRDefault="00126B52" w:rsidP="00854F07">
            <w:pPr>
              <w:spacing w:after="0"/>
              <w:rPr>
                <w:rFonts w:cs="Arial"/>
                <w:lang w:val="en-GB"/>
              </w:rPr>
            </w:pPr>
            <w:r w:rsidRPr="00EF2814">
              <w:rPr>
                <w:rFonts w:cs="Arial"/>
                <w:b/>
                <w:bCs/>
                <w:lang w:val="en-GB"/>
              </w:rPr>
              <w:t>Relevance:</w:t>
            </w:r>
            <w:r w:rsidRPr="00EF2814">
              <w:rPr>
                <w:rFonts w:cs="Arial"/>
                <w:lang w:val="en-GB"/>
              </w:rPr>
              <w:t xml:space="preserve"> Resilience and preparedness in emergency medicine.</w:t>
            </w:r>
          </w:p>
        </w:tc>
      </w:tr>
      <w:tr w:rsidR="00126B52" w:rsidRPr="00EF2814" w14:paraId="62FF5729" w14:textId="77777777" w:rsidTr="00854F07">
        <w:trPr>
          <w:trHeight w:val="450"/>
        </w:trPr>
        <w:tc>
          <w:tcPr>
            <w:tcW w:w="9598" w:type="dxa"/>
            <w:tcMar>
              <w:top w:w="100" w:type="dxa"/>
              <w:left w:w="100" w:type="dxa"/>
              <w:bottom w:w="100" w:type="dxa"/>
              <w:right w:w="100" w:type="dxa"/>
            </w:tcMar>
          </w:tcPr>
          <w:p w14:paraId="64BA87F9" w14:textId="77777777" w:rsidR="00126B52" w:rsidRPr="00EF2814" w:rsidRDefault="00126B52" w:rsidP="00854F07">
            <w:pPr>
              <w:spacing w:after="0"/>
              <w:rPr>
                <w:rFonts w:cs="Arial"/>
                <w:lang w:val="en-GB"/>
              </w:rPr>
            </w:pPr>
            <w:r w:rsidRPr="00EF2814">
              <w:rPr>
                <w:rFonts w:cs="Arial"/>
                <w:b/>
                <w:bCs/>
                <w:lang w:val="en-GB"/>
              </w:rPr>
              <w:t xml:space="preserve">Authors: </w:t>
            </w:r>
            <w:r w:rsidRPr="00EF2814">
              <w:rPr>
                <w:rFonts w:cs="Arial"/>
                <w:lang w:val="en-GB"/>
              </w:rPr>
              <w:t>Well-established international researchers.</w:t>
            </w:r>
          </w:p>
        </w:tc>
      </w:tr>
      <w:tr w:rsidR="00126B52" w:rsidRPr="00EF2814" w14:paraId="6E95781F" w14:textId="77777777" w:rsidTr="00854F07">
        <w:trPr>
          <w:trHeight w:val="450"/>
        </w:trPr>
        <w:tc>
          <w:tcPr>
            <w:tcW w:w="9598" w:type="dxa"/>
            <w:tcMar>
              <w:top w:w="100" w:type="dxa"/>
              <w:left w:w="100" w:type="dxa"/>
              <w:bottom w:w="100" w:type="dxa"/>
              <w:right w:w="100" w:type="dxa"/>
            </w:tcMar>
          </w:tcPr>
          <w:p w14:paraId="78BFBBD3" w14:textId="77777777" w:rsidR="00126B52" w:rsidRPr="00EF2814" w:rsidRDefault="00126B52" w:rsidP="00854F07">
            <w:pPr>
              <w:spacing w:after="0"/>
              <w:rPr>
                <w:rFonts w:cs="Arial"/>
                <w:lang w:val="en-GB"/>
              </w:rPr>
            </w:pPr>
            <w:r w:rsidRPr="00EF2814">
              <w:rPr>
                <w:rFonts w:cs="Arial"/>
                <w:b/>
                <w:bCs/>
                <w:lang w:val="en-GB"/>
              </w:rPr>
              <w:t>Accuracy:</w:t>
            </w:r>
            <w:r w:rsidRPr="00EF2814">
              <w:rPr>
                <w:rFonts w:cs="Arial"/>
                <w:lang w:val="en-GB"/>
              </w:rPr>
              <w:t xml:space="preserve"> Peer-reviewed empirical study.</w:t>
            </w:r>
          </w:p>
        </w:tc>
      </w:tr>
      <w:tr w:rsidR="00126B52" w:rsidRPr="00EF2814" w14:paraId="449F887A" w14:textId="77777777" w:rsidTr="00854F07">
        <w:trPr>
          <w:trHeight w:val="382"/>
        </w:trPr>
        <w:tc>
          <w:tcPr>
            <w:tcW w:w="9598" w:type="dxa"/>
            <w:tcMar>
              <w:top w:w="100" w:type="dxa"/>
              <w:left w:w="100" w:type="dxa"/>
              <w:bottom w:w="100" w:type="dxa"/>
              <w:right w:w="100" w:type="dxa"/>
            </w:tcMar>
          </w:tcPr>
          <w:p w14:paraId="772E41CF" w14:textId="77777777" w:rsidR="00126B52" w:rsidRPr="00EF2814" w:rsidRDefault="00126B52" w:rsidP="00854F07">
            <w:pPr>
              <w:spacing w:after="0"/>
              <w:rPr>
                <w:rFonts w:cs="Arial"/>
                <w:lang w:val="en-GB"/>
              </w:rPr>
            </w:pPr>
            <w:r w:rsidRPr="00EF2814">
              <w:rPr>
                <w:rFonts w:cs="Arial"/>
                <w:b/>
                <w:bCs/>
                <w:lang w:val="en-GB"/>
              </w:rPr>
              <w:t>Purpose:</w:t>
            </w:r>
            <w:r w:rsidRPr="00EF2814">
              <w:rPr>
                <w:rFonts w:cs="Arial"/>
                <w:lang w:val="en-GB"/>
              </w:rPr>
              <w:t xml:space="preserve"> Assess the expectations and competency of the staff in view of COVID-19.</w:t>
            </w:r>
          </w:p>
        </w:tc>
      </w:tr>
    </w:tbl>
    <w:p w14:paraId="374387EA" w14:textId="77777777" w:rsidR="00126B52" w:rsidRPr="00EF2814" w:rsidRDefault="00126B52" w:rsidP="008C02E0">
      <w:pPr>
        <w:spacing w:before="240" w:after="0"/>
        <w:rPr>
          <w:rFonts w:cs="Arial"/>
          <w:lang w:val="en-GB"/>
        </w:rPr>
      </w:pPr>
    </w:p>
    <w:tbl>
      <w:tblPr>
        <w:tblW w:w="95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59"/>
      </w:tblGrid>
      <w:tr w:rsidR="00126B52" w:rsidRPr="00EF2814" w14:paraId="0C32E359" w14:textId="77777777" w:rsidTr="00854F07">
        <w:trPr>
          <w:trHeight w:val="785"/>
        </w:trPr>
        <w:tc>
          <w:tcPr>
            <w:tcW w:w="9559" w:type="dxa"/>
            <w:tcMar>
              <w:top w:w="100" w:type="dxa"/>
              <w:left w:w="100" w:type="dxa"/>
              <w:bottom w:w="100" w:type="dxa"/>
              <w:right w:w="100" w:type="dxa"/>
            </w:tcMar>
          </w:tcPr>
          <w:p w14:paraId="34C1DC72" w14:textId="77777777" w:rsidR="00126B52" w:rsidRPr="00EF2814" w:rsidRDefault="00126B52" w:rsidP="00854F07">
            <w:pPr>
              <w:widowControl w:val="0"/>
              <w:spacing w:after="0"/>
              <w:rPr>
                <w:rFonts w:cs="Arial"/>
                <w:lang w:val="en-GB"/>
              </w:rPr>
            </w:pPr>
            <w:r w:rsidRPr="00EF2814">
              <w:rPr>
                <w:rFonts w:cs="Arial"/>
                <w:b/>
                <w:bCs/>
                <w:lang w:val="en-GB"/>
              </w:rPr>
              <w:t>2.</w:t>
            </w:r>
            <w:r w:rsidRPr="00EF2814">
              <w:rPr>
                <w:rFonts w:cs="Arial"/>
                <w:lang w:val="en-GB"/>
              </w:rPr>
              <w:t xml:space="preserve"> Pearse, C. and Scott, S. (2023) ‘A Review of Clinical Laboratory Education, Training and Progression: Historical Challenges, the Impact of COVID-19 and Future Considerations’, </w:t>
            </w:r>
            <w:r w:rsidRPr="00EF2814">
              <w:rPr>
                <w:rFonts w:cs="Arial"/>
                <w:i/>
                <w:iCs/>
                <w:lang w:val="en-GB"/>
              </w:rPr>
              <w:t>British Journal of Biomedical Science</w:t>
            </w:r>
            <w:r w:rsidRPr="00EF2814">
              <w:rPr>
                <w:rFonts w:cs="Arial"/>
                <w:lang w:val="en-GB"/>
              </w:rPr>
              <w:t>, 80. pp. 102-150. Available at: https://doi.org/10.3389/bjbs.2023.11266.</w:t>
            </w:r>
          </w:p>
        </w:tc>
      </w:tr>
      <w:tr w:rsidR="00126B52" w:rsidRPr="00EF2814" w14:paraId="55D55C19" w14:textId="77777777" w:rsidTr="00854F07">
        <w:trPr>
          <w:trHeight w:val="384"/>
        </w:trPr>
        <w:tc>
          <w:tcPr>
            <w:tcW w:w="9559" w:type="dxa"/>
            <w:tcMar>
              <w:top w:w="100" w:type="dxa"/>
              <w:left w:w="100" w:type="dxa"/>
              <w:bottom w:w="100" w:type="dxa"/>
              <w:right w:w="100" w:type="dxa"/>
            </w:tcMar>
          </w:tcPr>
          <w:p w14:paraId="17489052" w14:textId="77777777" w:rsidR="00126B52" w:rsidRPr="00EF2814" w:rsidRDefault="00126B52" w:rsidP="00854F07">
            <w:pPr>
              <w:spacing w:after="0"/>
              <w:rPr>
                <w:rFonts w:cs="Arial"/>
                <w:lang w:val="en-GB"/>
              </w:rPr>
            </w:pPr>
            <w:r w:rsidRPr="00EF2814">
              <w:rPr>
                <w:rFonts w:cs="Arial"/>
                <w:b/>
                <w:bCs/>
                <w:lang w:val="en-GB"/>
              </w:rPr>
              <w:t>Currency:</w:t>
            </w:r>
            <w:r w:rsidRPr="00EF2814">
              <w:rPr>
                <w:rFonts w:cs="Arial"/>
                <w:lang w:val="en-GB"/>
              </w:rPr>
              <w:t xml:space="preserve"> Current COVID-19-related study.</w:t>
            </w:r>
          </w:p>
        </w:tc>
      </w:tr>
      <w:tr w:rsidR="00126B52" w:rsidRPr="00EF2814" w14:paraId="788B519D" w14:textId="77777777" w:rsidTr="00854F07">
        <w:trPr>
          <w:trHeight w:val="367"/>
        </w:trPr>
        <w:tc>
          <w:tcPr>
            <w:tcW w:w="9559" w:type="dxa"/>
            <w:tcMar>
              <w:top w:w="100" w:type="dxa"/>
              <w:left w:w="100" w:type="dxa"/>
              <w:bottom w:w="100" w:type="dxa"/>
              <w:right w:w="100" w:type="dxa"/>
            </w:tcMar>
          </w:tcPr>
          <w:p w14:paraId="753B21C4" w14:textId="77777777" w:rsidR="00126B52" w:rsidRPr="00EF2814" w:rsidRDefault="00126B52" w:rsidP="00854F07">
            <w:pPr>
              <w:spacing w:after="0"/>
              <w:rPr>
                <w:rFonts w:cs="Arial"/>
                <w:lang w:val="en-GB"/>
              </w:rPr>
            </w:pPr>
            <w:r w:rsidRPr="00EF2814">
              <w:rPr>
                <w:rFonts w:cs="Arial"/>
                <w:b/>
                <w:bCs/>
                <w:lang w:val="en-GB"/>
              </w:rPr>
              <w:t>Relevance:</w:t>
            </w:r>
            <w:r w:rsidRPr="00EF2814">
              <w:rPr>
                <w:rFonts w:cs="Arial"/>
                <w:lang w:val="en-GB"/>
              </w:rPr>
              <w:t xml:space="preserve"> Clinical education and training effects.</w:t>
            </w:r>
          </w:p>
        </w:tc>
      </w:tr>
      <w:tr w:rsidR="00126B52" w:rsidRPr="00EF2814" w14:paraId="50783238" w14:textId="77777777" w:rsidTr="00854F07">
        <w:trPr>
          <w:trHeight w:val="384"/>
        </w:trPr>
        <w:tc>
          <w:tcPr>
            <w:tcW w:w="9559" w:type="dxa"/>
            <w:tcMar>
              <w:top w:w="100" w:type="dxa"/>
              <w:left w:w="100" w:type="dxa"/>
              <w:bottom w:w="100" w:type="dxa"/>
              <w:right w:w="100" w:type="dxa"/>
            </w:tcMar>
          </w:tcPr>
          <w:p w14:paraId="13C6E627" w14:textId="77777777" w:rsidR="00126B52" w:rsidRPr="00EF2814" w:rsidRDefault="00126B52" w:rsidP="00854F07">
            <w:pPr>
              <w:spacing w:after="0"/>
              <w:rPr>
                <w:rFonts w:cs="Arial"/>
                <w:lang w:val="en-GB"/>
              </w:rPr>
            </w:pPr>
            <w:r w:rsidRPr="00EF2814">
              <w:rPr>
                <w:rFonts w:cs="Arial"/>
                <w:b/>
                <w:bCs/>
                <w:lang w:val="en-GB"/>
              </w:rPr>
              <w:lastRenderedPageBreak/>
              <w:t xml:space="preserve">Authority: </w:t>
            </w:r>
            <w:r w:rsidRPr="00EF2814">
              <w:rPr>
                <w:rFonts w:cs="Arial"/>
                <w:lang w:val="en-GB"/>
              </w:rPr>
              <w:t>UK biomedical science professionals.</w:t>
            </w:r>
          </w:p>
        </w:tc>
      </w:tr>
      <w:tr w:rsidR="00126B52" w:rsidRPr="00EF2814" w14:paraId="54622C90" w14:textId="77777777" w:rsidTr="00854F07">
        <w:trPr>
          <w:trHeight w:val="384"/>
        </w:trPr>
        <w:tc>
          <w:tcPr>
            <w:tcW w:w="9559" w:type="dxa"/>
            <w:tcMar>
              <w:top w:w="100" w:type="dxa"/>
              <w:left w:w="100" w:type="dxa"/>
              <w:bottom w:w="100" w:type="dxa"/>
              <w:right w:w="100" w:type="dxa"/>
            </w:tcMar>
          </w:tcPr>
          <w:p w14:paraId="2E2B7632" w14:textId="77777777" w:rsidR="00126B52" w:rsidRPr="00EF2814" w:rsidRDefault="00126B52" w:rsidP="00854F07">
            <w:pPr>
              <w:spacing w:after="0"/>
              <w:rPr>
                <w:rFonts w:cs="Arial"/>
                <w:lang w:val="en-GB"/>
              </w:rPr>
            </w:pPr>
            <w:r w:rsidRPr="00EF2814">
              <w:rPr>
                <w:rFonts w:cs="Arial"/>
                <w:b/>
                <w:bCs/>
                <w:lang w:val="en-GB"/>
              </w:rPr>
              <w:t>Accuracy:</w:t>
            </w:r>
            <w:r w:rsidRPr="00EF2814">
              <w:rPr>
                <w:rFonts w:cs="Arial"/>
                <w:lang w:val="en-GB"/>
              </w:rPr>
              <w:t xml:space="preserve"> Peer-reviewed narrative review.</w:t>
            </w:r>
          </w:p>
        </w:tc>
      </w:tr>
      <w:tr w:rsidR="00126B52" w:rsidRPr="00EF2814" w14:paraId="21E69270" w14:textId="77777777" w:rsidTr="00854F07">
        <w:trPr>
          <w:trHeight w:val="384"/>
        </w:trPr>
        <w:tc>
          <w:tcPr>
            <w:tcW w:w="9559" w:type="dxa"/>
            <w:tcMar>
              <w:top w:w="100" w:type="dxa"/>
              <w:left w:w="100" w:type="dxa"/>
              <w:bottom w:w="100" w:type="dxa"/>
              <w:right w:w="100" w:type="dxa"/>
            </w:tcMar>
          </w:tcPr>
          <w:p w14:paraId="55546654" w14:textId="77777777" w:rsidR="00126B52" w:rsidRPr="00EF2814" w:rsidRDefault="00126B52" w:rsidP="00854F07">
            <w:pPr>
              <w:spacing w:after="0"/>
              <w:rPr>
                <w:rFonts w:cs="Arial"/>
                <w:lang w:val="en-GB"/>
              </w:rPr>
            </w:pPr>
            <w:r w:rsidRPr="00EF2814">
              <w:rPr>
                <w:rFonts w:cs="Arial"/>
                <w:b/>
                <w:bCs/>
                <w:lang w:val="en-GB"/>
              </w:rPr>
              <w:t xml:space="preserve">Purpose: </w:t>
            </w:r>
            <w:r w:rsidRPr="00EF2814">
              <w:rPr>
                <w:rFonts w:cs="Arial"/>
                <w:lang w:val="en-GB"/>
              </w:rPr>
              <w:t>Discuss training challenges and future workforce development.</w:t>
            </w:r>
          </w:p>
        </w:tc>
      </w:tr>
    </w:tbl>
    <w:p w14:paraId="258C9813" w14:textId="77777777" w:rsidR="00126B52" w:rsidRPr="00EF2814" w:rsidRDefault="00126B52" w:rsidP="008C02E0">
      <w:pPr>
        <w:spacing w:before="240" w:after="0"/>
        <w:rPr>
          <w:rFonts w:cs="Arial"/>
          <w:lang w:val="en-GB"/>
        </w:rPr>
      </w:pPr>
    </w:p>
    <w:tbl>
      <w:tblPr>
        <w:tblW w:w="95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91"/>
      </w:tblGrid>
      <w:tr w:rsidR="00126B52" w:rsidRPr="00EF2814" w14:paraId="6F49C1B7" w14:textId="77777777" w:rsidTr="00854F07">
        <w:trPr>
          <w:trHeight w:val="1555"/>
        </w:trPr>
        <w:tc>
          <w:tcPr>
            <w:tcW w:w="9591" w:type="dxa"/>
            <w:tcMar>
              <w:top w:w="100" w:type="dxa"/>
              <w:left w:w="100" w:type="dxa"/>
              <w:bottom w:w="100" w:type="dxa"/>
              <w:right w:w="100" w:type="dxa"/>
            </w:tcMar>
          </w:tcPr>
          <w:p w14:paraId="1DB2CC06" w14:textId="77777777" w:rsidR="00126B52" w:rsidRPr="00EF2814" w:rsidRDefault="00126B52" w:rsidP="00854F07">
            <w:pPr>
              <w:widowControl w:val="0"/>
              <w:spacing w:after="0"/>
              <w:rPr>
                <w:rFonts w:cs="Arial"/>
                <w:lang w:val="en-GB"/>
              </w:rPr>
            </w:pPr>
            <w:r w:rsidRPr="00EF2814">
              <w:rPr>
                <w:rFonts w:cs="Arial"/>
                <w:b/>
                <w:bCs/>
                <w:lang w:val="en-GB"/>
              </w:rPr>
              <w:t>3.</w:t>
            </w:r>
            <w:r w:rsidRPr="00EF2814">
              <w:rPr>
                <w:rFonts w:cs="Arial"/>
                <w:lang w:val="en-GB"/>
              </w:rPr>
              <w:t xml:space="preserve"> Faulkner-Gurstein, R., Wyatt, D., Cowan, H., Hare, N., Harris, C. and Wolfe, C. (2022) ‘The organization and impacts of clinical research delivery workforce redeployment during the COVID-19 pandemic: a qualitative case study of one research-intensive acute hospital trust’, </w:t>
            </w:r>
            <w:r w:rsidRPr="00EF2814">
              <w:rPr>
                <w:rFonts w:cs="Arial"/>
                <w:i/>
                <w:iCs/>
                <w:lang w:val="en-GB"/>
              </w:rPr>
              <w:t>Health Research Policy and Systems</w:t>
            </w:r>
            <w:r w:rsidRPr="00EF2814">
              <w:rPr>
                <w:rFonts w:cs="Arial"/>
                <w:lang w:val="en-GB"/>
              </w:rPr>
              <w:t>, 20(1). pp. 60-70. Available at: https://doi.org/10.1186/s12961-022-00876-5.</w:t>
            </w:r>
          </w:p>
        </w:tc>
      </w:tr>
      <w:tr w:rsidR="00126B52" w:rsidRPr="00EF2814" w14:paraId="4C71CE40" w14:textId="77777777" w:rsidTr="00854F07">
        <w:trPr>
          <w:trHeight w:val="392"/>
        </w:trPr>
        <w:tc>
          <w:tcPr>
            <w:tcW w:w="9591" w:type="dxa"/>
            <w:tcMar>
              <w:top w:w="100" w:type="dxa"/>
              <w:left w:w="100" w:type="dxa"/>
              <w:bottom w:w="100" w:type="dxa"/>
              <w:right w:w="100" w:type="dxa"/>
            </w:tcMar>
          </w:tcPr>
          <w:p w14:paraId="7B998AE1" w14:textId="77777777" w:rsidR="00126B52" w:rsidRPr="00EF2814" w:rsidRDefault="00126B52" w:rsidP="00854F07">
            <w:pPr>
              <w:spacing w:after="0"/>
              <w:rPr>
                <w:rFonts w:cs="Arial"/>
                <w:lang w:val="en-GB"/>
              </w:rPr>
            </w:pPr>
            <w:r w:rsidRPr="00EF2814">
              <w:rPr>
                <w:rFonts w:cs="Arial"/>
                <w:b/>
                <w:bCs/>
                <w:lang w:val="en-GB"/>
              </w:rPr>
              <w:t>Currency:</w:t>
            </w:r>
            <w:r w:rsidRPr="00EF2814">
              <w:rPr>
                <w:rFonts w:cs="Arial"/>
                <w:lang w:val="en-GB"/>
              </w:rPr>
              <w:t xml:space="preserve"> Published during the later phase of the pandemic.</w:t>
            </w:r>
          </w:p>
        </w:tc>
      </w:tr>
      <w:tr w:rsidR="00126B52" w:rsidRPr="00EF2814" w14:paraId="0608F107" w14:textId="77777777" w:rsidTr="00854F07">
        <w:trPr>
          <w:trHeight w:val="374"/>
        </w:trPr>
        <w:tc>
          <w:tcPr>
            <w:tcW w:w="9591" w:type="dxa"/>
            <w:tcMar>
              <w:top w:w="100" w:type="dxa"/>
              <w:left w:w="100" w:type="dxa"/>
              <w:bottom w:w="100" w:type="dxa"/>
              <w:right w:w="100" w:type="dxa"/>
            </w:tcMar>
          </w:tcPr>
          <w:p w14:paraId="45025879" w14:textId="77777777" w:rsidR="00126B52" w:rsidRPr="00EF2814" w:rsidRDefault="00126B52" w:rsidP="00854F07">
            <w:pPr>
              <w:spacing w:after="0"/>
              <w:rPr>
                <w:rFonts w:cs="Arial"/>
                <w:lang w:val="en-GB"/>
              </w:rPr>
            </w:pPr>
            <w:r w:rsidRPr="00EF2814">
              <w:rPr>
                <w:rFonts w:cs="Arial"/>
                <w:b/>
                <w:bCs/>
                <w:lang w:val="en-GB"/>
              </w:rPr>
              <w:t>Relevance:</w:t>
            </w:r>
            <w:r w:rsidRPr="00EF2814">
              <w:rPr>
                <w:rFonts w:cs="Arial"/>
                <w:lang w:val="en-GB"/>
              </w:rPr>
              <w:t xml:space="preserve"> workforce redeployment and competency implications.</w:t>
            </w:r>
          </w:p>
        </w:tc>
      </w:tr>
      <w:tr w:rsidR="00126B52" w:rsidRPr="00EF2814" w14:paraId="1FE04618" w14:textId="77777777" w:rsidTr="00854F07">
        <w:trPr>
          <w:trHeight w:val="392"/>
        </w:trPr>
        <w:tc>
          <w:tcPr>
            <w:tcW w:w="9591" w:type="dxa"/>
            <w:tcMar>
              <w:top w:w="100" w:type="dxa"/>
              <w:left w:w="100" w:type="dxa"/>
              <w:bottom w:w="100" w:type="dxa"/>
              <w:right w:w="100" w:type="dxa"/>
            </w:tcMar>
          </w:tcPr>
          <w:p w14:paraId="20134F92" w14:textId="77777777" w:rsidR="00126B52" w:rsidRPr="00EF2814" w:rsidRDefault="00126B52" w:rsidP="00854F07">
            <w:pPr>
              <w:spacing w:after="0"/>
              <w:rPr>
                <w:rFonts w:cs="Arial"/>
                <w:lang w:val="en-GB"/>
              </w:rPr>
            </w:pPr>
            <w:r w:rsidRPr="00EF2814">
              <w:rPr>
                <w:rFonts w:cs="Arial"/>
                <w:b/>
                <w:bCs/>
                <w:lang w:val="en-GB"/>
              </w:rPr>
              <w:t>Authority:</w:t>
            </w:r>
            <w:r w:rsidRPr="00EF2814">
              <w:rPr>
                <w:rFonts w:cs="Arial"/>
                <w:lang w:val="en-GB"/>
              </w:rPr>
              <w:t xml:space="preserve"> UK healthcare researchers.</w:t>
            </w:r>
          </w:p>
        </w:tc>
      </w:tr>
      <w:tr w:rsidR="00126B52" w:rsidRPr="00EF2814" w14:paraId="31FB4B98" w14:textId="77777777" w:rsidTr="00854F07">
        <w:trPr>
          <w:trHeight w:val="392"/>
        </w:trPr>
        <w:tc>
          <w:tcPr>
            <w:tcW w:w="9591" w:type="dxa"/>
            <w:tcMar>
              <w:top w:w="100" w:type="dxa"/>
              <w:left w:w="100" w:type="dxa"/>
              <w:bottom w:w="100" w:type="dxa"/>
              <w:right w:w="100" w:type="dxa"/>
            </w:tcMar>
          </w:tcPr>
          <w:p w14:paraId="79EDC714" w14:textId="77777777" w:rsidR="00126B52" w:rsidRPr="00EF2814" w:rsidRDefault="00126B52" w:rsidP="00854F07">
            <w:pPr>
              <w:spacing w:after="0"/>
              <w:rPr>
                <w:rFonts w:cs="Arial"/>
                <w:lang w:val="en-GB"/>
              </w:rPr>
            </w:pPr>
            <w:r w:rsidRPr="00EF2814">
              <w:rPr>
                <w:rFonts w:cs="Arial"/>
                <w:b/>
                <w:bCs/>
                <w:lang w:val="en-GB"/>
              </w:rPr>
              <w:t>Accuracy:</w:t>
            </w:r>
            <w:r w:rsidRPr="00EF2814">
              <w:rPr>
                <w:rFonts w:cs="Arial"/>
                <w:lang w:val="en-GB"/>
              </w:rPr>
              <w:t xml:space="preserve"> A qualitative case study.</w:t>
            </w:r>
          </w:p>
        </w:tc>
      </w:tr>
      <w:tr w:rsidR="00126B52" w:rsidRPr="00EF2814" w14:paraId="77CA9131" w14:textId="77777777" w:rsidTr="00854F07">
        <w:trPr>
          <w:trHeight w:val="392"/>
        </w:trPr>
        <w:tc>
          <w:tcPr>
            <w:tcW w:w="9591" w:type="dxa"/>
            <w:tcMar>
              <w:top w:w="100" w:type="dxa"/>
              <w:left w:w="100" w:type="dxa"/>
              <w:bottom w:w="100" w:type="dxa"/>
              <w:right w:w="100" w:type="dxa"/>
            </w:tcMar>
          </w:tcPr>
          <w:p w14:paraId="108FCD7B" w14:textId="77777777" w:rsidR="00126B52" w:rsidRPr="00EF2814" w:rsidRDefault="00126B52" w:rsidP="00854F07">
            <w:pPr>
              <w:spacing w:after="0"/>
              <w:rPr>
                <w:rFonts w:cs="Arial"/>
                <w:lang w:val="en-GB"/>
              </w:rPr>
            </w:pPr>
            <w:r w:rsidRPr="00EF2814">
              <w:rPr>
                <w:rFonts w:cs="Arial"/>
                <w:b/>
                <w:bCs/>
                <w:lang w:val="en-GB"/>
              </w:rPr>
              <w:t xml:space="preserve">Purpose: </w:t>
            </w:r>
            <w:r w:rsidRPr="00EF2814">
              <w:rPr>
                <w:rFonts w:cs="Arial"/>
                <w:lang w:val="en-GB"/>
              </w:rPr>
              <w:t>Analyse the impact of redeployment on organisations.</w:t>
            </w:r>
          </w:p>
        </w:tc>
      </w:tr>
    </w:tbl>
    <w:p w14:paraId="3130F6C5" w14:textId="77777777" w:rsidR="00126B52" w:rsidRPr="00EF2814" w:rsidRDefault="00126B52" w:rsidP="008C02E0">
      <w:pPr>
        <w:spacing w:before="240" w:after="0"/>
        <w:rPr>
          <w:rFonts w:cs="Arial"/>
          <w:lang w:val="en-GB"/>
        </w:rPr>
      </w:pPr>
    </w:p>
    <w:tbl>
      <w:tblPr>
        <w:tblW w:w="9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75"/>
      </w:tblGrid>
      <w:tr w:rsidR="00126B52" w:rsidRPr="00EF2814" w14:paraId="0E82804F" w14:textId="77777777" w:rsidTr="00854F07">
        <w:trPr>
          <w:trHeight w:val="1440"/>
        </w:trPr>
        <w:tc>
          <w:tcPr>
            <w:tcW w:w="9775" w:type="dxa"/>
            <w:tcMar>
              <w:top w:w="100" w:type="dxa"/>
              <w:left w:w="100" w:type="dxa"/>
              <w:bottom w:w="100" w:type="dxa"/>
              <w:right w:w="100" w:type="dxa"/>
            </w:tcMar>
          </w:tcPr>
          <w:p w14:paraId="3E77A1AF" w14:textId="77777777" w:rsidR="00126B52" w:rsidRPr="00EF2814" w:rsidRDefault="00126B52" w:rsidP="00854F07">
            <w:pPr>
              <w:widowControl w:val="0"/>
              <w:spacing w:after="0"/>
              <w:rPr>
                <w:rFonts w:cs="Arial"/>
                <w:lang w:val="en-GB"/>
              </w:rPr>
            </w:pPr>
            <w:r w:rsidRPr="00EF2814">
              <w:rPr>
                <w:rFonts w:cs="Arial"/>
                <w:b/>
                <w:bCs/>
                <w:lang w:val="en-GB"/>
              </w:rPr>
              <w:t>4.</w:t>
            </w:r>
            <w:r w:rsidRPr="00EF2814">
              <w:rPr>
                <w:rFonts w:cs="Arial"/>
                <w:lang w:val="en-GB"/>
              </w:rPr>
              <w:t xml:space="preserve"> Boutros, P., Kassem, N., Nieder, J., Jaramillo, C., von Petersdorff, J., Walsh, F.J., </w:t>
            </w:r>
            <w:proofErr w:type="spellStart"/>
            <w:r w:rsidRPr="00EF2814">
              <w:rPr>
                <w:rFonts w:cs="Arial"/>
                <w:lang w:val="en-GB"/>
              </w:rPr>
              <w:t>Bärnighausen</w:t>
            </w:r>
            <w:proofErr w:type="spellEnd"/>
            <w:r w:rsidRPr="00EF2814">
              <w:rPr>
                <w:rFonts w:cs="Arial"/>
                <w:lang w:val="en-GB"/>
              </w:rPr>
              <w:t xml:space="preserve">, T. and </w:t>
            </w:r>
            <w:proofErr w:type="spellStart"/>
            <w:r w:rsidRPr="00EF2814">
              <w:rPr>
                <w:rFonts w:cs="Arial"/>
                <w:lang w:val="en-GB"/>
              </w:rPr>
              <w:t>Barteit</w:t>
            </w:r>
            <w:proofErr w:type="spellEnd"/>
            <w:r w:rsidRPr="00EF2814">
              <w:rPr>
                <w:rFonts w:cs="Arial"/>
                <w:lang w:val="en-GB"/>
              </w:rPr>
              <w:t xml:space="preserve">, S. (2023) ‘Education and Training Adaptations for Health Workers during the COVID-19 Pandemic: A Scoping Review of Lessons Learned and Innovations’, </w:t>
            </w:r>
            <w:r w:rsidRPr="00EF2814">
              <w:rPr>
                <w:rFonts w:cs="Arial"/>
                <w:i/>
                <w:iCs/>
                <w:lang w:val="en-GB"/>
              </w:rPr>
              <w:t>Healthcare</w:t>
            </w:r>
            <w:r w:rsidRPr="00EF2814">
              <w:rPr>
                <w:rFonts w:cs="Arial"/>
                <w:lang w:val="en-GB"/>
              </w:rPr>
              <w:t>, 11(21), pp. 50-55. Available at: https://doi.org/10.3390/healthcare11212902.</w:t>
            </w:r>
          </w:p>
        </w:tc>
      </w:tr>
      <w:tr w:rsidR="00126B52" w:rsidRPr="00EF2814" w14:paraId="52E9439B" w14:textId="77777777" w:rsidTr="00854F07">
        <w:trPr>
          <w:trHeight w:val="403"/>
        </w:trPr>
        <w:tc>
          <w:tcPr>
            <w:tcW w:w="9775" w:type="dxa"/>
            <w:tcMar>
              <w:top w:w="100" w:type="dxa"/>
              <w:left w:w="100" w:type="dxa"/>
              <w:bottom w:w="100" w:type="dxa"/>
              <w:right w:w="100" w:type="dxa"/>
            </w:tcMar>
          </w:tcPr>
          <w:p w14:paraId="3F80FFFC" w14:textId="77777777" w:rsidR="00126B52" w:rsidRPr="00EF2814" w:rsidRDefault="00126B52" w:rsidP="00854F07">
            <w:pPr>
              <w:spacing w:after="0"/>
              <w:rPr>
                <w:rFonts w:cs="Arial"/>
                <w:lang w:val="en-GB"/>
              </w:rPr>
            </w:pPr>
            <w:r w:rsidRPr="00EF2814">
              <w:rPr>
                <w:rFonts w:cs="Arial"/>
                <w:b/>
                <w:bCs/>
                <w:lang w:val="en-GB"/>
              </w:rPr>
              <w:t>Currency:</w:t>
            </w:r>
            <w:r w:rsidRPr="00EF2814">
              <w:rPr>
                <w:rFonts w:cs="Arial"/>
                <w:lang w:val="en-GB"/>
              </w:rPr>
              <w:t xml:space="preserve"> An update of the COVID-19 situation around the world to date.</w:t>
            </w:r>
          </w:p>
        </w:tc>
      </w:tr>
      <w:tr w:rsidR="00126B52" w:rsidRPr="00EF2814" w14:paraId="2231FAE8" w14:textId="77777777" w:rsidTr="00854F07">
        <w:trPr>
          <w:trHeight w:val="359"/>
        </w:trPr>
        <w:tc>
          <w:tcPr>
            <w:tcW w:w="9775" w:type="dxa"/>
            <w:tcMar>
              <w:top w:w="100" w:type="dxa"/>
              <w:left w:w="100" w:type="dxa"/>
              <w:bottom w:w="100" w:type="dxa"/>
              <w:right w:w="100" w:type="dxa"/>
            </w:tcMar>
          </w:tcPr>
          <w:p w14:paraId="59D38213" w14:textId="77777777" w:rsidR="00126B52" w:rsidRPr="00EF2814" w:rsidRDefault="00126B52" w:rsidP="00854F07">
            <w:pPr>
              <w:spacing w:after="0"/>
              <w:rPr>
                <w:rFonts w:cs="Arial"/>
                <w:lang w:val="en-GB"/>
              </w:rPr>
            </w:pPr>
            <w:r w:rsidRPr="00EF2814">
              <w:rPr>
                <w:rFonts w:cs="Arial"/>
                <w:b/>
                <w:bCs/>
                <w:lang w:val="en-GB"/>
              </w:rPr>
              <w:t xml:space="preserve">Relevance: </w:t>
            </w:r>
            <w:r w:rsidRPr="00EF2814">
              <w:rPr>
                <w:rFonts w:cs="Arial"/>
                <w:lang w:val="en-GB"/>
              </w:rPr>
              <w:t>Training adaptations for health workers.</w:t>
            </w:r>
          </w:p>
        </w:tc>
      </w:tr>
      <w:tr w:rsidR="00126B52" w:rsidRPr="00EF2814" w14:paraId="4C8DE163" w14:textId="77777777" w:rsidTr="00854F07">
        <w:trPr>
          <w:trHeight w:val="187"/>
        </w:trPr>
        <w:tc>
          <w:tcPr>
            <w:tcW w:w="9775" w:type="dxa"/>
            <w:tcMar>
              <w:top w:w="100" w:type="dxa"/>
              <w:left w:w="100" w:type="dxa"/>
              <w:bottom w:w="100" w:type="dxa"/>
              <w:right w:w="100" w:type="dxa"/>
            </w:tcMar>
          </w:tcPr>
          <w:p w14:paraId="72734E40" w14:textId="77777777" w:rsidR="00126B52" w:rsidRPr="00EF2814" w:rsidRDefault="00126B52" w:rsidP="00854F07">
            <w:pPr>
              <w:spacing w:after="0"/>
              <w:rPr>
                <w:rFonts w:cs="Arial"/>
                <w:lang w:val="en-GB"/>
              </w:rPr>
            </w:pPr>
            <w:r w:rsidRPr="00EF2814">
              <w:rPr>
                <w:rFonts w:cs="Arial"/>
                <w:b/>
                <w:bCs/>
                <w:lang w:val="en-GB"/>
              </w:rPr>
              <w:t xml:space="preserve">Authority: </w:t>
            </w:r>
            <w:r w:rsidRPr="00EF2814">
              <w:rPr>
                <w:rFonts w:cs="Arial"/>
                <w:lang w:val="en-GB"/>
              </w:rPr>
              <w:t>Multidisciplinary international authors.</w:t>
            </w:r>
          </w:p>
        </w:tc>
      </w:tr>
      <w:tr w:rsidR="00126B52" w:rsidRPr="00EF2814" w14:paraId="4CDBC84C" w14:textId="77777777" w:rsidTr="00854F07">
        <w:trPr>
          <w:trHeight w:val="327"/>
        </w:trPr>
        <w:tc>
          <w:tcPr>
            <w:tcW w:w="9775" w:type="dxa"/>
            <w:tcMar>
              <w:top w:w="100" w:type="dxa"/>
              <w:left w:w="100" w:type="dxa"/>
              <w:bottom w:w="100" w:type="dxa"/>
              <w:right w:w="100" w:type="dxa"/>
            </w:tcMar>
          </w:tcPr>
          <w:p w14:paraId="7A0C81C8" w14:textId="77777777" w:rsidR="00126B52" w:rsidRPr="00EF2814" w:rsidRDefault="00126B52" w:rsidP="00854F07">
            <w:pPr>
              <w:spacing w:after="0"/>
              <w:rPr>
                <w:rFonts w:cs="Arial"/>
                <w:lang w:val="en-GB"/>
              </w:rPr>
            </w:pPr>
            <w:r w:rsidRPr="00EF2814">
              <w:rPr>
                <w:rFonts w:cs="Arial"/>
                <w:b/>
                <w:bCs/>
                <w:lang w:val="en-GB"/>
              </w:rPr>
              <w:t xml:space="preserve">Accuracy: </w:t>
            </w:r>
            <w:r w:rsidRPr="00EF2814">
              <w:rPr>
                <w:rFonts w:cs="Arial"/>
                <w:lang w:val="en-GB"/>
              </w:rPr>
              <w:t>Scoping review of scholarly peer-reviewed articles.</w:t>
            </w:r>
          </w:p>
        </w:tc>
      </w:tr>
      <w:tr w:rsidR="00126B52" w:rsidRPr="00EF2814" w14:paraId="5EB3C423" w14:textId="77777777" w:rsidTr="00854F07">
        <w:trPr>
          <w:trHeight w:val="283"/>
        </w:trPr>
        <w:tc>
          <w:tcPr>
            <w:tcW w:w="9775" w:type="dxa"/>
            <w:tcMar>
              <w:top w:w="100" w:type="dxa"/>
              <w:left w:w="100" w:type="dxa"/>
              <w:bottom w:w="100" w:type="dxa"/>
              <w:right w:w="100" w:type="dxa"/>
            </w:tcMar>
          </w:tcPr>
          <w:p w14:paraId="269FE227" w14:textId="77777777" w:rsidR="00126B52" w:rsidRPr="00EF2814" w:rsidRDefault="00126B52" w:rsidP="00854F07">
            <w:pPr>
              <w:spacing w:after="0"/>
              <w:rPr>
                <w:rFonts w:cs="Arial"/>
                <w:lang w:val="en-GB"/>
              </w:rPr>
            </w:pPr>
            <w:r w:rsidRPr="00EF2814">
              <w:rPr>
                <w:rFonts w:cs="Arial"/>
                <w:b/>
                <w:bCs/>
                <w:lang w:val="en-GB"/>
              </w:rPr>
              <w:lastRenderedPageBreak/>
              <w:t>Purpose:</w:t>
            </w:r>
            <w:r w:rsidRPr="00EF2814">
              <w:rPr>
                <w:rFonts w:cs="Arial"/>
                <w:lang w:val="en-GB"/>
              </w:rPr>
              <w:t xml:space="preserve"> Identify innovations and lessons for emergency training.</w:t>
            </w:r>
          </w:p>
        </w:tc>
      </w:tr>
    </w:tbl>
    <w:p w14:paraId="317867FB" w14:textId="77777777" w:rsidR="00126B52" w:rsidRPr="00EF2814" w:rsidRDefault="00126B52" w:rsidP="008C02E0">
      <w:pPr>
        <w:spacing w:before="240" w:after="0"/>
        <w:rPr>
          <w:rFonts w:cs="Arial"/>
          <w:lang w:val="en-GB"/>
        </w:rPr>
      </w:pPr>
    </w:p>
    <w:tbl>
      <w:tblPr>
        <w:tblW w:w="97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63"/>
      </w:tblGrid>
      <w:tr w:rsidR="00126B52" w:rsidRPr="00EF2814" w14:paraId="0A6AE25A" w14:textId="77777777" w:rsidTr="00854F07">
        <w:trPr>
          <w:trHeight w:val="1015"/>
        </w:trPr>
        <w:tc>
          <w:tcPr>
            <w:tcW w:w="9763" w:type="dxa"/>
            <w:tcMar>
              <w:top w:w="100" w:type="dxa"/>
              <w:left w:w="100" w:type="dxa"/>
              <w:bottom w:w="100" w:type="dxa"/>
              <w:right w:w="100" w:type="dxa"/>
            </w:tcMar>
          </w:tcPr>
          <w:p w14:paraId="7339C5EC" w14:textId="77777777" w:rsidR="00126B52" w:rsidRPr="00EF2814" w:rsidRDefault="00126B52" w:rsidP="00854F07">
            <w:pPr>
              <w:widowControl w:val="0"/>
              <w:spacing w:after="0"/>
              <w:rPr>
                <w:rFonts w:cs="Arial"/>
                <w:lang w:val="en-GB"/>
              </w:rPr>
            </w:pPr>
            <w:r w:rsidRPr="00EF2814">
              <w:rPr>
                <w:rFonts w:cs="Arial"/>
                <w:b/>
                <w:bCs/>
                <w:lang w:val="en-GB"/>
              </w:rPr>
              <w:t xml:space="preserve">5. </w:t>
            </w:r>
            <w:r w:rsidRPr="00EF2814">
              <w:rPr>
                <w:rFonts w:cs="Arial"/>
                <w:lang w:val="en-GB"/>
              </w:rPr>
              <w:t>Martin, P., Tian, E., Kumar, S. and Lizarondo, L. (2022) ‘A rapid review of the impact of COVID</w:t>
            </w:r>
            <w:r w:rsidRPr="00EF2814">
              <w:rPr>
                <w:rFonts w:ascii="Cambria Math" w:hAnsi="Cambria Math" w:cs="Cambria Math"/>
                <w:lang w:val="en-GB"/>
              </w:rPr>
              <w:t>‐</w:t>
            </w:r>
            <w:r w:rsidRPr="00EF2814">
              <w:rPr>
                <w:rFonts w:cs="Arial"/>
                <w:lang w:val="en-GB"/>
              </w:rPr>
              <w:t>19 on clinical supervision practices of healthcare workers and students in healthcare settings’, Journal of Advanced Nursing, 78(11), pp. 3531–3539. Available at: https://doi.org/10.1111/jan.15360.</w:t>
            </w:r>
          </w:p>
        </w:tc>
      </w:tr>
      <w:tr w:rsidR="00126B52" w:rsidRPr="00EF2814" w14:paraId="0D0EB98E" w14:textId="77777777" w:rsidTr="00854F07">
        <w:trPr>
          <w:trHeight w:val="323"/>
        </w:trPr>
        <w:tc>
          <w:tcPr>
            <w:tcW w:w="9763" w:type="dxa"/>
            <w:tcMar>
              <w:top w:w="100" w:type="dxa"/>
              <w:left w:w="100" w:type="dxa"/>
              <w:bottom w:w="100" w:type="dxa"/>
              <w:right w:w="100" w:type="dxa"/>
            </w:tcMar>
          </w:tcPr>
          <w:p w14:paraId="417A54A9" w14:textId="77777777" w:rsidR="00126B52" w:rsidRPr="00EF2814" w:rsidRDefault="00126B52" w:rsidP="00854F07">
            <w:pPr>
              <w:spacing w:after="0"/>
              <w:rPr>
                <w:rFonts w:cs="Arial"/>
                <w:lang w:val="en-GB"/>
              </w:rPr>
            </w:pPr>
            <w:r w:rsidRPr="00EF2814">
              <w:rPr>
                <w:rFonts w:cs="Arial"/>
                <w:b/>
                <w:bCs/>
                <w:lang w:val="en-GB"/>
              </w:rPr>
              <w:t xml:space="preserve">Currency: </w:t>
            </w:r>
            <w:r w:rsidRPr="00EF2814">
              <w:rPr>
                <w:rFonts w:cs="Arial"/>
                <w:lang w:val="en-GB"/>
              </w:rPr>
              <w:t>Pandemic-era publication.</w:t>
            </w:r>
          </w:p>
        </w:tc>
      </w:tr>
      <w:tr w:rsidR="00126B52" w:rsidRPr="00EF2814" w14:paraId="2782EAD9" w14:textId="77777777" w:rsidTr="00854F07">
        <w:trPr>
          <w:trHeight w:val="338"/>
        </w:trPr>
        <w:tc>
          <w:tcPr>
            <w:tcW w:w="9763" w:type="dxa"/>
            <w:tcMar>
              <w:top w:w="100" w:type="dxa"/>
              <w:left w:w="100" w:type="dxa"/>
              <w:bottom w:w="100" w:type="dxa"/>
              <w:right w:w="100" w:type="dxa"/>
            </w:tcMar>
          </w:tcPr>
          <w:p w14:paraId="08F12E1E" w14:textId="77777777" w:rsidR="00126B52" w:rsidRPr="00EF2814" w:rsidRDefault="00126B52" w:rsidP="00854F07">
            <w:pPr>
              <w:spacing w:after="0"/>
              <w:rPr>
                <w:rFonts w:cs="Arial"/>
                <w:lang w:val="en-GB"/>
              </w:rPr>
            </w:pPr>
            <w:r w:rsidRPr="00EF2814">
              <w:rPr>
                <w:rFonts w:cs="Arial"/>
                <w:b/>
                <w:bCs/>
                <w:lang w:val="en-GB"/>
              </w:rPr>
              <w:t>Relevance</w:t>
            </w:r>
            <w:r w:rsidRPr="00EF2814">
              <w:rPr>
                <w:rFonts w:cs="Arial"/>
                <w:lang w:val="en-GB"/>
              </w:rPr>
              <w:t xml:space="preserve"> to clinical supervision and competence support.</w:t>
            </w:r>
          </w:p>
        </w:tc>
      </w:tr>
      <w:tr w:rsidR="00126B52" w:rsidRPr="00EF2814" w14:paraId="77DF86A3" w14:textId="77777777" w:rsidTr="00854F07">
        <w:trPr>
          <w:trHeight w:val="338"/>
        </w:trPr>
        <w:tc>
          <w:tcPr>
            <w:tcW w:w="9763" w:type="dxa"/>
            <w:tcMar>
              <w:top w:w="100" w:type="dxa"/>
              <w:left w:w="100" w:type="dxa"/>
              <w:bottom w:w="100" w:type="dxa"/>
              <w:right w:w="100" w:type="dxa"/>
            </w:tcMar>
          </w:tcPr>
          <w:p w14:paraId="64785847" w14:textId="77777777" w:rsidR="00126B52" w:rsidRPr="00EF2814" w:rsidRDefault="00126B52" w:rsidP="00854F07">
            <w:pPr>
              <w:spacing w:after="0"/>
              <w:rPr>
                <w:rFonts w:cs="Arial"/>
                <w:lang w:val="en-GB"/>
              </w:rPr>
            </w:pPr>
            <w:r w:rsidRPr="00EF2814">
              <w:rPr>
                <w:rFonts w:cs="Arial"/>
                <w:b/>
                <w:bCs/>
                <w:lang w:val="en-GB"/>
              </w:rPr>
              <w:t xml:space="preserve">Authority: </w:t>
            </w:r>
            <w:r w:rsidRPr="00EF2814">
              <w:rPr>
                <w:rFonts w:cs="Arial"/>
                <w:lang w:val="en-GB"/>
              </w:rPr>
              <w:t>Person: Researchers in nursing and health manpower.</w:t>
            </w:r>
          </w:p>
        </w:tc>
      </w:tr>
      <w:tr w:rsidR="00126B52" w:rsidRPr="00EF2814" w14:paraId="246E6854" w14:textId="77777777" w:rsidTr="00854F07">
        <w:trPr>
          <w:trHeight w:val="338"/>
        </w:trPr>
        <w:tc>
          <w:tcPr>
            <w:tcW w:w="9763" w:type="dxa"/>
            <w:tcMar>
              <w:top w:w="100" w:type="dxa"/>
              <w:left w:w="100" w:type="dxa"/>
              <w:bottom w:w="100" w:type="dxa"/>
              <w:right w:w="100" w:type="dxa"/>
            </w:tcMar>
          </w:tcPr>
          <w:p w14:paraId="553D1C2A" w14:textId="77777777" w:rsidR="00126B52" w:rsidRPr="00EF2814" w:rsidRDefault="00126B52" w:rsidP="00854F07">
            <w:pPr>
              <w:spacing w:after="0"/>
              <w:rPr>
                <w:rFonts w:cs="Arial"/>
                <w:lang w:val="en-GB"/>
              </w:rPr>
            </w:pPr>
            <w:r w:rsidRPr="00EF2814">
              <w:rPr>
                <w:rFonts w:cs="Arial"/>
                <w:b/>
                <w:bCs/>
                <w:lang w:val="en-GB"/>
              </w:rPr>
              <w:t xml:space="preserve">Accuracy: </w:t>
            </w:r>
            <w:r w:rsidRPr="00EF2814">
              <w:rPr>
                <w:rFonts w:cs="Arial"/>
                <w:lang w:val="en-GB"/>
              </w:rPr>
              <w:t>Rapid review methodology.</w:t>
            </w:r>
          </w:p>
        </w:tc>
      </w:tr>
      <w:tr w:rsidR="00126B52" w:rsidRPr="00EF2814" w14:paraId="6A3CE89B" w14:textId="77777777" w:rsidTr="00854F07">
        <w:trPr>
          <w:trHeight w:val="338"/>
        </w:trPr>
        <w:tc>
          <w:tcPr>
            <w:tcW w:w="9763" w:type="dxa"/>
            <w:tcMar>
              <w:top w:w="100" w:type="dxa"/>
              <w:left w:w="100" w:type="dxa"/>
              <w:bottom w:w="100" w:type="dxa"/>
              <w:right w:w="100" w:type="dxa"/>
            </w:tcMar>
          </w:tcPr>
          <w:p w14:paraId="3AA515AA" w14:textId="77777777" w:rsidR="00126B52" w:rsidRPr="00EF2814" w:rsidRDefault="00126B52" w:rsidP="00854F07">
            <w:pPr>
              <w:spacing w:after="0"/>
              <w:rPr>
                <w:rFonts w:cs="Arial"/>
                <w:lang w:val="en-GB"/>
              </w:rPr>
            </w:pPr>
            <w:r w:rsidRPr="00EF2814">
              <w:rPr>
                <w:rFonts w:cs="Arial"/>
                <w:b/>
                <w:bCs/>
                <w:lang w:val="en-GB"/>
              </w:rPr>
              <w:t xml:space="preserve">Purpose: </w:t>
            </w:r>
            <w:r w:rsidRPr="00EF2814">
              <w:rPr>
                <w:rFonts w:cs="Arial"/>
                <w:lang w:val="en-GB"/>
              </w:rPr>
              <w:t>Assess changes in supervision impacting workforce capability.</w:t>
            </w:r>
          </w:p>
        </w:tc>
      </w:tr>
    </w:tbl>
    <w:p w14:paraId="4F6A5F7F" w14:textId="77777777" w:rsidR="00126B52" w:rsidRPr="00EF2814" w:rsidRDefault="00126B52" w:rsidP="008C02E0">
      <w:pPr>
        <w:spacing w:before="240" w:after="0"/>
        <w:rPr>
          <w:rFonts w:cs="Arial"/>
          <w:b/>
          <w:bCs/>
          <w:lang w:val="en-GB"/>
        </w:rPr>
      </w:pPr>
      <w:r w:rsidRPr="00EF2814">
        <w:rPr>
          <w:rFonts w:cs="Arial"/>
          <w:b/>
          <w:bCs/>
          <w:lang w:val="en-GB"/>
        </w:rPr>
        <w:t>Decision-Making</w:t>
      </w:r>
    </w:p>
    <w:p w14:paraId="3EDE6A25" w14:textId="77777777" w:rsidR="00126B52" w:rsidRPr="00EF2814" w:rsidRDefault="00126B52" w:rsidP="008C02E0">
      <w:pPr>
        <w:spacing w:before="240" w:after="0"/>
        <w:rPr>
          <w:rFonts w:cs="Arial"/>
          <w:b/>
          <w:bCs/>
          <w:lang w:val="en-GB"/>
        </w:rPr>
      </w:pPr>
      <w:r w:rsidRPr="00EF2814">
        <w:rPr>
          <w:rFonts w:cs="Arial"/>
          <w:lang w:val="en-GB"/>
        </w:rPr>
        <w:t xml:space="preserve">Sources included in this review were those that were peer-reviewed and focused on the UK, published within a decade (Ellis </w:t>
      </w:r>
      <w:r w:rsidRPr="00EF2814">
        <w:rPr>
          <w:rFonts w:cs="Arial"/>
          <w:i/>
          <w:iCs/>
          <w:lang w:val="en-GB"/>
        </w:rPr>
        <w:t>et al.</w:t>
      </w:r>
      <w:r w:rsidRPr="00EF2814">
        <w:rPr>
          <w:rFonts w:cs="Arial"/>
          <w:lang w:val="en-GB"/>
        </w:rPr>
        <w:t>, 2023). Relevance was confirmed by assessing alignment with COVID-19 emergency training and healthcare staff competency outcomes.</w:t>
      </w:r>
    </w:p>
    <w:p w14:paraId="759AF391" w14:textId="77777777" w:rsidR="00126B52" w:rsidRPr="00EF2814" w:rsidRDefault="00126B52" w:rsidP="005B1B4C">
      <w:pPr>
        <w:pStyle w:val="Heading2"/>
        <w:rPr>
          <w:lang w:val="en-GB"/>
        </w:rPr>
      </w:pPr>
      <w:bookmarkStart w:id="49" w:name="_f6gntp848ifd" w:colFirst="0" w:colLast="0"/>
      <w:bookmarkStart w:id="50" w:name="_Toc222234357"/>
      <w:bookmarkEnd w:id="49"/>
      <w:r w:rsidRPr="00EF2814">
        <w:rPr>
          <w:lang w:val="en-GB"/>
        </w:rPr>
        <w:t>3.5 Inclusion and Exclusion Criteria</w:t>
      </w:r>
      <w:bookmarkEnd w:id="50"/>
    </w:p>
    <w:p w14:paraId="547EF19E" w14:textId="77777777" w:rsidR="00126B52" w:rsidRPr="00EF2814" w:rsidRDefault="00126B52" w:rsidP="008C02E0">
      <w:pPr>
        <w:spacing w:before="240" w:after="0"/>
        <w:rPr>
          <w:rFonts w:cs="Arial"/>
          <w:b/>
          <w:bCs/>
          <w:lang w:val="en-GB"/>
        </w:rPr>
      </w:pPr>
      <w:r w:rsidRPr="00EF2814">
        <w:rPr>
          <w:rFonts w:cs="Arial"/>
          <w:b/>
          <w:bCs/>
          <w:lang w:val="en-GB"/>
        </w:rPr>
        <w:t>Inclusion Criteria</w:t>
      </w:r>
    </w:p>
    <w:p w14:paraId="250822A0" w14:textId="77777777" w:rsidR="00126B52" w:rsidRPr="00EF2814" w:rsidRDefault="00126B52" w:rsidP="008C02E0">
      <w:pPr>
        <w:spacing w:before="240" w:after="0"/>
        <w:rPr>
          <w:rFonts w:cs="Arial"/>
          <w:lang w:val="en-GB"/>
        </w:rPr>
      </w:pPr>
      <w:r w:rsidRPr="00EF2814">
        <w:rPr>
          <w:rFonts w:cs="Arial"/>
          <w:lang w:val="en-GB"/>
        </w:rPr>
        <w:t>Research data included relevant peer-reviewed journal articles and some of the most authoritative reports issued within the last decade. Only those UK-based studies focusing on COVID-19 emergency clinical training, healthcare workforce development, and staff competency were selected, on the condition that full texts would be accessible online.</w:t>
      </w:r>
    </w:p>
    <w:p w14:paraId="44252100" w14:textId="77777777" w:rsidR="00126B52" w:rsidRPr="00EF2814" w:rsidRDefault="00126B52" w:rsidP="008C02E0">
      <w:pPr>
        <w:spacing w:before="240" w:after="0"/>
        <w:rPr>
          <w:rFonts w:cs="Arial"/>
          <w:b/>
          <w:bCs/>
          <w:lang w:val="en-GB"/>
        </w:rPr>
      </w:pPr>
      <w:r w:rsidRPr="00EF2814">
        <w:rPr>
          <w:rFonts w:cs="Arial"/>
          <w:b/>
          <w:bCs/>
          <w:lang w:val="en-GB"/>
        </w:rPr>
        <w:t>Exclusion Criteria</w:t>
      </w:r>
    </w:p>
    <w:p w14:paraId="5F6FE4C6" w14:textId="77777777" w:rsidR="00126B52" w:rsidRPr="00EF2814" w:rsidRDefault="00126B52" w:rsidP="008C02E0">
      <w:pPr>
        <w:spacing w:before="240" w:after="0"/>
        <w:rPr>
          <w:rFonts w:cs="Arial"/>
          <w:lang w:val="en-GB"/>
        </w:rPr>
      </w:pPr>
      <w:r w:rsidRPr="00EF2814">
        <w:rPr>
          <w:rFonts w:cs="Arial"/>
          <w:lang w:val="en-GB"/>
        </w:rPr>
        <w:t xml:space="preserve">The search tapped into peer-reviewed journal articles and authoritative reports published within the last decade (Hanusch and </w:t>
      </w:r>
      <w:proofErr w:type="spellStart"/>
      <w:r w:rsidRPr="00EF2814">
        <w:rPr>
          <w:rFonts w:cs="Arial"/>
          <w:lang w:val="en-GB"/>
        </w:rPr>
        <w:t>Löhmann</w:t>
      </w:r>
      <w:proofErr w:type="spellEnd"/>
      <w:r w:rsidRPr="00EF2814">
        <w:rPr>
          <w:rFonts w:cs="Arial"/>
          <w:lang w:val="en-GB"/>
        </w:rPr>
        <w:t xml:space="preserve">, 2022). Articles from the UK that focused on COVID-19 </w:t>
      </w:r>
      <w:r w:rsidRPr="00EF2814">
        <w:rPr>
          <w:rFonts w:cs="Arial"/>
          <w:lang w:val="en-GB"/>
        </w:rPr>
        <w:lastRenderedPageBreak/>
        <w:t>emergency clinical training and developing the healthcare workforce/staff competency were selected, provided that full texts were available online.</w:t>
      </w:r>
    </w:p>
    <w:p w14:paraId="62A86FB9" w14:textId="77777777" w:rsidR="00126B52" w:rsidRPr="00EF2814" w:rsidRDefault="00126B52" w:rsidP="008C02E0">
      <w:pPr>
        <w:spacing w:before="240" w:after="0"/>
        <w:rPr>
          <w:rFonts w:cs="Arial"/>
          <w:b/>
          <w:bCs/>
          <w:lang w:val="en-GB"/>
        </w:rPr>
      </w:pPr>
      <w:r w:rsidRPr="00EF2814">
        <w:rPr>
          <w:rFonts w:cs="Arial"/>
          <w:b/>
          <w:bCs/>
          <w:lang w:val="en-GB"/>
        </w:rPr>
        <w:t>Justification</w:t>
      </w:r>
    </w:p>
    <w:p w14:paraId="72D2E658" w14:textId="77777777" w:rsidR="00126B52" w:rsidRPr="00EF2814" w:rsidRDefault="00126B52" w:rsidP="008C02E0">
      <w:pPr>
        <w:spacing w:before="240" w:after="0"/>
        <w:rPr>
          <w:rFonts w:cs="Arial"/>
          <w:lang w:val="en-GB"/>
        </w:rPr>
      </w:pPr>
      <w:r w:rsidRPr="00EF2814">
        <w:rPr>
          <w:rFonts w:cs="Arial"/>
          <w:lang w:val="en-GB"/>
        </w:rPr>
        <w:t>The sources excluded were opinion blogs, non-academic publications, and studies published over a decade ago. Literature conducted outside the UK, articles not written in English, and sources lacking relevance to emergency training or staff competency were also excluded.</w:t>
      </w:r>
    </w:p>
    <w:p w14:paraId="1FDBAB84" w14:textId="77777777" w:rsidR="00126B52" w:rsidRPr="00EF2814" w:rsidRDefault="00126B52" w:rsidP="005B1B4C">
      <w:pPr>
        <w:pStyle w:val="Heading2"/>
        <w:rPr>
          <w:lang w:val="en-GB"/>
        </w:rPr>
      </w:pPr>
      <w:bookmarkStart w:id="51" w:name="_owsbf2y7ru51" w:colFirst="0" w:colLast="0"/>
      <w:bookmarkStart w:id="52" w:name="_Toc222234358"/>
      <w:bookmarkEnd w:id="51"/>
      <w:r w:rsidRPr="00EF2814">
        <w:rPr>
          <w:lang w:val="en-GB"/>
        </w:rPr>
        <w:t>3.6 Analysing Research</w:t>
      </w:r>
      <w:bookmarkEnd w:id="52"/>
      <w:r w:rsidRPr="00EF2814">
        <w:rPr>
          <w:lang w:val="en-GB"/>
        </w:rPr>
        <w:t xml:space="preserve"> </w:t>
      </w:r>
    </w:p>
    <w:p w14:paraId="494FB002" w14:textId="77777777" w:rsidR="00126B52" w:rsidRPr="00EF2814" w:rsidRDefault="00126B52" w:rsidP="008C02E0">
      <w:pPr>
        <w:spacing w:before="240" w:after="0"/>
        <w:rPr>
          <w:rFonts w:cs="Arial"/>
          <w:b/>
          <w:bCs/>
          <w:lang w:val="en-GB"/>
        </w:rPr>
      </w:pPr>
      <w:r w:rsidRPr="00EF2814">
        <w:rPr>
          <w:rFonts w:cs="Arial"/>
          <w:b/>
          <w:bCs/>
          <w:lang w:val="en-GB"/>
        </w:rPr>
        <w:t>Thematic Coding Approach</w:t>
      </w:r>
    </w:p>
    <w:tbl>
      <w:tblPr>
        <w:tblW w:w="9739"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3786"/>
        <w:gridCol w:w="3402"/>
        <w:gridCol w:w="2551"/>
      </w:tblGrid>
      <w:tr w:rsidR="00126B52" w:rsidRPr="00EF2814" w14:paraId="4B25EEC6" w14:textId="77777777" w:rsidTr="00F0469E">
        <w:trPr>
          <w:trHeight w:val="570"/>
        </w:trPr>
        <w:tc>
          <w:tcPr>
            <w:tcW w:w="37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201A64" w14:textId="77777777" w:rsidR="00126B52" w:rsidRPr="00EF2814" w:rsidRDefault="00126B52" w:rsidP="008C02E0">
            <w:pPr>
              <w:spacing w:before="240" w:after="0"/>
              <w:rPr>
                <w:rFonts w:cs="Arial"/>
                <w:b/>
                <w:bCs/>
                <w:lang w:val="en-GB"/>
              </w:rPr>
            </w:pPr>
            <w:r w:rsidRPr="00EF2814">
              <w:rPr>
                <w:rFonts w:cs="Arial"/>
                <w:b/>
                <w:bCs/>
                <w:lang w:val="en-GB"/>
              </w:rPr>
              <w:t>Article Focus</w:t>
            </w:r>
          </w:p>
        </w:tc>
        <w:tc>
          <w:tcPr>
            <w:tcW w:w="3402"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7A123C1" w14:textId="77777777" w:rsidR="00126B52" w:rsidRPr="00EF2814" w:rsidRDefault="00126B52" w:rsidP="008C02E0">
            <w:pPr>
              <w:spacing w:before="240" w:after="0"/>
              <w:rPr>
                <w:rFonts w:cs="Arial"/>
                <w:b/>
                <w:bCs/>
                <w:lang w:val="en-GB"/>
              </w:rPr>
            </w:pPr>
            <w:r w:rsidRPr="00EF2814">
              <w:rPr>
                <w:rFonts w:cs="Arial"/>
                <w:b/>
                <w:bCs/>
                <w:lang w:val="en-GB"/>
              </w:rPr>
              <w:t>Repeated Keywords</w:t>
            </w:r>
          </w:p>
        </w:tc>
        <w:tc>
          <w:tcPr>
            <w:tcW w:w="2551"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BE56A26" w14:textId="77777777" w:rsidR="00126B52" w:rsidRPr="00EF2814" w:rsidRDefault="00126B52" w:rsidP="008C02E0">
            <w:pPr>
              <w:spacing w:before="240" w:after="0"/>
              <w:rPr>
                <w:rFonts w:cs="Arial"/>
                <w:b/>
                <w:bCs/>
                <w:lang w:val="en-GB"/>
              </w:rPr>
            </w:pPr>
            <w:r w:rsidRPr="00EF2814">
              <w:rPr>
                <w:rFonts w:cs="Arial"/>
                <w:b/>
                <w:bCs/>
                <w:lang w:val="en-GB"/>
              </w:rPr>
              <w:t>Initial Codes</w:t>
            </w:r>
          </w:p>
        </w:tc>
      </w:tr>
      <w:tr w:rsidR="00126B52" w:rsidRPr="00EF2814" w14:paraId="1E283962" w14:textId="77777777" w:rsidTr="00F0469E">
        <w:trPr>
          <w:trHeight w:val="570"/>
        </w:trPr>
        <w:tc>
          <w:tcPr>
            <w:tcW w:w="37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5F9E6" w14:textId="77777777" w:rsidR="00126B52" w:rsidRPr="00EF2814" w:rsidRDefault="00126B52" w:rsidP="008C02E0">
            <w:pPr>
              <w:spacing w:before="240" w:after="0"/>
              <w:rPr>
                <w:rFonts w:cs="Arial"/>
                <w:lang w:val="en-GB"/>
              </w:rPr>
            </w:pPr>
            <w:r w:rsidRPr="00EF2814">
              <w:rPr>
                <w:rFonts w:cs="Arial"/>
                <w:lang w:val="en-GB"/>
              </w:rPr>
              <w:t>Emergency training delivery</w:t>
            </w:r>
          </w:p>
        </w:tc>
        <w:tc>
          <w:tcPr>
            <w:tcW w:w="3402"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C90A978" w14:textId="77777777" w:rsidR="00126B52" w:rsidRPr="00EF2814" w:rsidRDefault="00126B52" w:rsidP="008C02E0">
            <w:pPr>
              <w:spacing w:before="240" w:after="0"/>
              <w:rPr>
                <w:rFonts w:cs="Arial"/>
                <w:lang w:val="en-GB"/>
              </w:rPr>
            </w:pPr>
            <w:r w:rsidRPr="00EF2814">
              <w:rPr>
                <w:rFonts w:cs="Arial"/>
                <w:lang w:val="en-GB"/>
              </w:rPr>
              <w:t>Rapid training, crisis response</w:t>
            </w:r>
          </w:p>
        </w:tc>
        <w:tc>
          <w:tcPr>
            <w:tcW w:w="2551"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4C25449" w14:textId="77777777" w:rsidR="00126B52" w:rsidRPr="00EF2814" w:rsidRDefault="00126B52" w:rsidP="008C02E0">
            <w:pPr>
              <w:spacing w:before="240" w:after="0"/>
              <w:rPr>
                <w:rFonts w:cs="Arial"/>
                <w:lang w:val="en-GB"/>
              </w:rPr>
            </w:pPr>
            <w:r w:rsidRPr="00EF2814">
              <w:rPr>
                <w:rFonts w:cs="Arial"/>
                <w:lang w:val="en-GB"/>
              </w:rPr>
              <w:t>Accelerated training</w:t>
            </w:r>
          </w:p>
        </w:tc>
      </w:tr>
      <w:tr w:rsidR="00126B52" w:rsidRPr="00EF2814" w14:paraId="5057BC7D" w14:textId="77777777" w:rsidTr="00F0469E">
        <w:trPr>
          <w:trHeight w:val="570"/>
        </w:trPr>
        <w:tc>
          <w:tcPr>
            <w:tcW w:w="37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2E154F" w14:textId="77777777" w:rsidR="00126B52" w:rsidRPr="00EF2814" w:rsidRDefault="00126B52" w:rsidP="008C02E0">
            <w:pPr>
              <w:spacing w:before="240" w:after="0"/>
              <w:rPr>
                <w:rFonts w:cs="Arial"/>
                <w:lang w:val="en-GB"/>
              </w:rPr>
            </w:pPr>
            <w:r w:rsidRPr="00EF2814">
              <w:rPr>
                <w:rFonts w:cs="Arial"/>
                <w:lang w:val="en-GB"/>
              </w:rPr>
              <w:t>Workforce redeployment</w:t>
            </w:r>
          </w:p>
        </w:tc>
        <w:tc>
          <w:tcPr>
            <w:tcW w:w="3402"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AF42DB8" w14:textId="77777777" w:rsidR="00126B52" w:rsidRPr="00EF2814" w:rsidRDefault="00126B52" w:rsidP="008C02E0">
            <w:pPr>
              <w:spacing w:before="240" w:after="0"/>
              <w:rPr>
                <w:rFonts w:cs="Arial"/>
                <w:lang w:val="en-GB"/>
              </w:rPr>
            </w:pPr>
            <w:r w:rsidRPr="00EF2814">
              <w:rPr>
                <w:rFonts w:cs="Arial"/>
                <w:lang w:val="en-GB"/>
              </w:rPr>
              <w:t>Role change, flexibility</w:t>
            </w:r>
          </w:p>
        </w:tc>
        <w:tc>
          <w:tcPr>
            <w:tcW w:w="2551"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48AEAA0" w14:textId="77777777" w:rsidR="00126B52" w:rsidRPr="00EF2814" w:rsidRDefault="00126B52" w:rsidP="008C02E0">
            <w:pPr>
              <w:spacing w:before="240" w:after="0"/>
              <w:rPr>
                <w:rFonts w:cs="Arial"/>
                <w:lang w:val="en-GB"/>
              </w:rPr>
            </w:pPr>
            <w:r w:rsidRPr="00EF2814">
              <w:rPr>
                <w:rFonts w:cs="Arial"/>
                <w:lang w:val="en-GB"/>
              </w:rPr>
              <w:t>Role adaptation</w:t>
            </w:r>
          </w:p>
        </w:tc>
      </w:tr>
      <w:tr w:rsidR="00126B52" w:rsidRPr="00EF2814" w14:paraId="23E254E5" w14:textId="77777777" w:rsidTr="00F0469E">
        <w:trPr>
          <w:trHeight w:val="570"/>
        </w:trPr>
        <w:tc>
          <w:tcPr>
            <w:tcW w:w="37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E6E25F" w14:textId="77777777" w:rsidR="00126B52" w:rsidRPr="00EF2814" w:rsidRDefault="00126B52" w:rsidP="008C02E0">
            <w:pPr>
              <w:spacing w:before="240" w:after="0"/>
              <w:rPr>
                <w:rFonts w:cs="Arial"/>
                <w:lang w:val="en-GB"/>
              </w:rPr>
            </w:pPr>
            <w:r w:rsidRPr="00EF2814">
              <w:rPr>
                <w:rFonts w:cs="Arial"/>
                <w:lang w:val="en-GB"/>
              </w:rPr>
              <w:t>Competency outcomes</w:t>
            </w:r>
          </w:p>
        </w:tc>
        <w:tc>
          <w:tcPr>
            <w:tcW w:w="3402"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48743FB" w14:textId="77777777" w:rsidR="00126B52" w:rsidRPr="00EF2814" w:rsidRDefault="00126B52" w:rsidP="008C02E0">
            <w:pPr>
              <w:spacing w:before="240" w:after="0"/>
              <w:rPr>
                <w:rFonts w:cs="Arial"/>
                <w:lang w:val="en-GB"/>
              </w:rPr>
            </w:pPr>
            <w:r w:rsidRPr="00EF2814">
              <w:rPr>
                <w:rFonts w:cs="Arial"/>
                <w:lang w:val="en-GB"/>
              </w:rPr>
              <w:t>Skills, confidence</w:t>
            </w:r>
          </w:p>
        </w:tc>
        <w:tc>
          <w:tcPr>
            <w:tcW w:w="2551"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447DC7D" w14:textId="77777777" w:rsidR="00126B52" w:rsidRPr="00EF2814" w:rsidRDefault="00126B52" w:rsidP="008C02E0">
            <w:pPr>
              <w:spacing w:before="240" w:after="0"/>
              <w:rPr>
                <w:rFonts w:cs="Arial"/>
                <w:lang w:val="en-GB"/>
              </w:rPr>
            </w:pPr>
            <w:r w:rsidRPr="00EF2814">
              <w:rPr>
                <w:rFonts w:cs="Arial"/>
                <w:lang w:val="en-GB"/>
              </w:rPr>
              <w:t>Competency development</w:t>
            </w:r>
          </w:p>
        </w:tc>
      </w:tr>
    </w:tbl>
    <w:p w14:paraId="3CDF927C" w14:textId="77777777" w:rsidR="00126B52" w:rsidRPr="00EF2814" w:rsidRDefault="00126B52" w:rsidP="008C02E0">
      <w:pPr>
        <w:spacing w:before="240" w:after="0"/>
        <w:rPr>
          <w:rFonts w:cs="Arial"/>
          <w:b/>
          <w:bCs/>
          <w:lang w:val="en-GB"/>
        </w:rPr>
      </w:pPr>
    </w:p>
    <w:p w14:paraId="680368D9" w14:textId="77777777" w:rsidR="00126B52" w:rsidRPr="00EF2814" w:rsidRDefault="00126B52" w:rsidP="008C02E0">
      <w:pPr>
        <w:spacing w:before="240" w:after="0"/>
        <w:rPr>
          <w:rFonts w:cs="Arial"/>
          <w:lang w:val="en-GB"/>
        </w:rPr>
      </w:pPr>
      <w:r w:rsidRPr="00EF2814">
        <w:rPr>
          <w:rFonts w:cs="Arial"/>
          <w:lang w:val="en-GB"/>
        </w:rPr>
        <w:t xml:space="preserve">Thematic coding was done through a close review of every selected article to identify repeated keywords, ideas, and issues regarding emergency clinical training and competency of staff (Khazaei </w:t>
      </w:r>
      <w:r w:rsidRPr="00EF2814">
        <w:rPr>
          <w:rFonts w:cs="Arial"/>
          <w:i/>
          <w:iCs/>
          <w:lang w:val="en-GB"/>
        </w:rPr>
        <w:t>et al.</w:t>
      </w:r>
      <w:r w:rsidRPr="00EF2814">
        <w:rPr>
          <w:rFonts w:cs="Arial"/>
          <w:lang w:val="en-GB"/>
        </w:rPr>
        <w:t>, 2024). Such repetitions were labelled as initial codes to support systematic qualitative analysis.</w:t>
      </w:r>
    </w:p>
    <w:p w14:paraId="65DA49CF" w14:textId="77777777" w:rsidR="00126B52" w:rsidRPr="00EF2814" w:rsidRDefault="00126B52" w:rsidP="008C02E0">
      <w:pPr>
        <w:spacing w:before="240" w:after="0"/>
        <w:rPr>
          <w:rFonts w:cs="Arial"/>
          <w:b/>
          <w:bCs/>
          <w:lang w:val="en-GB"/>
        </w:rPr>
      </w:pPr>
      <w:r w:rsidRPr="00EF2814">
        <w:rPr>
          <w:rFonts w:cs="Arial"/>
          <w:b/>
          <w:bCs/>
          <w:lang w:val="en-GB"/>
        </w:rPr>
        <w:t>Developing Themes</w:t>
      </w:r>
    </w:p>
    <w:tbl>
      <w:tblPr>
        <w:tblW w:w="9739"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2938"/>
        <w:gridCol w:w="3568"/>
        <w:gridCol w:w="3233"/>
      </w:tblGrid>
      <w:tr w:rsidR="00126B52" w:rsidRPr="00EF2814" w14:paraId="786B1DA7" w14:textId="77777777" w:rsidTr="00F0469E">
        <w:trPr>
          <w:trHeight w:val="514"/>
        </w:trPr>
        <w:tc>
          <w:tcPr>
            <w:tcW w:w="293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4E8982" w14:textId="77777777" w:rsidR="00126B52" w:rsidRPr="00EF2814" w:rsidRDefault="00126B52" w:rsidP="008C02E0">
            <w:pPr>
              <w:spacing w:before="240" w:after="0"/>
              <w:rPr>
                <w:rFonts w:cs="Arial"/>
                <w:b/>
                <w:bCs/>
                <w:lang w:val="en-GB"/>
              </w:rPr>
            </w:pPr>
            <w:r w:rsidRPr="00EF2814">
              <w:rPr>
                <w:rFonts w:cs="Arial"/>
                <w:b/>
                <w:bCs/>
                <w:lang w:val="en-GB"/>
              </w:rPr>
              <w:t>Obtain from Qualitative</w:t>
            </w:r>
          </w:p>
          <w:p w14:paraId="19FDE4A5" w14:textId="77777777" w:rsidR="00126B52" w:rsidRPr="00EF2814" w:rsidRDefault="00126B52" w:rsidP="008C02E0">
            <w:pPr>
              <w:spacing w:before="240" w:after="0"/>
              <w:rPr>
                <w:rFonts w:cs="Arial"/>
                <w:b/>
                <w:bCs/>
                <w:lang w:val="en-GB"/>
              </w:rPr>
            </w:pPr>
            <w:r w:rsidRPr="00EF2814">
              <w:rPr>
                <w:rFonts w:cs="Arial"/>
                <w:b/>
                <w:bCs/>
                <w:lang w:val="en-GB"/>
              </w:rPr>
              <w:t>Data</w:t>
            </w:r>
          </w:p>
        </w:tc>
        <w:tc>
          <w:tcPr>
            <w:tcW w:w="3568"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C394C0F" w14:textId="77777777" w:rsidR="00126B52" w:rsidRPr="00EF2814" w:rsidRDefault="00126B52" w:rsidP="008C02E0">
            <w:pPr>
              <w:spacing w:before="240" w:after="0"/>
              <w:rPr>
                <w:rFonts w:cs="Arial"/>
                <w:b/>
                <w:bCs/>
                <w:lang w:val="en-GB"/>
              </w:rPr>
            </w:pPr>
            <w:r w:rsidRPr="00EF2814">
              <w:rPr>
                <w:rFonts w:cs="Arial"/>
                <w:b/>
                <w:bCs/>
                <w:lang w:val="en-GB"/>
              </w:rPr>
              <w:t>Developing Codes</w:t>
            </w:r>
          </w:p>
        </w:tc>
        <w:tc>
          <w:tcPr>
            <w:tcW w:w="3233"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D27BC2E" w14:textId="77777777" w:rsidR="00126B52" w:rsidRPr="00EF2814" w:rsidRDefault="00126B52" w:rsidP="008C02E0">
            <w:pPr>
              <w:spacing w:before="240" w:after="0"/>
              <w:rPr>
                <w:rFonts w:cs="Arial"/>
                <w:b/>
                <w:bCs/>
                <w:lang w:val="en-GB"/>
              </w:rPr>
            </w:pPr>
            <w:r w:rsidRPr="00EF2814">
              <w:rPr>
                <w:rFonts w:cs="Arial"/>
                <w:b/>
                <w:bCs/>
                <w:lang w:val="en-GB"/>
              </w:rPr>
              <w:t>Generating Themes</w:t>
            </w:r>
          </w:p>
        </w:tc>
      </w:tr>
      <w:tr w:rsidR="00126B52" w:rsidRPr="00EF2814" w14:paraId="602C3833" w14:textId="77777777" w:rsidTr="00F0469E">
        <w:trPr>
          <w:trHeight w:val="514"/>
        </w:trPr>
        <w:tc>
          <w:tcPr>
            <w:tcW w:w="293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5D9411" w14:textId="77777777" w:rsidR="00126B52" w:rsidRPr="00EF2814" w:rsidRDefault="00126B52" w:rsidP="008C02E0">
            <w:pPr>
              <w:spacing w:before="240" w:after="0"/>
              <w:rPr>
                <w:rFonts w:cs="Arial"/>
                <w:lang w:val="en-GB"/>
              </w:rPr>
            </w:pPr>
            <w:r w:rsidRPr="00EF2814">
              <w:rPr>
                <w:rFonts w:cs="Arial"/>
                <w:lang w:val="en-GB"/>
              </w:rPr>
              <w:lastRenderedPageBreak/>
              <w:t>Rapid training models</w:t>
            </w:r>
          </w:p>
        </w:tc>
        <w:tc>
          <w:tcPr>
            <w:tcW w:w="3568"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1062884" w14:textId="77777777" w:rsidR="00126B52" w:rsidRPr="00EF2814" w:rsidRDefault="00126B52" w:rsidP="008C02E0">
            <w:pPr>
              <w:spacing w:before="240" w:after="0"/>
              <w:rPr>
                <w:rFonts w:cs="Arial"/>
                <w:lang w:val="en-GB"/>
              </w:rPr>
            </w:pPr>
            <w:r w:rsidRPr="00EF2814">
              <w:rPr>
                <w:rFonts w:cs="Arial"/>
                <w:lang w:val="en-GB"/>
              </w:rPr>
              <w:t>Accelerated training</w:t>
            </w:r>
          </w:p>
        </w:tc>
        <w:tc>
          <w:tcPr>
            <w:tcW w:w="3233"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44D2FB6" w14:textId="77777777" w:rsidR="00126B52" w:rsidRPr="00EF2814" w:rsidRDefault="00126B52" w:rsidP="008C02E0">
            <w:pPr>
              <w:spacing w:before="240" w:after="0"/>
              <w:rPr>
                <w:rFonts w:cs="Arial"/>
                <w:lang w:val="en-GB"/>
              </w:rPr>
            </w:pPr>
            <w:r w:rsidRPr="00EF2814">
              <w:rPr>
                <w:rFonts w:cs="Arial"/>
                <w:lang w:val="en-GB"/>
              </w:rPr>
              <w:t>Emergency training effectiveness</w:t>
            </w:r>
          </w:p>
        </w:tc>
      </w:tr>
      <w:tr w:rsidR="00126B52" w:rsidRPr="00EF2814" w14:paraId="0E055FB3" w14:textId="77777777" w:rsidTr="00F0469E">
        <w:trPr>
          <w:trHeight w:val="514"/>
        </w:trPr>
        <w:tc>
          <w:tcPr>
            <w:tcW w:w="293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74E9A0" w14:textId="77777777" w:rsidR="00126B52" w:rsidRPr="00EF2814" w:rsidRDefault="00126B52" w:rsidP="008C02E0">
            <w:pPr>
              <w:spacing w:before="240" w:after="0"/>
              <w:rPr>
                <w:rFonts w:cs="Arial"/>
                <w:lang w:val="en-GB"/>
              </w:rPr>
            </w:pPr>
            <w:r w:rsidRPr="00EF2814">
              <w:rPr>
                <w:rFonts w:cs="Arial"/>
                <w:lang w:val="en-GB"/>
              </w:rPr>
              <w:t>Redeployment experiences</w:t>
            </w:r>
          </w:p>
        </w:tc>
        <w:tc>
          <w:tcPr>
            <w:tcW w:w="3568"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F336495" w14:textId="77777777" w:rsidR="00126B52" w:rsidRPr="00EF2814" w:rsidRDefault="00126B52" w:rsidP="008C02E0">
            <w:pPr>
              <w:spacing w:before="240" w:after="0"/>
              <w:rPr>
                <w:rFonts w:cs="Arial"/>
                <w:lang w:val="en-GB"/>
              </w:rPr>
            </w:pPr>
            <w:r w:rsidRPr="00EF2814">
              <w:rPr>
                <w:rFonts w:cs="Arial"/>
                <w:lang w:val="en-GB"/>
              </w:rPr>
              <w:t>Role adaptation</w:t>
            </w:r>
          </w:p>
        </w:tc>
        <w:tc>
          <w:tcPr>
            <w:tcW w:w="3233"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1A69095" w14:textId="77777777" w:rsidR="00126B52" w:rsidRPr="00EF2814" w:rsidRDefault="00126B52" w:rsidP="008C02E0">
            <w:pPr>
              <w:spacing w:before="240" w:after="0"/>
              <w:rPr>
                <w:rFonts w:cs="Arial"/>
                <w:lang w:val="en-GB"/>
              </w:rPr>
            </w:pPr>
            <w:r w:rsidRPr="00EF2814">
              <w:rPr>
                <w:rFonts w:cs="Arial"/>
                <w:lang w:val="en-GB"/>
              </w:rPr>
              <w:t>Workforce flexibility</w:t>
            </w:r>
          </w:p>
        </w:tc>
      </w:tr>
      <w:tr w:rsidR="00126B52" w:rsidRPr="00EF2814" w14:paraId="4DADECF6" w14:textId="77777777" w:rsidTr="00F0469E">
        <w:trPr>
          <w:trHeight w:val="514"/>
        </w:trPr>
        <w:tc>
          <w:tcPr>
            <w:tcW w:w="293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351902" w14:textId="77777777" w:rsidR="00126B52" w:rsidRPr="00EF2814" w:rsidRDefault="00126B52" w:rsidP="008C02E0">
            <w:pPr>
              <w:spacing w:before="240" w:after="0"/>
              <w:rPr>
                <w:rFonts w:cs="Arial"/>
                <w:lang w:val="en-GB"/>
              </w:rPr>
            </w:pPr>
            <w:r w:rsidRPr="00EF2814">
              <w:rPr>
                <w:rFonts w:cs="Arial"/>
                <w:lang w:val="en-GB"/>
              </w:rPr>
              <w:t>Skill and confidence changes</w:t>
            </w:r>
          </w:p>
        </w:tc>
        <w:tc>
          <w:tcPr>
            <w:tcW w:w="3568"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30D70C4" w14:textId="77777777" w:rsidR="00126B52" w:rsidRPr="00EF2814" w:rsidRDefault="00126B52" w:rsidP="008C02E0">
            <w:pPr>
              <w:spacing w:before="240" w:after="0"/>
              <w:rPr>
                <w:rFonts w:cs="Arial"/>
                <w:lang w:val="en-GB"/>
              </w:rPr>
            </w:pPr>
            <w:r w:rsidRPr="00EF2814">
              <w:rPr>
                <w:rFonts w:cs="Arial"/>
                <w:lang w:val="en-GB"/>
              </w:rPr>
              <w:t>Competency development</w:t>
            </w:r>
          </w:p>
        </w:tc>
        <w:tc>
          <w:tcPr>
            <w:tcW w:w="3233"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5ABDF9A" w14:textId="77777777" w:rsidR="00126B52" w:rsidRPr="00EF2814" w:rsidRDefault="00126B52" w:rsidP="008C02E0">
            <w:pPr>
              <w:spacing w:before="240" w:after="0"/>
              <w:rPr>
                <w:rFonts w:cs="Arial"/>
                <w:lang w:val="en-GB"/>
              </w:rPr>
            </w:pPr>
            <w:r w:rsidRPr="00EF2814">
              <w:rPr>
                <w:rFonts w:cs="Arial"/>
                <w:lang w:val="en-GB"/>
              </w:rPr>
              <w:t>Staff preparedness</w:t>
            </w:r>
          </w:p>
        </w:tc>
      </w:tr>
    </w:tbl>
    <w:p w14:paraId="2468874A" w14:textId="77777777" w:rsidR="00126B52" w:rsidRPr="00EF2814" w:rsidRDefault="00126B52" w:rsidP="008C02E0">
      <w:pPr>
        <w:spacing w:before="240" w:after="0"/>
        <w:rPr>
          <w:rFonts w:cs="Arial"/>
          <w:b/>
          <w:bCs/>
          <w:lang w:val="en-GB"/>
        </w:rPr>
      </w:pPr>
    </w:p>
    <w:p w14:paraId="591AE744" w14:textId="77777777" w:rsidR="00126B52" w:rsidRPr="00EF2814" w:rsidRDefault="00126B52" w:rsidP="008C02E0">
      <w:pPr>
        <w:spacing w:before="240" w:after="0"/>
        <w:rPr>
          <w:rFonts w:cs="Arial"/>
          <w:lang w:val="en-GB"/>
        </w:rPr>
      </w:pPr>
      <w:r w:rsidRPr="00EF2814">
        <w:rPr>
          <w:rFonts w:cs="Arial"/>
          <w:lang w:val="en-GB"/>
        </w:rPr>
        <w:t>Closely related codes were grouped to form higher-level themes. The themes represented the shared meaning across the studies and addressed the research objectives directly and competency-focused outcomes.</w:t>
      </w:r>
    </w:p>
    <w:p w14:paraId="7826FD2F" w14:textId="77777777" w:rsidR="00126B52" w:rsidRPr="00EF2814" w:rsidRDefault="00126B52" w:rsidP="008C02E0">
      <w:pPr>
        <w:spacing w:before="240" w:after="0"/>
        <w:rPr>
          <w:rFonts w:cs="Arial"/>
          <w:b/>
          <w:bCs/>
          <w:lang w:val="en-GB"/>
        </w:rPr>
      </w:pPr>
      <w:r w:rsidRPr="00EF2814">
        <w:rPr>
          <w:rFonts w:cs="Arial"/>
          <w:b/>
          <w:bCs/>
          <w:lang w:val="en-GB"/>
        </w:rPr>
        <w:t>Organisation</w:t>
      </w:r>
    </w:p>
    <w:p w14:paraId="0ACBD9FB" w14:textId="77777777" w:rsidR="00126B52" w:rsidRPr="00EF2814" w:rsidRDefault="00126B52" w:rsidP="008C02E0">
      <w:pPr>
        <w:spacing w:before="240" w:after="0"/>
        <w:rPr>
          <w:rFonts w:cs="Arial"/>
          <w:lang w:val="en-GB"/>
        </w:rPr>
      </w:pPr>
      <w:r w:rsidRPr="00EF2814">
        <w:rPr>
          <w:rFonts w:cs="Arial"/>
          <w:lang w:val="en-GB"/>
        </w:rPr>
        <w:t xml:space="preserve">The development of the codes and themes was completed systematically using tables, spreadsheets, and colour coding (Rosen </w:t>
      </w:r>
      <w:r w:rsidRPr="00EF2814">
        <w:rPr>
          <w:rFonts w:cs="Arial"/>
          <w:i/>
          <w:iCs/>
          <w:lang w:val="en-GB"/>
        </w:rPr>
        <w:t>et al.</w:t>
      </w:r>
      <w:r w:rsidRPr="00EF2814">
        <w:rPr>
          <w:rFonts w:cs="Arial"/>
          <w:lang w:val="en-GB"/>
        </w:rPr>
        <w:t>, 2023). This structured approach facilitated the clear tracking of analytical decisions that support transparency and ensure that themes can easily be transferred into the Chapter 4 findings.</w:t>
      </w:r>
    </w:p>
    <w:p w14:paraId="497626DC" w14:textId="77777777" w:rsidR="00126B52" w:rsidRPr="00EF2814" w:rsidRDefault="00126B52" w:rsidP="005B1B4C">
      <w:pPr>
        <w:pStyle w:val="Heading2"/>
        <w:rPr>
          <w:lang w:val="en-GB"/>
        </w:rPr>
      </w:pPr>
      <w:bookmarkStart w:id="53" w:name="_d719asysohnm" w:colFirst="0" w:colLast="0"/>
      <w:bookmarkStart w:id="54" w:name="_Toc222234359"/>
      <w:bookmarkEnd w:id="53"/>
      <w:r w:rsidRPr="00EF2814">
        <w:rPr>
          <w:lang w:val="en-GB"/>
        </w:rPr>
        <w:t>3.7 Ethical Considerations</w:t>
      </w:r>
      <w:bookmarkEnd w:id="54"/>
      <w:r w:rsidRPr="00EF2814">
        <w:rPr>
          <w:lang w:val="en-GB"/>
        </w:rPr>
        <w:t xml:space="preserve">  </w:t>
      </w:r>
    </w:p>
    <w:p w14:paraId="54BD93FF" w14:textId="77777777" w:rsidR="00126B52" w:rsidRPr="00EF2814" w:rsidRDefault="00126B52" w:rsidP="008C02E0">
      <w:pPr>
        <w:spacing w:before="240" w:after="0"/>
        <w:rPr>
          <w:rFonts w:cs="Arial"/>
          <w:b/>
          <w:bCs/>
          <w:lang w:val="en-GB"/>
        </w:rPr>
      </w:pPr>
      <w:r w:rsidRPr="00EF2814">
        <w:rPr>
          <w:rFonts w:cs="Arial"/>
          <w:b/>
          <w:bCs/>
          <w:lang w:val="en-GB"/>
        </w:rPr>
        <w:t>Secondary Research Ethics</w:t>
      </w:r>
    </w:p>
    <w:p w14:paraId="07E381D2" w14:textId="77777777" w:rsidR="00126B52" w:rsidRPr="00EF2814" w:rsidRDefault="00126B52" w:rsidP="008C02E0">
      <w:pPr>
        <w:spacing w:before="240" w:after="0"/>
        <w:rPr>
          <w:rFonts w:cs="Arial"/>
          <w:lang w:val="en-GB"/>
        </w:rPr>
      </w:pPr>
      <w:r w:rsidRPr="00EF2814">
        <w:rPr>
          <w:rFonts w:cs="Arial"/>
          <w:lang w:val="en-GB"/>
        </w:rPr>
        <w:t>The study is, therefore, purely based on secondary data; no fresh data collection has been carried out. Ethical use of literature available, respectful treatment in its interpretation, and norms of academic research were the aspects of ethical responsibility to which attention was given.</w:t>
      </w:r>
    </w:p>
    <w:p w14:paraId="3DF80325" w14:textId="77777777" w:rsidR="00126B52" w:rsidRPr="00EF2814" w:rsidRDefault="00126B52" w:rsidP="008C02E0">
      <w:pPr>
        <w:spacing w:before="240" w:after="0"/>
        <w:rPr>
          <w:rFonts w:cs="Arial"/>
          <w:b/>
          <w:bCs/>
          <w:lang w:val="en-GB"/>
        </w:rPr>
      </w:pPr>
      <w:r w:rsidRPr="00EF2814">
        <w:rPr>
          <w:rFonts w:cs="Arial"/>
          <w:b/>
          <w:bCs/>
          <w:lang w:val="en-GB"/>
        </w:rPr>
        <w:t>Academic Integrity</w:t>
      </w:r>
    </w:p>
    <w:p w14:paraId="6E9D8292" w14:textId="77777777" w:rsidR="00126B52" w:rsidRPr="00EF2814" w:rsidRDefault="00126B52" w:rsidP="008C02E0">
      <w:pPr>
        <w:spacing w:before="240" w:after="0"/>
        <w:rPr>
          <w:rFonts w:cs="Arial"/>
          <w:b/>
          <w:bCs/>
          <w:lang w:val="en-GB"/>
        </w:rPr>
      </w:pPr>
      <w:r w:rsidRPr="00EF2814">
        <w:rPr>
          <w:rFonts w:cs="Arial"/>
          <w:lang w:val="en-GB"/>
        </w:rPr>
        <w:t>This work will ensure academic integrity through proper citation of sources according to the Harvard referencing system, paraphrasing accurately without plagiarising or misrepresenting ideas, so the findings and interpretations from other authors are faithfully presented (Mattar, 2022).</w:t>
      </w:r>
    </w:p>
    <w:p w14:paraId="2BA71CF7" w14:textId="77777777" w:rsidR="00126B52" w:rsidRPr="00EF2814" w:rsidRDefault="00126B52" w:rsidP="008C02E0">
      <w:pPr>
        <w:spacing w:before="240" w:after="0"/>
        <w:rPr>
          <w:rFonts w:cs="Arial"/>
          <w:b/>
          <w:bCs/>
          <w:lang w:val="en-GB"/>
        </w:rPr>
      </w:pPr>
      <w:r w:rsidRPr="00EF2814">
        <w:rPr>
          <w:rFonts w:cs="Arial"/>
          <w:b/>
          <w:bCs/>
          <w:lang w:val="en-GB"/>
        </w:rPr>
        <w:lastRenderedPageBreak/>
        <w:t>Transparency and Credibility</w:t>
      </w:r>
    </w:p>
    <w:p w14:paraId="450F085F" w14:textId="77777777" w:rsidR="00126B52" w:rsidRPr="00EF2814" w:rsidRDefault="00126B52" w:rsidP="008C02E0">
      <w:pPr>
        <w:spacing w:before="240" w:after="0"/>
        <w:rPr>
          <w:rFonts w:cs="Arial"/>
          <w:b/>
          <w:bCs/>
          <w:lang w:val="en-GB"/>
        </w:rPr>
      </w:pPr>
      <w:r w:rsidRPr="00EF2814">
        <w:rPr>
          <w:rFonts w:cs="Arial"/>
          <w:lang w:val="en-GB"/>
        </w:rPr>
        <w:t>Fair selection of literature, critical comparison, and presentation of evidence ensured transparency in ways that strengthened credibility to support trustworthy analysis related to the delivery of emergency clinical training and staff competency outcomes.</w:t>
      </w:r>
    </w:p>
    <w:p w14:paraId="6CC0F9C7" w14:textId="77777777" w:rsidR="00126B52" w:rsidRPr="00EF2814" w:rsidRDefault="00126B52" w:rsidP="005B1B4C">
      <w:pPr>
        <w:pStyle w:val="Heading2"/>
        <w:rPr>
          <w:lang w:val="en-GB"/>
        </w:rPr>
      </w:pPr>
      <w:bookmarkStart w:id="55" w:name="_bw6f68vbezsp" w:colFirst="0" w:colLast="0"/>
      <w:bookmarkStart w:id="56" w:name="_Toc222234360"/>
      <w:bookmarkEnd w:id="55"/>
      <w:r w:rsidRPr="00EF2814">
        <w:rPr>
          <w:lang w:val="en-GB"/>
        </w:rPr>
        <w:t>3.8 Chapter Conclusion</w:t>
      </w:r>
      <w:bookmarkEnd w:id="56"/>
      <w:r w:rsidRPr="00EF2814">
        <w:rPr>
          <w:lang w:val="en-GB"/>
        </w:rPr>
        <w:t xml:space="preserve"> </w:t>
      </w:r>
    </w:p>
    <w:p w14:paraId="6D4353C5" w14:textId="77777777" w:rsidR="00BE0794" w:rsidRPr="00EF2814" w:rsidRDefault="00126B52" w:rsidP="008C02E0">
      <w:pPr>
        <w:spacing w:before="240" w:after="0"/>
        <w:rPr>
          <w:rFonts w:cs="Arial"/>
          <w:lang w:val="en-GB"/>
        </w:rPr>
      </w:pPr>
      <w:r w:rsidRPr="00EF2814">
        <w:rPr>
          <w:rFonts w:cs="Arial"/>
          <w:lang w:val="en-GB"/>
        </w:rPr>
        <w:t>The chapter elaborated on the systematic search strategy and source selection and validation processes, the thematic coding approach adopted to identify, evaluate, and analyse credible literature relevant to COVID-19 emergency clinical training. Chapter 4 will then outline the findings of the thematic analysis, setting out results into key themes that have a direct relevance to the research question on staff competency outcomes within UK healthcare.</w:t>
      </w:r>
    </w:p>
    <w:p w14:paraId="467D2A60" w14:textId="77777777" w:rsidR="00BE0794" w:rsidRPr="00EF2814" w:rsidRDefault="00BE0794" w:rsidP="008C02E0">
      <w:pPr>
        <w:spacing w:before="240" w:after="0"/>
        <w:rPr>
          <w:rFonts w:cs="Arial"/>
          <w:lang w:val="en-GB"/>
        </w:rPr>
      </w:pPr>
      <w:r w:rsidRPr="00EF2814">
        <w:rPr>
          <w:rFonts w:cs="Arial"/>
          <w:lang w:val="en-GB"/>
        </w:rPr>
        <w:br w:type="page"/>
      </w:r>
    </w:p>
    <w:p w14:paraId="62F5C2F2" w14:textId="408D4C53" w:rsidR="00BE0794" w:rsidRPr="00EF2814" w:rsidRDefault="00BE0794" w:rsidP="008C02E0">
      <w:pPr>
        <w:pStyle w:val="Heading1"/>
        <w:spacing w:before="240" w:line="360" w:lineRule="auto"/>
        <w:rPr>
          <w:rFonts w:cs="Arial"/>
          <w:lang w:val="en-GB"/>
        </w:rPr>
      </w:pPr>
      <w:bookmarkStart w:id="57" w:name="_Toc222234361"/>
      <w:r w:rsidRPr="00EF2814">
        <w:rPr>
          <w:rFonts w:cs="Arial"/>
          <w:lang w:val="en-GB"/>
        </w:rPr>
        <w:lastRenderedPageBreak/>
        <w:t>C</w:t>
      </w:r>
      <w:r w:rsidR="00820CB5" w:rsidRPr="00EF2814">
        <w:rPr>
          <w:rFonts w:cs="Arial"/>
          <w:lang w:val="en-GB"/>
        </w:rPr>
        <w:t>hapter</w:t>
      </w:r>
      <w:r w:rsidRPr="00EF2814">
        <w:rPr>
          <w:rFonts w:cs="Arial"/>
          <w:lang w:val="en-GB"/>
        </w:rPr>
        <w:t xml:space="preserve"> 4 – Findings and Discussion</w:t>
      </w:r>
      <w:bookmarkEnd w:id="57"/>
      <w:r w:rsidRPr="00EF2814">
        <w:rPr>
          <w:rFonts w:cs="Arial"/>
          <w:lang w:val="en-GB"/>
        </w:rPr>
        <w:t xml:space="preserve"> </w:t>
      </w:r>
    </w:p>
    <w:p w14:paraId="0944B31B" w14:textId="77777777" w:rsidR="00BE0794" w:rsidRPr="00EF2814" w:rsidRDefault="00BE0794" w:rsidP="005B1B4C">
      <w:pPr>
        <w:pStyle w:val="Heading2"/>
        <w:rPr>
          <w:lang w:val="en-GB"/>
        </w:rPr>
      </w:pPr>
      <w:bookmarkStart w:id="58" w:name="_uhwuhgjlk20k" w:colFirst="0" w:colLast="0"/>
      <w:bookmarkStart w:id="59" w:name="_Toc222234362"/>
      <w:bookmarkEnd w:id="58"/>
      <w:r w:rsidRPr="00EF2814">
        <w:rPr>
          <w:lang w:val="en-GB"/>
        </w:rPr>
        <w:t>4.1 Introduction</w:t>
      </w:r>
      <w:bookmarkEnd w:id="59"/>
    </w:p>
    <w:p w14:paraId="2B97C995" w14:textId="77777777" w:rsidR="00BE0794" w:rsidRPr="00EF2814" w:rsidRDefault="00BE0794" w:rsidP="008C02E0">
      <w:pPr>
        <w:spacing w:before="240" w:after="0"/>
        <w:rPr>
          <w:rFonts w:cs="Arial"/>
          <w:lang w:val="en-GB"/>
        </w:rPr>
      </w:pPr>
      <w:r w:rsidRPr="00EF2814">
        <w:rPr>
          <w:rFonts w:cs="Arial"/>
          <w:lang w:val="en-GB"/>
        </w:rPr>
        <w:t>In this chapter, the writer will comment on how the research will be done through desk-based secondary literature research. It will elaborate on the academic methodology poster by giving a comprehensive description of the steps used to conduct search, collection, validation, and analysis of data. In the chapter, the demonstration of how the relevant literature will be identified, evaluated, and analysed to respond to the aim of the research will be described. This chapter, by recording all methodological procedures, will illustrate the rigour and transparency of the research process and be used to form a basis for the heuristic findings of the research in Chapter 4.</w:t>
      </w:r>
    </w:p>
    <w:p w14:paraId="11346F41" w14:textId="77777777" w:rsidR="001A4E86" w:rsidRPr="00EF2814" w:rsidRDefault="001A4E86" w:rsidP="005B1B4C">
      <w:pPr>
        <w:pStyle w:val="Heading2"/>
        <w:rPr>
          <w:lang w:val="en-GB"/>
        </w:rPr>
      </w:pPr>
      <w:bookmarkStart w:id="60" w:name="_sx3eaew4b2ib" w:colFirst="0" w:colLast="0"/>
      <w:bookmarkStart w:id="61" w:name="_Toc222234363"/>
      <w:bookmarkEnd w:id="60"/>
      <w:r w:rsidRPr="00EF2814">
        <w:rPr>
          <w:lang w:val="en-GB"/>
        </w:rPr>
        <w:t>4.2 Thematic Analysis</w:t>
      </w:r>
      <w:bookmarkEnd w:id="61"/>
    </w:p>
    <w:p w14:paraId="239CD46D" w14:textId="77777777" w:rsidR="001A4E86" w:rsidRPr="00EF2814" w:rsidRDefault="001A4E86" w:rsidP="001A4E86">
      <w:pPr>
        <w:spacing w:before="200"/>
        <w:rPr>
          <w:rFonts w:eastAsia="Times New Roman" w:cs="Arial"/>
          <w:b/>
          <w:bCs/>
          <w:i/>
          <w:iCs/>
          <w:lang w:val="en-GB"/>
        </w:rPr>
      </w:pPr>
      <w:r w:rsidRPr="00EF2814">
        <w:rPr>
          <w:rFonts w:eastAsia="Times New Roman" w:cs="Arial"/>
          <w:b/>
          <w:bCs/>
          <w:i/>
          <w:iCs/>
          <w:lang w:val="en-GB"/>
        </w:rPr>
        <w:t>Key definition of the term</w:t>
      </w:r>
    </w:p>
    <w:p w14:paraId="528E1BD5" w14:textId="77777777" w:rsidR="001A4E86" w:rsidRPr="00EF2814" w:rsidRDefault="001A4E86" w:rsidP="001A4E86">
      <w:pPr>
        <w:spacing w:before="200"/>
        <w:rPr>
          <w:rFonts w:eastAsia="Times New Roman" w:cs="Arial"/>
          <w:lang w:val="en-GB"/>
        </w:rPr>
      </w:pPr>
      <w:r w:rsidRPr="00EF2814">
        <w:rPr>
          <w:rFonts w:eastAsia="Times New Roman" w:cs="Arial"/>
          <w:lang w:val="en-GB"/>
        </w:rPr>
        <w:t>Thematic analysis is a qualitative approach that is applied to identify, analyse and report common patterns or themes within a dataset. According to the information by Clarke and Braun (2020), it can be described as a flexible method, which allows the researcher to arrange and describe data in a detailed manner, besides interpreting different issues of the research topic. Thematic analysis is applicable in the context of secondary studies, as published literature can be synthesised to outline the similarities and differences among the studies. Thus, a structured meaning of how the COVID-19 emergency clinical training affects staff competency can be achieved.</w:t>
      </w:r>
    </w:p>
    <w:p w14:paraId="30CEAA19" w14:textId="77777777" w:rsidR="001A4E86" w:rsidRPr="00EF2814" w:rsidRDefault="001A4E86" w:rsidP="001A4E86">
      <w:pPr>
        <w:spacing w:before="200"/>
        <w:rPr>
          <w:rFonts w:eastAsia="Times New Roman" w:cs="Arial"/>
          <w:b/>
          <w:bCs/>
          <w:i/>
          <w:iCs/>
          <w:lang w:val="en-GB"/>
        </w:rPr>
      </w:pPr>
      <w:r w:rsidRPr="00EF2814">
        <w:rPr>
          <w:rFonts w:eastAsia="Times New Roman" w:cs="Arial"/>
          <w:b/>
          <w:bCs/>
          <w:i/>
          <w:iCs/>
          <w:lang w:val="en-GB"/>
        </w:rPr>
        <w:t>Link to the coded table from the previous chapter</w:t>
      </w:r>
    </w:p>
    <w:p w14:paraId="03605442" w14:textId="77777777" w:rsidR="001A4E86" w:rsidRPr="00EF2814" w:rsidRDefault="001A4E86" w:rsidP="001A4E86">
      <w:pPr>
        <w:spacing w:before="200"/>
        <w:rPr>
          <w:rFonts w:eastAsia="Times New Roman" w:cs="Arial"/>
          <w:lang w:val="en-GB"/>
        </w:rPr>
      </w:pPr>
      <w:r w:rsidRPr="00EF2814">
        <w:rPr>
          <w:rFonts w:eastAsia="Times New Roman" w:cs="Arial"/>
          <w:lang w:val="en-GB"/>
        </w:rPr>
        <w:t xml:space="preserve">In this dissertation, the secondary sources that were identified in Chapter 3 were analysed using thematic analysis. The literature was screened using a coding framework to identify common themes, including </w:t>
      </w:r>
      <w:r w:rsidRPr="00EF2814">
        <w:rPr>
          <w:rFonts w:eastAsia="Times New Roman" w:cs="Arial"/>
          <w:b/>
          <w:bCs/>
          <w:lang w:val="en-GB"/>
        </w:rPr>
        <w:t>"training effectiveness"</w:t>
      </w:r>
      <w:r w:rsidRPr="00EF2814">
        <w:rPr>
          <w:rFonts w:eastAsia="Times New Roman" w:cs="Arial"/>
          <w:lang w:val="en-GB"/>
        </w:rPr>
        <w:t xml:space="preserve">, </w:t>
      </w:r>
      <w:r w:rsidRPr="00EF2814">
        <w:rPr>
          <w:rFonts w:eastAsia="Times New Roman" w:cs="Arial"/>
          <w:b/>
          <w:bCs/>
          <w:lang w:val="en-GB"/>
        </w:rPr>
        <w:t>"workforce adaptability"</w:t>
      </w:r>
      <w:r w:rsidRPr="00EF2814">
        <w:rPr>
          <w:rFonts w:eastAsia="Times New Roman" w:cs="Arial"/>
          <w:lang w:val="en-GB"/>
        </w:rPr>
        <w:t xml:space="preserve">, </w:t>
      </w:r>
      <w:r w:rsidRPr="00EF2814">
        <w:rPr>
          <w:rFonts w:eastAsia="Times New Roman" w:cs="Arial"/>
          <w:b/>
          <w:bCs/>
          <w:lang w:val="en-GB"/>
        </w:rPr>
        <w:t>"competency development"</w:t>
      </w:r>
      <w:r w:rsidRPr="00EF2814">
        <w:rPr>
          <w:rFonts w:eastAsia="Times New Roman" w:cs="Arial"/>
          <w:lang w:val="en-GB"/>
        </w:rPr>
        <w:t xml:space="preserve">, </w:t>
      </w:r>
      <w:r w:rsidRPr="00EF2814">
        <w:rPr>
          <w:rFonts w:eastAsia="Times New Roman" w:cs="Arial"/>
          <w:b/>
          <w:bCs/>
          <w:lang w:val="en-GB"/>
        </w:rPr>
        <w:t>"barriers to delivery"</w:t>
      </w:r>
      <w:r w:rsidRPr="00EF2814">
        <w:rPr>
          <w:rFonts w:eastAsia="Times New Roman" w:cs="Arial"/>
          <w:lang w:val="en-GB"/>
        </w:rPr>
        <w:t xml:space="preserve"> and </w:t>
      </w:r>
      <w:r w:rsidRPr="00EF2814">
        <w:rPr>
          <w:rFonts w:eastAsia="Times New Roman" w:cs="Arial"/>
          <w:b/>
          <w:bCs/>
          <w:lang w:val="en-GB"/>
        </w:rPr>
        <w:t>"resilience".</w:t>
      </w:r>
      <w:r w:rsidRPr="00EF2814">
        <w:rPr>
          <w:rFonts w:eastAsia="Times New Roman" w:cs="Arial"/>
          <w:lang w:val="en-GB"/>
        </w:rPr>
        <w:t xml:space="preserve"> These codes were further arranged into larger themes that directly answer the research question. The process has been integrated into a coding/results table to maintain transparency &amp; consistency in terms of developing themes.</w:t>
      </w:r>
    </w:p>
    <w:p w14:paraId="218D0CEB" w14:textId="77777777" w:rsidR="001A4E86" w:rsidRPr="00EF2814" w:rsidRDefault="001A4E86" w:rsidP="001A4E86">
      <w:pPr>
        <w:spacing w:before="200"/>
        <w:rPr>
          <w:rFonts w:eastAsia="Times New Roman" w:cs="Arial"/>
          <w:lang w:val="en-GB"/>
        </w:rPr>
      </w:pPr>
      <w:r w:rsidRPr="00EF2814">
        <w:rPr>
          <w:rFonts w:eastAsia="Times New Roman" w:cs="Arial"/>
          <w:lang w:val="en-GB"/>
        </w:rPr>
        <w:t>Indicating the generated codes, the following themes have been established:</w:t>
      </w:r>
    </w:p>
    <w:tbl>
      <w:tblPr>
        <w:tblW w:w="7245" w:type="dxa"/>
        <w:tblInd w:w="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5460"/>
      </w:tblGrid>
      <w:tr w:rsidR="001A4E86" w:rsidRPr="00EF2814" w14:paraId="4C289D87" w14:textId="77777777" w:rsidTr="009D39FE">
        <w:tc>
          <w:tcPr>
            <w:tcW w:w="1785" w:type="dxa"/>
            <w:tcMar>
              <w:top w:w="100" w:type="dxa"/>
              <w:left w:w="100" w:type="dxa"/>
              <w:bottom w:w="100" w:type="dxa"/>
              <w:right w:w="100" w:type="dxa"/>
            </w:tcMar>
          </w:tcPr>
          <w:p w14:paraId="3B355BE7" w14:textId="77777777" w:rsidR="001A4E86" w:rsidRPr="00EF2814" w:rsidRDefault="001A4E86" w:rsidP="001A4E86">
            <w:pPr>
              <w:widowControl w:val="0"/>
              <w:spacing w:after="0"/>
              <w:jc w:val="center"/>
              <w:rPr>
                <w:rFonts w:eastAsia="Times New Roman" w:cs="Arial"/>
                <w:b/>
                <w:bCs/>
                <w:lang w:val="en-GB"/>
              </w:rPr>
            </w:pPr>
            <w:r w:rsidRPr="00EF2814">
              <w:rPr>
                <w:rFonts w:eastAsia="Times New Roman" w:cs="Arial"/>
                <w:b/>
                <w:bCs/>
                <w:lang w:val="en-GB"/>
              </w:rPr>
              <w:t>Theme 1</w:t>
            </w:r>
          </w:p>
        </w:tc>
        <w:tc>
          <w:tcPr>
            <w:tcW w:w="5460" w:type="dxa"/>
            <w:tcMar>
              <w:top w:w="100" w:type="dxa"/>
              <w:left w:w="100" w:type="dxa"/>
              <w:bottom w:w="100" w:type="dxa"/>
              <w:right w:w="100" w:type="dxa"/>
            </w:tcMar>
          </w:tcPr>
          <w:p w14:paraId="0913802B" w14:textId="77777777" w:rsidR="001A4E86" w:rsidRPr="00EF2814" w:rsidRDefault="001A4E86" w:rsidP="001A4E86">
            <w:pPr>
              <w:widowControl w:val="0"/>
              <w:spacing w:after="0"/>
              <w:jc w:val="center"/>
              <w:rPr>
                <w:rFonts w:eastAsia="Times New Roman" w:cs="Arial"/>
                <w:lang w:val="en-GB"/>
              </w:rPr>
            </w:pPr>
            <w:r w:rsidRPr="00EF2814">
              <w:rPr>
                <w:rFonts w:eastAsia="Times New Roman" w:cs="Arial"/>
                <w:lang w:val="en-GB"/>
              </w:rPr>
              <w:t>Effectiveness of Emergency Clinical Training</w:t>
            </w:r>
          </w:p>
        </w:tc>
      </w:tr>
      <w:tr w:rsidR="001A4E86" w:rsidRPr="00EF2814" w14:paraId="0673589D" w14:textId="77777777" w:rsidTr="009D39FE">
        <w:tc>
          <w:tcPr>
            <w:tcW w:w="1785" w:type="dxa"/>
            <w:tcMar>
              <w:top w:w="100" w:type="dxa"/>
              <w:left w:w="100" w:type="dxa"/>
              <w:bottom w:w="100" w:type="dxa"/>
              <w:right w:w="100" w:type="dxa"/>
            </w:tcMar>
          </w:tcPr>
          <w:p w14:paraId="4D302ED1" w14:textId="77777777" w:rsidR="001A4E86" w:rsidRPr="00EF2814" w:rsidRDefault="001A4E86" w:rsidP="001A4E86">
            <w:pPr>
              <w:widowControl w:val="0"/>
              <w:spacing w:after="0"/>
              <w:jc w:val="center"/>
              <w:rPr>
                <w:rFonts w:eastAsia="Times New Roman" w:cs="Arial"/>
                <w:b/>
                <w:bCs/>
                <w:lang w:val="en-GB"/>
              </w:rPr>
            </w:pPr>
            <w:r w:rsidRPr="00EF2814">
              <w:rPr>
                <w:rFonts w:eastAsia="Times New Roman" w:cs="Arial"/>
                <w:b/>
                <w:bCs/>
                <w:lang w:val="en-GB"/>
              </w:rPr>
              <w:lastRenderedPageBreak/>
              <w:t>Theme 2</w:t>
            </w:r>
          </w:p>
        </w:tc>
        <w:tc>
          <w:tcPr>
            <w:tcW w:w="5460" w:type="dxa"/>
            <w:tcMar>
              <w:top w:w="100" w:type="dxa"/>
              <w:left w:w="100" w:type="dxa"/>
              <w:bottom w:w="100" w:type="dxa"/>
              <w:right w:w="100" w:type="dxa"/>
            </w:tcMar>
          </w:tcPr>
          <w:p w14:paraId="4C80DB8C" w14:textId="77777777" w:rsidR="001A4E86" w:rsidRPr="00EF2814" w:rsidRDefault="001A4E86" w:rsidP="001A4E86">
            <w:pPr>
              <w:widowControl w:val="0"/>
              <w:spacing w:after="0"/>
              <w:jc w:val="center"/>
              <w:rPr>
                <w:rFonts w:eastAsia="Times New Roman" w:cs="Arial"/>
                <w:lang w:val="en-GB"/>
              </w:rPr>
            </w:pPr>
            <w:r w:rsidRPr="00EF2814">
              <w:rPr>
                <w:rFonts w:eastAsia="Times New Roman" w:cs="Arial"/>
                <w:lang w:val="en-GB"/>
              </w:rPr>
              <w:t>Workforce Flexibility and Role Adaptation</w:t>
            </w:r>
          </w:p>
        </w:tc>
      </w:tr>
      <w:tr w:rsidR="001A4E86" w:rsidRPr="00EF2814" w14:paraId="44BCA816" w14:textId="77777777" w:rsidTr="009D39FE">
        <w:tc>
          <w:tcPr>
            <w:tcW w:w="1785" w:type="dxa"/>
            <w:tcMar>
              <w:top w:w="100" w:type="dxa"/>
              <w:left w:w="100" w:type="dxa"/>
              <w:bottom w:w="100" w:type="dxa"/>
              <w:right w:w="100" w:type="dxa"/>
            </w:tcMar>
          </w:tcPr>
          <w:p w14:paraId="121B2ED8" w14:textId="77777777" w:rsidR="001A4E86" w:rsidRPr="00EF2814" w:rsidRDefault="001A4E86" w:rsidP="001A4E86">
            <w:pPr>
              <w:widowControl w:val="0"/>
              <w:spacing w:after="0"/>
              <w:jc w:val="center"/>
              <w:rPr>
                <w:rFonts w:eastAsia="Times New Roman" w:cs="Arial"/>
                <w:b/>
                <w:bCs/>
                <w:lang w:val="en-GB"/>
              </w:rPr>
            </w:pPr>
            <w:r w:rsidRPr="00EF2814">
              <w:rPr>
                <w:rFonts w:eastAsia="Times New Roman" w:cs="Arial"/>
                <w:b/>
                <w:bCs/>
                <w:lang w:val="en-GB"/>
              </w:rPr>
              <w:t>Theme 3</w:t>
            </w:r>
          </w:p>
        </w:tc>
        <w:tc>
          <w:tcPr>
            <w:tcW w:w="5460" w:type="dxa"/>
            <w:tcMar>
              <w:top w:w="100" w:type="dxa"/>
              <w:left w:w="100" w:type="dxa"/>
              <w:bottom w:w="100" w:type="dxa"/>
              <w:right w:w="100" w:type="dxa"/>
            </w:tcMar>
          </w:tcPr>
          <w:p w14:paraId="37E0C399" w14:textId="77777777" w:rsidR="001A4E86" w:rsidRPr="00EF2814" w:rsidRDefault="001A4E86" w:rsidP="001A4E86">
            <w:pPr>
              <w:widowControl w:val="0"/>
              <w:spacing w:after="0"/>
              <w:jc w:val="center"/>
              <w:rPr>
                <w:rFonts w:eastAsia="Times New Roman" w:cs="Arial"/>
                <w:lang w:val="en-GB"/>
              </w:rPr>
            </w:pPr>
            <w:r w:rsidRPr="00EF2814">
              <w:rPr>
                <w:rFonts w:eastAsia="Times New Roman" w:cs="Arial"/>
                <w:lang w:val="en-GB"/>
              </w:rPr>
              <w:t>Competency Development and Clinical Confidence</w:t>
            </w:r>
          </w:p>
        </w:tc>
      </w:tr>
      <w:tr w:rsidR="001A4E86" w:rsidRPr="00EF2814" w14:paraId="56191DDE" w14:textId="77777777" w:rsidTr="009D39FE">
        <w:tc>
          <w:tcPr>
            <w:tcW w:w="1785" w:type="dxa"/>
            <w:tcMar>
              <w:top w:w="100" w:type="dxa"/>
              <w:left w:w="100" w:type="dxa"/>
              <w:bottom w:w="100" w:type="dxa"/>
              <w:right w:w="100" w:type="dxa"/>
            </w:tcMar>
          </w:tcPr>
          <w:p w14:paraId="1489363A" w14:textId="77777777" w:rsidR="001A4E86" w:rsidRPr="00EF2814" w:rsidRDefault="001A4E86" w:rsidP="001A4E86">
            <w:pPr>
              <w:widowControl w:val="0"/>
              <w:spacing w:after="0"/>
              <w:jc w:val="center"/>
              <w:rPr>
                <w:rFonts w:eastAsia="Times New Roman" w:cs="Arial"/>
                <w:b/>
                <w:bCs/>
                <w:lang w:val="en-GB"/>
              </w:rPr>
            </w:pPr>
            <w:r w:rsidRPr="00EF2814">
              <w:rPr>
                <w:rFonts w:eastAsia="Times New Roman" w:cs="Arial"/>
                <w:b/>
                <w:bCs/>
                <w:lang w:val="en-GB"/>
              </w:rPr>
              <w:t>Theme 4</w:t>
            </w:r>
          </w:p>
        </w:tc>
        <w:tc>
          <w:tcPr>
            <w:tcW w:w="5460" w:type="dxa"/>
            <w:tcMar>
              <w:top w:w="100" w:type="dxa"/>
              <w:left w:w="100" w:type="dxa"/>
              <w:bottom w:w="100" w:type="dxa"/>
              <w:right w:w="100" w:type="dxa"/>
            </w:tcMar>
          </w:tcPr>
          <w:p w14:paraId="6EF20790" w14:textId="77777777" w:rsidR="001A4E86" w:rsidRPr="00EF2814" w:rsidRDefault="001A4E86" w:rsidP="001A4E86">
            <w:pPr>
              <w:widowControl w:val="0"/>
              <w:spacing w:after="0"/>
              <w:jc w:val="center"/>
              <w:rPr>
                <w:rFonts w:eastAsia="Times New Roman" w:cs="Arial"/>
                <w:lang w:val="en-GB"/>
              </w:rPr>
            </w:pPr>
            <w:r w:rsidRPr="00EF2814">
              <w:rPr>
                <w:rFonts w:eastAsia="Times New Roman" w:cs="Arial"/>
                <w:lang w:val="en-GB"/>
              </w:rPr>
              <w:t>Barriers to Emergency Training Delivery</w:t>
            </w:r>
          </w:p>
        </w:tc>
      </w:tr>
      <w:tr w:rsidR="001A4E86" w:rsidRPr="00EF2814" w14:paraId="74CD7E9B" w14:textId="77777777" w:rsidTr="009D39FE">
        <w:tc>
          <w:tcPr>
            <w:tcW w:w="1785" w:type="dxa"/>
            <w:tcMar>
              <w:top w:w="100" w:type="dxa"/>
              <w:left w:w="100" w:type="dxa"/>
              <w:bottom w:w="100" w:type="dxa"/>
              <w:right w:w="100" w:type="dxa"/>
            </w:tcMar>
          </w:tcPr>
          <w:p w14:paraId="1C9B9F8C" w14:textId="77777777" w:rsidR="001A4E86" w:rsidRPr="00EF2814" w:rsidRDefault="001A4E86" w:rsidP="001A4E86">
            <w:pPr>
              <w:widowControl w:val="0"/>
              <w:spacing w:after="0"/>
              <w:jc w:val="center"/>
              <w:rPr>
                <w:rFonts w:eastAsia="Times New Roman" w:cs="Arial"/>
                <w:b/>
                <w:bCs/>
                <w:lang w:val="en-GB"/>
              </w:rPr>
            </w:pPr>
            <w:r w:rsidRPr="00EF2814">
              <w:rPr>
                <w:rFonts w:eastAsia="Times New Roman" w:cs="Arial"/>
                <w:b/>
                <w:bCs/>
                <w:lang w:val="en-GB"/>
              </w:rPr>
              <w:t>Theme 5</w:t>
            </w:r>
          </w:p>
        </w:tc>
        <w:tc>
          <w:tcPr>
            <w:tcW w:w="5460" w:type="dxa"/>
            <w:tcMar>
              <w:top w:w="100" w:type="dxa"/>
              <w:left w:w="100" w:type="dxa"/>
              <w:bottom w:w="100" w:type="dxa"/>
              <w:right w:w="100" w:type="dxa"/>
            </w:tcMar>
          </w:tcPr>
          <w:p w14:paraId="194485CB" w14:textId="77777777" w:rsidR="001A4E86" w:rsidRPr="00EF2814" w:rsidRDefault="001A4E86" w:rsidP="001A4E86">
            <w:pPr>
              <w:widowControl w:val="0"/>
              <w:spacing w:after="0"/>
              <w:jc w:val="center"/>
              <w:rPr>
                <w:rFonts w:eastAsia="Times New Roman" w:cs="Arial"/>
                <w:lang w:val="en-GB"/>
              </w:rPr>
            </w:pPr>
            <w:r w:rsidRPr="00EF2814">
              <w:rPr>
                <w:rFonts w:eastAsia="Times New Roman" w:cs="Arial"/>
                <w:lang w:val="en-GB"/>
              </w:rPr>
              <w:t>Support Systems and Workforce Resilience</w:t>
            </w:r>
          </w:p>
        </w:tc>
      </w:tr>
    </w:tbl>
    <w:p w14:paraId="0A7EF38D" w14:textId="77777777" w:rsidR="001A4E86" w:rsidRPr="00EF2814" w:rsidRDefault="001A4E86" w:rsidP="001A4E86">
      <w:pPr>
        <w:spacing w:before="200"/>
        <w:jc w:val="center"/>
        <w:rPr>
          <w:rFonts w:eastAsia="Times New Roman" w:cs="Arial"/>
          <w:b/>
          <w:bCs/>
          <w:lang w:val="en-GB"/>
        </w:rPr>
      </w:pPr>
      <w:r w:rsidRPr="00EF2814">
        <w:rPr>
          <w:rFonts w:eastAsia="Times New Roman" w:cs="Arial"/>
          <w:b/>
          <w:bCs/>
          <w:lang w:val="en-GB"/>
        </w:rPr>
        <w:t>Table 4.1: Developed Themes</w:t>
      </w:r>
    </w:p>
    <w:p w14:paraId="1B078BCB" w14:textId="6060BDE5" w:rsidR="001A4E86" w:rsidRPr="00EF2814" w:rsidRDefault="001A4E86" w:rsidP="001A4E86">
      <w:pPr>
        <w:spacing w:before="200"/>
        <w:jc w:val="center"/>
        <w:rPr>
          <w:rFonts w:eastAsia="Times New Roman" w:cs="Arial"/>
          <w:lang w:val="en-GB"/>
        </w:rPr>
      </w:pPr>
      <w:r w:rsidRPr="00EF2814">
        <w:rPr>
          <w:rFonts w:eastAsia="Times New Roman" w:cs="Arial"/>
          <w:lang w:val="en-GB"/>
        </w:rPr>
        <w:t>(Source: Author)</w:t>
      </w:r>
    </w:p>
    <w:p w14:paraId="791D2A7F" w14:textId="76E8A885" w:rsidR="00BE0794" w:rsidRPr="00EF2814" w:rsidRDefault="00BE0794" w:rsidP="005B1B4C">
      <w:pPr>
        <w:pStyle w:val="Heading2"/>
        <w:rPr>
          <w:lang w:val="en-GB"/>
        </w:rPr>
      </w:pPr>
      <w:bookmarkStart w:id="62" w:name="_Toc222234364"/>
      <w:r w:rsidRPr="00EF2814">
        <w:rPr>
          <w:lang w:val="en-GB"/>
        </w:rPr>
        <w:t>4.3 Theme 1</w:t>
      </w:r>
      <w:r w:rsidR="00EB0489" w:rsidRPr="00EF2814">
        <w:rPr>
          <w:lang w:val="en-GB"/>
        </w:rPr>
        <w:t xml:space="preserve"> -</w:t>
      </w:r>
      <w:r w:rsidRPr="00EF2814">
        <w:rPr>
          <w:lang w:val="en-GB"/>
        </w:rPr>
        <w:t xml:space="preserve"> Effectiveness of Emergency Clinical Training</w:t>
      </w:r>
      <w:bookmarkEnd w:id="62"/>
    </w:p>
    <w:p w14:paraId="6EF45460"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Definition &amp; Background Information</w:t>
      </w:r>
    </w:p>
    <w:p w14:paraId="2E55EC06" w14:textId="7989AD04" w:rsidR="00BE0794" w:rsidRPr="00EF2814" w:rsidRDefault="00BE0794" w:rsidP="008C02E0">
      <w:pPr>
        <w:spacing w:before="240" w:after="0"/>
        <w:rPr>
          <w:rFonts w:cs="Arial"/>
          <w:b/>
          <w:bCs/>
          <w:i/>
          <w:iCs/>
          <w:sz w:val="24"/>
          <w:szCs w:val="24"/>
          <w:lang w:val="en-GB"/>
        </w:rPr>
      </w:pPr>
      <w:r w:rsidRPr="00EF2814">
        <w:rPr>
          <w:rFonts w:cs="Arial"/>
          <w:lang w:val="en-GB"/>
        </w:rPr>
        <w:t>The efficiency of emergency clinical training is the degree to which emergency-led training created rapid functional competence, which was safe among healthcare personnel in COVID-19</w:t>
      </w:r>
      <w:r w:rsidR="004D68CE" w:rsidRPr="00EF2814">
        <w:rPr>
          <w:rFonts w:cs="Arial"/>
          <w:lang w:val="en-GB"/>
        </w:rPr>
        <w:t xml:space="preserve"> (Hinchliffe </w:t>
      </w:r>
      <w:r w:rsidR="004D68CE" w:rsidRPr="00EF2814">
        <w:rPr>
          <w:rFonts w:cs="Arial"/>
          <w:i/>
          <w:iCs/>
          <w:lang w:val="en-GB"/>
        </w:rPr>
        <w:t>et al.</w:t>
      </w:r>
      <w:r w:rsidR="004D68CE" w:rsidRPr="00EF2814">
        <w:rPr>
          <w:rFonts w:cs="Arial"/>
          <w:lang w:val="en-GB"/>
        </w:rPr>
        <w:t>, 2023)</w:t>
      </w:r>
      <w:r w:rsidRPr="00EF2814">
        <w:rPr>
          <w:rFonts w:cs="Arial"/>
          <w:lang w:val="en-GB"/>
        </w:rPr>
        <w:t>. This training was done through condensed curricula, simulations and supervised practise. The presence of accelerated training, emergency upskilling and competency-based deployment are all terms that focus on the task preparation in the short term instead of long-term professional development.</w:t>
      </w:r>
    </w:p>
    <w:p w14:paraId="314C737A"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Impact on Research Question</w:t>
      </w:r>
    </w:p>
    <w:p w14:paraId="5CF6EC3B" w14:textId="7B970B40" w:rsidR="00BE0794" w:rsidRPr="00EF2814" w:rsidRDefault="00BE0794" w:rsidP="008C02E0">
      <w:pPr>
        <w:spacing w:before="240" w:after="0"/>
        <w:rPr>
          <w:rFonts w:cs="Arial"/>
          <w:lang w:val="en-GB"/>
        </w:rPr>
      </w:pPr>
      <w:r w:rsidRPr="00EF2814">
        <w:rPr>
          <w:rFonts w:cs="Arial"/>
          <w:lang w:val="en-GB"/>
        </w:rPr>
        <w:t xml:space="preserve">This theme directly affects the research question because it evaluates the existence of better healthcare staff competency levels in the UK healthcare sector due to the training on emergencies. Effectiveness assessment can help answer the question of </w:t>
      </w:r>
      <w:proofErr w:type="gramStart"/>
      <w:r w:rsidRPr="00EF2814">
        <w:rPr>
          <w:rFonts w:cs="Arial"/>
          <w:lang w:val="en-GB"/>
        </w:rPr>
        <w:t>whether or not</w:t>
      </w:r>
      <w:proofErr w:type="gramEnd"/>
      <w:r w:rsidRPr="00EF2814">
        <w:rPr>
          <w:rFonts w:cs="Arial"/>
          <w:lang w:val="en-GB"/>
        </w:rPr>
        <w:t xml:space="preserve"> rapid training facilitated safe performance by health workers during redeployment</w:t>
      </w:r>
      <w:r w:rsidR="004D68CE" w:rsidRPr="00EF2814">
        <w:rPr>
          <w:rFonts w:cs="Arial"/>
          <w:lang w:val="en-GB"/>
        </w:rPr>
        <w:t xml:space="preserve"> (Camilleri </w:t>
      </w:r>
      <w:r w:rsidR="004D68CE" w:rsidRPr="00EF2814">
        <w:rPr>
          <w:rFonts w:cs="Arial"/>
          <w:i/>
          <w:iCs/>
          <w:lang w:val="en-GB"/>
        </w:rPr>
        <w:t>et al.</w:t>
      </w:r>
      <w:r w:rsidR="004D68CE" w:rsidRPr="00EF2814">
        <w:rPr>
          <w:rFonts w:cs="Arial"/>
          <w:lang w:val="en-GB"/>
        </w:rPr>
        <w:t>, 2022)</w:t>
      </w:r>
      <w:r w:rsidRPr="00EF2814">
        <w:rPr>
          <w:rFonts w:cs="Arial"/>
          <w:lang w:val="en-GB"/>
        </w:rPr>
        <w:t>. It equally identifies whether the model of emergency training can be justifiable outside of the context of a crisis, or it needs to be redesigned significantly to guarantee viable competency results.</w:t>
      </w:r>
    </w:p>
    <w:p w14:paraId="07D17645"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Statistical Information</w:t>
      </w:r>
    </w:p>
    <w:p w14:paraId="09B2D896" w14:textId="6AA33B20" w:rsidR="00BE0794" w:rsidRPr="00EF2814" w:rsidRDefault="00BE0794" w:rsidP="008C02E0">
      <w:pPr>
        <w:spacing w:before="240" w:after="0"/>
        <w:rPr>
          <w:rFonts w:cs="Arial"/>
          <w:b/>
          <w:bCs/>
          <w:i/>
          <w:iCs/>
          <w:sz w:val="24"/>
          <w:szCs w:val="24"/>
          <w:lang w:val="en-GB"/>
        </w:rPr>
      </w:pPr>
      <w:r w:rsidRPr="00EF2814">
        <w:rPr>
          <w:rFonts w:cs="Arial"/>
          <w:lang w:val="en-GB"/>
        </w:rPr>
        <w:t>In the pandemic (COVID-19), more than 50,000 NHS employees in the country were redeployed after the completion of emergency training programmes that usually took 1-5 days to complete</w:t>
      </w:r>
      <w:r w:rsidR="0018543F" w:rsidRPr="00EF2814">
        <w:rPr>
          <w:rFonts w:cs="Arial"/>
          <w:lang w:val="en-GB"/>
        </w:rPr>
        <w:t xml:space="preserve"> (Lal </w:t>
      </w:r>
      <w:r w:rsidR="0018543F" w:rsidRPr="00EF2814">
        <w:rPr>
          <w:rFonts w:cs="Arial"/>
          <w:i/>
          <w:iCs/>
          <w:lang w:val="en-GB"/>
        </w:rPr>
        <w:t>et al.</w:t>
      </w:r>
      <w:r w:rsidR="0018543F" w:rsidRPr="00EF2814">
        <w:rPr>
          <w:rFonts w:cs="Arial"/>
          <w:lang w:val="en-GB"/>
        </w:rPr>
        <w:t>, 2025)</w:t>
      </w:r>
      <w:r w:rsidRPr="00EF2814">
        <w:rPr>
          <w:rFonts w:cs="Arial"/>
          <w:lang w:val="en-GB"/>
        </w:rPr>
        <w:t xml:space="preserve">. Hospitals claimed to have provided over one million PPE training. As much as </w:t>
      </w:r>
      <w:r w:rsidRPr="00EF2814">
        <w:rPr>
          <w:rFonts w:cs="Arial"/>
          <w:lang w:val="en-GB"/>
        </w:rPr>
        <w:lastRenderedPageBreak/>
        <w:t>the continuity of service was facilitated by rapid training, internal audits of multiple trusts documented higher levels of supervision requirements and prolonged time of adjustment, casting doubts on the quality of training and level of consistency.</w:t>
      </w:r>
    </w:p>
    <w:p w14:paraId="2D2BA9B7"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Theories, Policies, and Legislation</w:t>
      </w:r>
    </w:p>
    <w:p w14:paraId="7F1AA64C" w14:textId="77777777" w:rsidR="00BE0794" w:rsidRPr="00EF2814" w:rsidRDefault="00BE0794" w:rsidP="008C02E0">
      <w:pPr>
        <w:spacing w:before="240" w:after="0"/>
        <w:rPr>
          <w:rFonts w:cs="Arial"/>
          <w:b/>
          <w:bCs/>
          <w:lang w:val="en-GB"/>
        </w:rPr>
      </w:pPr>
      <w:r w:rsidRPr="00EF2814">
        <w:rPr>
          <w:rFonts w:cs="Arial"/>
          <w:b/>
          <w:bCs/>
          <w:lang w:val="en-GB"/>
        </w:rPr>
        <w:t>Theoretical Framework</w:t>
      </w:r>
    </w:p>
    <w:p w14:paraId="3C6AA320" w14:textId="59EFDC80" w:rsidR="00BE0794" w:rsidRPr="00EF2814" w:rsidRDefault="00BE0794" w:rsidP="008C02E0">
      <w:pPr>
        <w:numPr>
          <w:ilvl w:val="0"/>
          <w:numId w:val="20"/>
        </w:numPr>
        <w:spacing w:before="240" w:after="0"/>
        <w:rPr>
          <w:rFonts w:cs="Arial"/>
          <w:lang w:val="en-GB"/>
        </w:rPr>
      </w:pPr>
      <w:r w:rsidRPr="00EF2814">
        <w:rPr>
          <w:rFonts w:cs="Arial"/>
          <w:b/>
          <w:lang w:val="en-GB"/>
        </w:rPr>
        <w:t>Adult Learning Theory (Andragogy):</w:t>
      </w:r>
      <w:r w:rsidRPr="00EF2814">
        <w:rPr>
          <w:rFonts w:cs="Arial"/>
          <w:lang w:val="en-GB"/>
        </w:rPr>
        <w:t xml:space="preserve"> The emergency training program was designed around problem-solving and application, which aided experienced professionals in applying their knowledge in a high-pressure situation</w:t>
      </w:r>
      <w:r w:rsidR="006632FC" w:rsidRPr="00EF2814">
        <w:rPr>
          <w:rFonts w:cs="Arial"/>
          <w:lang w:val="en-GB"/>
        </w:rPr>
        <w:t xml:space="preserve"> (Staller </w:t>
      </w:r>
      <w:r w:rsidR="006632FC" w:rsidRPr="00EF2814">
        <w:rPr>
          <w:rFonts w:cs="Arial"/>
          <w:i/>
          <w:iCs/>
          <w:lang w:val="en-GB"/>
        </w:rPr>
        <w:t>et al.</w:t>
      </w:r>
      <w:r w:rsidR="006632FC" w:rsidRPr="00EF2814">
        <w:rPr>
          <w:rFonts w:cs="Arial"/>
          <w:lang w:val="en-GB"/>
        </w:rPr>
        <w:t>, 2022)</w:t>
      </w:r>
      <w:r w:rsidRPr="00EF2814">
        <w:rPr>
          <w:rFonts w:cs="Arial"/>
          <w:lang w:val="en-GB"/>
        </w:rPr>
        <w:t>.</w:t>
      </w:r>
    </w:p>
    <w:p w14:paraId="6200E3A8" w14:textId="77777777" w:rsidR="00BE0794" w:rsidRPr="00EF2814" w:rsidRDefault="00BE0794" w:rsidP="008C02E0">
      <w:pPr>
        <w:numPr>
          <w:ilvl w:val="0"/>
          <w:numId w:val="20"/>
        </w:numPr>
        <w:spacing w:before="240" w:after="0"/>
        <w:rPr>
          <w:rFonts w:cs="Arial"/>
          <w:lang w:val="en-GB"/>
        </w:rPr>
      </w:pPr>
      <w:r w:rsidRPr="00EF2814">
        <w:rPr>
          <w:rFonts w:cs="Arial"/>
          <w:b/>
          <w:lang w:val="en-GB"/>
        </w:rPr>
        <w:t>Experiential Learning Theory:</w:t>
      </w:r>
      <w:r w:rsidRPr="00EF2814">
        <w:rPr>
          <w:rFonts w:cs="Arial"/>
          <w:lang w:val="en-GB"/>
        </w:rPr>
        <w:t xml:space="preserve"> Learning was achieved through simulation, observation, and direct exposure to clinical practice, which helped accelerate the development of competence.</w:t>
      </w:r>
    </w:p>
    <w:p w14:paraId="572A867C" w14:textId="77777777" w:rsidR="00BE0794" w:rsidRPr="00EF2814" w:rsidRDefault="00BE0794" w:rsidP="008C02E0">
      <w:pPr>
        <w:numPr>
          <w:ilvl w:val="0"/>
          <w:numId w:val="20"/>
        </w:numPr>
        <w:spacing w:before="240" w:after="0"/>
        <w:rPr>
          <w:rFonts w:cs="Arial"/>
          <w:lang w:val="en-GB"/>
        </w:rPr>
      </w:pPr>
      <w:r w:rsidRPr="00EF2814">
        <w:rPr>
          <w:rFonts w:cs="Arial"/>
          <w:b/>
          <w:lang w:val="en-GB"/>
        </w:rPr>
        <w:t>Competency-Based Education Theory:</w:t>
      </w:r>
      <w:r w:rsidRPr="00EF2814">
        <w:rPr>
          <w:rFonts w:cs="Arial"/>
          <w:lang w:val="en-GB"/>
        </w:rPr>
        <w:t xml:space="preserve"> The training program was grounded in the development of clinical competencies rather than time-based training.</w:t>
      </w:r>
    </w:p>
    <w:p w14:paraId="157636D0" w14:textId="77777777" w:rsidR="00BE0794" w:rsidRPr="00EF2814" w:rsidRDefault="00BE0794" w:rsidP="008C02E0">
      <w:pPr>
        <w:numPr>
          <w:ilvl w:val="0"/>
          <w:numId w:val="20"/>
        </w:numPr>
        <w:spacing w:before="240" w:after="0"/>
        <w:rPr>
          <w:rFonts w:cs="Arial"/>
          <w:lang w:val="en-GB"/>
        </w:rPr>
      </w:pPr>
      <w:r w:rsidRPr="00EF2814">
        <w:rPr>
          <w:rFonts w:cs="Arial"/>
          <w:b/>
          <w:lang w:val="en-GB"/>
        </w:rPr>
        <w:t>Cognitive Load Theory:</w:t>
      </w:r>
      <w:r w:rsidRPr="00EF2814">
        <w:rPr>
          <w:rFonts w:cs="Arial"/>
          <w:lang w:val="en-GB"/>
        </w:rPr>
        <w:t xml:space="preserve"> The design of the emergency programs was intended to minimise information overload by focusing on the most important skills.</w:t>
      </w:r>
    </w:p>
    <w:p w14:paraId="73219563" w14:textId="77777777" w:rsidR="00BE0794" w:rsidRPr="00EF2814" w:rsidRDefault="00BE0794" w:rsidP="008C02E0">
      <w:pPr>
        <w:numPr>
          <w:ilvl w:val="0"/>
          <w:numId w:val="20"/>
        </w:numPr>
        <w:spacing w:before="240" w:after="0"/>
        <w:rPr>
          <w:rFonts w:cs="Arial"/>
          <w:lang w:val="en-GB"/>
        </w:rPr>
      </w:pPr>
      <w:r w:rsidRPr="00EF2814">
        <w:rPr>
          <w:rFonts w:cs="Arial"/>
          <w:b/>
          <w:lang w:val="en-GB"/>
        </w:rPr>
        <w:t>Situated Learning Theory:</w:t>
      </w:r>
      <w:r w:rsidRPr="00EF2814">
        <w:rPr>
          <w:rFonts w:cs="Arial"/>
          <w:lang w:val="en-GB"/>
        </w:rPr>
        <w:t xml:space="preserve"> The training was conducted in a real-world clinical setting, which improved the relevance of the training to practice.</w:t>
      </w:r>
    </w:p>
    <w:p w14:paraId="6A6CF046" w14:textId="77777777" w:rsidR="00BE0794" w:rsidRPr="00EF2814" w:rsidRDefault="00BE0794" w:rsidP="008C02E0">
      <w:pPr>
        <w:spacing w:before="240" w:after="0"/>
        <w:rPr>
          <w:rFonts w:cs="Arial"/>
          <w:b/>
          <w:bCs/>
          <w:lang w:val="en-GB"/>
        </w:rPr>
      </w:pPr>
      <w:r w:rsidRPr="00EF2814">
        <w:rPr>
          <w:rFonts w:cs="Arial"/>
          <w:b/>
          <w:bCs/>
          <w:lang w:val="en-GB"/>
        </w:rPr>
        <w:t>Policy and Legislation</w:t>
      </w:r>
    </w:p>
    <w:p w14:paraId="704A8A43" w14:textId="77777777" w:rsidR="00BE0794" w:rsidRPr="00EF2814" w:rsidRDefault="00BE0794" w:rsidP="008C02E0">
      <w:pPr>
        <w:numPr>
          <w:ilvl w:val="0"/>
          <w:numId w:val="19"/>
        </w:numPr>
        <w:spacing w:before="240" w:after="0"/>
        <w:rPr>
          <w:rFonts w:cs="Arial"/>
          <w:lang w:val="en-GB"/>
        </w:rPr>
      </w:pPr>
      <w:r w:rsidRPr="00EF2814">
        <w:rPr>
          <w:rFonts w:cs="Arial"/>
          <w:lang w:val="en-GB"/>
        </w:rPr>
        <w:t>NHS Emergency Preparedness Framework: Enabled swift training and skills enhancement in the workforce during public health emergencies.</w:t>
      </w:r>
    </w:p>
    <w:p w14:paraId="76A72E90" w14:textId="77777777" w:rsidR="00BE0794" w:rsidRPr="00EF2814" w:rsidRDefault="00BE0794" w:rsidP="008C02E0">
      <w:pPr>
        <w:numPr>
          <w:ilvl w:val="0"/>
          <w:numId w:val="19"/>
        </w:numPr>
        <w:spacing w:before="240" w:after="0"/>
        <w:rPr>
          <w:rFonts w:cs="Arial"/>
          <w:lang w:val="en-GB"/>
        </w:rPr>
      </w:pPr>
      <w:r w:rsidRPr="00EF2814">
        <w:rPr>
          <w:rFonts w:cs="Arial"/>
          <w:lang w:val="en-GB"/>
        </w:rPr>
        <w:t>Health and Social Care Act: Enabled changes in the workforce and emergency services’ adaptation to the new environment.</w:t>
      </w:r>
    </w:p>
    <w:p w14:paraId="06B23ED4" w14:textId="1BF8DDAA" w:rsidR="00BE0794" w:rsidRPr="00EF2814" w:rsidRDefault="00BE0794" w:rsidP="008C02E0">
      <w:pPr>
        <w:numPr>
          <w:ilvl w:val="0"/>
          <w:numId w:val="19"/>
        </w:numPr>
        <w:spacing w:before="240" w:after="0"/>
        <w:rPr>
          <w:rFonts w:cs="Arial"/>
          <w:lang w:val="en-GB"/>
        </w:rPr>
      </w:pPr>
      <w:r w:rsidRPr="00EF2814">
        <w:rPr>
          <w:rFonts w:cs="Arial"/>
          <w:lang w:val="en-GB"/>
        </w:rPr>
        <w:t>Temporary Regulatory Flexibility Policies: Enabled the use of skills with supervision to ensure patient safety</w:t>
      </w:r>
      <w:r w:rsidR="006B67A0" w:rsidRPr="00EF2814">
        <w:rPr>
          <w:rFonts w:cs="Arial"/>
          <w:lang w:val="en-GB"/>
        </w:rPr>
        <w:t xml:space="preserve"> (Stralen </w:t>
      </w:r>
      <w:r w:rsidR="006B67A0" w:rsidRPr="00EF2814">
        <w:rPr>
          <w:rFonts w:cs="Arial"/>
          <w:i/>
          <w:iCs/>
          <w:lang w:val="en-GB"/>
        </w:rPr>
        <w:t>et al.</w:t>
      </w:r>
      <w:r w:rsidR="006B67A0" w:rsidRPr="00EF2814">
        <w:rPr>
          <w:rFonts w:cs="Arial"/>
          <w:lang w:val="en-GB"/>
        </w:rPr>
        <w:t>, 2022)</w:t>
      </w:r>
      <w:r w:rsidRPr="00EF2814">
        <w:rPr>
          <w:rFonts w:cs="Arial"/>
          <w:lang w:val="en-GB"/>
        </w:rPr>
        <w:t>.</w:t>
      </w:r>
    </w:p>
    <w:p w14:paraId="7F210FDF" w14:textId="77777777" w:rsidR="00BE0794" w:rsidRPr="00EF2814" w:rsidRDefault="00BE0794" w:rsidP="008C02E0">
      <w:pPr>
        <w:numPr>
          <w:ilvl w:val="0"/>
          <w:numId w:val="19"/>
        </w:numPr>
        <w:spacing w:before="240" w:after="0"/>
        <w:rPr>
          <w:rFonts w:cs="Arial"/>
          <w:lang w:val="en-GB"/>
        </w:rPr>
      </w:pPr>
      <w:r w:rsidRPr="00EF2814">
        <w:rPr>
          <w:rFonts w:cs="Arial"/>
          <w:lang w:val="en-GB"/>
        </w:rPr>
        <w:t>NHS People Plan: Enabled swift skills development, employee well-being, and workforce resilience during emergencies.</w:t>
      </w:r>
    </w:p>
    <w:p w14:paraId="326ADB71" w14:textId="77777777" w:rsidR="00BE0794" w:rsidRPr="00EF2814" w:rsidRDefault="00BE0794" w:rsidP="008C02E0">
      <w:pPr>
        <w:numPr>
          <w:ilvl w:val="0"/>
          <w:numId w:val="19"/>
        </w:numPr>
        <w:spacing w:before="240" w:after="0"/>
        <w:rPr>
          <w:rFonts w:cs="Arial"/>
          <w:lang w:val="en-GB"/>
        </w:rPr>
      </w:pPr>
      <w:r w:rsidRPr="00EF2814">
        <w:rPr>
          <w:rFonts w:cs="Arial"/>
          <w:lang w:val="en-GB"/>
        </w:rPr>
        <w:lastRenderedPageBreak/>
        <w:t>Infection Prevention and Control Regulations: Mandated emergency training on PPE and patient safety practices.</w:t>
      </w:r>
    </w:p>
    <w:p w14:paraId="48715A96" w14:textId="77777777" w:rsidR="00BE0794" w:rsidRPr="00EF2814" w:rsidRDefault="00BE0794" w:rsidP="008C02E0">
      <w:pPr>
        <w:numPr>
          <w:ilvl w:val="0"/>
          <w:numId w:val="19"/>
        </w:numPr>
        <w:spacing w:before="240" w:after="0"/>
        <w:rPr>
          <w:rFonts w:cs="Arial"/>
          <w:lang w:val="en-GB"/>
        </w:rPr>
      </w:pPr>
      <w:r w:rsidRPr="00EF2814">
        <w:rPr>
          <w:rFonts w:cs="Arial"/>
          <w:lang w:val="en-GB"/>
        </w:rPr>
        <w:t>Local Trust Governance Policies: Enabled accountability, supervision, and risk management during swift training programs.</w:t>
      </w:r>
    </w:p>
    <w:p w14:paraId="3FAD12D8"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Implications</w:t>
      </w:r>
    </w:p>
    <w:p w14:paraId="6DB8C6F3" w14:textId="54AE4F1E" w:rsidR="00BE0794" w:rsidRPr="00EF2814" w:rsidRDefault="00BE0794" w:rsidP="008C02E0">
      <w:pPr>
        <w:spacing w:before="240" w:after="0"/>
        <w:rPr>
          <w:rFonts w:cs="Arial"/>
          <w:lang w:val="en-GB"/>
        </w:rPr>
      </w:pPr>
      <w:r w:rsidRPr="00EF2814">
        <w:rPr>
          <w:rFonts w:cs="Arial"/>
          <w:lang w:val="en-GB"/>
        </w:rPr>
        <w:t>Emergency clinical training had a positive contribution by facilitating quick mobilisation of workforces, better confidence in tasks and prolonged caring of patients under crisis situations</w:t>
      </w:r>
      <w:r w:rsidR="00953ADF" w:rsidRPr="00EF2814">
        <w:rPr>
          <w:rFonts w:cs="Arial"/>
          <w:lang w:val="en-GB"/>
        </w:rPr>
        <w:t xml:space="preserve"> (Faisal and Saleh, 2024)</w:t>
      </w:r>
      <w:r w:rsidRPr="00EF2814">
        <w:rPr>
          <w:rFonts w:cs="Arial"/>
          <w:lang w:val="en-GB"/>
        </w:rPr>
        <w:t xml:space="preserve">. Nevertheless, among the negative effects were asymmetrical acquisition of skills, a weak theoretical foundation, and irregular supervision. These contradictory results indicate that emergency training may work well in achieving short-term </w:t>
      </w:r>
      <w:r w:rsidR="00B67EEF" w:rsidRPr="00EF2814">
        <w:rPr>
          <w:rFonts w:cs="Arial"/>
          <w:lang w:val="en-GB"/>
        </w:rPr>
        <w:t>competency but</w:t>
      </w:r>
      <w:r w:rsidRPr="00EF2814">
        <w:rPr>
          <w:rFonts w:cs="Arial"/>
          <w:lang w:val="en-GB"/>
        </w:rPr>
        <w:t xml:space="preserve"> is not effective on its own in the acquisition of long-term workforce development and professional assurance.</w:t>
      </w:r>
    </w:p>
    <w:p w14:paraId="64B55A5A"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Examples from the Articles</w:t>
      </w:r>
    </w:p>
    <w:p w14:paraId="1C581520" w14:textId="6AE3AB4E" w:rsidR="00BE0794" w:rsidRPr="00EF2814" w:rsidRDefault="00BE0794" w:rsidP="008C02E0">
      <w:pPr>
        <w:spacing w:before="240" w:after="0"/>
        <w:rPr>
          <w:rFonts w:cs="Arial"/>
          <w:b/>
          <w:bCs/>
          <w:i/>
          <w:iCs/>
          <w:sz w:val="24"/>
          <w:szCs w:val="24"/>
          <w:lang w:val="en-GB"/>
        </w:rPr>
      </w:pPr>
      <w:r w:rsidRPr="00EF2814">
        <w:rPr>
          <w:rFonts w:cs="Arial"/>
          <w:lang w:val="en-GB"/>
        </w:rPr>
        <w:t xml:space="preserve">According to studies on emergency medicine resilience, there was simply better preparedness after fast training, but still, differences in confidence persisted. Laboratory education reviews identified task performance based on a decrease in theoretical depth. In qualitative redeployment research, it was demonstrated that nurses were able to attain competence </w:t>
      </w:r>
      <w:proofErr w:type="gramStart"/>
      <w:r w:rsidRPr="00EF2814">
        <w:rPr>
          <w:rFonts w:cs="Arial"/>
          <w:lang w:val="en-GB"/>
        </w:rPr>
        <w:t>in the course of</w:t>
      </w:r>
      <w:proofErr w:type="gramEnd"/>
      <w:r w:rsidRPr="00EF2814">
        <w:rPr>
          <w:rFonts w:cs="Arial"/>
          <w:lang w:val="en-GB"/>
        </w:rPr>
        <w:t xml:space="preserve"> </w:t>
      </w:r>
      <w:r w:rsidR="00B67EEF" w:rsidRPr="00EF2814">
        <w:rPr>
          <w:rFonts w:cs="Arial"/>
          <w:lang w:val="en-GB"/>
        </w:rPr>
        <w:t>supervision yet</w:t>
      </w:r>
      <w:r w:rsidRPr="00EF2814">
        <w:rPr>
          <w:rFonts w:cs="Arial"/>
          <w:lang w:val="en-GB"/>
        </w:rPr>
        <w:t xml:space="preserve"> were fatigued due to frequent emergency shifts. All these articles concur on the effectiveness in the short </w:t>
      </w:r>
      <w:r w:rsidR="00B67EEF" w:rsidRPr="00EF2814">
        <w:rPr>
          <w:rFonts w:cs="Arial"/>
          <w:lang w:val="en-GB"/>
        </w:rPr>
        <w:t>term but</w:t>
      </w:r>
      <w:r w:rsidRPr="00EF2814">
        <w:rPr>
          <w:rFonts w:cs="Arial"/>
          <w:lang w:val="en-GB"/>
        </w:rPr>
        <w:t xml:space="preserve"> differ on sustainability.</w:t>
      </w:r>
    </w:p>
    <w:p w14:paraId="7A2F2BB6"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Connections to Other Themes</w:t>
      </w:r>
    </w:p>
    <w:p w14:paraId="7EACE311" w14:textId="0D61EBCA" w:rsidR="00BE0794" w:rsidRPr="00EF2814" w:rsidRDefault="00BE0794" w:rsidP="008C02E0">
      <w:pPr>
        <w:spacing w:before="240" w:after="0"/>
        <w:rPr>
          <w:rFonts w:cs="Arial"/>
          <w:lang w:val="en-GB"/>
        </w:rPr>
      </w:pPr>
      <w:r w:rsidRPr="00EF2814">
        <w:rPr>
          <w:rFonts w:cs="Arial"/>
          <w:lang w:val="en-GB"/>
        </w:rPr>
        <w:t>This theme is related closely to the flexibility of the workforce and role adjustment, where training effectiveness was of an effect to the success of redeployment</w:t>
      </w:r>
      <w:r w:rsidR="00D02196" w:rsidRPr="00EF2814">
        <w:rPr>
          <w:rFonts w:cs="Arial"/>
          <w:lang w:val="en-GB"/>
        </w:rPr>
        <w:t xml:space="preserve"> (Khalid and Al Zahrani, 2024)</w:t>
      </w:r>
      <w:r w:rsidRPr="00EF2814">
        <w:rPr>
          <w:rFonts w:cs="Arial"/>
          <w:lang w:val="en-GB"/>
        </w:rPr>
        <w:t xml:space="preserve">. It also intersects with the topics of the obstacles to training delivery, including time constraints and resource limitations. Also, the resilience and support systems were connected </w:t>
      </w:r>
      <w:proofErr w:type="gramStart"/>
      <w:r w:rsidRPr="00EF2814">
        <w:rPr>
          <w:rFonts w:cs="Arial"/>
          <w:lang w:val="en-GB"/>
        </w:rPr>
        <w:t>through the use of</w:t>
      </w:r>
      <w:proofErr w:type="gramEnd"/>
      <w:r w:rsidRPr="00EF2814">
        <w:rPr>
          <w:rFonts w:cs="Arial"/>
          <w:lang w:val="en-GB"/>
        </w:rPr>
        <w:t xml:space="preserve"> links that modulate the effectiveness of supervision as well as the outcome of the competency.</w:t>
      </w:r>
    </w:p>
    <w:p w14:paraId="4990106A" w14:textId="38D6082C" w:rsidR="00BE0794" w:rsidRPr="00EF2814" w:rsidRDefault="00BE0794" w:rsidP="005B1B4C">
      <w:pPr>
        <w:pStyle w:val="Heading2"/>
        <w:rPr>
          <w:lang w:val="en-GB"/>
        </w:rPr>
      </w:pPr>
      <w:bookmarkStart w:id="63" w:name="_9fspvz5tt1c1" w:colFirst="0" w:colLast="0"/>
      <w:bookmarkStart w:id="64" w:name="_Toc222234365"/>
      <w:bookmarkEnd w:id="63"/>
      <w:r w:rsidRPr="00EF2814">
        <w:rPr>
          <w:lang w:val="en-GB"/>
        </w:rPr>
        <w:t>4.4 Theme 2</w:t>
      </w:r>
      <w:r w:rsidR="00EB0489" w:rsidRPr="00EF2814">
        <w:rPr>
          <w:lang w:val="en-GB"/>
        </w:rPr>
        <w:t xml:space="preserve"> -</w:t>
      </w:r>
      <w:r w:rsidRPr="00EF2814">
        <w:rPr>
          <w:lang w:val="en-GB"/>
        </w:rPr>
        <w:t xml:space="preserve"> Workforce Flexibility and Role Adaptation</w:t>
      </w:r>
      <w:bookmarkEnd w:id="64"/>
    </w:p>
    <w:p w14:paraId="36D29B7C"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Definition &amp; Background Information</w:t>
      </w:r>
    </w:p>
    <w:p w14:paraId="48A3A9E1" w14:textId="355EB435" w:rsidR="00BE0794" w:rsidRPr="00EF2814" w:rsidRDefault="00BE0794" w:rsidP="008C02E0">
      <w:pPr>
        <w:spacing w:before="240" w:after="0"/>
        <w:rPr>
          <w:rFonts w:cs="Arial"/>
          <w:lang w:val="en-GB"/>
        </w:rPr>
      </w:pPr>
      <w:r w:rsidRPr="00EF2814">
        <w:rPr>
          <w:rFonts w:cs="Arial"/>
          <w:lang w:val="en-GB"/>
        </w:rPr>
        <w:lastRenderedPageBreak/>
        <w:t>Workforce flexibility and role adaptation imply the possibility of the healthcare staff adapting to the new roles/responsibilities and clinical settings in emergencies</w:t>
      </w:r>
      <w:r w:rsidR="00774045" w:rsidRPr="00EF2814">
        <w:rPr>
          <w:rFonts w:cs="Arial"/>
          <w:lang w:val="en-GB"/>
        </w:rPr>
        <w:t xml:space="preserve"> (Kidanemariam </w:t>
      </w:r>
      <w:r w:rsidR="00774045" w:rsidRPr="00EF2814">
        <w:rPr>
          <w:rFonts w:cs="Arial"/>
          <w:i/>
          <w:iCs/>
          <w:lang w:val="en-GB"/>
        </w:rPr>
        <w:t>et al.</w:t>
      </w:r>
      <w:r w:rsidR="00774045" w:rsidRPr="00EF2814">
        <w:rPr>
          <w:rFonts w:cs="Arial"/>
          <w:lang w:val="en-GB"/>
        </w:rPr>
        <w:t>, 2026)</w:t>
      </w:r>
      <w:r w:rsidRPr="00EF2814">
        <w:rPr>
          <w:rFonts w:cs="Arial"/>
          <w:lang w:val="en-GB"/>
        </w:rPr>
        <w:t>. The rapid redeployment of healthcare workers in the UK during COVID-19 demanded changes outside the scope of practise in response to the allocation rates of the medical staff to various departments. Emergency training, provisional role alteration, and changed supervision arrangements facilitated the flexibility, which constituted an essential part of pandemic workforce management.</w:t>
      </w:r>
    </w:p>
    <w:p w14:paraId="49B901AB"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Impact on Research Question</w:t>
      </w:r>
    </w:p>
    <w:p w14:paraId="5981CA4C" w14:textId="463EBD69" w:rsidR="00BE0794" w:rsidRPr="00EF2814" w:rsidRDefault="00BE0794" w:rsidP="008C02E0">
      <w:pPr>
        <w:spacing w:before="240" w:after="0"/>
        <w:rPr>
          <w:rFonts w:cs="Arial"/>
          <w:lang w:val="en-GB"/>
        </w:rPr>
      </w:pPr>
      <w:r w:rsidRPr="00EF2814">
        <w:rPr>
          <w:rFonts w:cs="Arial"/>
          <w:lang w:val="en-GB"/>
        </w:rPr>
        <w:t xml:space="preserve">This theme is relevant to the research question because it investigates whether the emergency clinical training helped the staff to safely adapt to new positions without losing competence. Flexibility in the workforce directly affected the effectiveness of the transformation of training into </w:t>
      </w:r>
      <w:r w:rsidR="001527B8" w:rsidRPr="00EF2814">
        <w:rPr>
          <w:rFonts w:cs="Arial"/>
          <w:lang w:val="en-GB"/>
        </w:rPr>
        <w:t>practice (Radovan, 2024)</w:t>
      </w:r>
      <w:r w:rsidRPr="00EF2814">
        <w:rPr>
          <w:rFonts w:cs="Arial"/>
          <w:lang w:val="en-GB"/>
        </w:rPr>
        <w:t>. Role adaptation makes it clear that it was not just the case of emergency training that empowered redeployment, but was, in fact an indicator of the ability to perform competently and, as such, assists in determining the overall effectiveness of COVID-19 emergency training programmes within the UK healthcare system.</w:t>
      </w:r>
    </w:p>
    <w:p w14:paraId="633AA2E5"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Statistical Information</w:t>
      </w:r>
    </w:p>
    <w:p w14:paraId="5B880A80" w14:textId="536A78E6" w:rsidR="00BE0794" w:rsidRPr="00EF2814" w:rsidRDefault="00BE0794" w:rsidP="008C02E0">
      <w:pPr>
        <w:spacing w:before="240" w:after="0"/>
        <w:rPr>
          <w:rFonts w:cs="Arial"/>
          <w:b/>
          <w:bCs/>
          <w:i/>
          <w:iCs/>
          <w:sz w:val="24"/>
          <w:szCs w:val="24"/>
          <w:lang w:val="en-GB"/>
        </w:rPr>
      </w:pPr>
      <w:r w:rsidRPr="00EF2814">
        <w:rPr>
          <w:rFonts w:cs="Arial"/>
          <w:lang w:val="en-GB"/>
        </w:rPr>
        <w:t>The pandemic also experienced the deployment of over 50,000 NHS employees in new and unknown clinical positions, such as non-ICU nurses to provide critical care and allied health professionals to provide ward-based care. There were also acute trusts that reported a redeployment of more than 30 clinical specialities</w:t>
      </w:r>
      <w:r w:rsidR="002519B7" w:rsidRPr="00EF2814">
        <w:rPr>
          <w:rFonts w:cs="Arial"/>
          <w:lang w:val="en-GB"/>
        </w:rPr>
        <w:t xml:space="preserve"> (Faulkner-</w:t>
      </w:r>
      <w:proofErr w:type="spellStart"/>
      <w:r w:rsidR="002519B7" w:rsidRPr="00EF2814">
        <w:rPr>
          <w:rFonts w:cs="Arial"/>
          <w:lang w:val="en-GB"/>
        </w:rPr>
        <w:t>Gurstein</w:t>
      </w:r>
      <w:proofErr w:type="spellEnd"/>
      <w:r w:rsidR="002519B7" w:rsidRPr="00EF2814">
        <w:rPr>
          <w:rFonts w:cs="Arial"/>
          <w:lang w:val="en-GB"/>
        </w:rPr>
        <w:t xml:space="preserve"> </w:t>
      </w:r>
      <w:r w:rsidR="002519B7" w:rsidRPr="00EF2814">
        <w:rPr>
          <w:rFonts w:cs="Arial"/>
          <w:i/>
          <w:iCs/>
          <w:lang w:val="en-GB"/>
        </w:rPr>
        <w:t>et al.</w:t>
      </w:r>
      <w:r w:rsidR="002519B7" w:rsidRPr="00EF2814">
        <w:rPr>
          <w:rFonts w:cs="Arial"/>
          <w:lang w:val="en-GB"/>
        </w:rPr>
        <w:t>, 2022)</w:t>
      </w:r>
      <w:r w:rsidRPr="00EF2814">
        <w:rPr>
          <w:rFonts w:cs="Arial"/>
          <w:lang w:val="en-GB"/>
        </w:rPr>
        <w:t>. Although redeployment minimised service disruption, creative workforce audits established longer supervision durations and greater workload intensity during initial adjustment, which showed ambivalent competency results.</w:t>
      </w:r>
    </w:p>
    <w:p w14:paraId="0D07AC24"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Theories, Policies, and Legislation</w:t>
      </w:r>
    </w:p>
    <w:p w14:paraId="7A639A2C" w14:textId="77777777" w:rsidR="00BE0794" w:rsidRPr="00EF2814" w:rsidRDefault="00BE0794" w:rsidP="008C02E0">
      <w:pPr>
        <w:spacing w:before="240" w:after="0"/>
        <w:rPr>
          <w:rFonts w:cs="Arial"/>
          <w:b/>
          <w:bCs/>
          <w:lang w:val="en-GB"/>
        </w:rPr>
      </w:pPr>
      <w:r w:rsidRPr="00EF2814">
        <w:rPr>
          <w:rFonts w:cs="Arial"/>
          <w:b/>
          <w:bCs/>
          <w:lang w:val="en-GB"/>
        </w:rPr>
        <w:t>Theoretical Framework</w:t>
      </w:r>
    </w:p>
    <w:p w14:paraId="5A1E738F" w14:textId="2541F206" w:rsidR="00BE0794" w:rsidRPr="00EF2814" w:rsidRDefault="00BE0794" w:rsidP="008C02E0">
      <w:pPr>
        <w:numPr>
          <w:ilvl w:val="0"/>
          <w:numId w:val="21"/>
        </w:numPr>
        <w:spacing w:before="240" w:after="0"/>
        <w:rPr>
          <w:rFonts w:cs="Arial"/>
          <w:lang w:val="en-GB"/>
        </w:rPr>
      </w:pPr>
      <w:r w:rsidRPr="00EF2814">
        <w:rPr>
          <w:rFonts w:cs="Arial"/>
          <w:b/>
          <w:bCs/>
          <w:lang w:val="en-GB"/>
        </w:rPr>
        <w:t>Adult Learning Theory (Andragogy):</w:t>
      </w:r>
      <w:r w:rsidRPr="00EF2814">
        <w:rPr>
          <w:rFonts w:cs="Arial"/>
          <w:lang w:val="en-GB"/>
        </w:rPr>
        <w:t xml:space="preserve"> The emergency training program was designed around problem-solving and application, which aided experienced professionals in applying their knowledge in a high-pressure situation</w:t>
      </w:r>
      <w:r w:rsidR="00B70B38" w:rsidRPr="00EF2814">
        <w:rPr>
          <w:rFonts w:cs="Arial"/>
          <w:lang w:val="en-GB"/>
        </w:rPr>
        <w:t xml:space="preserve"> (</w:t>
      </w:r>
      <w:proofErr w:type="spellStart"/>
      <w:r w:rsidR="00B70B38" w:rsidRPr="00EF2814">
        <w:rPr>
          <w:rFonts w:cs="Arial"/>
          <w:lang w:val="en-GB"/>
        </w:rPr>
        <w:t>Srikasem</w:t>
      </w:r>
      <w:proofErr w:type="spellEnd"/>
      <w:r w:rsidR="00B70B38" w:rsidRPr="00EF2814">
        <w:rPr>
          <w:rFonts w:cs="Arial"/>
          <w:lang w:val="en-GB"/>
        </w:rPr>
        <w:t xml:space="preserve"> </w:t>
      </w:r>
      <w:r w:rsidR="00B70B38" w:rsidRPr="00EF2814">
        <w:rPr>
          <w:rFonts w:cs="Arial"/>
          <w:i/>
          <w:iCs/>
          <w:lang w:val="en-GB"/>
        </w:rPr>
        <w:t>et al.</w:t>
      </w:r>
      <w:r w:rsidR="00B70B38" w:rsidRPr="00EF2814">
        <w:rPr>
          <w:rFonts w:cs="Arial"/>
          <w:lang w:val="en-GB"/>
        </w:rPr>
        <w:t>, 2025)</w:t>
      </w:r>
      <w:r w:rsidRPr="00EF2814">
        <w:rPr>
          <w:rFonts w:cs="Arial"/>
          <w:lang w:val="en-GB"/>
        </w:rPr>
        <w:t>.</w:t>
      </w:r>
    </w:p>
    <w:p w14:paraId="5D440C3D" w14:textId="77777777" w:rsidR="00BE0794" w:rsidRPr="00EF2814" w:rsidRDefault="00BE0794" w:rsidP="008C02E0">
      <w:pPr>
        <w:numPr>
          <w:ilvl w:val="0"/>
          <w:numId w:val="21"/>
        </w:numPr>
        <w:spacing w:before="240" w:after="0"/>
        <w:rPr>
          <w:rFonts w:cs="Arial"/>
          <w:lang w:val="en-GB"/>
        </w:rPr>
      </w:pPr>
      <w:r w:rsidRPr="00EF2814">
        <w:rPr>
          <w:rFonts w:cs="Arial"/>
          <w:b/>
          <w:bCs/>
          <w:lang w:val="en-GB"/>
        </w:rPr>
        <w:lastRenderedPageBreak/>
        <w:t>Experiential Learning Theory:</w:t>
      </w:r>
      <w:r w:rsidRPr="00EF2814">
        <w:rPr>
          <w:rFonts w:cs="Arial"/>
          <w:lang w:val="en-GB"/>
        </w:rPr>
        <w:t xml:space="preserve"> Learning was achieved through simulation, observation, and direct exposure to clinical practice, which helped accelerate the development of competence.</w:t>
      </w:r>
    </w:p>
    <w:p w14:paraId="16967174" w14:textId="77777777" w:rsidR="00BE0794" w:rsidRPr="00EF2814" w:rsidRDefault="00BE0794" w:rsidP="008C02E0">
      <w:pPr>
        <w:numPr>
          <w:ilvl w:val="0"/>
          <w:numId w:val="21"/>
        </w:numPr>
        <w:spacing w:before="240" w:after="0"/>
        <w:rPr>
          <w:rFonts w:cs="Arial"/>
          <w:lang w:val="en-GB"/>
        </w:rPr>
      </w:pPr>
      <w:r w:rsidRPr="00EF2814">
        <w:rPr>
          <w:rFonts w:cs="Arial"/>
          <w:b/>
          <w:bCs/>
          <w:lang w:val="en-GB"/>
        </w:rPr>
        <w:t>Competency-Based Education Theory:</w:t>
      </w:r>
      <w:r w:rsidRPr="00EF2814">
        <w:rPr>
          <w:rFonts w:cs="Arial"/>
          <w:lang w:val="en-GB"/>
        </w:rPr>
        <w:t xml:space="preserve"> The training program was grounded in the development of clinical competencies rather than time-based training.</w:t>
      </w:r>
    </w:p>
    <w:p w14:paraId="248B3B32" w14:textId="77777777" w:rsidR="00BE0794" w:rsidRPr="00EF2814" w:rsidRDefault="00BE0794" w:rsidP="008C02E0">
      <w:pPr>
        <w:numPr>
          <w:ilvl w:val="0"/>
          <w:numId w:val="21"/>
        </w:numPr>
        <w:spacing w:before="240" w:after="0"/>
        <w:rPr>
          <w:rFonts w:cs="Arial"/>
          <w:lang w:val="en-GB"/>
        </w:rPr>
      </w:pPr>
      <w:r w:rsidRPr="00EF2814">
        <w:rPr>
          <w:rFonts w:cs="Arial"/>
          <w:b/>
          <w:bCs/>
          <w:lang w:val="en-GB"/>
        </w:rPr>
        <w:t>Cognitive Load Theory:</w:t>
      </w:r>
      <w:r w:rsidRPr="00EF2814">
        <w:rPr>
          <w:rFonts w:cs="Arial"/>
          <w:lang w:val="en-GB"/>
        </w:rPr>
        <w:t xml:space="preserve"> The design of the emergency programs was intended to minimise information overload by focusing on the most important skills.</w:t>
      </w:r>
    </w:p>
    <w:p w14:paraId="0C6AAEA8" w14:textId="77777777" w:rsidR="00BE0794" w:rsidRPr="00EF2814" w:rsidRDefault="00BE0794" w:rsidP="008C02E0">
      <w:pPr>
        <w:numPr>
          <w:ilvl w:val="0"/>
          <w:numId w:val="21"/>
        </w:numPr>
        <w:spacing w:before="240" w:after="0"/>
        <w:rPr>
          <w:rFonts w:cs="Arial"/>
          <w:lang w:val="en-GB"/>
        </w:rPr>
      </w:pPr>
      <w:r w:rsidRPr="00EF2814">
        <w:rPr>
          <w:rFonts w:cs="Arial"/>
          <w:b/>
          <w:bCs/>
          <w:lang w:val="en-GB"/>
        </w:rPr>
        <w:t>Situated Learning Theory:</w:t>
      </w:r>
      <w:r w:rsidRPr="00EF2814">
        <w:rPr>
          <w:rFonts w:cs="Arial"/>
          <w:lang w:val="en-GB"/>
        </w:rPr>
        <w:t xml:space="preserve"> The training was conducted in a real-world clinical setting, which improved the relevance of the training to practice.</w:t>
      </w:r>
    </w:p>
    <w:p w14:paraId="73BB0D10" w14:textId="77777777" w:rsidR="00BE0794" w:rsidRPr="00EF2814" w:rsidRDefault="00BE0794" w:rsidP="008C02E0">
      <w:pPr>
        <w:spacing w:before="240" w:after="0"/>
        <w:rPr>
          <w:rFonts w:cs="Arial"/>
          <w:b/>
          <w:bCs/>
          <w:i/>
          <w:iCs/>
          <w:sz w:val="24"/>
          <w:szCs w:val="24"/>
          <w:lang w:val="en-GB"/>
        </w:rPr>
      </w:pPr>
      <w:r w:rsidRPr="00EF2814">
        <w:rPr>
          <w:rFonts w:cs="Arial"/>
          <w:b/>
          <w:bCs/>
          <w:lang w:val="en-GB"/>
        </w:rPr>
        <w:t>Policy and Legislation</w:t>
      </w:r>
    </w:p>
    <w:p w14:paraId="69F11B31" w14:textId="451F8415" w:rsidR="00BE0794" w:rsidRPr="00EF2814" w:rsidRDefault="00BE0794" w:rsidP="008C02E0">
      <w:pPr>
        <w:numPr>
          <w:ilvl w:val="0"/>
          <w:numId w:val="22"/>
        </w:numPr>
        <w:spacing w:before="240" w:after="0"/>
        <w:rPr>
          <w:rFonts w:cs="Arial"/>
          <w:lang w:val="en-GB"/>
        </w:rPr>
      </w:pPr>
      <w:r w:rsidRPr="00EF2814">
        <w:rPr>
          <w:rFonts w:cs="Arial"/>
          <w:b/>
          <w:bCs/>
          <w:lang w:val="en-GB"/>
        </w:rPr>
        <w:t>NHS Emergency Preparedness Framework:</w:t>
      </w:r>
      <w:r w:rsidRPr="00EF2814">
        <w:rPr>
          <w:rFonts w:cs="Arial"/>
          <w:lang w:val="en-GB"/>
        </w:rPr>
        <w:t xml:space="preserve"> Enabled swift training and skills enhancement in the workforce during public health emergencies</w:t>
      </w:r>
      <w:r w:rsidR="00B70B38" w:rsidRPr="00EF2814">
        <w:rPr>
          <w:rFonts w:cs="Arial"/>
          <w:lang w:val="en-GB"/>
        </w:rPr>
        <w:t xml:space="preserve"> (</w:t>
      </w:r>
      <w:proofErr w:type="spellStart"/>
      <w:r w:rsidR="00B70B38" w:rsidRPr="00EF2814">
        <w:rPr>
          <w:rFonts w:cs="Arial"/>
          <w:lang w:val="en-GB"/>
        </w:rPr>
        <w:t>Tabche</w:t>
      </w:r>
      <w:proofErr w:type="spellEnd"/>
      <w:r w:rsidR="00B70B38" w:rsidRPr="00EF2814">
        <w:rPr>
          <w:rFonts w:cs="Arial"/>
          <w:lang w:val="en-GB"/>
        </w:rPr>
        <w:t xml:space="preserve">, Atwan and </w:t>
      </w:r>
      <w:proofErr w:type="spellStart"/>
      <w:r w:rsidR="00B70B38" w:rsidRPr="00EF2814">
        <w:rPr>
          <w:rFonts w:cs="Arial"/>
          <w:lang w:val="en-GB"/>
        </w:rPr>
        <w:t>Rawaf</w:t>
      </w:r>
      <w:proofErr w:type="spellEnd"/>
      <w:r w:rsidR="00B70B38" w:rsidRPr="00EF2814">
        <w:rPr>
          <w:rFonts w:cs="Arial"/>
          <w:lang w:val="en-GB"/>
        </w:rPr>
        <w:t>, 2024)</w:t>
      </w:r>
      <w:r w:rsidRPr="00EF2814">
        <w:rPr>
          <w:rFonts w:cs="Arial"/>
          <w:lang w:val="en-GB"/>
        </w:rPr>
        <w:t>.</w:t>
      </w:r>
    </w:p>
    <w:p w14:paraId="61AD14B8" w14:textId="77777777" w:rsidR="00BE0794" w:rsidRPr="00EF2814" w:rsidRDefault="00BE0794" w:rsidP="008C02E0">
      <w:pPr>
        <w:numPr>
          <w:ilvl w:val="0"/>
          <w:numId w:val="22"/>
        </w:numPr>
        <w:spacing w:before="240" w:after="0"/>
        <w:rPr>
          <w:rFonts w:cs="Arial"/>
          <w:lang w:val="en-GB"/>
        </w:rPr>
      </w:pPr>
      <w:r w:rsidRPr="00EF2814">
        <w:rPr>
          <w:rFonts w:cs="Arial"/>
          <w:b/>
          <w:bCs/>
          <w:lang w:val="en-GB"/>
        </w:rPr>
        <w:t xml:space="preserve">Health and Social Care Act: </w:t>
      </w:r>
      <w:r w:rsidRPr="00EF2814">
        <w:rPr>
          <w:rFonts w:cs="Arial"/>
          <w:lang w:val="en-GB"/>
        </w:rPr>
        <w:t>Enabled changes in the workforce and emergency services’ adaptation to the new environment.</w:t>
      </w:r>
    </w:p>
    <w:p w14:paraId="4800C297" w14:textId="77777777" w:rsidR="00BE0794" w:rsidRPr="00EF2814" w:rsidRDefault="00BE0794" w:rsidP="008C02E0">
      <w:pPr>
        <w:numPr>
          <w:ilvl w:val="0"/>
          <w:numId w:val="22"/>
        </w:numPr>
        <w:spacing w:before="240" w:after="0"/>
        <w:rPr>
          <w:rFonts w:cs="Arial"/>
          <w:lang w:val="en-GB"/>
        </w:rPr>
      </w:pPr>
      <w:r w:rsidRPr="00EF2814">
        <w:rPr>
          <w:rFonts w:cs="Arial"/>
          <w:b/>
          <w:bCs/>
          <w:lang w:val="en-GB"/>
        </w:rPr>
        <w:t>Temporary Regulatory Flexibility Policies:</w:t>
      </w:r>
      <w:r w:rsidRPr="00EF2814">
        <w:rPr>
          <w:rFonts w:cs="Arial"/>
          <w:lang w:val="en-GB"/>
        </w:rPr>
        <w:t xml:space="preserve"> Enabled the use of skills with supervision to ensure patient safety.</w:t>
      </w:r>
    </w:p>
    <w:p w14:paraId="6035FC56" w14:textId="77777777" w:rsidR="00BE0794" w:rsidRPr="00EF2814" w:rsidRDefault="00BE0794" w:rsidP="008C02E0">
      <w:pPr>
        <w:numPr>
          <w:ilvl w:val="0"/>
          <w:numId w:val="22"/>
        </w:numPr>
        <w:spacing w:before="240" w:after="0"/>
        <w:rPr>
          <w:rFonts w:cs="Arial"/>
          <w:lang w:val="en-GB"/>
        </w:rPr>
      </w:pPr>
      <w:r w:rsidRPr="00EF2814">
        <w:rPr>
          <w:rFonts w:cs="Arial"/>
          <w:b/>
          <w:bCs/>
          <w:lang w:val="en-GB"/>
        </w:rPr>
        <w:t>NHS People Plan:</w:t>
      </w:r>
      <w:r w:rsidRPr="00EF2814">
        <w:rPr>
          <w:rFonts w:cs="Arial"/>
          <w:lang w:val="en-GB"/>
        </w:rPr>
        <w:t xml:space="preserve"> Enabled swift skills development, employee well-being, and workforce resilience during emergencies.</w:t>
      </w:r>
    </w:p>
    <w:p w14:paraId="121E5526" w14:textId="77777777" w:rsidR="00BE0794" w:rsidRPr="00EF2814" w:rsidRDefault="00BE0794" w:rsidP="008C02E0">
      <w:pPr>
        <w:numPr>
          <w:ilvl w:val="0"/>
          <w:numId w:val="22"/>
        </w:numPr>
        <w:spacing w:before="240" w:after="0"/>
        <w:rPr>
          <w:rFonts w:cs="Arial"/>
          <w:lang w:val="en-GB"/>
        </w:rPr>
      </w:pPr>
      <w:r w:rsidRPr="00EF2814">
        <w:rPr>
          <w:rFonts w:cs="Arial"/>
          <w:b/>
          <w:bCs/>
          <w:lang w:val="en-GB"/>
        </w:rPr>
        <w:t xml:space="preserve">Infection Prevention and Control Regulations: </w:t>
      </w:r>
      <w:r w:rsidRPr="00EF2814">
        <w:rPr>
          <w:rFonts w:cs="Arial"/>
          <w:lang w:val="en-GB"/>
        </w:rPr>
        <w:t>Mandated emergency training on PPE and patient safety practices.</w:t>
      </w:r>
    </w:p>
    <w:p w14:paraId="30B5477B"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Implications</w:t>
      </w:r>
    </w:p>
    <w:p w14:paraId="358407C3" w14:textId="75012DDA" w:rsidR="00BE0794" w:rsidRPr="00EF2814" w:rsidRDefault="00BE0794" w:rsidP="008C02E0">
      <w:pPr>
        <w:spacing w:before="240" w:after="0"/>
        <w:rPr>
          <w:rFonts w:cs="Arial"/>
          <w:lang w:val="en-GB"/>
        </w:rPr>
      </w:pPr>
      <w:r w:rsidRPr="00EF2814">
        <w:rPr>
          <w:rFonts w:cs="Arial"/>
          <w:lang w:val="en-GB"/>
        </w:rPr>
        <w:t>Flexibility of the labour force sustained the delivery of services within a short period, thus alleviating workforce reduction, which has a positive implication on health system resilience</w:t>
      </w:r>
      <w:r w:rsidR="00B70B38" w:rsidRPr="00EF2814">
        <w:rPr>
          <w:rFonts w:cs="Arial"/>
          <w:lang w:val="en-GB"/>
        </w:rPr>
        <w:t xml:space="preserve"> (Burau </w:t>
      </w:r>
      <w:r w:rsidR="00B70B38" w:rsidRPr="00EF2814">
        <w:rPr>
          <w:rFonts w:cs="Arial"/>
          <w:i/>
          <w:iCs/>
          <w:lang w:val="en-GB"/>
        </w:rPr>
        <w:t>et al.</w:t>
      </w:r>
      <w:r w:rsidR="00B70B38" w:rsidRPr="00EF2814">
        <w:rPr>
          <w:rFonts w:cs="Arial"/>
          <w:lang w:val="en-GB"/>
        </w:rPr>
        <w:t>, 2022)</w:t>
      </w:r>
      <w:r w:rsidRPr="00EF2814">
        <w:rPr>
          <w:rFonts w:cs="Arial"/>
          <w:lang w:val="en-GB"/>
        </w:rPr>
        <w:t xml:space="preserve">. Nevertheless, the adaptation of roles gave a lot of cognitive and emotional pressure on the staff, at times more than what had been taught during training. The lack of </w:t>
      </w:r>
      <w:r w:rsidRPr="00EF2814">
        <w:rPr>
          <w:rFonts w:cs="Arial"/>
          <w:lang w:val="en-GB"/>
        </w:rPr>
        <w:lastRenderedPageBreak/>
        <w:t>competency and confidence in relation to the lack of adequate training relative to role complexity was a factor that jeopardised proper orientation in future emergency workforce planning.</w:t>
      </w:r>
    </w:p>
    <w:p w14:paraId="252A81A8"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Examples from the Articles</w:t>
      </w:r>
    </w:p>
    <w:p w14:paraId="6ABCDE40" w14:textId="20803762" w:rsidR="00BE0794" w:rsidRPr="00EF2814" w:rsidRDefault="00BE0794" w:rsidP="008C02E0">
      <w:pPr>
        <w:spacing w:before="240" w:after="0"/>
        <w:rPr>
          <w:rFonts w:cs="Arial"/>
          <w:b/>
          <w:bCs/>
          <w:i/>
          <w:iCs/>
          <w:sz w:val="24"/>
          <w:szCs w:val="24"/>
          <w:lang w:val="en-GB"/>
        </w:rPr>
      </w:pPr>
      <w:r w:rsidRPr="00EF2814">
        <w:rPr>
          <w:rFonts w:cs="Arial"/>
          <w:lang w:val="en-GB"/>
        </w:rPr>
        <w:t>In qualitative case studies, redeployed research and clinical personnel demonstrated that they could learn quickly to be in frontline positions, especially as supervision was regularly provided</w:t>
      </w:r>
      <w:r w:rsidR="00211CD2" w:rsidRPr="00EF2814">
        <w:rPr>
          <w:rFonts w:cs="Arial"/>
          <w:lang w:val="en-GB"/>
        </w:rPr>
        <w:t xml:space="preserve"> (Wright, Haden and Dalrymple, 2023)</w:t>
      </w:r>
      <w:r w:rsidRPr="00EF2814">
        <w:rPr>
          <w:rFonts w:cs="Arial"/>
          <w:lang w:val="en-GB"/>
        </w:rPr>
        <w:t>. On the one hand, emergency medicine literature indicated enhanced flexibility, and on the other hand, anxiety among employees who were not engaged in their specialisations. Reviews of laboratory education indicated positive role expansion with a lower level of confidence when the scope of redeployment surpassed initial training, with congruence in results and incongruence as well.</w:t>
      </w:r>
    </w:p>
    <w:p w14:paraId="6AA71D61"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Connections to Other Themes</w:t>
      </w:r>
    </w:p>
    <w:p w14:paraId="281F142A" w14:textId="00476CDB" w:rsidR="00BE0794" w:rsidRPr="00EF2814" w:rsidRDefault="00BE0794" w:rsidP="008C02E0">
      <w:pPr>
        <w:spacing w:before="240" w:after="0"/>
        <w:rPr>
          <w:rFonts w:cs="Arial"/>
          <w:lang w:val="en-GB"/>
        </w:rPr>
      </w:pPr>
      <w:r w:rsidRPr="00EF2814">
        <w:rPr>
          <w:rFonts w:cs="Arial"/>
          <w:lang w:val="en-GB"/>
        </w:rPr>
        <w:t>The effectiveness of the emergency clinical training is closely related to this theme because the quality of the training affects the successful practise of the roles</w:t>
      </w:r>
      <w:r w:rsidR="00211CD2" w:rsidRPr="00EF2814">
        <w:rPr>
          <w:rFonts w:cs="Arial"/>
          <w:lang w:val="en-GB"/>
        </w:rPr>
        <w:t xml:space="preserve"> (Zhang, 2023)</w:t>
      </w:r>
      <w:r w:rsidRPr="00EF2814">
        <w:rPr>
          <w:rFonts w:cs="Arial"/>
          <w:lang w:val="en-GB"/>
        </w:rPr>
        <w:t>. It also somewhat intersects the barriers to training delivery in that preparedness was constrained by a lack of time and resources. Also, connections to support systems and resilience of the workforce show that supervision and peer support mediated the effects of redeployment on the competency and well-being of the staff.</w:t>
      </w:r>
    </w:p>
    <w:p w14:paraId="4B5567BF"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Examples from the Articles</w:t>
      </w:r>
    </w:p>
    <w:p w14:paraId="2679F815" w14:textId="77777777" w:rsidR="00BE0794" w:rsidRPr="00EF2814" w:rsidRDefault="00BE0794" w:rsidP="008C02E0">
      <w:pPr>
        <w:spacing w:before="240" w:after="0"/>
        <w:rPr>
          <w:rFonts w:cs="Arial"/>
          <w:lang w:val="en-GB"/>
        </w:rPr>
      </w:pPr>
      <w:r w:rsidRPr="00EF2814">
        <w:rPr>
          <w:rFonts w:cs="Arial"/>
          <w:lang w:val="en-GB"/>
        </w:rPr>
        <w:t>The articles under review have found that healthcare assistants have taken on more clinical work during times of staff shortages, thus reducing delays in services. Nurses working as advanced practitioners have also improved patient flow in primary care settings. Social care professionals have found that they have taken on more work in multidisciplinary teams, especially in times of crisis.</w:t>
      </w:r>
    </w:p>
    <w:p w14:paraId="302F1479" w14:textId="77777777" w:rsidR="00BE0794" w:rsidRPr="00EF2814" w:rsidRDefault="00BE0794" w:rsidP="008C02E0">
      <w:pPr>
        <w:spacing w:before="240" w:after="0"/>
        <w:rPr>
          <w:rFonts w:cs="Arial"/>
          <w:b/>
          <w:bCs/>
          <w:i/>
          <w:iCs/>
          <w:sz w:val="24"/>
          <w:szCs w:val="24"/>
          <w:lang w:val="en-GB"/>
        </w:rPr>
      </w:pPr>
      <w:r w:rsidRPr="00EF2814">
        <w:rPr>
          <w:rFonts w:cs="Arial"/>
          <w:b/>
          <w:bCs/>
          <w:i/>
          <w:iCs/>
          <w:sz w:val="24"/>
          <w:szCs w:val="24"/>
          <w:lang w:val="en-GB"/>
        </w:rPr>
        <w:t>Connections to Other Themes</w:t>
      </w:r>
    </w:p>
    <w:p w14:paraId="19312D71" w14:textId="457F7A7A" w:rsidR="00BE0794" w:rsidRPr="00EF2814" w:rsidRDefault="00BE0794" w:rsidP="008C02E0">
      <w:pPr>
        <w:spacing w:before="240" w:after="0"/>
        <w:rPr>
          <w:rFonts w:cs="Arial"/>
          <w:lang w:val="en-GB"/>
        </w:rPr>
      </w:pPr>
      <w:r w:rsidRPr="00EF2814">
        <w:rPr>
          <w:rFonts w:cs="Arial"/>
          <w:lang w:val="en-GB"/>
        </w:rPr>
        <w:t>The issue of workforce flexibility is also closely related to the concepts of interprofessional working and service integration, as flexible roles are based on shared accountability</w:t>
      </w:r>
      <w:r w:rsidR="00342FE7" w:rsidRPr="00EF2814">
        <w:rPr>
          <w:rFonts w:cs="Arial"/>
          <w:lang w:val="en-GB"/>
        </w:rPr>
        <w:t xml:space="preserve"> (Dib and </w:t>
      </w:r>
      <w:proofErr w:type="spellStart"/>
      <w:r w:rsidR="00342FE7" w:rsidRPr="00EF2814">
        <w:rPr>
          <w:rFonts w:cs="Arial"/>
          <w:lang w:val="en-GB"/>
        </w:rPr>
        <w:t>Belrhiti</w:t>
      </w:r>
      <w:proofErr w:type="spellEnd"/>
      <w:r w:rsidR="00342FE7" w:rsidRPr="00EF2814">
        <w:rPr>
          <w:rFonts w:cs="Arial"/>
          <w:lang w:val="en-GB"/>
        </w:rPr>
        <w:t>, 2025)</w:t>
      </w:r>
      <w:r w:rsidRPr="00EF2814">
        <w:rPr>
          <w:rFonts w:cs="Arial"/>
          <w:lang w:val="en-GB"/>
        </w:rPr>
        <w:t>. It is also related to the concepts of leadership and organisational culture, as supportive leadership is necessary for flexible roles to be developed. In addition, it is also related to service user outcomes, as flexible roles improve continuity of care.</w:t>
      </w:r>
    </w:p>
    <w:p w14:paraId="36186374" w14:textId="138691B1" w:rsidR="00E1782A" w:rsidRPr="00EF2814" w:rsidRDefault="00E1782A" w:rsidP="005B1B4C">
      <w:pPr>
        <w:pStyle w:val="Heading2"/>
        <w:rPr>
          <w:lang w:val="en-GB"/>
        </w:rPr>
      </w:pPr>
      <w:bookmarkStart w:id="65" w:name="_Toc222234366"/>
      <w:r w:rsidRPr="00EF2814">
        <w:rPr>
          <w:lang w:val="en-GB"/>
        </w:rPr>
        <w:lastRenderedPageBreak/>
        <w:t>4.</w:t>
      </w:r>
      <w:r w:rsidR="00A16716" w:rsidRPr="00EF2814">
        <w:rPr>
          <w:lang w:val="en-GB"/>
        </w:rPr>
        <w:t>5</w:t>
      </w:r>
      <w:r w:rsidRPr="00EF2814">
        <w:rPr>
          <w:lang w:val="en-GB"/>
        </w:rPr>
        <w:t xml:space="preserve"> Theme 3 - Competency Development and Clinical Confidence</w:t>
      </w:r>
      <w:bookmarkEnd w:id="65"/>
    </w:p>
    <w:p w14:paraId="60AC3C45"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Definition</w:t>
      </w:r>
    </w:p>
    <w:p w14:paraId="4A9108D2" w14:textId="77777777" w:rsidR="00E1782A" w:rsidRPr="00EF2814" w:rsidRDefault="00E1782A" w:rsidP="00E1782A">
      <w:pPr>
        <w:spacing w:before="200"/>
        <w:rPr>
          <w:rFonts w:eastAsia="Times New Roman" w:cs="Arial"/>
          <w:lang w:val="en-GB"/>
        </w:rPr>
      </w:pPr>
      <w:r w:rsidRPr="00EF2814">
        <w:rPr>
          <w:rFonts w:eastAsia="Times New Roman" w:cs="Arial"/>
          <w:lang w:val="en-GB"/>
        </w:rPr>
        <w:t xml:space="preserve">Competency development can be defined as the process through which healthcare professionals can acquire and enhance their knowledge, skills, behaviours, as well as judgment, of giving safe and effective care (MacKay </w:t>
      </w:r>
      <w:r w:rsidRPr="00EF2814">
        <w:rPr>
          <w:rFonts w:eastAsia="Times New Roman" w:cs="Arial"/>
          <w:i/>
          <w:iCs/>
          <w:lang w:val="en-GB"/>
        </w:rPr>
        <w:t>et al.,</w:t>
      </w:r>
      <w:r w:rsidRPr="00EF2814">
        <w:rPr>
          <w:rFonts w:eastAsia="Times New Roman" w:cs="Arial"/>
          <w:lang w:val="en-GB"/>
        </w:rPr>
        <w:t xml:space="preserve"> 2024). Clinical confidence, on the other hand, has a close relation with competency. It is the confidence which practitioners develop in using these skills when faced with pressure (Gottlieb </w:t>
      </w:r>
      <w:r w:rsidRPr="00EF2814">
        <w:rPr>
          <w:rFonts w:eastAsia="Times New Roman" w:cs="Arial"/>
          <w:i/>
          <w:iCs/>
          <w:lang w:val="en-GB"/>
        </w:rPr>
        <w:t>et al.,</w:t>
      </w:r>
      <w:r w:rsidRPr="00EF2814">
        <w:rPr>
          <w:rFonts w:eastAsia="Times New Roman" w:cs="Arial"/>
          <w:lang w:val="en-GB"/>
        </w:rPr>
        <w:t xml:space="preserve"> 2021). Emergency clinical training in response to the COVID-19 pandemic aimed at rapidly improving the competency and confidence of the redeployed staff. This helps them to adapt to the new environment and provide patient safety under high-risk conditions.</w:t>
      </w:r>
    </w:p>
    <w:p w14:paraId="390C2D64"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Relevance to the Title</w:t>
      </w:r>
    </w:p>
    <w:p w14:paraId="23362BA6" w14:textId="77777777" w:rsidR="00E1782A" w:rsidRPr="00EF2814" w:rsidRDefault="00E1782A" w:rsidP="00E1782A">
      <w:pPr>
        <w:spacing w:before="200"/>
        <w:rPr>
          <w:rFonts w:eastAsia="Times New Roman" w:cs="Arial"/>
          <w:lang w:val="en-GB"/>
        </w:rPr>
      </w:pPr>
      <w:r w:rsidRPr="00EF2814">
        <w:rPr>
          <w:rFonts w:eastAsia="Times New Roman" w:cs="Arial"/>
          <w:lang w:val="en-GB"/>
        </w:rPr>
        <w:t xml:space="preserve">In the title of the dissertation, which is </w:t>
      </w:r>
      <w:r w:rsidRPr="00EF2814">
        <w:rPr>
          <w:rFonts w:eastAsia="Times New Roman" w:cs="Arial"/>
          <w:b/>
          <w:bCs/>
          <w:i/>
          <w:iCs/>
          <w:lang w:val="en-GB"/>
        </w:rPr>
        <w:t>"Examining the Effect of COVID-19 Emergency Clinical Training on Staff Competency Levels within the UK Health Care Industry"</w:t>
      </w:r>
      <w:r w:rsidRPr="00EF2814">
        <w:rPr>
          <w:rFonts w:eastAsia="Times New Roman" w:cs="Arial"/>
          <w:lang w:val="en-GB"/>
        </w:rPr>
        <w:t>, competency development and clinical confidence are explicitly placed as relevant outcomes of emergency training. Training initiatives need necessary goals to determine a measurable increase in these areas. Competency is what ensures the ability of staff members to perform key responsibilities like infection control, ventilator care, and triage (Hyeon and Moon, 2024). Correspondingly, confidence enabled them to take decisive actions under high-pressure circumstances. A combination of these outcomes established the potential to maintain workforce resilience and patient safety at pandemic times.</w:t>
      </w:r>
    </w:p>
    <w:p w14:paraId="70353C5E" w14:textId="77777777" w:rsidR="00E1782A" w:rsidRPr="00EF2814" w:rsidRDefault="00E1782A" w:rsidP="00E1782A">
      <w:pPr>
        <w:spacing w:before="200"/>
        <w:rPr>
          <w:rFonts w:eastAsia="Times New Roman" w:cs="Arial"/>
          <w:lang w:val="en-GB"/>
        </w:rPr>
      </w:pPr>
      <w:r w:rsidRPr="00EF2814">
        <w:rPr>
          <w:rFonts w:eastAsia="Times New Roman" w:cs="Arial"/>
          <w:lang w:val="en-GB"/>
        </w:rPr>
        <w:t>The dependence of competency and confidence makes an impact on the workforce preparedness:</w:t>
      </w:r>
    </w:p>
    <w:p w14:paraId="4559E3C6" w14:textId="77777777" w:rsidR="00E1782A" w:rsidRPr="00EF2814" w:rsidRDefault="00E1782A" w:rsidP="00E1782A">
      <w:pPr>
        <w:numPr>
          <w:ilvl w:val="0"/>
          <w:numId w:val="35"/>
        </w:numPr>
        <w:spacing w:before="200" w:after="0"/>
        <w:rPr>
          <w:rFonts w:eastAsia="Times New Roman" w:cs="Arial"/>
          <w:lang w:val="en-GB"/>
        </w:rPr>
      </w:pPr>
      <w:r w:rsidRPr="00EF2814">
        <w:rPr>
          <w:rFonts w:eastAsia="Times New Roman" w:cs="Arial"/>
          <w:b/>
          <w:bCs/>
          <w:lang w:val="en-GB"/>
        </w:rPr>
        <w:t>Positive Implications</w:t>
      </w:r>
      <w:r w:rsidRPr="00EF2814">
        <w:rPr>
          <w:rFonts w:eastAsia="Times New Roman" w:cs="Arial"/>
          <w:lang w:val="en-GB"/>
        </w:rPr>
        <w:t xml:space="preserve"> - Emergency training improved the level of technical skills, which allowed redeployed staff to make a positive contribution to patient care. Training is typically organised, available and supported by organisations to boost confidence.</w:t>
      </w:r>
    </w:p>
    <w:p w14:paraId="24840610" w14:textId="77777777" w:rsidR="00E1782A" w:rsidRPr="00EF2814" w:rsidRDefault="00E1782A" w:rsidP="00E1782A">
      <w:pPr>
        <w:numPr>
          <w:ilvl w:val="0"/>
          <w:numId w:val="35"/>
        </w:numPr>
        <w:spacing w:before="200" w:after="0"/>
        <w:rPr>
          <w:rFonts w:eastAsia="Times New Roman" w:cs="Arial"/>
          <w:lang w:val="en-GB"/>
        </w:rPr>
      </w:pPr>
      <w:r w:rsidRPr="00EF2814">
        <w:rPr>
          <w:rFonts w:eastAsia="Times New Roman" w:cs="Arial"/>
          <w:b/>
          <w:bCs/>
          <w:lang w:val="en-GB"/>
        </w:rPr>
        <w:t>Negative Implications</w:t>
      </w:r>
      <w:r w:rsidRPr="00EF2814">
        <w:rPr>
          <w:rFonts w:eastAsia="Times New Roman" w:cs="Arial"/>
          <w:lang w:val="en-GB"/>
        </w:rPr>
        <w:t xml:space="preserve"> - The rapidity in training initiatives can disrupt the competency of the staff, with increased uncertainties. There may be gaps in the confidence where patient safety can be compromised, especially in high-risk situations or in the ICU.</w:t>
      </w:r>
    </w:p>
    <w:p w14:paraId="77E95333" w14:textId="77777777" w:rsidR="00E1782A" w:rsidRPr="00EF2814" w:rsidRDefault="00E1782A" w:rsidP="00E1782A">
      <w:pPr>
        <w:spacing w:before="200"/>
        <w:rPr>
          <w:rFonts w:eastAsia="Times New Roman" w:cs="Arial"/>
          <w:lang w:val="en-GB"/>
        </w:rPr>
      </w:pPr>
      <w:r w:rsidRPr="00EF2814">
        <w:rPr>
          <w:rFonts w:eastAsia="Times New Roman" w:cs="Arial"/>
          <w:lang w:val="en-GB"/>
        </w:rPr>
        <w:lastRenderedPageBreak/>
        <w:t xml:space="preserve">The outcomes indicate that competency training is necessary, in addition to developing staff confidence, including simulation training, mentorship, and psychological support. The policies should consider that training regarding emergencies is technically adequate </w:t>
      </w:r>
      <w:proofErr w:type="gramStart"/>
      <w:r w:rsidRPr="00EF2814">
        <w:rPr>
          <w:rFonts w:eastAsia="Times New Roman" w:cs="Arial"/>
          <w:lang w:val="en-GB"/>
        </w:rPr>
        <w:t>and also</w:t>
      </w:r>
      <w:proofErr w:type="gramEnd"/>
      <w:r w:rsidRPr="00EF2814">
        <w:rPr>
          <w:rFonts w:eastAsia="Times New Roman" w:cs="Arial"/>
          <w:lang w:val="en-GB"/>
        </w:rPr>
        <w:t xml:space="preserve"> psychologically empowering.</w:t>
      </w:r>
    </w:p>
    <w:p w14:paraId="4D29BEFE"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Theories, Policies &amp; Legislation</w:t>
      </w:r>
    </w:p>
    <w:p w14:paraId="5590ECAA" w14:textId="77777777" w:rsidR="00E1782A" w:rsidRPr="00EF2814" w:rsidRDefault="00E1782A" w:rsidP="00E1782A">
      <w:pPr>
        <w:spacing w:before="200"/>
        <w:rPr>
          <w:rFonts w:eastAsia="Times New Roman" w:cs="Arial"/>
          <w:lang w:val="en-GB"/>
        </w:rPr>
      </w:pPr>
      <w:r w:rsidRPr="00EF2814">
        <w:rPr>
          <w:rFonts w:eastAsia="Times New Roman" w:cs="Arial"/>
          <w:lang w:val="en-GB"/>
        </w:rPr>
        <w:t>The competency development is analysed based on several theoretical frameworks:</w:t>
      </w:r>
    </w:p>
    <w:p w14:paraId="33D42028" w14:textId="77777777" w:rsidR="00E1782A" w:rsidRPr="00EF2814" w:rsidRDefault="00E1782A" w:rsidP="00E1782A">
      <w:pPr>
        <w:numPr>
          <w:ilvl w:val="0"/>
          <w:numId w:val="36"/>
        </w:numPr>
        <w:spacing w:before="200" w:after="0"/>
        <w:rPr>
          <w:rFonts w:eastAsia="Times New Roman" w:cs="Arial"/>
          <w:lang w:val="en-GB"/>
        </w:rPr>
      </w:pPr>
      <w:r w:rsidRPr="00EF2814">
        <w:rPr>
          <w:rFonts w:eastAsia="Times New Roman" w:cs="Arial"/>
          <w:b/>
          <w:bCs/>
          <w:lang w:val="en-GB"/>
        </w:rPr>
        <w:t>Competency-Based Training (CBT)</w:t>
      </w:r>
      <w:r w:rsidRPr="00EF2814">
        <w:rPr>
          <w:rFonts w:eastAsia="Times New Roman" w:cs="Arial"/>
          <w:lang w:val="en-GB"/>
        </w:rPr>
        <w:t xml:space="preserve"> - Drawing attention to the theory, Brightwell and Grant (2022), provide a focus on quantifiable skills and knowledge standards. CBT, when used in the context of COVID-19, prioritise designing accelerated training modules, which allow the redeployed staff to achieve minimum competency amid time shortage.</w:t>
      </w:r>
    </w:p>
    <w:p w14:paraId="6BE275AC" w14:textId="77777777" w:rsidR="00E1782A" w:rsidRPr="00EF2814" w:rsidRDefault="00E1782A" w:rsidP="00E1782A">
      <w:pPr>
        <w:numPr>
          <w:ilvl w:val="0"/>
          <w:numId w:val="36"/>
        </w:numPr>
        <w:spacing w:before="200" w:after="0"/>
        <w:rPr>
          <w:rFonts w:eastAsia="Times New Roman" w:cs="Arial"/>
          <w:lang w:val="en-GB"/>
        </w:rPr>
      </w:pPr>
      <w:r w:rsidRPr="00EF2814">
        <w:rPr>
          <w:rFonts w:eastAsia="Times New Roman" w:cs="Arial"/>
          <w:b/>
          <w:bCs/>
          <w:lang w:val="en-GB"/>
        </w:rPr>
        <w:t>Adult Learning Theory</w:t>
      </w:r>
      <w:r w:rsidRPr="00EF2814">
        <w:rPr>
          <w:rFonts w:eastAsia="Times New Roman" w:cs="Arial"/>
          <w:lang w:val="en-GB"/>
        </w:rPr>
        <w:t xml:space="preserve"> - Emergency training, as explained by Mukhalalati and Taylor (2020), is based on experiential problem-based learning, allowing HCWs to put the new skills into practice. This has been especially true for the staff who had been redeployed to the intensive care units, where practical simulation boosted confidence.</w:t>
      </w:r>
    </w:p>
    <w:p w14:paraId="69C92AD6" w14:textId="77777777" w:rsidR="00E1782A" w:rsidRPr="00EF2814" w:rsidRDefault="00E1782A" w:rsidP="00E1782A">
      <w:pPr>
        <w:numPr>
          <w:ilvl w:val="0"/>
          <w:numId w:val="36"/>
        </w:numPr>
        <w:spacing w:before="200" w:after="0"/>
        <w:rPr>
          <w:rFonts w:eastAsia="Times New Roman" w:cs="Arial"/>
          <w:lang w:val="en-GB"/>
        </w:rPr>
      </w:pPr>
      <w:r w:rsidRPr="00EF2814">
        <w:rPr>
          <w:rFonts w:eastAsia="Times New Roman" w:cs="Arial"/>
          <w:b/>
          <w:bCs/>
          <w:lang w:val="en-GB"/>
        </w:rPr>
        <w:t>Resilience Theory</w:t>
      </w:r>
      <w:r w:rsidRPr="00EF2814">
        <w:rPr>
          <w:rFonts w:eastAsia="Times New Roman" w:cs="Arial"/>
          <w:lang w:val="en-GB"/>
        </w:rPr>
        <w:t xml:space="preserve"> - Competency building is not only a technical approach, but also a psychological initiative (Zimmerman, 2023). Hence, training improved the flexibility of the workforce by minimising the fear and uncertainty, thus enhancing crisis confidence.</w:t>
      </w:r>
    </w:p>
    <w:p w14:paraId="657D4E8C" w14:textId="77777777" w:rsidR="00E1782A" w:rsidRPr="00EF2814" w:rsidRDefault="00E1782A" w:rsidP="00E1782A">
      <w:pPr>
        <w:spacing w:before="200"/>
        <w:rPr>
          <w:rFonts w:eastAsia="Times New Roman" w:cs="Arial"/>
          <w:lang w:val="en-GB"/>
        </w:rPr>
      </w:pPr>
      <w:r w:rsidRPr="00EF2814">
        <w:rPr>
          <w:rFonts w:eastAsia="Times New Roman" w:cs="Arial"/>
          <w:lang w:val="en-GB"/>
        </w:rPr>
        <w:t xml:space="preserve">Knowledge competency development has further considered policy frameworks. Workforce obligations, defined by the </w:t>
      </w:r>
      <w:r w:rsidRPr="00EF2814">
        <w:rPr>
          <w:rFonts w:eastAsia="Times New Roman" w:cs="Arial"/>
          <w:b/>
          <w:bCs/>
          <w:lang w:val="en-GB"/>
        </w:rPr>
        <w:t>"Care Act, 2014"</w:t>
      </w:r>
      <w:r w:rsidRPr="00EF2814">
        <w:rPr>
          <w:rFonts w:eastAsia="Times New Roman" w:cs="Arial"/>
          <w:lang w:val="en-GB"/>
        </w:rPr>
        <w:t xml:space="preserve"> and </w:t>
      </w:r>
      <w:r w:rsidRPr="00EF2814">
        <w:rPr>
          <w:rFonts w:eastAsia="Times New Roman" w:cs="Arial"/>
          <w:b/>
          <w:bCs/>
          <w:lang w:val="en-GB"/>
        </w:rPr>
        <w:t>"Health and Social Care Act, 2012"</w:t>
      </w:r>
      <w:r w:rsidRPr="00EF2814">
        <w:rPr>
          <w:rFonts w:eastAsia="Times New Roman" w:cs="Arial"/>
          <w:lang w:val="en-GB"/>
        </w:rPr>
        <w:t xml:space="preserve">, besides "emergency directives" by the </w:t>
      </w:r>
      <w:r w:rsidRPr="00EF2814">
        <w:rPr>
          <w:rFonts w:eastAsia="Times New Roman" w:cs="Arial"/>
          <w:b/>
          <w:bCs/>
          <w:lang w:val="en-GB"/>
        </w:rPr>
        <w:t>"Department of Health and Social Care"</w:t>
      </w:r>
      <w:r w:rsidRPr="00EF2814">
        <w:rPr>
          <w:rFonts w:eastAsia="Times New Roman" w:cs="Arial"/>
          <w:lang w:val="en-GB"/>
        </w:rPr>
        <w:t xml:space="preserve"> (DHSC) and the </w:t>
      </w:r>
      <w:r w:rsidRPr="00EF2814">
        <w:rPr>
          <w:rFonts w:eastAsia="Times New Roman" w:cs="Arial"/>
          <w:b/>
          <w:bCs/>
          <w:lang w:val="en-GB"/>
        </w:rPr>
        <w:t>NHS England</w:t>
      </w:r>
      <w:r w:rsidRPr="00EF2814">
        <w:rPr>
          <w:rFonts w:eastAsia="Times New Roman" w:cs="Arial"/>
          <w:lang w:val="en-GB"/>
        </w:rPr>
        <w:t xml:space="preserve">, demanded quick upskilling (Legislation.gov.uk 2024; Gov.uk, 2022). The </w:t>
      </w:r>
      <w:r w:rsidRPr="00EF2814">
        <w:rPr>
          <w:rFonts w:eastAsia="Times New Roman" w:cs="Arial"/>
          <w:b/>
          <w:bCs/>
          <w:lang w:val="en-GB"/>
        </w:rPr>
        <w:t>"General Medical Council"</w:t>
      </w:r>
      <w:r w:rsidRPr="00EF2814">
        <w:rPr>
          <w:rFonts w:eastAsia="Times New Roman" w:cs="Arial"/>
          <w:lang w:val="en-GB"/>
        </w:rPr>
        <w:t xml:space="preserve"> (GMC) has been bringing a temporary change in the training requirements, which enabled a redeployment, without undermining professional standards (GMC, 2021). These policies authorised the emergency training and guaranteed the competency development according to the regulatory expectations.</w:t>
      </w:r>
    </w:p>
    <w:p w14:paraId="133B45E7"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Examples from Papers</w:t>
      </w:r>
    </w:p>
    <w:p w14:paraId="63F557C1" w14:textId="77777777" w:rsidR="00E1782A" w:rsidRPr="00EF2814" w:rsidRDefault="00E1782A" w:rsidP="00E1782A">
      <w:pPr>
        <w:spacing w:before="200"/>
        <w:rPr>
          <w:rFonts w:eastAsia="Times New Roman" w:cs="Arial"/>
          <w:lang w:val="en-GB"/>
        </w:rPr>
      </w:pPr>
      <w:r w:rsidRPr="00EF2814">
        <w:rPr>
          <w:rFonts w:eastAsia="Times New Roman" w:cs="Arial"/>
          <w:lang w:val="en-GB"/>
        </w:rPr>
        <w:t xml:space="preserve">In the study by </w:t>
      </w:r>
      <w:proofErr w:type="spellStart"/>
      <w:r w:rsidRPr="00EF2814">
        <w:rPr>
          <w:rFonts w:eastAsia="Times New Roman" w:cs="Arial"/>
          <w:b/>
          <w:bCs/>
          <w:lang w:val="en-GB"/>
        </w:rPr>
        <w:t>Vindrola-Padros</w:t>
      </w:r>
      <w:proofErr w:type="spellEnd"/>
      <w:r w:rsidRPr="00EF2814">
        <w:rPr>
          <w:rFonts w:eastAsia="Times New Roman" w:cs="Arial"/>
          <w:b/>
          <w:bCs/>
          <w:lang w:val="en-GB"/>
        </w:rPr>
        <w:t xml:space="preserve"> et al. (2020)</w:t>
      </w:r>
      <w:r w:rsidRPr="00EF2814">
        <w:rPr>
          <w:rFonts w:eastAsia="Times New Roman" w:cs="Arial"/>
          <w:lang w:val="en-GB"/>
        </w:rPr>
        <w:t xml:space="preserve">, the researchers focused on the qualitative investigation of the perception of healthcare workers during the pandemic. The evidence discovered that even though the technical competency was enhanced through emergency training, several staff indicated that they continued to experience anxiety and uncertainty, </w:t>
      </w:r>
      <w:r w:rsidRPr="00EF2814">
        <w:rPr>
          <w:rFonts w:eastAsia="Times New Roman" w:cs="Arial"/>
          <w:lang w:val="en-GB"/>
        </w:rPr>
        <w:lastRenderedPageBreak/>
        <w:t>especially when assigned to new positions. The training speed and the lack of hands-on experience negated confidence. The tension between competence development and confidence building was experienced by participants, who emphasised that rapid training has disrupted the practice consistency. However, the study underlined that even a short-term structured training acted as a psychological anchor, making one feel less anxious, thus strengthening their resilience.</w:t>
      </w:r>
    </w:p>
    <w:p w14:paraId="563460BA" w14:textId="77777777" w:rsidR="00E1782A" w:rsidRPr="00EF2814" w:rsidRDefault="00E1782A" w:rsidP="00E1782A">
      <w:pPr>
        <w:spacing w:before="200"/>
        <w:rPr>
          <w:rFonts w:eastAsia="Times New Roman" w:cs="Arial"/>
          <w:lang w:val="en-GB"/>
        </w:rPr>
      </w:pPr>
      <w:r w:rsidRPr="00EF2814">
        <w:rPr>
          <w:rFonts w:eastAsia="Times New Roman" w:cs="Arial"/>
          <w:b/>
          <w:bCs/>
          <w:lang w:val="en-GB"/>
        </w:rPr>
        <w:t>Camilleri et al. (2020)</w:t>
      </w:r>
      <w:r w:rsidRPr="00EF2814">
        <w:rPr>
          <w:rFonts w:eastAsia="Times New Roman" w:cs="Arial"/>
          <w:lang w:val="en-GB"/>
        </w:rPr>
        <w:t xml:space="preserve"> assessed the Covid-19 ICU Remote-Learning Course (CIRLC), an online training process for frontline HCPs. The research has shown that distance learning may be applicable to promote the skills of critical care procedures, especially </w:t>
      </w:r>
      <w:proofErr w:type="gramStart"/>
      <w:r w:rsidRPr="00EF2814">
        <w:rPr>
          <w:rFonts w:eastAsia="Times New Roman" w:cs="Arial"/>
          <w:lang w:val="en-GB"/>
        </w:rPr>
        <w:t>in the area of</w:t>
      </w:r>
      <w:proofErr w:type="gramEnd"/>
      <w:r w:rsidRPr="00EF2814">
        <w:rPr>
          <w:rFonts w:eastAsia="Times New Roman" w:cs="Arial"/>
          <w:lang w:val="en-GB"/>
        </w:rPr>
        <w:t xml:space="preserve"> infection control and ventilator management. Nevertheless, there is a range of debates, as the participants appreciated the convenience of online courses, but most of them thought that the simulation-based training mode would have helped to strengthen the confidence level when applying learned skills in real-life situations. This concludes that the most effective way to balance between competency development and the process of building confidence is blended methods, for instance, remote learning combined with practical simulations.</w:t>
      </w:r>
    </w:p>
    <w:p w14:paraId="326FA2B4" w14:textId="26A97C92" w:rsidR="00E1782A" w:rsidRPr="00EF2814" w:rsidRDefault="00E1782A" w:rsidP="005B1B4C">
      <w:pPr>
        <w:pStyle w:val="Heading2"/>
        <w:rPr>
          <w:lang w:val="en-GB"/>
        </w:rPr>
      </w:pPr>
      <w:bookmarkStart w:id="66" w:name="_Toc222234367"/>
      <w:r w:rsidRPr="00EF2814">
        <w:rPr>
          <w:lang w:val="en-GB"/>
        </w:rPr>
        <w:t>4.</w:t>
      </w:r>
      <w:r w:rsidR="00A16716" w:rsidRPr="00EF2814">
        <w:rPr>
          <w:lang w:val="en-GB"/>
        </w:rPr>
        <w:t>6</w:t>
      </w:r>
      <w:r w:rsidRPr="00EF2814">
        <w:rPr>
          <w:lang w:val="en-GB"/>
        </w:rPr>
        <w:t xml:space="preserve"> Theme 4 - Barriers to Emergency Training Delivery</w:t>
      </w:r>
      <w:bookmarkEnd w:id="66"/>
    </w:p>
    <w:p w14:paraId="7FC192C7"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Definition</w:t>
      </w:r>
    </w:p>
    <w:p w14:paraId="4028CFC2" w14:textId="77777777" w:rsidR="00E1782A" w:rsidRPr="00EF2814" w:rsidRDefault="00E1782A" w:rsidP="00E1782A">
      <w:pPr>
        <w:spacing w:before="200"/>
        <w:rPr>
          <w:rFonts w:eastAsia="Times New Roman" w:cs="Arial"/>
          <w:lang w:val="en-GB"/>
        </w:rPr>
      </w:pPr>
      <w:r w:rsidRPr="00EF2814">
        <w:rPr>
          <w:rFonts w:eastAsia="Times New Roman" w:cs="Arial"/>
          <w:lang w:val="en-GB"/>
        </w:rPr>
        <w:t xml:space="preserve">The barriers to emergency training delivery are the systemic, organisational, and technological issues (Troyer and Brady, 2020). This creates limitations on the successful delivery of a rapid training program in times of crisis. Herein, major impediments include resource inadequacies, time, technological issues, policy issues, and workforce burnout. As stated by Houghton </w:t>
      </w:r>
      <w:r w:rsidRPr="00EF2814">
        <w:rPr>
          <w:rFonts w:eastAsia="Times New Roman" w:cs="Arial"/>
          <w:i/>
          <w:iCs/>
          <w:lang w:val="en-GB"/>
        </w:rPr>
        <w:t>et al.,</w:t>
      </w:r>
      <w:r w:rsidRPr="00EF2814">
        <w:rPr>
          <w:rFonts w:eastAsia="Times New Roman" w:cs="Arial"/>
          <w:lang w:val="en-GB"/>
        </w:rPr>
        <w:t xml:space="preserve"> (2020) during COVID-19, these barriers directly affected the possibility of healthcare workers developing the required competencies and confidence. This is negatively affecting patient safety and workforce resilience.</w:t>
      </w:r>
    </w:p>
    <w:p w14:paraId="78B71BDE"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Relevance to the Title</w:t>
      </w:r>
    </w:p>
    <w:p w14:paraId="23B4FE0C" w14:textId="77777777" w:rsidR="00E1782A" w:rsidRPr="00EF2814" w:rsidRDefault="00E1782A" w:rsidP="00E1782A">
      <w:pPr>
        <w:spacing w:before="200"/>
        <w:rPr>
          <w:rFonts w:eastAsia="Times New Roman" w:cs="Arial"/>
          <w:lang w:val="en-GB"/>
        </w:rPr>
      </w:pPr>
      <w:r w:rsidRPr="00EF2814">
        <w:rPr>
          <w:rFonts w:eastAsia="Times New Roman" w:cs="Arial"/>
          <w:lang w:val="en-GB"/>
        </w:rPr>
        <w:t>Emphasising the research title, the theme has appropriately presented an understanding of how barriers to effective competency development need attention for successful training provision. It is important to identify such barriers since they justify the differences in competency levels among staff groups and the disproportionate level of confidence. Through the analysis of these challenges, the dissertation offers a fair understanding of the achievements as well as the restrictions of emergency training programs within the UK healthcare sector.</w:t>
      </w:r>
    </w:p>
    <w:p w14:paraId="7182E980" w14:textId="77777777" w:rsidR="00E1782A" w:rsidRPr="00EF2814" w:rsidRDefault="00E1782A" w:rsidP="00E1782A">
      <w:pPr>
        <w:spacing w:before="200"/>
        <w:rPr>
          <w:rFonts w:eastAsia="Times New Roman" w:cs="Arial"/>
          <w:lang w:val="en-GB"/>
        </w:rPr>
      </w:pPr>
      <w:r w:rsidRPr="00EF2814">
        <w:rPr>
          <w:rFonts w:eastAsia="Times New Roman" w:cs="Arial"/>
          <w:lang w:val="en-GB"/>
        </w:rPr>
        <w:lastRenderedPageBreak/>
        <w:t>The impediments to the delivery of emergency training are applicable in several ways:</w:t>
      </w:r>
    </w:p>
    <w:p w14:paraId="4644B6DB" w14:textId="77777777" w:rsidR="00E1782A" w:rsidRPr="00EF2814" w:rsidRDefault="00E1782A" w:rsidP="00E1782A">
      <w:pPr>
        <w:numPr>
          <w:ilvl w:val="0"/>
          <w:numId w:val="32"/>
        </w:numPr>
        <w:spacing w:before="200" w:after="0"/>
        <w:rPr>
          <w:rFonts w:eastAsia="Times New Roman" w:cs="Arial"/>
          <w:lang w:val="en-GB"/>
        </w:rPr>
      </w:pPr>
      <w:r w:rsidRPr="00EF2814">
        <w:rPr>
          <w:rFonts w:eastAsia="Times New Roman" w:cs="Arial"/>
          <w:b/>
          <w:bCs/>
          <w:lang w:val="en-GB"/>
        </w:rPr>
        <w:t xml:space="preserve">Negative Implications - </w:t>
      </w:r>
      <w:r w:rsidRPr="00EF2814">
        <w:rPr>
          <w:rFonts w:eastAsia="Times New Roman" w:cs="Arial"/>
          <w:lang w:val="en-GB"/>
        </w:rPr>
        <w:t xml:space="preserve">As implied by Kempny </w:t>
      </w:r>
      <w:r w:rsidRPr="00EF2814">
        <w:rPr>
          <w:rFonts w:eastAsia="Times New Roman" w:cs="Arial"/>
          <w:i/>
          <w:iCs/>
          <w:lang w:val="en-GB"/>
        </w:rPr>
        <w:t>et al.,</w:t>
      </w:r>
      <w:r w:rsidRPr="00EF2814">
        <w:rPr>
          <w:rFonts w:eastAsia="Times New Roman" w:cs="Arial"/>
          <w:lang w:val="en-GB"/>
        </w:rPr>
        <w:t xml:space="preserve"> (2025) staff competency is not evenly distributed, indicating consistent training needs for diverse healthcare staff. Patient safety risks are typically heightened through poor confidence, especially under disrupted training programs.</w:t>
      </w:r>
    </w:p>
    <w:p w14:paraId="5527C400" w14:textId="77777777" w:rsidR="00E1782A" w:rsidRPr="00EF2814" w:rsidRDefault="00E1782A" w:rsidP="00E1782A">
      <w:pPr>
        <w:numPr>
          <w:ilvl w:val="0"/>
          <w:numId w:val="32"/>
        </w:numPr>
        <w:spacing w:before="200" w:after="0"/>
        <w:rPr>
          <w:rFonts w:eastAsia="Times New Roman" w:cs="Arial"/>
          <w:lang w:val="en-GB"/>
        </w:rPr>
      </w:pPr>
      <w:r w:rsidRPr="00EF2814">
        <w:rPr>
          <w:rFonts w:eastAsia="Times New Roman" w:cs="Arial"/>
          <w:b/>
          <w:bCs/>
          <w:lang w:val="en-GB"/>
        </w:rPr>
        <w:t xml:space="preserve">Positive Implications - </w:t>
      </w:r>
      <w:r w:rsidRPr="00EF2814">
        <w:rPr>
          <w:rFonts w:eastAsia="Times New Roman" w:cs="Arial"/>
          <w:lang w:val="en-GB"/>
        </w:rPr>
        <w:t>Learning from challenges enhances future preparedness (Pelli and Nordquist, 2023). For instance, the awareness of technological constraints can be used to motivate the advancement of digital infrastructure. Correspondingly, the understanding of labour shortages can be used to shape workforce planning and policy changes.</w:t>
      </w:r>
    </w:p>
    <w:p w14:paraId="71972909"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Theories, Policies &amp; Legislation</w:t>
      </w:r>
    </w:p>
    <w:p w14:paraId="4F0E33D5" w14:textId="77777777" w:rsidR="00E1782A" w:rsidRPr="00EF2814" w:rsidRDefault="00E1782A" w:rsidP="00E1782A">
      <w:pPr>
        <w:spacing w:before="200"/>
        <w:rPr>
          <w:rFonts w:eastAsia="Times New Roman" w:cs="Arial"/>
          <w:lang w:val="en-GB"/>
        </w:rPr>
      </w:pPr>
      <w:r w:rsidRPr="00EF2814">
        <w:rPr>
          <w:rFonts w:eastAsia="Times New Roman" w:cs="Arial"/>
          <w:lang w:val="en-GB"/>
        </w:rPr>
        <w:t>The barrier to training delivery can be explained with the help of several theoretical frameworks:</w:t>
      </w:r>
    </w:p>
    <w:p w14:paraId="6EE74C11" w14:textId="77777777" w:rsidR="00E1782A" w:rsidRPr="00EF2814" w:rsidRDefault="00E1782A" w:rsidP="00E1782A">
      <w:pPr>
        <w:numPr>
          <w:ilvl w:val="0"/>
          <w:numId w:val="33"/>
        </w:numPr>
        <w:spacing w:before="200" w:after="0"/>
        <w:rPr>
          <w:rFonts w:eastAsia="Times New Roman" w:cs="Arial"/>
          <w:lang w:val="en-GB"/>
        </w:rPr>
      </w:pPr>
      <w:r w:rsidRPr="00EF2814">
        <w:rPr>
          <w:rFonts w:eastAsia="Times New Roman" w:cs="Arial"/>
          <w:b/>
          <w:bCs/>
          <w:lang w:val="en-GB"/>
        </w:rPr>
        <w:t>Resilience Theory</w:t>
      </w:r>
      <w:r w:rsidRPr="00EF2814">
        <w:rPr>
          <w:rFonts w:eastAsia="Times New Roman" w:cs="Arial"/>
          <w:lang w:val="en-GB"/>
        </w:rPr>
        <w:t xml:space="preserve"> - Although resilience prioritises adaptation, the lack of resources and exhaustion put pressure on the staff (Mazzetti </w:t>
      </w:r>
      <w:r w:rsidRPr="00EF2814">
        <w:rPr>
          <w:rFonts w:eastAsia="Times New Roman" w:cs="Arial"/>
          <w:i/>
          <w:iCs/>
          <w:lang w:val="en-GB"/>
        </w:rPr>
        <w:t>et al.,</w:t>
      </w:r>
      <w:r w:rsidRPr="00EF2814">
        <w:rPr>
          <w:rFonts w:eastAsia="Times New Roman" w:cs="Arial"/>
          <w:lang w:val="en-GB"/>
        </w:rPr>
        <w:t xml:space="preserve"> 2024). When systemic pressures increase beyond individuals' capacity, the delivery of effective training is compromised.</w:t>
      </w:r>
    </w:p>
    <w:p w14:paraId="3A5E1246" w14:textId="77777777" w:rsidR="00E1782A" w:rsidRPr="00EF2814" w:rsidRDefault="00E1782A" w:rsidP="00E1782A">
      <w:pPr>
        <w:numPr>
          <w:ilvl w:val="0"/>
          <w:numId w:val="33"/>
        </w:numPr>
        <w:spacing w:before="200" w:after="0"/>
        <w:rPr>
          <w:rFonts w:eastAsia="Times New Roman" w:cs="Arial"/>
          <w:lang w:val="en-GB"/>
        </w:rPr>
      </w:pPr>
      <w:r w:rsidRPr="00EF2814">
        <w:rPr>
          <w:rFonts w:eastAsia="Times New Roman" w:cs="Arial"/>
          <w:b/>
          <w:bCs/>
          <w:lang w:val="en-GB"/>
        </w:rPr>
        <w:t>Technology Adoption Models (TAM)</w:t>
      </w:r>
      <w:r w:rsidRPr="00EF2814">
        <w:rPr>
          <w:rFonts w:eastAsia="Times New Roman" w:cs="Arial"/>
          <w:lang w:val="en-GB"/>
        </w:rPr>
        <w:t xml:space="preserve"> - The models demonstrate the role of technological barriers, including the absence of infrastructure, poor digital literacy and resistance to change (</w:t>
      </w:r>
      <w:proofErr w:type="spellStart"/>
      <w:r w:rsidRPr="00EF2814">
        <w:rPr>
          <w:rFonts w:eastAsia="Times New Roman" w:cs="Arial"/>
          <w:lang w:val="en-GB"/>
        </w:rPr>
        <w:t>Taherdoost</w:t>
      </w:r>
      <w:proofErr w:type="spellEnd"/>
      <w:r w:rsidRPr="00EF2814">
        <w:rPr>
          <w:rFonts w:eastAsia="Times New Roman" w:cs="Arial"/>
          <w:lang w:val="en-GB"/>
        </w:rPr>
        <w:t>, 2021). Hence, this can hinder the adoption of remote learning platforms in case of an emergency.</w:t>
      </w:r>
    </w:p>
    <w:p w14:paraId="45EFE910" w14:textId="77777777" w:rsidR="00E1782A" w:rsidRPr="00EF2814" w:rsidRDefault="00E1782A" w:rsidP="00E1782A">
      <w:pPr>
        <w:numPr>
          <w:ilvl w:val="0"/>
          <w:numId w:val="33"/>
        </w:numPr>
        <w:spacing w:before="200" w:after="0"/>
        <w:rPr>
          <w:rFonts w:eastAsia="Times New Roman" w:cs="Arial"/>
          <w:lang w:val="en-GB"/>
        </w:rPr>
      </w:pPr>
      <w:r w:rsidRPr="00EF2814">
        <w:rPr>
          <w:rFonts w:eastAsia="Times New Roman" w:cs="Arial"/>
          <w:b/>
          <w:bCs/>
          <w:lang w:val="en-GB"/>
        </w:rPr>
        <w:t xml:space="preserve">Competency-Based Training (CBT) </w:t>
      </w:r>
      <w:r w:rsidRPr="00EF2814">
        <w:rPr>
          <w:rFonts w:eastAsia="Times New Roman" w:cs="Arial"/>
          <w:lang w:val="en-GB"/>
        </w:rPr>
        <w:t>- Despite CBT, which offers quantifiable points of reference, there are impediments like a lack of time and simulation that make it ineffective (Brightwell and Grant, 2022).</w:t>
      </w:r>
    </w:p>
    <w:p w14:paraId="1FCCD84A" w14:textId="77777777" w:rsidR="00E1782A" w:rsidRPr="00EF2814" w:rsidRDefault="00E1782A" w:rsidP="00E1782A">
      <w:pPr>
        <w:spacing w:before="200"/>
        <w:rPr>
          <w:rFonts w:eastAsia="Times New Roman" w:cs="Arial"/>
          <w:lang w:val="en-GB"/>
        </w:rPr>
      </w:pPr>
      <w:r w:rsidRPr="00EF2814">
        <w:rPr>
          <w:rFonts w:eastAsia="Times New Roman" w:cs="Arial"/>
          <w:lang w:val="en-GB"/>
        </w:rPr>
        <w:t xml:space="preserve">Structured policies are also an increasing hindrance to the delivery of emergency training. As such, </w:t>
      </w:r>
      <w:r w:rsidRPr="00EF2814">
        <w:rPr>
          <w:rFonts w:eastAsia="Times New Roman" w:cs="Arial"/>
          <w:b/>
          <w:bCs/>
          <w:lang w:val="en-GB"/>
        </w:rPr>
        <w:t xml:space="preserve">DHSC </w:t>
      </w:r>
      <w:r w:rsidRPr="00EF2814">
        <w:rPr>
          <w:rFonts w:eastAsia="Times New Roman" w:cs="Arial"/>
          <w:lang w:val="en-GB"/>
        </w:rPr>
        <w:t xml:space="preserve">and </w:t>
      </w:r>
      <w:r w:rsidRPr="00EF2814">
        <w:rPr>
          <w:rFonts w:eastAsia="Times New Roman" w:cs="Arial"/>
          <w:b/>
          <w:bCs/>
          <w:lang w:val="en-GB"/>
        </w:rPr>
        <w:t>NHS England</w:t>
      </w:r>
      <w:r w:rsidRPr="00EF2814">
        <w:rPr>
          <w:rFonts w:eastAsia="Times New Roman" w:cs="Arial"/>
          <w:lang w:val="en-GB"/>
        </w:rPr>
        <w:t xml:space="preserve"> issued emergency orders for rapid upskilling (Parliament.uk, 2021). However, this has been disrupted under the uneven distribution of local resources. The workforce responsibilities, although highlighted in the </w:t>
      </w:r>
      <w:r w:rsidRPr="00EF2814">
        <w:rPr>
          <w:rFonts w:eastAsia="Times New Roman" w:cs="Arial"/>
          <w:b/>
          <w:bCs/>
          <w:lang w:val="en-GB"/>
        </w:rPr>
        <w:t xml:space="preserve">Care Act 2014 </w:t>
      </w:r>
      <w:r w:rsidRPr="00EF2814">
        <w:rPr>
          <w:rFonts w:eastAsia="Times New Roman" w:cs="Arial"/>
          <w:lang w:val="en-GB"/>
        </w:rPr>
        <w:t xml:space="preserve">and </w:t>
      </w:r>
      <w:r w:rsidRPr="00EF2814">
        <w:rPr>
          <w:rFonts w:eastAsia="Times New Roman" w:cs="Arial"/>
          <w:b/>
          <w:bCs/>
          <w:lang w:val="en-GB"/>
        </w:rPr>
        <w:t>Health and Social Care Act 2012</w:t>
      </w:r>
      <w:r w:rsidRPr="00EF2814">
        <w:rPr>
          <w:rFonts w:eastAsia="Times New Roman" w:cs="Arial"/>
          <w:lang w:val="en-GB"/>
        </w:rPr>
        <w:t>, have failed to gauge the training necessity during the pandemic. This has created conflict between regulatory expectations and reality.</w:t>
      </w:r>
    </w:p>
    <w:p w14:paraId="109261AF"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Examples from Papers</w:t>
      </w:r>
    </w:p>
    <w:p w14:paraId="5ABA1F09" w14:textId="77777777" w:rsidR="00E1782A" w:rsidRPr="00EF2814" w:rsidRDefault="00E1782A" w:rsidP="00E1782A">
      <w:pPr>
        <w:spacing w:before="200"/>
        <w:rPr>
          <w:rFonts w:eastAsia="Times New Roman" w:cs="Arial"/>
          <w:lang w:val="en-GB"/>
        </w:rPr>
      </w:pPr>
      <w:r w:rsidRPr="00EF2814">
        <w:rPr>
          <w:rFonts w:eastAsia="Times New Roman" w:cs="Arial"/>
          <w:lang w:val="en-GB"/>
        </w:rPr>
        <w:lastRenderedPageBreak/>
        <w:t xml:space="preserve">According to the </w:t>
      </w:r>
      <w:r w:rsidRPr="00EF2814">
        <w:rPr>
          <w:rFonts w:eastAsia="Times New Roman" w:cs="Arial"/>
          <w:b/>
          <w:bCs/>
          <w:lang w:val="en-GB"/>
        </w:rPr>
        <w:t>British Medical Association</w:t>
      </w:r>
      <w:r w:rsidRPr="00EF2814">
        <w:rPr>
          <w:rFonts w:eastAsia="Times New Roman" w:cs="Arial"/>
          <w:lang w:val="en-GB"/>
        </w:rPr>
        <w:t>, the pandemic had caused an unprecedented burden on the medical care provision, and the resources were frequently eroded through staff redeployment and emergency training (BMA, 2024). Barriers identified by the BMA include the inability to access "personal protective equipment" (PPE), the inadequacy of the staffing level, and excessive work pressure. These made the training less effective. Another part of the report stated that in several instances, rushed training disrupted effective care delivery during emergency service demands. The systemic hindrance, therefore, negatively affected the competency development.</w:t>
      </w:r>
    </w:p>
    <w:p w14:paraId="31457968" w14:textId="77777777" w:rsidR="00E1782A" w:rsidRPr="00EF2814" w:rsidRDefault="00E1782A" w:rsidP="00E1782A">
      <w:pPr>
        <w:spacing w:before="200"/>
        <w:rPr>
          <w:rFonts w:eastAsia="Times New Roman" w:cs="Arial"/>
          <w:lang w:val="en-GB"/>
        </w:rPr>
      </w:pPr>
      <w:r w:rsidRPr="00EF2814">
        <w:rPr>
          <w:rFonts w:eastAsia="Times New Roman" w:cs="Arial"/>
          <w:lang w:val="en-GB"/>
        </w:rPr>
        <w:t xml:space="preserve">The study by </w:t>
      </w:r>
      <w:r w:rsidRPr="00EF2814">
        <w:rPr>
          <w:rFonts w:eastAsia="Times New Roman" w:cs="Arial"/>
          <w:b/>
          <w:bCs/>
          <w:lang w:val="en-GB"/>
        </w:rPr>
        <w:t xml:space="preserve">Lee </w:t>
      </w:r>
      <w:r w:rsidRPr="00EF2814">
        <w:rPr>
          <w:rFonts w:eastAsia="Times New Roman" w:cs="Arial"/>
          <w:b/>
          <w:bCs/>
          <w:i/>
          <w:iCs/>
          <w:lang w:val="en-GB"/>
        </w:rPr>
        <w:t xml:space="preserve">et al., </w:t>
      </w:r>
      <w:r w:rsidRPr="00EF2814">
        <w:rPr>
          <w:rFonts w:eastAsia="Times New Roman" w:cs="Arial"/>
          <w:b/>
          <w:bCs/>
          <w:lang w:val="en-GB"/>
        </w:rPr>
        <w:t>(2025)</w:t>
      </w:r>
      <w:r w:rsidRPr="00EF2814">
        <w:rPr>
          <w:rFonts w:eastAsia="Times New Roman" w:cs="Arial"/>
          <w:lang w:val="en-GB"/>
        </w:rPr>
        <w:t xml:space="preserve"> was a complete review of the obstacles to the use of technology in emergency departments. The research evidence is applicable in the case of COVID-19 training since most programs were based on remote learning facilities. Poor digital infrastructure, insufficient staff awareness with online tools, and staff resistance to digital adoption in stressful situations are identified as challenges within the study. For instance, as remote learning modules were being used in large-scale implementation, healthcare workers frequently had problems accessing a stable internet connection or faced poor confidence in online training content. The findings highlight key factors which potentially disrupted online training initiatives during emergencies like the pandemic.</w:t>
      </w:r>
    </w:p>
    <w:p w14:paraId="514F5C27" w14:textId="1CDB84DD" w:rsidR="00E1782A" w:rsidRPr="00EF2814" w:rsidRDefault="00E1782A" w:rsidP="005B1B4C">
      <w:pPr>
        <w:pStyle w:val="Heading2"/>
        <w:rPr>
          <w:lang w:val="en-GB"/>
        </w:rPr>
      </w:pPr>
      <w:bookmarkStart w:id="67" w:name="_Toc222234368"/>
      <w:r w:rsidRPr="00EF2814">
        <w:rPr>
          <w:lang w:val="en-GB"/>
        </w:rPr>
        <w:t>4.</w:t>
      </w:r>
      <w:r w:rsidR="00A16716" w:rsidRPr="00EF2814">
        <w:rPr>
          <w:lang w:val="en-GB"/>
        </w:rPr>
        <w:t>7</w:t>
      </w:r>
      <w:r w:rsidRPr="00EF2814">
        <w:rPr>
          <w:lang w:val="en-GB"/>
        </w:rPr>
        <w:t xml:space="preserve"> Theme 5 - Support Systems and Workforce Resilience</w:t>
      </w:r>
      <w:bookmarkEnd w:id="67"/>
    </w:p>
    <w:p w14:paraId="6C8F280C"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Definition</w:t>
      </w:r>
    </w:p>
    <w:p w14:paraId="4B003312" w14:textId="77777777" w:rsidR="00E1782A" w:rsidRPr="00EF2814" w:rsidRDefault="00E1782A" w:rsidP="00E1782A">
      <w:pPr>
        <w:spacing w:before="200"/>
        <w:rPr>
          <w:rFonts w:eastAsia="Times New Roman" w:cs="Arial"/>
          <w:lang w:val="en-GB"/>
        </w:rPr>
      </w:pPr>
      <w:r w:rsidRPr="00EF2814">
        <w:rPr>
          <w:rFonts w:eastAsia="Times New Roman" w:cs="Arial"/>
          <w:lang w:val="en-GB"/>
        </w:rPr>
        <w:t>The support systems within healthcare refer to the organisational, psychological, and structural systems that enable staff to deal with stress and remain competent during crises (</w:t>
      </w:r>
      <w:proofErr w:type="spellStart"/>
      <w:r w:rsidRPr="00EF2814">
        <w:rPr>
          <w:rFonts w:eastAsia="Times New Roman" w:cs="Arial"/>
          <w:lang w:val="en-GB"/>
        </w:rPr>
        <w:t>Riemma</w:t>
      </w:r>
      <w:proofErr w:type="spellEnd"/>
      <w:r w:rsidRPr="00EF2814">
        <w:rPr>
          <w:rFonts w:eastAsia="Times New Roman" w:cs="Arial"/>
          <w:lang w:val="en-GB"/>
        </w:rPr>
        <w:t xml:space="preserve"> </w:t>
      </w:r>
      <w:r w:rsidRPr="00EF2814">
        <w:rPr>
          <w:rFonts w:eastAsia="Times New Roman" w:cs="Arial"/>
          <w:i/>
          <w:iCs/>
          <w:lang w:val="en-GB"/>
        </w:rPr>
        <w:t>et al.,</w:t>
      </w:r>
      <w:r w:rsidRPr="00EF2814">
        <w:rPr>
          <w:rFonts w:eastAsia="Times New Roman" w:cs="Arial"/>
          <w:lang w:val="en-GB"/>
        </w:rPr>
        <w:t xml:space="preserve"> 2025). Correspondingly, workforce resilience, as explained by </w:t>
      </w:r>
      <w:proofErr w:type="spellStart"/>
      <w:r w:rsidRPr="00EF2814">
        <w:rPr>
          <w:rFonts w:eastAsia="Times New Roman" w:cs="Arial"/>
          <w:lang w:val="en-GB"/>
        </w:rPr>
        <w:t>Sheikhrabori</w:t>
      </w:r>
      <w:proofErr w:type="spellEnd"/>
      <w:r w:rsidRPr="00EF2814">
        <w:rPr>
          <w:rFonts w:eastAsia="Times New Roman" w:cs="Arial"/>
          <w:lang w:val="en-GB"/>
        </w:rPr>
        <w:t xml:space="preserve"> </w:t>
      </w:r>
      <w:r w:rsidRPr="00EF2814">
        <w:rPr>
          <w:rFonts w:eastAsia="Times New Roman" w:cs="Arial"/>
          <w:i/>
          <w:iCs/>
          <w:lang w:val="en-GB"/>
        </w:rPr>
        <w:t>et al.,</w:t>
      </w:r>
      <w:r w:rsidRPr="00EF2814">
        <w:rPr>
          <w:rFonts w:eastAsia="Times New Roman" w:cs="Arial"/>
          <w:lang w:val="en-GB"/>
        </w:rPr>
        <w:t xml:space="preserve"> (2022) encourages healthcare professionals and organisations to change under extreme pressure, recuperate and be able to function effectively. The support systems, including peer networks, organisational leadership, mental health support, and flexible training formats, were particularly effective during the COVID-19 pandemic. This helps in achieving resilience and ensures that the staff can remain competent under unprecedented challenges.</w:t>
      </w:r>
    </w:p>
    <w:p w14:paraId="61B403CB"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Relevance to the Title</w:t>
      </w:r>
    </w:p>
    <w:p w14:paraId="52025CCF" w14:textId="77777777" w:rsidR="00E1782A" w:rsidRPr="00EF2814" w:rsidRDefault="00E1782A" w:rsidP="00E1782A">
      <w:pPr>
        <w:spacing w:before="200"/>
        <w:rPr>
          <w:rFonts w:eastAsia="Times New Roman" w:cs="Arial"/>
          <w:lang w:val="en-GB"/>
        </w:rPr>
      </w:pPr>
      <w:r w:rsidRPr="00EF2814">
        <w:rPr>
          <w:rFonts w:eastAsia="Times New Roman" w:cs="Arial"/>
          <w:lang w:val="en-GB"/>
        </w:rPr>
        <w:t xml:space="preserve">Underpinning the dissertation title, the theme highlights the competency level and potential outcomes. Notably, Manzini </w:t>
      </w:r>
      <w:r w:rsidRPr="00EF2814">
        <w:rPr>
          <w:rFonts w:eastAsia="Times New Roman" w:cs="Arial"/>
          <w:i/>
          <w:iCs/>
          <w:lang w:val="en-GB"/>
        </w:rPr>
        <w:t>et al.,</w:t>
      </w:r>
      <w:r w:rsidRPr="00EF2814">
        <w:rPr>
          <w:rFonts w:eastAsia="Times New Roman" w:cs="Arial"/>
          <w:lang w:val="en-GB"/>
        </w:rPr>
        <w:t xml:space="preserve"> (2025) explained that competency demands strong support </w:t>
      </w:r>
      <w:r w:rsidRPr="00EF2814">
        <w:rPr>
          <w:rFonts w:eastAsia="Times New Roman" w:cs="Arial"/>
          <w:lang w:val="en-GB"/>
        </w:rPr>
        <w:lastRenderedPageBreak/>
        <w:t>systems, which help to reinforce the organisational resilience. Herein, the emergency training cannot be considered adequate; staff needed psychological assistance, organisational support and systematic resilience. This transforms the training into confident practice. Consequently, the concept of support systems and resilience is directly applicable to the interpretation of emergency training effects on the level of staff competency in pandemic times.</w:t>
      </w:r>
    </w:p>
    <w:p w14:paraId="3FAF57C7" w14:textId="77777777" w:rsidR="00E1782A" w:rsidRPr="00EF2814" w:rsidRDefault="00E1782A" w:rsidP="00E1782A">
      <w:pPr>
        <w:spacing w:before="200"/>
        <w:rPr>
          <w:rFonts w:eastAsia="Times New Roman" w:cs="Arial"/>
          <w:lang w:val="en-GB"/>
        </w:rPr>
      </w:pPr>
      <w:r w:rsidRPr="00EF2814">
        <w:rPr>
          <w:rFonts w:eastAsia="Times New Roman" w:cs="Arial"/>
          <w:lang w:val="en-GB"/>
        </w:rPr>
        <w:t>There are various implications of the interlink between the support systems and resilience:</w:t>
      </w:r>
    </w:p>
    <w:p w14:paraId="44C73A52" w14:textId="77777777" w:rsidR="00E1782A" w:rsidRPr="00EF2814" w:rsidRDefault="00E1782A" w:rsidP="00E1782A">
      <w:pPr>
        <w:numPr>
          <w:ilvl w:val="0"/>
          <w:numId w:val="31"/>
        </w:numPr>
        <w:spacing w:before="200" w:after="0"/>
        <w:rPr>
          <w:rFonts w:eastAsia="Times New Roman" w:cs="Arial"/>
          <w:lang w:val="en-GB"/>
        </w:rPr>
      </w:pPr>
      <w:r w:rsidRPr="00EF2814">
        <w:rPr>
          <w:rFonts w:eastAsia="Times New Roman" w:cs="Arial"/>
          <w:b/>
          <w:bCs/>
          <w:lang w:val="en-GB"/>
        </w:rPr>
        <w:t xml:space="preserve">Positive Implications - </w:t>
      </w:r>
      <w:r w:rsidRPr="00EF2814">
        <w:rPr>
          <w:rFonts w:eastAsia="Times New Roman" w:cs="Arial"/>
          <w:lang w:val="en-GB"/>
        </w:rPr>
        <w:t xml:space="preserve">Well-developed positive support systems helped staff be more confident, less stressed, and competent (Coppens </w:t>
      </w:r>
      <w:r w:rsidRPr="00EF2814">
        <w:rPr>
          <w:rFonts w:eastAsia="Times New Roman" w:cs="Arial"/>
          <w:i/>
          <w:iCs/>
          <w:lang w:val="en-GB"/>
        </w:rPr>
        <w:t xml:space="preserve">et al., </w:t>
      </w:r>
      <w:r w:rsidRPr="00EF2814">
        <w:rPr>
          <w:rFonts w:eastAsia="Times New Roman" w:cs="Arial"/>
          <w:lang w:val="en-GB"/>
        </w:rPr>
        <w:t>2023). At an organisational level, resilience and improved training results are achieved through organisational efforts like peer mentoring, wellbeing programs and redeployment policies.</w:t>
      </w:r>
    </w:p>
    <w:p w14:paraId="2A152B24" w14:textId="77777777" w:rsidR="00E1782A" w:rsidRPr="00EF2814" w:rsidRDefault="00E1782A" w:rsidP="00E1782A">
      <w:pPr>
        <w:numPr>
          <w:ilvl w:val="0"/>
          <w:numId w:val="31"/>
        </w:numPr>
        <w:spacing w:before="200" w:after="0"/>
        <w:rPr>
          <w:rFonts w:eastAsia="Times New Roman" w:cs="Arial"/>
          <w:lang w:val="en-GB"/>
        </w:rPr>
      </w:pPr>
      <w:r w:rsidRPr="00EF2814">
        <w:rPr>
          <w:rFonts w:eastAsia="Times New Roman" w:cs="Arial"/>
          <w:b/>
          <w:bCs/>
          <w:lang w:val="en-GB"/>
        </w:rPr>
        <w:t>Adverse Consequences -</w:t>
      </w:r>
      <w:r w:rsidRPr="00EF2814">
        <w:rPr>
          <w:rFonts w:eastAsia="Times New Roman" w:cs="Arial"/>
          <w:lang w:val="en-GB"/>
        </w:rPr>
        <w:t xml:space="preserve"> Poor systemic practices are prone to stress and exhaustion, which exacerbates the efficiency of emergency training. Further, Johnson </w:t>
      </w:r>
      <w:r w:rsidRPr="00EF2814">
        <w:rPr>
          <w:rFonts w:eastAsia="Times New Roman" w:cs="Arial"/>
          <w:i/>
          <w:iCs/>
          <w:lang w:val="en-GB"/>
        </w:rPr>
        <w:t>et al.,</w:t>
      </w:r>
      <w:r w:rsidRPr="00EF2814">
        <w:rPr>
          <w:rFonts w:eastAsia="Times New Roman" w:cs="Arial"/>
          <w:lang w:val="en-GB"/>
        </w:rPr>
        <w:t xml:space="preserve"> (2022) mentioned that staff shortage and poor organisational responses increase inequality in NHS Trusts resilience.</w:t>
      </w:r>
    </w:p>
    <w:p w14:paraId="0924C545" w14:textId="77777777" w:rsidR="00E1782A" w:rsidRPr="00EF2814" w:rsidRDefault="00E1782A" w:rsidP="00E1782A">
      <w:pPr>
        <w:spacing w:before="200"/>
        <w:rPr>
          <w:rFonts w:eastAsia="Times New Roman" w:cs="Arial"/>
          <w:lang w:val="en-GB"/>
        </w:rPr>
      </w:pPr>
      <w:r w:rsidRPr="00EF2814">
        <w:rPr>
          <w:rFonts w:eastAsia="Times New Roman" w:cs="Arial"/>
          <w:lang w:val="en-GB"/>
        </w:rPr>
        <w:t>Such an implication suggests that emergency training should be combined with support strategies within the healthcare system. Development of competency is not only technical but also includes psychological and organisational aspects. Hence, the workforce planning should be anchored on resilience, mental health services, peer networks, and leadership support.</w:t>
      </w:r>
    </w:p>
    <w:p w14:paraId="62B09C97"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Theories, Policies &amp; Legislation</w:t>
      </w:r>
    </w:p>
    <w:p w14:paraId="2C74335C" w14:textId="77777777" w:rsidR="00E1782A" w:rsidRPr="00EF2814" w:rsidRDefault="00E1782A" w:rsidP="00E1782A">
      <w:pPr>
        <w:spacing w:before="200"/>
        <w:rPr>
          <w:rFonts w:eastAsia="Times New Roman" w:cs="Arial"/>
          <w:lang w:val="en-GB"/>
        </w:rPr>
      </w:pPr>
      <w:r w:rsidRPr="00EF2814">
        <w:rPr>
          <w:rFonts w:eastAsia="Times New Roman" w:cs="Arial"/>
          <w:lang w:val="en-GB"/>
        </w:rPr>
        <w:t>The role of support systems and resilience is supported by several theoretical frameworks:</w:t>
      </w:r>
    </w:p>
    <w:p w14:paraId="00E3167C" w14:textId="77777777" w:rsidR="00E1782A" w:rsidRPr="00EF2814" w:rsidRDefault="00E1782A" w:rsidP="00E1782A">
      <w:pPr>
        <w:numPr>
          <w:ilvl w:val="0"/>
          <w:numId w:val="34"/>
        </w:numPr>
        <w:spacing w:before="200" w:after="0"/>
        <w:rPr>
          <w:rFonts w:eastAsia="Times New Roman" w:cs="Arial"/>
          <w:lang w:val="en-GB"/>
        </w:rPr>
      </w:pPr>
      <w:r w:rsidRPr="00EF2814">
        <w:rPr>
          <w:rFonts w:eastAsia="Times New Roman" w:cs="Arial"/>
          <w:b/>
          <w:bCs/>
          <w:lang w:val="en-GB"/>
        </w:rPr>
        <w:t>Resilience Theory</w:t>
      </w:r>
      <w:r w:rsidRPr="00EF2814">
        <w:rPr>
          <w:rFonts w:eastAsia="Times New Roman" w:cs="Arial"/>
          <w:lang w:val="en-GB"/>
        </w:rPr>
        <w:t xml:space="preserve"> - As stated by Mazzetti </w:t>
      </w:r>
      <w:r w:rsidRPr="00EF2814">
        <w:rPr>
          <w:rFonts w:eastAsia="Times New Roman" w:cs="Arial"/>
          <w:i/>
          <w:iCs/>
          <w:lang w:val="en-GB"/>
        </w:rPr>
        <w:t>et al.,</w:t>
      </w:r>
      <w:r w:rsidRPr="00EF2814">
        <w:rPr>
          <w:rFonts w:eastAsia="Times New Roman" w:cs="Arial"/>
          <w:lang w:val="en-GB"/>
        </w:rPr>
        <w:t xml:space="preserve"> (2024), the theory explains the process of individuals as well as organisations responding to stress and overcoming crisis. Organisational support, peer management, and psychological interventions were found to promote resilience during COVID-19.</w:t>
      </w:r>
    </w:p>
    <w:p w14:paraId="22E24028" w14:textId="77777777" w:rsidR="00E1782A" w:rsidRPr="00EF2814" w:rsidRDefault="00E1782A" w:rsidP="00E1782A">
      <w:pPr>
        <w:numPr>
          <w:ilvl w:val="0"/>
          <w:numId w:val="34"/>
        </w:numPr>
        <w:spacing w:before="200" w:after="0"/>
        <w:rPr>
          <w:rFonts w:eastAsia="Times New Roman" w:cs="Arial"/>
          <w:lang w:val="en-GB"/>
        </w:rPr>
      </w:pPr>
      <w:r w:rsidRPr="00EF2814">
        <w:rPr>
          <w:rFonts w:eastAsia="Times New Roman" w:cs="Arial"/>
          <w:b/>
          <w:bCs/>
          <w:lang w:val="en-GB"/>
        </w:rPr>
        <w:t>Social Support Theory</w:t>
      </w:r>
      <w:r w:rsidRPr="00EF2814">
        <w:rPr>
          <w:rFonts w:eastAsia="Times New Roman" w:cs="Arial"/>
          <w:lang w:val="en-GB"/>
        </w:rPr>
        <w:t xml:space="preserve"> - The theory hypothesises that emotional, informational, and instrumental assistance of colleagues, supervisors, and institutions decreases stress and enhances performance (Drageset, 2021).</w:t>
      </w:r>
    </w:p>
    <w:p w14:paraId="5CC3FF58" w14:textId="77777777" w:rsidR="00E1782A" w:rsidRPr="00EF2814" w:rsidRDefault="00E1782A" w:rsidP="00E1782A">
      <w:pPr>
        <w:numPr>
          <w:ilvl w:val="0"/>
          <w:numId w:val="34"/>
        </w:numPr>
        <w:spacing w:before="200" w:after="0"/>
        <w:rPr>
          <w:rFonts w:eastAsia="Times New Roman" w:cs="Arial"/>
          <w:lang w:val="en-GB"/>
        </w:rPr>
      </w:pPr>
      <w:r w:rsidRPr="00EF2814">
        <w:rPr>
          <w:rFonts w:eastAsia="Times New Roman" w:cs="Arial"/>
          <w:b/>
          <w:bCs/>
          <w:lang w:val="en-GB"/>
        </w:rPr>
        <w:lastRenderedPageBreak/>
        <w:t>Systems Theory</w:t>
      </w:r>
      <w:r w:rsidRPr="00EF2814">
        <w:rPr>
          <w:rFonts w:eastAsia="Times New Roman" w:cs="Arial"/>
          <w:lang w:val="en-GB"/>
        </w:rPr>
        <w:t xml:space="preserve"> - Drawing attention to the theory, it reveals the interaction of interrelated organisational systems through training programs, leadership and policy structures, in maintaining resilience (Harney, 2024).</w:t>
      </w:r>
    </w:p>
    <w:p w14:paraId="6627BCE1" w14:textId="77777777" w:rsidR="00E1782A" w:rsidRPr="00EF2814" w:rsidRDefault="00E1782A" w:rsidP="00E1782A">
      <w:pPr>
        <w:spacing w:before="200"/>
        <w:rPr>
          <w:rFonts w:eastAsia="Times New Roman" w:cs="Arial"/>
          <w:lang w:val="en-GB"/>
        </w:rPr>
      </w:pPr>
      <w:r w:rsidRPr="00EF2814">
        <w:rPr>
          <w:rFonts w:eastAsia="Times New Roman" w:cs="Arial"/>
          <w:lang w:val="en-GB"/>
        </w:rPr>
        <w:t xml:space="preserve">The support systems were also determined by policy frameworks. The </w:t>
      </w:r>
      <w:r w:rsidRPr="00EF2814">
        <w:rPr>
          <w:rFonts w:eastAsia="Times New Roman" w:cs="Arial"/>
          <w:b/>
          <w:bCs/>
          <w:lang w:val="en-GB"/>
        </w:rPr>
        <w:t>NHS People Plan (2020-2024)</w:t>
      </w:r>
      <w:r w:rsidRPr="00EF2814">
        <w:rPr>
          <w:rFonts w:eastAsia="Times New Roman" w:cs="Arial"/>
          <w:lang w:val="en-GB"/>
        </w:rPr>
        <w:t xml:space="preserve"> focused on the well-being of the staff, flexible redeployment and psychological support (NHS England, 2020). Correspondingly, the </w:t>
      </w:r>
      <w:r w:rsidRPr="00EF2814">
        <w:rPr>
          <w:rFonts w:eastAsia="Times New Roman" w:cs="Arial"/>
          <w:b/>
          <w:bCs/>
          <w:lang w:val="en-GB"/>
        </w:rPr>
        <w:t xml:space="preserve">DHSC </w:t>
      </w:r>
      <w:r w:rsidRPr="00EF2814">
        <w:rPr>
          <w:rFonts w:eastAsia="Times New Roman" w:cs="Arial"/>
          <w:lang w:val="en-GB"/>
        </w:rPr>
        <w:t xml:space="preserve">and </w:t>
      </w:r>
      <w:r w:rsidRPr="00EF2814">
        <w:rPr>
          <w:rFonts w:eastAsia="Times New Roman" w:cs="Arial"/>
          <w:b/>
          <w:bCs/>
          <w:lang w:val="en-GB"/>
        </w:rPr>
        <w:t>NHS England</w:t>
      </w:r>
      <w:r w:rsidRPr="00EF2814">
        <w:rPr>
          <w:rFonts w:eastAsia="Times New Roman" w:cs="Arial"/>
          <w:lang w:val="en-GB"/>
        </w:rPr>
        <w:t xml:space="preserve"> provided emergency orders that required rapid training as well as workforce assistance measures (Parliament.uk, 2021). The </w:t>
      </w:r>
      <w:r w:rsidRPr="00EF2814">
        <w:rPr>
          <w:rFonts w:eastAsia="Times New Roman" w:cs="Arial"/>
          <w:b/>
          <w:bCs/>
          <w:lang w:val="en-GB"/>
        </w:rPr>
        <w:t>Care Act 2014</w:t>
      </w:r>
      <w:r w:rsidRPr="00EF2814">
        <w:rPr>
          <w:rFonts w:eastAsia="Times New Roman" w:cs="Arial"/>
          <w:lang w:val="en-GB"/>
        </w:rPr>
        <w:t xml:space="preserve"> enhanced the duty of health care organisations to ensure the well-being of staff (Legislation.gov.uk 2024). Besides, a temporary directive of the GMC seemed to create the ability to flexibly redeploy staff to help reduce stress and assist in resilience.</w:t>
      </w:r>
    </w:p>
    <w:p w14:paraId="1D85E718" w14:textId="77777777" w:rsidR="00E1782A" w:rsidRPr="00EF2814" w:rsidRDefault="00E1782A" w:rsidP="00E1782A">
      <w:pPr>
        <w:spacing w:before="200"/>
        <w:rPr>
          <w:rFonts w:eastAsia="Times New Roman" w:cs="Arial"/>
          <w:b/>
          <w:bCs/>
          <w:u w:val="single"/>
          <w:lang w:val="en-GB"/>
        </w:rPr>
      </w:pPr>
      <w:r w:rsidRPr="00EF2814">
        <w:rPr>
          <w:rFonts w:eastAsia="Times New Roman" w:cs="Arial"/>
          <w:b/>
          <w:bCs/>
          <w:u w:val="single"/>
          <w:lang w:val="en-GB"/>
        </w:rPr>
        <w:t>Examples from Papers</w:t>
      </w:r>
    </w:p>
    <w:p w14:paraId="34FF5804" w14:textId="77777777" w:rsidR="00E1782A" w:rsidRPr="00EF2814" w:rsidRDefault="00E1782A" w:rsidP="00E1782A">
      <w:pPr>
        <w:spacing w:before="200"/>
        <w:rPr>
          <w:rFonts w:eastAsia="Times New Roman" w:cs="Arial"/>
          <w:lang w:val="en-GB"/>
        </w:rPr>
      </w:pPr>
      <w:r w:rsidRPr="00EF2814">
        <w:rPr>
          <w:rFonts w:eastAsia="Times New Roman" w:cs="Arial"/>
          <w:lang w:val="en-GB"/>
        </w:rPr>
        <w:t xml:space="preserve">According to </w:t>
      </w:r>
      <w:r w:rsidRPr="00EF2814">
        <w:rPr>
          <w:rFonts w:eastAsia="Times New Roman" w:cs="Arial"/>
          <w:b/>
          <w:bCs/>
          <w:lang w:val="en-GB"/>
        </w:rPr>
        <w:t>Walshe et al. (2024),</w:t>
      </w:r>
      <w:r w:rsidRPr="00EF2814">
        <w:rPr>
          <w:rFonts w:eastAsia="Times New Roman" w:cs="Arial"/>
          <w:lang w:val="en-GB"/>
        </w:rPr>
        <w:t xml:space="preserve"> one of the most important future health shock priorities is workforce resilience. The study has emphasised the fact that resilience is not necessarily a personal attribute, but a systemic status that is determined by organisational support, leadership, and key policies. The evidence claimed that emergency training without proper support systems fails to maintain competency. Further, it stated that resilience should be integrated into workforce planning to ensure that strategies and proactive support mechanisms are aligned. Another important contribution of the study is the link with the workforce crisis in the UK, where staff shortage and burnout resulted in reduced resiliency. This makes the supporting systems crucial to maintain competency.</w:t>
      </w:r>
    </w:p>
    <w:p w14:paraId="42E05231" w14:textId="77777777" w:rsidR="00E1782A" w:rsidRPr="00EF2814" w:rsidRDefault="00E1782A" w:rsidP="00E1782A">
      <w:pPr>
        <w:spacing w:before="200"/>
        <w:rPr>
          <w:rFonts w:eastAsia="Times New Roman" w:cs="Arial"/>
          <w:lang w:val="en-GB"/>
        </w:rPr>
      </w:pPr>
      <w:r w:rsidRPr="00EF2814">
        <w:rPr>
          <w:rFonts w:eastAsia="Times New Roman" w:cs="Arial"/>
          <w:b/>
          <w:bCs/>
          <w:lang w:val="en-GB"/>
        </w:rPr>
        <w:t>Bosque-Mercader et al. (2025)</w:t>
      </w:r>
      <w:r w:rsidRPr="00EF2814">
        <w:rPr>
          <w:rFonts w:eastAsia="Times New Roman" w:cs="Arial"/>
          <w:lang w:val="en-GB"/>
        </w:rPr>
        <w:t xml:space="preserve"> reviewed how the acute sector is resilient to the impact of COVID-19. The results indicated that the organisational support systems of flexible redeployment policies, peer mentoring and psychological services played a significant role in helping staff to overcome the stress of the pandemic. The researchers also observed that resilience improved when employees feel motivated through supportive leadership and have access to resources that satisfy their technical as well as emotional needs. Indicatively, hospitals that have invested in wellbeing programs and peer support networks build confidence and competency among the staff. Hence, it can be stated that resilience is an organisation-wide practice, and organisational commitment should be aligned with systemic practices that can sustain staff during a crisis and recovery.</w:t>
      </w:r>
    </w:p>
    <w:p w14:paraId="32BDF93E" w14:textId="7D8F50E7" w:rsidR="00E1782A" w:rsidRPr="00EF2814" w:rsidRDefault="00E1782A" w:rsidP="005B1B4C">
      <w:pPr>
        <w:pStyle w:val="Heading2"/>
        <w:rPr>
          <w:lang w:val="en-GB"/>
        </w:rPr>
      </w:pPr>
      <w:bookmarkStart w:id="68" w:name="_Toc222234369"/>
      <w:r w:rsidRPr="00EF2814">
        <w:rPr>
          <w:lang w:val="en-GB"/>
        </w:rPr>
        <w:t>4.</w:t>
      </w:r>
      <w:r w:rsidR="00A16716" w:rsidRPr="00EF2814">
        <w:rPr>
          <w:lang w:val="en-GB"/>
        </w:rPr>
        <w:t>8</w:t>
      </w:r>
      <w:r w:rsidRPr="00EF2814">
        <w:rPr>
          <w:lang w:val="en-GB"/>
        </w:rPr>
        <w:t xml:space="preserve"> Chapter Conclusion</w:t>
      </w:r>
      <w:bookmarkEnd w:id="68"/>
    </w:p>
    <w:p w14:paraId="5EC63596" w14:textId="7B6CE584" w:rsidR="00854F07" w:rsidRPr="00EF2814" w:rsidRDefault="00E1782A" w:rsidP="00E1782A">
      <w:pPr>
        <w:spacing w:before="200"/>
        <w:rPr>
          <w:rFonts w:eastAsia="Times New Roman" w:cs="Arial"/>
          <w:lang w:val="en-GB"/>
        </w:rPr>
      </w:pPr>
      <w:r w:rsidRPr="00EF2814">
        <w:rPr>
          <w:rFonts w:eastAsia="Times New Roman" w:cs="Arial"/>
          <w:lang w:val="en-GB"/>
        </w:rPr>
        <w:lastRenderedPageBreak/>
        <w:t>The chapter has discussed the findings based on a thematic analysis that informed how emergency clinical training in the face of COVID-19 affected staff competency and confidence in the UK healthcare industry. The evidence has focused on key themes, including training effectiveness, workforce flexibility, competency development, resistance to service delivery, and support systems, which showed both advantages and drawbacks of the rapid training programs. Overall, the evidence established in this chapter identifies the necessity for "emergency training", which is focused on organisational support as well as resilience strategies. Hence, it can be concluded that the findings provide insights into the research focus, which generalises the information in the next chapter and provides recommendations regarding future policies and practices</w:t>
      </w:r>
    </w:p>
    <w:p w14:paraId="0958DB1A" w14:textId="77777777" w:rsidR="00745EED" w:rsidRPr="00EF2814" w:rsidRDefault="00745EED" w:rsidP="008C02E0">
      <w:pPr>
        <w:spacing w:before="240" w:after="0"/>
        <w:rPr>
          <w:rFonts w:cs="Arial"/>
          <w:b/>
          <w:bCs/>
          <w:sz w:val="28"/>
          <w:szCs w:val="28"/>
          <w:lang w:val="en-GB"/>
        </w:rPr>
      </w:pPr>
      <w:r w:rsidRPr="00EF2814">
        <w:rPr>
          <w:rFonts w:cs="Arial"/>
          <w:b/>
          <w:bCs/>
          <w:sz w:val="28"/>
          <w:szCs w:val="28"/>
          <w:lang w:val="en-GB"/>
        </w:rPr>
        <w:br w:type="page"/>
      </w:r>
    </w:p>
    <w:p w14:paraId="5598ABA2" w14:textId="67704131" w:rsidR="00745EED" w:rsidRPr="00EF2814" w:rsidRDefault="00745EED" w:rsidP="008C02E0">
      <w:pPr>
        <w:pStyle w:val="Heading1"/>
        <w:spacing w:before="240" w:line="360" w:lineRule="auto"/>
        <w:rPr>
          <w:rFonts w:cs="Arial"/>
          <w:lang w:val="en-GB"/>
        </w:rPr>
      </w:pPr>
      <w:bookmarkStart w:id="69" w:name="_Toc222234370"/>
      <w:r w:rsidRPr="00EF2814">
        <w:rPr>
          <w:rFonts w:cs="Arial"/>
          <w:lang w:val="en-GB"/>
        </w:rPr>
        <w:lastRenderedPageBreak/>
        <w:t>C</w:t>
      </w:r>
      <w:r w:rsidR="00DB2A48" w:rsidRPr="00EF2814">
        <w:rPr>
          <w:rFonts w:cs="Arial"/>
          <w:lang w:val="en-GB"/>
        </w:rPr>
        <w:t>hapter</w:t>
      </w:r>
      <w:r w:rsidRPr="00EF2814">
        <w:rPr>
          <w:rFonts w:cs="Arial"/>
          <w:lang w:val="en-GB"/>
        </w:rPr>
        <w:t xml:space="preserve"> 5 – Conclusion and Recommendations</w:t>
      </w:r>
      <w:bookmarkEnd w:id="69"/>
    </w:p>
    <w:p w14:paraId="5CFD41DD" w14:textId="77777777" w:rsidR="00745EED" w:rsidRPr="00EF2814" w:rsidRDefault="00745EED" w:rsidP="005B1B4C">
      <w:pPr>
        <w:pStyle w:val="Heading2"/>
        <w:rPr>
          <w:lang w:val="en-GB"/>
        </w:rPr>
      </w:pPr>
      <w:bookmarkStart w:id="70" w:name="_bv2un5v2qgqi" w:colFirst="0" w:colLast="0"/>
      <w:bookmarkStart w:id="71" w:name="_Toc222234371"/>
      <w:bookmarkEnd w:id="70"/>
      <w:r w:rsidRPr="00EF2814">
        <w:rPr>
          <w:lang w:val="en-GB"/>
        </w:rPr>
        <w:t>5.1 Overall Conclusion</w:t>
      </w:r>
      <w:bookmarkEnd w:id="71"/>
    </w:p>
    <w:p w14:paraId="7AD49738" w14:textId="77777777" w:rsidR="00745EED" w:rsidRPr="00EF2814" w:rsidRDefault="00745EED" w:rsidP="008C02E0">
      <w:pPr>
        <w:spacing w:before="240" w:after="0"/>
        <w:rPr>
          <w:rFonts w:cs="Arial"/>
          <w:b/>
          <w:bCs/>
          <w:i/>
          <w:iCs/>
          <w:lang w:val="en-GB"/>
        </w:rPr>
      </w:pPr>
      <w:r w:rsidRPr="00EF2814">
        <w:rPr>
          <w:rFonts w:cs="Arial"/>
          <w:b/>
          <w:bCs/>
          <w:i/>
          <w:iCs/>
          <w:lang w:val="en-GB"/>
        </w:rPr>
        <w:t>Purpose of the Conclusion</w:t>
      </w:r>
    </w:p>
    <w:p w14:paraId="48BA3AAD" w14:textId="2FEFA449" w:rsidR="00745EED" w:rsidRPr="00EF2814" w:rsidRDefault="00745EED" w:rsidP="008C02E0">
      <w:pPr>
        <w:spacing w:before="240" w:after="0"/>
        <w:rPr>
          <w:rFonts w:cs="Arial"/>
          <w:lang w:val="en-GB"/>
        </w:rPr>
      </w:pPr>
      <w:r w:rsidRPr="00EF2814">
        <w:rPr>
          <w:rFonts w:cs="Arial"/>
          <w:lang w:val="en-GB"/>
        </w:rPr>
        <w:t xml:space="preserve">The conclusion is the synthesis of the main results of the dissertation that brings together theoretical data, empirical data, and thematic analysis to answer the question of the research. It assesses the effect of the workforce preparedness, flexibility, and policy alignment on the emergency clinical practise and service outcomes. It also looks back on the contribution of the study to the knowledge in </w:t>
      </w:r>
      <w:r w:rsidR="00B67EEF" w:rsidRPr="00EF2814">
        <w:rPr>
          <w:rFonts w:cs="Arial"/>
          <w:lang w:val="en-GB"/>
        </w:rPr>
        <w:t>general and</w:t>
      </w:r>
      <w:r w:rsidRPr="00EF2814">
        <w:rPr>
          <w:rFonts w:cs="Arial"/>
          <w:lang w:val="en-GB"/>
        </w:rPr>
        <w:t xml:space="preserve"> recognises limitations and how the objectives of the research were achieved. Lastly, it gives a logical basis for practical recommendations and establishes pointers towards future research and professional growth.</w:t>
      </w:r>
    </w:p>
    <w:p w14:paraId="2B69D817" w14:textId="77777777" w:rsidR="00745EED" w:rsidRPr="00EF2814" w:rsidRDefault="00745EED" w:rsidP="008C02E0">
      <w:pPr>
        <w:spacing w:before="240" w:after="0"/>
        <w:rPr>
          <w:rFonts w:cs="Arial"/>
          <w:b/>
          <w:bCs/>
          <w:i/>
          <w:iCs/>
          <w:lang w:val="en-GB"/>
        </w:rPr>
      </w:pPr>
      <w:r w:rsidRPr="00EF2814">
        <w:rPr>
          <w:rFonts w:cs="Arial"/>
          <w:b/>
          <w:bCs/>
          <w:i/>
          <w:iCs/>
          <w:lang w:val="en-GB"/>
        </w:rPr>
        <w:t>Key Points to Include</w:t>
      </w:r>
    </w:p>
    <w:p w14:paraId="1693AAA6" w14:textId="77777777" w:rsidR="00745EED" w:rsidRPr="00EF2814" w:rsidRDefault="00745EED" w:rsidP="008C02E0">
      <w:pPr>
        <w:spacing w:before="240" w:after="0"/>
        <w:rPr>
          <w:rFonts w:cs="Arial"/>
          <w:lang w:val="en-GB"/>
        </w:rPr>
      </w:pPr>
      <w:r w:rsidRPr="00EF2814">
        <w:rPr>
          <w:rFonts w:cs="Arial"/>
          <w:lang w:val="en-GB"/>
        </w:rPr>
        <w:t xml:space="preserve">Some of the essential aspects involve a brief overview of the key themes and the way they all answer the research question. The conclusion is to emphasise the importance of the effectiveness of emergency training, workforce flexibility and integration of policy and practise. It ought to comment on how theoretical backgrounds were used in interpreting findings and appreciate methodological shortcomings. Instead, it </w:t>
      </w:r>
      <w:proofErr w:type="gramStart"/>
      <w:r w:rsidRPr="00EF2814">
        <w:rPr>
          <w:rFonts w:cs="Arial"/>
          <w:lang w:val="en-GB"/>
        </w:rPr>
        <w:t>has to</w:t>
      </w:r>
      <w:proofErr w:type="gramEnd"/>
      <w:r w:rsidRPr="00EF2814">
        <w:rPr>
          <w:rFonts w:cs="Arial"/>
          <w:lang w:val="en-GB"/>
        </w:rPr>
        <w:t xml:space="preserve"> focus more on the practical implications of healthcare practise and policy and simply connect the findings with the recommendations reached in the last chapter.</w:t>
      </w:r>
    </w:p>
    <w:p w14:paraId="3A064FF0" w14:textId="77777777" w:rsidR="00745EED" w:rsidRPr="00EF2814" w:rsidRDefault="00745EED" w:rsidP="008C02E0">
      <w:pPr>
        <w:spacing w:before="240" w:after="0"/>
        <w:rPr>
          <w:rFonts w:cs="Arial"/>
          <w:b/>
          <w:bCs/>
          <w:i/>
          <w:iCs/>
          <w:lang w:val="en-GB"/>
        </w:rPr>
      </w:pPr>
      <w:r w:rsidRPr="00EF2814">
        <w:rPr>
          <w:rFonts w:cs="Arial"/>
          <w:b/>
          <w:bCs/>
          <w:i/>
          <w:iCs/>
          <w:lang w:val="en-GB"/>
        </w:rPr>
        <w:t>Important Reminders</w:t>
      </w:r>
    </w:p>
    <w:p w14:paraId="1F35756B" w14:textId="77777777" w:rsidR="00745EED" w:rsidRPr="00EF2814" w:rsidRDefault="00745EED" w:rsidP="008C02E0">
      <w:pPr>
        <w:numPr>
          <w:ilvl w:val="0"/>
          <w:numId w:val="24"/>
        </w:numPr>
        <w:spacing w:before="240" w:after="0"/>
        <w:rPr>
          <w:rFonts w:cs="Arial"/>
          <w:lang w:val="en-GB"/>
        </w:rPr>
      </w:pPr>
      <w:r w:rsidRPr="00EF2814">
        <w:rPr>
          <w:rFonts w:cs="Arial"/>
          <w:lang w:val="en-GB"/>
        </w:rPr>
        <w:t>Do not introduce any new themes, information, statistics, or literature that have not been previously discussed in the dissertation chapters.</w:t>
      </w:r>
    </w:p>
    <w:p w14:paraId="60E64B6F" w14:textId="77777777" w:rsidR="00745EED" w:rsidRPr="00EF2814" w:rsidRDefault="00745EED" w:rsidP="008C02E0">
      <w:pPr>
        <w:numPr>
          <w:ilvl w:val="0"/>
          <w:numId w:val="24"/>
        </w:numPr>
        <w:spacing w:before="240" w:after="0"/>
        <w:rPr>
          <w:rFonts w:cs="Arial"/>
          <w:lang w:val="en-GB"/>
        </w:rPr>
      </w:pPr>
      <w:r w:rsidRPr="00EF2814">
        <w:rPr>
          <w:rFonts w:cs="Arial"/>
          <w:lang w:val="en-GB"/>
        </w:rPr>
        <w:t>Ensure that the conclusion remains grounded in the original research question, aims, and objectives.</w:t>
      </w:r>
    </w:p>
    <w:p w14:paraId="7DE8B8B0" w14:textId="77777777" w:rsidR="00745EED" w:rsidRPr="00EF2814" w:rsidRDefault="00745EED" w:rsidP="008C02E0">
      <w:pPr>
        <w:numPr>
          <w:ilvl w:val="0"/>
          <w:numId w:val="24"/>
        </w:numPr>
        <w:spacing w:before="240" w:after="0"/>
        <w:rPr>
          <w:rFonts w:cs="Arial"/>
          <w:lang w:val="en-GB"/>
        </w:rPr>
      </w:pPr>
      <w:r w:rsidRPr="00EF2814">
        <w:rPr>
          <w:rFonts w:cs="Arial"/>
          <w:lang w:val="en-GB"/>
        </w:rPr>
        <w:t>Focus on analysing the results rather than summarising the findings in a descriptive manner.</w:t>
      </w:r>
    </w:p>
    <w:p w14:paraId="64023032" w14:textId="77777777" w:rsidR="00745EED" w:rsidRPr="00EF2814" w:rsidRDefault="00745EED" w:rsidP="008C02E0">
      <w:pPr>
        <w:numPr>
          <w:ilvl w:val="0"/>
          <w:numId w:val="24"/>
        </w:numPr>
        <w:spacing w:before="240" w:after="0"/>
        <w:rPr>
          <w:rFonts w:cs="Arial"/>
          <w:lang w:val="en-GB"/>
        </w:rPr>
      </w:pPr>
      <w:r w:rsidRPr="00EF2814">
        <w:rPr>
          <w:rFonts w:cs="Arial"/>
          <w:lang w:val="en-GB"/>
        </w:rPr>
        <w:t>Write in an academic tone while also showing critical insight into the subject matter.</w:t>
      </w:r>
    </w:p>
    <w:p w14:paraId="42FFDC89" w14:textId="77777777" w:rsidR="00745EED" w:rsidRPr="00EF2814" w:rsidRDefault="00745EED" w:rsidP="008C02E0">
      <w:pPr>
        <w:numPr>
          <w:ilvl w:val="0"/>
          <w:numId w:val="24"/>
        </w:numPr>
        <w:spacing w:before="240" w:after="0"/>
        <w:rPr>
          <w:rFonts w:cs="Arial"/>
          <w:lang w:val="en-GB"/>
        </w:rPr>
      </w:pPr>
      <w:r w:rsidRPr="00EF2814">
        <w:rPr>
          <w:rFonts w:cs="Arial"/>
          <w:lang w:val="en-GB"/>
        </w:rPr>
        <w:lastRenderedPageBreak/>
        <w:t xml:space="preserve">Discuss the limitations of the methodology in a brief manner without compromising the validity of the </w:t>
      </w:r>
      <w:proofErr w:type="gramStart"/>
      <w:r w:rsidRPr="00EF2814">
        <w:rPr>
          <w:rFonts w:cs="Arial"/>
          <w:lang w:val="en-GB"/>
        </w:rPr>
        <w:t>research as a whole</w:t>
      </w:r>
      <w:proofErr w:type="gramEnd"/>
      <w:r w:rsidRPr="00EF2814">
        <w:rPr>
          <w:rFonts w:cs="Arial"/>
          <w:lang w:val="en-GB"/>
        </w:rPr>
        <w:t>.</w:t>
      </w:r>
    </w:p>
    <w:p w14:paraId="6CBC3C99" w14:textId="77777777" w:rsidR="00745EED" w:rsidRPr="00EF2814" w:rsidRDefault="00745EED" w:rsidP="008C02E0">
      <w:pPr>
        <w:numPr>
          <w:ilvl w:val="0"/>
          <w:numId w:val="24"/>
        </w:numPr>
        <w:spacing w:before="240" w:after="0"/>
        <w:rPr>
          <w:rFonts w:cs="Arial"/>
          <w:lang w:val="en-GB"/>
        </w:rPr>
      </w:pPr>
      <w:r w:rsidRPr="00EF2814">
        <w:rPr>
          <w:rFonts w:cs="Arial"/>
          <w:lang w:val="en-GB"/>
        </w:rPr>
        <w:t>Emphasise the implications of the research for workforce practice and policy implementation.</w:t>
      </w:r>
    </w:p>
    <w:p w14:paraId="0C6DA8B4" w14:textId="77777777" w:rsidR="00745EED" w:rsidRPr="00EF2814" w:rsidRDefault="00745EED" w:rsidP="005B1B4C">
      <w:pPr>
        <w:pStyle w:val="Heading2"/>
        <w:rPr>
          <w:lang w:val="en-GB"/>
        </w:rPr>
      </w:pPr>
      <w:bookmarkStart w:id="72" w:name="_a0wfycnysdp" w:colFirst="0" w:colLast="0"/>
      <w:bookmarkStart w:id="73" w:name="_Toc222234372"/>
      <w:bookmarkEnd w:id="72"/>
      <w:r w:rsidRPr="00EF2814">
        <w:rPr>
          <w:lang w:val="en-GB"/>
        </w:rPr>
        <w:t>5.2 Recommendations</w:t>
      </w:r>
      <w:bookmarkEnd w:id="73"/>
    </w:p>
    <w:p w14:paraId="65EDC340" w14:textId="3B54D91B" w:rsidR="00745EED" w:rsidRPr="00EF2814" w:rsidRDefault="00745EED" w:rsidP="008C02E0">
      <w:pPr>
        <w:pStyle w:val="Heading3"/>
        <w:spacing w:before="240"/>
        <w:rPr>
          <w:rFonts w:ascii="Arial" w:hAnsi="Arial" w:cs="Arial"/>
          <w:b/>
          <w:color w:val="000000" w:themeColor="text1"/>
          <w:lang w:val="en-GB"/>
        </w:rPr>
      </w:pPr>
      <w:bookmarkStart w:id="74" w:name="_lnhglg3wya8x" w:colFirst="0" w:colLast="0"/>
      <w:bookmarkStart w:id="75" w:name="_Toc222234373"/>
      <w:bookmarkEnd w:id="74"/>
      <w:r w:rsidRPr="00EF2814">
        <w:rPr>
          <w:rFonts w:ascii="Arial" w:hAnsi="Arial" w:cs="Arial"/>
          <w:b/>
          <w:color w:val="000000" w:themeColor="text1"/>
          <w:lang w:val="en-GB"/>
        </w:rPr>
        <w:t>5.2.1 Recommendation 1: Strengthening Workforce Preparedness through Targeted Training and Skill Development</w:t>
      </w:r>
      <w:bookmarkEnd w:id="75"/>
    </w:p>
    <w:p w14:paraId="6D68617D" w14:textId="77777777" w:rsidR="00745EED" w:rsidRPr="00EF2814" w:rsidRDefault="00745EED" w:rsidP="008C02E0">
      <w:pPr>
        <w:numPr>
          <w:ilvl w:val="0"/>
          <w:numId w:val="26"/>
        </w:numPr>
        <w:spacing w:before="240" w:after="0"/>
        <w:rPr>
          <w:rFonts w:cs="Arial"/>
          <w:b/>
          <w:bCs/>
          <w:i/>
          <w:iCs/>
          <w:lang w:val="en-GB"/>
        </w:rPr>
      </w:pPr>
      <w:r w:rsidRPr="00EF2814">
        <w:rPr>
          <w:rFonts w:cs="Arial"/>
          <w:b/>
          <w:bCs/>
          <w:i/>
          <w:iCs/>
          <w:lang w:val="en-GB"/>
        </w:rPr>
        <w:t>Standardised Emergency Training and Continuous Professional Development</w:t>
      </w:r>
    </w:p>
    <w:p w14:paraId="5870E02F" w14:textId="77777777" w:rsidR="00745EED" w:rsidRPr="00EF2814" w:rsidRDefault="00745EED" w:rsidP="008C02E0">
      <w:pPr>
        <w:spacing w:before="240" w:after="0"/>
        <w:rPr>
          <w:rFonts w:cs="Arial"/>
          <w:lang w:val="en-GB"/>
        </w:rPr>
      </w:pPr>
      <w:r w:rsidRPr="00EF2814">
        <w:rPr>
          <w:rFonts w:cs="Arial"/>
          <w:lang w:val="en-GB"/>
        </w:rPr>
        <w:t xml:space="preserve">Year-round standardised emergency training must be incorporated in all roles of clinical activities to provide a uniform minimum competence in the cases of high pressure. Provisions of advanced life support, trauma management, and infection control ought to be strengthened by organised continuous professional growth. The periodic refresher cycles, carried out on an annual or biannual basis, reduce the loss of skill and improve the level of clinical confidence. Association of the training completion with professional revalidation to enhance accountability. Nonetheless, too much standardisation risks ignoring the needs of local services, which is why it is essential to understand the competency frameworks based on the nationally recognised </w:t>
      </w:r>
      <w:proofErr w:type="gramStart"/>
      <w:r w:rsidRPr="00EF2814">
        <w:rPr>
          <w:rFonts w:cs="Arial"/>
          <w:lang w:val="en-GB"/>
        </w:rPr>
        <w:t>ones, but</w:t>
      </w:r>
      <w:proofErr w:type="gramEnd"/>
      <w:r w:rsidRPr="00EF2814">
        <w:rPr>
          <w:rFonts w:cs="Arial"/>
          <w:lang w:val="en-GB"/>
        </w:rPr>
        <w:t xml:space="preserve"> adjust training materials to the organisational environment.</w:t>
      </w:r>
    </w:p>
    <w:p w14:paraId="7D555AF0" w14:textId="77777777" w:rsidR="00745EED" w:rsidRPr="00EF2814" w:rsidRDefault="00745EED" w:rsidP="008C02E0">
      <w:pPr>
        <w:numPr>
          <w:ilvl w:val="0"/>
          <w:numId w:val="29"/>
        </w:numPr>
        <w:spacing w:before="240" w:after="0"/>
        <w:rPr>
          <w:rFonts w:cs="Arial"/>
          <w:b/>
          <w:bCs/>
          <w:i/>
          <w:iCs/>
          <w:lang w:val="en-GB"/>
        </w:rPr>
      </w:pPr>
      <w:r w:rsidRPr="00EF2814">
        <w:rPr>
          <w:rFonts w:cs="Arial"/>
          <w:b/>
          <w:bCs/>
          <w:i/>
          <w:iCs/>
          <w:lang w:val="en-GB"/>
        </w:rPr>
        <w:t>Simulation-Based Learning and Competency Assessment</w:t>
      </w:r>
    </w:p>
    <w:p w14:paraId="4E8EB0A8" w14:textId="77777777" w:rsidR="00745EED" w:rsidRPr="00EF2814" w:rsidRDefault="00745EED" w:rsidP="008C02E0">
      <w:pPr>
        <w:spacing w:before="240" w:after="0"/>
        <w:rPr>
          <w:rFonts w:cs="Arial"/>
          <w:lang w:val="en-GB"/>
        </w:rPr>
      </w:pPr>
      <w:r w:rsidRPr="00EF2814">
        <w:rPr>
          <w:rFonts w:cs="Arial"/>
          <w:lang w:val="en-GB"/>
        </w:rPr>
        <w:t>Learning by simulation provides a controlled setting to practise complex emergency procedures, which are not risky to the patient. Simulations with high-fidelity models of cardiac arrest, mass casualties, or a sudden deterioration of a patient boost clinical decision-making and performance in a team. Both technical and non-technical skills can be objectively measured using competency assessments based on scenario-based assessments. Clinical practise evidence demonstrates decreased response times and fewer procedure errors after being exposed to simulation. However, simulation needs financial resources, trained facilitators and safe learning time, which might restrict access in resource-strained healthcare environments.</w:t>
      </w:r>
    </w:p>
    <w:p w14:paraId="531C0674" w14:textId="77777777" w:rsidR="00745EED" w:rsidRPr="00EF2814" w:rsidRDefault="00745EED" w:rsidP="008C02E0">
      <w:pPr>
        <w:pStyle w:val="Heading3"/>
        <w:spacing w:before="240"/>
        <w:rPr>
          <w:rFonts w:ascii="Arial" w:hAnsi="Arial" w:cs="Arial"/>
          <w:b/>
          <w:color w:val="000000" w:themeColor="text1"/>
          <w:lang w:val="en-GB"/>
        </w:rPr>
      </w:pPr>
      <w:bookmarkStart w:id="76" w:name="_c5dhd6psk0wd" w:colFirst="0" w:colLast="0"/>
      <w:bookmarkStart w:id="77" w:name="_Toc222234374"/>
      <w:bookmarkEnd w:id="76"/>
      <w:r w:rsidRPr="00EF2814">
        <w:rPr>
          <w:rFonts w:ascii="Arial" w:hAnsi="Arial" w:cs="Arial"/>
          <w:b/>
          <w:color w:val="000000" w:themeColor="text1"/>
          <w:lang w:val="en-GB"/>
        </w:rPr>
        <w:lastRenderedPageBreak/>
        <w:t>5.2.2 Recommendation 2: Enhancing Workforce Flexibility to Support Adaptive and Resilient Care Delivery</w:t>
      </w:r>
      <w:bookmarkEnd w:id="77"/>
    </w:p>
    <w:p w14:paraId="75307FC8" w14:textId="77777777" w:rsidR="00745EED" w:rsidRPr="00EF2814" w:rsidRDefault="00745EED" w:rsidP="008C02E0">
      <w:pPr>
        <w:numPr>
          <w:ilvl w:val="0"/>
          <w:numId w:val="28"/>
        </w:numPr>
        <w:spacing w:before="240" w:after="0"/>
        <w:rPr>
          <w:rFonts w:cs="Arial"/>
          <w:b/>
          <w:bCs/>
          <w:i/>
          <w:iCs/>
          <w:lang w:val="en-GB"/>
        </w:rPr>
      </w:pPr>
      <w:r w:rsidRPr="00EF2814">
        <w:rPr>
          <w:rFonts w:cs="Arial"/>
          <w:b/>
          <w:bCs/>
          <w:i/>
          <w:iCs/>
          <w:lang w:val="en-GB"/>
        </w:rPr>
        <w:t>Role Expansion and Multiskilling Across Clinical Teams</w:t>
      </w:r>
    </w:p>
    <w:p w14:paraId="60A30E38" w14:textId="77777777" w:rsidR="00745EED" w:rsidRPr="00EF2814" w:rsidRDefault="00745EED" w:rsidP="008C02E0">
      <w:pPr>
        <w:spacing w:before="240" w:after="0"/>
        <w:rPr>
          <w:rFonts w:cs="Arial"/>
          <w:lang w:val="en-GB"/>
        </w:rPr>
      </w:pPr>
      <w:r w:rsidRPr="00EF2814">
        <w:rPr>
          <w:rFonts w:cs="Arial"/>
          <w:lang w:val="en-GB"/>
        </w:rPr>
        <w:t xml:space="preserve">Expansion of the roles helps healthcare professionals to work outside their limits, owing to the shortage of the workforce, since the service delivery can continue. The addition of multiskilling nurses, paramedics, and allied health professionals to execute prolonged clinical duties should help in increasing responsiveness in emergency cases. There is enhanced resiliency in the workforce </w:t>
      </w:r>
      <w:proofErr w:type="gramStart"/>
      <w:r w:rsidRPr="00EF2814">
        <w:rPr>
          <w:rFonts w:cs="Arial"/>
          <w:lang w:val="en-GB"/>
        </w:rPr>
        <w:t>as a result of</w:t>
      </w:r>
      <w:proofErr w:type="gramEnd"/>
      <w:r w:rsidRPr="00EF2814">
        <w:rPr>
          <w:rFonts w:cs="Arial"/>
          <w:lang w:val="en-GB"/>
        </w:rPr>
        <w:t xml:space="preserve"> cross-training because dependence on single-role specialists becomes less frequent. Lack of role clarity may, however, enhance workload stress and professional conflict. Precise definition of the scope-of-practise, organisation of supervision, and competence validation are necessary </w:t>
      </w:r>
      <w:proofErr w:type="gramStart"/>
      <w:r w:rsidRPr="00EF2814">
        <w:rPr>
          <w:rFonts w:cs="Arial"/>
          <w:lang w:val="en-GB"/>
        </w:rPr>
        <w:t>in order to</w:t>
      </w:r>
      <w:proofErr w:type="gramEnd"/>
      <w:r w:rsidRPr="00EF2814">
        <w:rPr>
          <w:rFonts w:cs="Arial"/>
          <w:lang w:val="en-GB"/>
        </w:rPr>
        <w:t xml:space="preserve"> see how role adjustment can add benefit to the care of the patient without undermining professional standards or safety.</w:t>
      </w:r>
    </w:p>
    <w:p w14:paraId="6A657034" w14:textId="77777777" w:rsidR="00745EED" w:rsidRPr="00EF2814" w:rsidRDefault="00745EED" w:rsidP="008C02E0">
      <w:pPr>
        <w:numPr>
          <w:ilvl w:val="0"/>
          <w:numId w:val="25"/>
        </w:numPr>
        <w:spacing w:before="240" w:after="0"/>
        <w:rPr>
          <w:rFonts w:cs="Arial"/>
          <w:b/>
          <w:bCs/>
          <w:i/>
          <w:iCs/>
          <w:lang w:val="en-GB"/>
        </w:rPr>
      </w:pPr>
      <w:r w:rsidRPr="00EF2814">
        <w:rPr>
          <w:rFonts w:cs="Arial"/>
          <w:b/>
          <w:bCs/>
          <w:i/>
          <w:iCs/>
          <w:lang w:val="en-GB"/>
        </w:rPr>
        <w:t>Flexible Workforce Models and Cross-Departmental Deployment</w:t>
      </w:r>
    </w:p>
    <w:p w14:paraId="508E7061" w14:textId="77777777" w:rsidR="00745EED" w:rsidRPr="00EF2814" w:rsidRDefault="00745EED" w:rsidP="008C02E0">
      <w:pPr>
        <w:spacing w:before="240" w:after="0"/>
        <w:rPr>
          <w:rFonts w:cs="Arial"/>
          <w:lang w:val="en-GB"/>
        </w:rPr>
      </w:pPr>
      <w:r w:rsidRPr="00EF2814">
        <w:rPr>
          <w:rFonts w:cs="Arial"/>
          <w:lang w:val="en-GB"/>
        </w:rPr>
        <w:t>The flexible workforce models allow for rapid mobility of workers between departments based on the service demand. Cross-departmental staffing and rotation of staff improve capacity during the peak periods, such as the winter overflow or emergency outbursts. The models foster organisational agility and minimise disruption of services. Re-deployment, however, might result in low team cohesion and role unfamiliarity. Induction protocols, role-matching systems, as well as real-time staffing data should support deployment strategies to balance between flexibility and stability of the workforce and the well-being of staff.</w:t>
      </w:r>
    </w:p>
    <w:p w14:paraId="037A0BE3" w14:textId="77777777" w:rsidR="00745EED" w:rsidRPr="00EF2814" w:rsidRDefault="00745EED" w:rsidP="008C02E0">
      <w:pPr>
        <w:pStyle w:val="Heading3"/>
        <w:spacing w:before="240"/>
        <w:rPr>
          <w:rFonts w:ascii="Arial" w:hAnsi="Arial" w:cs="Arial"/>
          <w:b/>
          <w:color w:val="000000" w:themeColor="text1"/>
          <w:lang w:val="en-GB"/>
        </w:rPr>
      </w:pPr>
      <w:bookmarkStart w:id="78" w:name="_es4bhdca4bx8" w:colFirst="0" w:colLast="0"/>
      <w:bookmarkStart w:id="79" w:name="_Toc222234375"/>
      <w:bookmarkEnd w:id="78"/>
      <w:r w:rsidRPr="00EF2814">
        <w:rPr>
          <w:rFonts w:ascii="Arial" w:hAnsi="Arial" w:cs="Arial"/>
          <w:b/>
          <w:color w:val="000000" w:themeColor="text1"/>
          <w:lang w:val="en-GB"/>
        </w:rPr>
        <w:t>5.2.3 Recommendation 3: Aligning Policy Implementation with Frontline Practice to Improve Service Outcomes</w:t>
      </w:r>
      <w:bookmarkEnd w:id="79"/>
      <w:r w:rsidRPr="00EF2814">
        <w:rPr>
          <w:rFonts w:ascii="Arial" w:hAnsi="Arial" w:cs="Arial"/>
          <w:b/>
          <w:color w:val="000000" w:themeColor="text1"/>
          <w:lang w:val="en-GB"/>
        </w:rPr>
        <w:t xml:space="preserve"> </w:t>
      </w:r>
    </w:p>
    <w:p w14:paraId="7C26C459" w14:textId="77777777" w:rsidR="00745EED" w:rsidRPr="00EF2814" w:rsidRDefault="00745EED" w:rsidP="008C02E0">
      <w:pPr>
        <w:numPr>
          <w:ilvl w:val="0"/>
          <w:numId w:val="23"/>
        </w:numPr>
        <w:spacing w:before="240" w:after="0"/>
        <w:rPr>
          <w:rFonts w:cs="Arial"/>
          <w:b/>
          <w:bCs/>
          <w:i/>
          <w:iCs/>
          <w:lang w:val="en-GB"/>
        </w:rPr>
      </w:pPr>
      <w:r w:rsidRPr="00EF2814">
        <w:rPr>
          <w:rFonts w:cs="Arial"/>
          <w:b/>
          <w:bCs/>
          <w:i/>
          <w:iCs/>
          <w:lang w:val="en-GB"/>
        </w:rPr>
        <w:t>Translating Policy Objectives into Operational Practice</w:t>
      </w:r>
    </w:p>
    <w:p w14:paraId="76479612" w14:textId="77777777" w:rsidR="00745EED" w:rsidRPr="00EF2814" w:rsidRDefault="00745EED" w:rsidP="008C02E0">
      <w:pPr>
        <w:spacing w:before="240" w:after="0"/>
        <w:rPr>
          <w:rFonts w:cs="Arial"/>
          <w:lang w:val="en-GB"/>
        </w:rPr>
      </w:pPr>
      <w:r w:rsidRPr="00EF2814">
        <w:rPr>
          <w:rFonts w:cs="Arial"/>
          <w:lang w:val="en-GB"/>
        </w:rPr>
        <w:t xml:space="preserve">A successful implementation of the policy implies the translation of the strategic objectives into strong, immediate frontline procedures. Emergency preparedness, workforce capability and patient safety policies should be operationalised by using local guidelines, training plans and leadership engagement. Policy-clinical inconsistency may cause inconsistent practise and less compliance. Adaptation of policies by involving frontline staff improves relevancy and ownership. Nevertheless, the interpretation of the policy by the people could be impractical due to the </w:t>
      </w:r>
      <w:r w:rsidRPr="00EF2814">
        <w:rPr>
          <w:rFonts w:cs="Arial"/>
          <w:lang w:val="en-GB"/>
        </w:rPr>
        <w:lastRenderedPageBreak/>
        <w:t>complexity in its implementation, hence the necessity of the implementation-oriented, concise guidance.</w:t>
      </w:r>
    </w:p>
    <w:p w14:paraId="3355279A" w14:textId="77777777" w:rsidR="00745EED" w:rsidRPr="00EF2814" w:rsidRDefault="00745EED" w:rsidP="008C02E0">
      <w:pPr>
        <w:numPr>
          <w:ilvl w:val="0"/>
          <w:numId w:val="27"/>
        </w:numPr>
        <w:spacing w:before="240" w:after="0"/>
        <w:rPr>
          <w:rFonts w:cs="Arial"/>
          <w:b/>
          <w:bCs/>
          <w:i/>
          <w:iCs/>
          <w:lang w:val="en-GB"/>
        </w:rPr>
      </w:pPr>
      <w:r w:rsidRPr="00EF2814">
        <w:rPr>
          <w:rFonts w:cs="Arial"/>
          <w:b/>
          <w:bCs/>
          <w:i/>
          <w:iCs/>
          <w:lang w:val="en-GB"/>
        </w:rPr>
        <w:t>Monitoring, Feedback Mechanisms, and Practice-Based Policy Review</w:t>
      </w:r>
    </w:p>
    <w:p w14:paraId="64DD0A8C" w14:textId="77777777" w:rsidR="00745EED" w:rsidRPr="00EF2814" w:rsidRDefault="00745EED" w:rsidP="008C02E0">
      <w:pPr>
        <w:spacing w:before="240" w:after="0"/>
        <w:rPr>
          <w:rFonts w:cs="Arial"/>
          <w:lang w:val="en-GB"/>
        </w:rPr>
      </w:pPr>
      <w:r w:rsidRPr="00EF2814">
        <w:rPr>
          <w:rFonts w:cs="Arial"/>
          <w:lang w:val="en-GB"/>
        </w:rPr>
        <w:t>To analyse the policy performance in practise, it is necessary to have continuous monitoring and feedback systems. Routine audits, incident reporting data, and a staff feedback loop will give the organisation an understanding of the operational difficulties and undesirable consequences. Reviewing policies via practise will also make sure that the guiding instructions are sensitive to changing clinical needs and staffing stress. Open feedback systems encourage organisational accounts and learning. Nevertheless, excessive use of performance-based measurements can ignore the qualitative information, which is why there is a need to balance the utilisation of the numeric indices with the data regarding the staff or patient experience.</w:t>
      </w:r>
    </w:p>
    <w:p w14:paraId="7F4648AF" w14:textId="7598FE18" w:rsidR="00126B52" w:rsidRPr="00EF2814" w:rsidRDefault="00126B52" w:rsidP="008C02E0">
      <w:pPr>
        <w:spacing w:before="240" w:after="0"/>
        <w:rPr>
          <w:rFonts w:cs="Arial"/>
          <w:b/>
          <w:bCs/>
          <w:sz w:val="28"/>
          <w:szCs w:val="28"/>
          <w:lang w:val="en-GB"/>
        </w:rPr>
      </w:pPr>
      <w:r w:rsidRPr="00EF2814">
        <w:rPr>
          <w:rFonts w:cs="Arial"/>
          <w:b/>
          <w:bCs/>
          <w:sz w:val="28"/>
          <w:szCs w:val="28"/>
          <w:lang w:val="en-GB"/>
        </w:rPr>
        <w:br w:type="page"/>
      </w:r>
    </w:p>
    <w:p w14:paraId="489BBCE1" w14:textId="0AA1E120" w:rsidR="00ED1049" w:rsidRPr="00EF2814" w:rsidRDefault="00ED1049" w:rsidP="008C02E0">
      <w:pPr>
        <w:pStyle w:val="Heading1"/>
        <w:spacing w:before="240" w:line="360" w:lineRule="auto"/>
        <w:rPr>
          <w:lang w:val="en-GB"/>
        </w:rPr>
      </w:pPr>
      <w:bookmarkStart w:id="80" w:name="_Toc222234376"/>
      <w:r w:rsidRPr="00EF2814">
        <w:rPr>
          <w:lang w:val="en-GB"/>
        </w:rPr>
        <w:lastRenderedPageBreak/>
        <w:t>References</w:t>
      </w:r>
      <w:bookmarkEnd w:id="80"/>
    </w:p>
    <w:p w14:paraId="084F36B0" w14:textId="69DD3E3D" w:rsidR="002D744B" w:rsidRPr="00EF2814" w:rsidRDefault="002D744B" w:rsidP="008C02E0">
      <w:pPr>
        <w:spacing w:before="240" w:after="0"/>
        <w:rPr>
          <w:rFonts w:cs="Arial"/>
          <w:lang w:val="en-GB"/>
        </w:rPr>
      </w:pPr>
      <w:r w:rsidRPr="00EF2814">
        <w:rPr>
          <w:rFonts w:cs="Arial"/>
          <w:lang w:val="en-GB"/>
        </w:rPr>
        <w:t xml:space="preserve">Accipio, (2026) </w:t>
      </w:r>
      <w:r w:rsidRPr="00EF2814">
        <w:rPr>
          <w:rFonts w:cs="Arial"/>
          <w:i/>
          <w:iCs/>
          <w:lang w:val="en-GB"/>
        </w:rPr>
        <w:t xml:space="preserve">Welcome </w:t>
      </w:r>
      <w:proofErr w:type="gramStart"/>
      <w:r w:rsidRPr="00EF2814">
        <w:rPr>
          <w:rFonts w:cs="Arial"/>
          <w:i/>
          <w:iCs/>
          <w:lang w:val="en-GB"/>
        </w:rPr>
        <w:t>To</w:t>
      </w:r>
      <w:proofErr w:type="gramEnd"/>
      <w:r w:rsidRPr="00EF2814">
        <w:rPr>
          <w:rFonts w:cs="Arial"/>
          <w:i/>
          <w:iCs/>
          <w:lang w:val="en-GB"/>
        </w:rPr>
        <w:t xml:space="preserve"> Zscaler Directory Authentication</w:t>
      </w:r>
      <w:r w:rsidRPr="00EF2814">
        <w:rPr>
          <w:rFonts w:cs="Arial"/>
          <w:lang w:val="en-GB"/>
        </w:rPr>
        <w:t xml:space="preserve">. [online] Available at: </w:t>
      </w:r>
      <w:hyperlink r:id="rId23" w:history="1">
        <w:r w:rsidRPr="00EF2814">
          <w:rPr>
            <w:rStyle w:val="Hyperlink"/>
            <w:rFonts w:cs="Arial"/>
            <w:lang w:val="en-GB"/>
          </w:rPr>
          <w:t>https://www.accipio.com/case-studies/department-of-health-and-social-care/</w:t>
        </w:r>
      </w:hyperlink>
      <w:r w:rsidRPr="00EF2814">
        <w:rPr>
          <w:rFonts w:cs="Arial"/>
          <w:lang w:val="en-GB"/>
        </w:rPr>
        <w:t xml:space="preserve"> [Accessed 7 </w:t>
      </w:r>
      <w:r w:rsidR="0048349E">
        <w:rPr>
          <w:rFonts w:cs="Arial"/>
          <w:lang w:val="en-GB"/>
        </w:rPr>
        <w:t xml:space="preserve">April </w:t>
      </w:r>
      <w:r w:rsidRPr="00EF2814">
        <w:rPr>
          <w:rFonts w:cs="Arial"/>
          <w:lang w:val="en-GB"/>
        </w:rPr>
        <w:t>2026]</w:t>
      </w:r>
    </w:p>
    <w:p w14:paraId="61F1B528"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Al-Ansi, A.M., Jaboob, M., Garad, A. and Al-Ansi, A. (2023) ‘</w:t>
      </w:r>
      <w:proofErr w:type="spellStart"/>
      <w:r w:rsidRPr="00EF2814">
        <w:rPr>
          <w:rFonts w:cs="Arial"/>
          <w:lang w:val="en-GB"/>
        </w:rPr>
        <w:t>Analyzing</w:t>
      </w:r>
      <w:proofErr w:type="spellEnd"/>
      <w:r w:rsidRPr="00EF2814">
        <w:rPr>
          <w:rFonts w:cs="Arial"/>
          <w:lang w:val="en-GB"/>
        </w:rPr>
        <w:t xml:space="preserve"> Augmented Reality (AR) and Virtual Reality (VR) Recent Development in Education’, </w:t>
      </w:r>
      <w:r w:rsidRPr="00EF2814">
        <w:rPr>
          <w:rFonts w:cs="Arial"/>
          <w:i/>
          <w:iCs/>
          <w:lang w:val="en-GB"/>
        </w:rPr>
        <w:t>Social Sciences &amp; Humanities Open</w:t>
      </w:r>
      <w:r w:rsidRPr="00EF2814">
        <w:rPr>
          <w:rFonts w:cs="Arial"/>
          <w:lang w:val="en-GB"/>
        </w:rPr>
        <w:t xml:space="preserve">, 8(1). Available at: </w:t>
      </w:r>
      <w:hyperlink r:id="rId24" w:history="1">
        <w:r w:rsidRPr="00EF2814">
          <w:rPr>
            <w:rFonts w:cs="Arial"/>
            <w:lang w:val="en-GB"/>
          </w:rPr>
          <w:t>https://doi.org/10.1016/j.ssaho.2023.100532</w:t>
        </w:r>
      </w:hyperlink>
      <w:r w:rsidRPr="00EF2814">
        <w:rPr>
          <w:rFonts w:cs="Arial"/>
          <w:lang w:val="en-GB"/>
        </w:rPr>
        <w:t>.</w:t>
      </w:r>
    </w:p>
    <w:p w14:paraId="10BFBAB7"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Al-Ansi, A.M., Jaboob, M., Garad, A. and Al-Ansi, A. (2023) ‘</w:t>
      </w:r>
      <w:proofErr w:type="spellStart"/>
      <w:r w:rsidRPr="00EF2814">
        <w:rPr>
          <w:rFonts w:cs="Arial"/>
          <w:lang w:val="en-GB"/>
        </w:rPr>
        <w:t>Analyzing</w:t>
      </w:r>
      <w:proofErr w:type="spellEnd"/>
      <w:r w:rsidRPr="00EF2814">
        <w:rPr>
          <w:rFonts w:cs="Arial"/>
          <w:lang w:val="en-GB"/>
        </w:rPr>
        <w:t xml:space="preserve"> Augmented Reality (AR) and Virtual Reality (VR) Recent Development in Education’, </w:t>
      </w:r>
      <w:r w:rsidRPr="00EF2814">
        <w:rPr>
          <w:rFonts w:cs="Arial"/>
          <w:i/>
          <w:iCs/>
          <w:lang w:val="en-GB"/>
        </w:rPr>
        <w:t>Social Sciences &amp; Humanities Open</w:t>
      </w:r>
      <w:r w:rsidRPr="00EF2814">
        <w:rPr>
          <w:rFonts w:cs="Arial"/>
          <w:lang w:val="en-GB"/>
        </w:rPr>
        <w:t xml:space="preserve">, 8(1). Available at: </w:t>
      </w:r>
      <w:hyperlink r:id="rId25" w:history="1">
        <w:r w:rsidRPr="00EF2814">
          <w:rPr>
            <w:rFonts w:cs="Arial"/>
            <w:lang w:val="en-GB"/>
          </w:rPr>
          <w:t>https://doi.org/10.1016/j.ssaho.2023.100532</w:t>
        </w:r>
      </w:hyperlink>
      <w:r w:rsidRPr="00EF2814">
        <w:rPr>
          <w:rFonts w:cs="Arial"/>
          <w:lang w:val="en-GB"/>
        </w:rPr>
        <w:t>.</w:t>
      </w:r>
    </w:p>
    <w:p w14:paraId="266AC9A3"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Anderson, M.H. and Lemken, R.K. (2022) ‘Citation Context Analysis as a Method for Conducting Rigorous and Impactful Literature Reviews’, </w:t>
      </w:r>
      <w:r w:rsidRPr="00EF2814">
        <w:rPr>
          <w:rFonts w:cs="Arial"/>
          <w:i/>
          <w:iCs/>
          <w:lang w:val="en-GB"/>
        </w:rPr>
        <w:t>Organizational Research Methods</w:t>
      </w:r>
      <w:r w:rsidRPr="00EF2814">
        <w:rPr>
          <w:rFonts w:cs="Arial"/>
          <w:lang w:val="en-GB"/>
        </w:rPr>
        <w:t xml:space="preserve">, 26(1), p. 109442812096990. Available at: </w:t>
      </w:r>
      <w:hyperlink r:id="rId26" w:history="1">
        <w:r w:rsidRPr="00EF2814">
          <w:rPr>
            <w:rFonts w:cs="Arial"/>
            <w:lang w:val="en-GB"/>
          </w:rPr>
          <w:t>https://doi.org/10.1177/1094428120969905</w:t>
        </w:r>
      </w:hyperlink>
      <w:r w:rsidRPr="00EF2814">
        <w:rPr>
          <w:rFonts w:cs="Arial"/>
          <w:lang w:val="en-GB"/>
        </w:rPr>
        <w:t>.</w:t>
      </w:r>
    </w:p>
    <w:p w14:paraId="69C62CCE"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Anderson, M.H. and Lemken, R.K. (2022) ‘Citation Context Analysis as a Method for Conducting Rigorous and Impactful Literature Reviews’, </w:t>
      </w:r>
      <w:r w:rsidRPr="00EF2814">
        <w:rPr>
          <w:rFonts w:cs="Arial"/>
          <w:i/>
          <w:iCs/>
          <w:lang w:val="en-GB"/>
        </w:rPr>
        <w:t>Organizational Research Methods</w:t>
      </w:r>
      <w:r w:rsidRPr="00EF2814">
        <w:rPr>
          <w:rFonts w:cs="Arial"/>
          <w:lang w:val="en-GB"/>
        </w:rPr>
        <w:t xml:space="preserve">, 26(1), p. 109442812096990. Available at: </w:t>
      </w:r>
      <w:hyperlink r:id="rId27" w:history="1">
        <w:r w:rsidRPr="00EF2814">
          <w:rPr>
            <w:rFonts w:cs="Arial"/>
            <w:lang w:val="en-GB"/>
          </w:rPr>
          <w:t>https://doi.org/10.1177/1094428120969905</w:t>
        </w:r>
      </w:hyperlink>
      <w:r w:rsidRPr="00EF2814">
        <w:rPr>
          <w:rFonts w:cs="Arial"/>
          <w:lang w:val="en-GB"/>
        </w:rPr>
        <w:t>.</w:t>
      </w:r>
    </w:p>
    <w:p w14:paraId="72B1DCAF"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Badami, M., Boualem </w:t>
      </w:r>
      <w:proofErr w:type="spellStart"/>
      <w:r w:rsidRPr="00EF2814">
        <w:rPr>
          <w:rFonts w:cs="Arial"/>
          <w:lang w:val="en-GB"/>
        </w:rPr>
        <w:t>Benatallah</w:t>
      </w:r>
      <w:proofErr w:type="spellEnd"/>
      <w:r w:rsidRPr="00EF2814">
        <w:rPr>
          <w:rFonts w:cs="Arial"/>
          <w:lang w:val="en-GB"/>
        </w:rPr>
        <w:t xml:space="preserve"> and Baez, M. (2023) ‘Adaptive search query generation and refinement in systematic literature review’, </w:t>
      </w:r>
      <w:r w:rsidRPr="00EF2814">
        <w:rPr>
          <w:rFonts w:cs="Arial"/>
          <w:i/>
          <w:iCs/>
          <w:lang w:val="en-GB"/>
        </w:rPr>
        <w:t>Information Systems</w:t>
      </w:r>
      <w:r w:rsidRPr="00EF2814">
        <w:rPr>
          <w:rFonts w:cs="Arial"/>
          <w:lang w:val="en-GB"/>
        </w:rPr>
        <w:t xml:space="preserve">, 117, pp. 102231–102231. Available at: </w:t>
      </w:r>
      <w:hyperlink r:id="rId28" w:history="1">
        <w:r w:rsidRPr="00EF2814">
          <w:rPr>
            <w:rFonts w:cs="Arial"/>
            <w:lang w:val="en-GB"/>
          </w:rPr>
          <w:t>https://doi.org/10.1016/j.is.2023.102231</w:t>
        </w:r>
      </w:hyperlink>
      <w:r w:rsidRPr="00EF2814">
        <w:rPr>
          <w:rFonts w:cs="Arial"/>
          <w:lang w:val="en-GB"/>
        </w:rPr>
        <w:t>.</w:t>
      </w:r>
    </w:p>
    <w:p w14:paraId="2C6C1D76"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BMA (2024) </w:t>
      </w:r>
      <w:r w:rsidRPr="00EF2814">
        <w:rPr>
          <w:rFonts w:eastAsia="Times New Roman" w:cs="Arial"/>
          <w:i/>
          <w:iCs/>
          <w:lang w:val="en-GB"/>
        </w:rPr>
        <w:t>COVID-19: Impact of the Pandemic on Healthcare Delivery</w:t>
      </w:r>
      <w:r w:rsidRPr="00EF2814">
        <w:rPr>
          <w:rFonts w:eastAsia="Times New Roman" w:cs="Arial"/>
          <w:lang w:val="en-GB"/>
        </w:rPr>
        <w:t xml:space="preserve">. [online] The British Medical Association. Available at: </w:t>
      </w:r>
      <w:hyperlink r:id="rId29" w:history="1">
        <w:r w:rsidRPr="00EF2814">
          <w:rPr>
            <w:rStyle w:val="Hyperlink"/>
            <w:rFonts w:eastAsia="Times New Roman" w:cs="Arial"/>
            <w:lang w:val="en-GB"/>
          </w:rPr>
          <w:t>https://www.bma.org.uk/advice-and-support/covid-19/what-the-bma-is-doing/covid-19-impact-of-the-pandemic-on-healthcare-delivery</w:t>
        </w:r>
      </w:hyperlink>
      <w:r w:rsidRPr="00EF2814">
        <w:rPr>
          <w:rFonts w:eastAsia="Times New Roman" w:cs="Arial"/>
          <w:lang w:val="en-GB"/>
        </w:rPr>
        <w:t xml:space="preserve"> [Accessed 17 February 2026]</w:t>
      </w:r>
    </w:p>
    <w:p w14:paraId="4AB30352"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Bosque-Mercader, L., Conroy, S., </w:t>
      </w:r>
      <w:proofErr w:type="spellStart"/>
      <w:r w:rsidRPr="00EF2814">
        <w:rPr>
          <w:rFonts w:eastAsia="Times New Roman" w:cs="Arial"/>
          <w:lang w:val="en-GB"/>
        </w:rPr>
        <w:t>Lasserson</w:t>
      </w:r>
      <w:proofErr w:type="spellEnd"/>
      <w:r w:rsidRPr="00EF2814">
        <w:rPr>
          <w:rFonts w:eastAsia="Times New Roman" w:cs="Arial"/>
          <w:lang w:val="en-GB"/>
        </w:rPr>
        <w:t xml:space="preserve">, D., Mannion, R., Nicodemo, C. and Wittenberg, R. (2025) ‘Resilience of the acute sector in recovery from COVID-19 pressures.’ </w:t>
      </w:r>
      <w:r w:rsidRPr="00EF2814">
        <w:rPr>
          <w:rFonts w:eastAsia="Times New Roman" w:cs="Arial"/>
          <w:i/>
          <w:iCs/>
          <w:lang w:val="en-GB"/>
        </w:rPr>
        <w:t>Social Science &amp; Medicine</w:t>
      </w:r>
      <w:r w:rsidRPr="00EF2814">
        <w:rPr>
          <w:rFonts w:eastAsia="Times New Roman" w:cs="Arial"/>
          <w:lang w:val="en-GB"/>
        </w:rPr>
        <w:t xml:space="preserve">, [online] 375, pp.118062-118067. Available at: </w:t>
      </w:r>
      <w:hyperlink r:id="rId30" w:history="1">
        <w:r w:rsidRPr="00EF2814">
          <w:rPr>
            <w:rStyle w:val="Hyperlink"/>
            <w:rFonts w:eastAsia="Times New Roman" w:cs="Arial"/>
            <w:lang w:val="en-GB"/>
          </w:rPr>
          <w:t>https://doi.org/10.1016/j.socscimed.2025.118062</w:t>
        </w:r>
      </w:hyperlink>
      <w:r w:rsidRPr="00EF2814">
        <w:rPr>
          <w:rFonts w:eastAsia="Times New Roman" w:cs="Arial"/>
          <w:lang w:val="en-GB"/>
        </w:rPr>
        <w:t xml:space="preserve"> </w:t>
      </w:r>
    </w:p>
    <w:p w14:paraId="50933741"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Boutros, P., Kassem, N., Nieder, J., Jaramillo, C., von Petersdorff, J., Walsh, F.J., </w:t>
      </w:r>
      <w:proofErr w:type="spellStart"/>
      <w:r w:rsidRPr="00EF2814">
        <w:rPr>
          <w:rFonts w:cs="Arial"/>
          <w:lang w:val="en-GB"/>
        </w:rPr>
        <w:t>Bärnighausen</w:t>
      </w:r>
      <w:proofErr w:type="spellEnd"/>
      <w:r w:rsidRPr="00EF2814">
        <w:rPr>
          <w:rFonts w:cs="Arial"/>
          <w:lang w:val="en-GB"/>
        </w:rPr>
        <w:t xml:space="preserve">, </w:t>
      </w:r>
      <w:r w:rsidRPr="00EF2814">
        <w:rPr>
          <w:rFonts w:cs="Arial"/>
          <w:lang w:val="en-GB"/>
        </w:rPr>
        <w:lastRenderedPageBreak/>
        <w:t xml:space="preserve">T. and </w:t>
      </w:r>
      <w:proofErr w:type="spellStart"/>
      <w:r w:rsidRPr="00EF2814">
        <w:rPr>
          <w:rFonts w:cs="Arial"/>
          <w:lang w:val="en-GB"/>
        </w:rPr>
        <w:t>Barteit</w:t>
      </w:r>
      <w:proofErr w:type="spellEnd"/>
      <w:r w:rsidRPr="00EF2814">
        <w:rPr>
          <w:rFonts w:cs="Arial"/>
          <w:lang w:val="en-GB"/>
        </w:rPr>
        <w:t xml:space="preserve">, S. (2023) ‘Education and Training Adaptations for Health Workers during the COVID-19 Pandemic: A Scoping Review of Lessons Learned and Innovations’, </w:t>
      </w:r>
      <w:r w:rsidRPr="00EF2814">
        <w:rPr>
          <w:rFonts w:cs="Arial"/>
          <w:i/>
          <w:iCs/>
          <w:lang w:val="en-GB"/>
        </w:rPr>
        <w:t>Healthcare</w:t>
      </w:r>
      <w:r w:rsidRPr="00EF2814">
        <w:rPr>
          <w:rFonts w:cs="Arial"/>
          <w:lang w:val="en-GB"/>
        </w:rPr>
        <w:t xml:space="preserve">, 11(21), p. 2902. Available at: </w:t>
      </w:r>
      <w:hyperlink r:id="rId31" w:history="1">
        <w:r w:rsidRPr="00EF2814">
          <w:rPr>
            <w:rFonts w:cs="Arial"/>
            <w:lang w:val="en-GB"/>
          </w:rPr>
          <w:t>https://doi.org/10.3390/healthcare11212902</w:t>
        </w:r>
      </w:hyperlink>
      <w:r w:rsidRPr="00EF2814">
        <w:rPr>
          <w:rFonts w:cs="Arial"/>
          <w:lang w:val="en-GB"/>
        </w:rPr>
        <w:t>.</w:t>
      </w:r>
    </w:p>
    <w:p w14:paraId="3ABBA9FB" w14:textId="77777777" w:rsidR="002D744B" w:rsidRPr="00EF2814" w:rsidRDefault="002D744B" w:rsidP="008C02E0">
      <w:pPr>
        <w:spacing w:before="240" w:after="0"/>
        <w:rPr>
          <w:rFonts w:cs="Arial"/>
          <w:lang w:val="en-GB"/>
        </w:rPr>
      </w:pPr>
      <w:r w:rsidRPr="00EF2814">
        <w:rPr>
          <w:rFonts w:cs="Arial"/>
          <w:lang w:val="en-GB"/>
        </w:rPr>
        <w:t xml:space="preserve">Boutros, P., Kassem, N., Nieder, J., Jaramillo, C., von Petersdorff, J., Walsh, F.J., </w:t>
      </w:r>
      <w:proofErr w:type="spellStart"/>
      <w:r w:rsidRPr="00EF2814">
        <w:rPr>
          <w:rFonts w:cs="Arial"/>
          <w:lang w:val="en-GB"/>
        </w:rPr>
        <w:t>Bärnighausen</w:t>
      </w:r>
      <w:proofErr w:type="spellEnd"/>
      <w:r w:rsidRPr="00EF2814">
        <w:rPr>
          <w:rFonts w:cs="Arial"/>
          <w:lang w:val="en-GB"/>
        </w:rPr>
        <w:t xml:space="preserve">, T. and </w:t>
      </w:r>
      <w:proofErr w:type="spellStart"/>
      <w:r w:rsidRPr="00EF2814">
        <w:rPr>
          <w:rFonts w:cs="Arial"/>
          <w:lang w:val="en-GB"/>
        </w:rPr>
        <w:t>Barteit</w:t>
      </w:r>
      <w:proofErr w:type="spellEnd"/>
      <w:r w:rsidRPr="00EF2814">
        <w:rPr>
          <w:rFonts w:cs="Arial"/>
          <w:lang w:val="en-GB"/>
        </w:rPr>
        <w:t xml:space="preserve">, S. (2023) ‘Education and Training Adaptations for Health Workers during the COVID-19 Pandemic: A Scoping Review of Lessons Learned and Innovations.’ </w:t>
      </w:r>
      <w:r w:rsidRPr="00EF2814">
        <w:rPr>
          <w:rFonts w:cs="Arial"/>
          <w:i/>
          <w:iCs/>
          <w:lang w:val="en-GB"/>
        </w:rPr>
        <w:t>Healthcare</w:t>
      </w:r>
      <w:r w:rsidRPr="00EF2814">
        <w:rPr>
          <w:rFonts w:cs="Arial"/>
          <w:lang w:val="en-GB"/>
        </w:rPr>
        <w:t xml:space="preserve">, [online] 11(21), pp. 20-252. Available at: </w:t>
      </w:r>
      <w:hyperlink r:id="rId32" w:history="1">
        <w:r w:rsidRPr="00EF2814">
          <w:rPr>
            <w:rStyle w:val="Hyperlink"/>
            <w:rFonts w:cs="Arial"/>
            <w:lang w:val="en-GB"/>
          </w:rPr>
          <w:t>https://doi.org/10.3390/healthcare11212902</w:t>
        </w:r>
      </w:hyperlink>
      <w:r w:rsidRPr="00EF2814">
        <w:rPr>
          <w:rFonts w:cs="Arial"/>
          <w:lang w:val="en-GB"/>
        </w:rPr>
        <w:t xml:space="preserve"> </w:t>
      </w:r>
    </w:p>
    <w:p w14:paraId="4C74D534"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Brightwell, A. and Grant, J. (2022) ‘Competency-based training: who benefits?’ </w:t>
      </w:r>
      <w:r w:rsidRPr="00EF2814">
        <w:rPr>
          <w:rFonts w:eastAsia="Times New Roman" w:cs="Arial"/>
          <w:i/>
          <w:iCs/>
          <w:lang w:val="en-GB"/>
        </w:rPr>
        <w:t>Postgraduate Medical Journal</w:t>
      </w:r>
      <w:r w:rsidRPr="00EF2814">
        <w:rPr>
          <w:rFonts w:eastAsia="Times New Roman" w:cs="Arial"/>
          <w:lang w:val="en-GB"/>
        </w:rPr>
        <w:t xml:space="preserve">, 89(1048), pp.107–110. Available at: </w:t>
      </w:r>
      <w:hyperlink r:id="rId33" w:history="1">
        <w:r w:rsidRPr="00EF2814">
          <w:rPr>
            <w:rStyle w:val="Hyperlink"/>
            <w:rFonts w:eastAsia="Times New Roman" w:cs="Arial"/>
            <w:lang w:val="en-GB"/>
          </w:rPr>
          <w:t>https://doi.org/10.1136/postgradmedj-2012-130881</w:t>
        </w:r>
      </w:hyperlink>
      <w:r w:rsidRPr="00EF2814">
        <w:rPr>
          <w:rFonts w:eastAsia="Times New Roman" w:cs="Arial"/>
          <w:lang w:val="en-GB"/>
        </w:rPr>
        <w:t xml:space="preserve"> </w:t>
      </w:r>
    </w:p>
    <w:p w14:paraId="39240F9F"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Burau, V., Falkenbach, M., Neri, S., Peckham, S., Wallenburg, I. and Kuhlmann, E. (2022) ‘Health system resilience and health workforce capacities: Comparing health system responses during the COVID</w:t>
      </w:r>
      <w:r w:rsidRPr="00EF2814">
        <w:rPr>
          <w:rFonts w:ascii="Cambria Math" w:hAnsi="Cambria Math" w:cs="Cambria Math"/>
          <w:lang w:val="en-GB"/>
        </w:rPr>
        <w:t>‐</w:t>
      </w:r>
      <w:r w:rsidRPr="00EF2814">
        <w:rPr>
          <w:rFonts w:cs="Arial"/>
          <w:lang w:val="en-GB"/>
        </w:rPr>
        <w:t xml:space="preserve">19 pandemic in six European countries’, </w:t>
      </w:r>
      <w:r w:rsidRPr="00EF2814">
        <w:rPr>
          <w:rFonts w:cs="Arial"/>
          <w:i/>
          <w:iCs/>
          <w:lang w:val="en-GB"/>
        </w:rPr>
        <w:t>The International Journal of Health Planning and Management</w:t>
      </w:r>
      <w:r w:rsidRPr="00EF2814">
        <w:rPr>
          <w:rFonts w:cs="Arial"/>
          <w:lang w:val="en-GB"/>
        </w:rPr>
        <w:t xml:space="preserve">, 37(4). Available at: </w:t>
      </w:r>
      <w:hyperlink r:id="rId34" w:history="1">
        <w:r w:rsidRPr="00EF2814">
          <w:rPr>
            <w:rFonts w:cs="Arial"/>
            <w:lang w:val="en-GB"/>
          </w:rPr>
          <w:t>https://doi.org/10.1002/hpm.3446</w:t>
        </w:r>
      </w:hyperlink>
      <w:r w:rsidRPr="00EF2814">
        <w:rPr>
          <w:rFonts w:cs="Arial"/>
          <w:lang w:val="en-GB"/>
        </w:rPr>
        <w:t>.</w:t>
      </w:r>
    </w:p>
    <w:p w14:paraId="37781789"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Camilleri, M., Zhang, X., Norris, M., Monkhouse, A., Harvey, A., Wiseman, A., Sinha, P., Hemsley, A., Tang, S., Menon, A., </w:t>
      </w:r>
      <w:proofErr w:type="spellStart"/>
      <w:r w:rsidRPr="00EF2814">
        <w:rPr>
          <w:rFonts w:cs="Arial"/>
          <w:lang w:val="en-GB"/>
        </w:rPr>
        <w:t>Sinmayee</w:t>
      </w:r>
      <w:proofErr w:type="spellEnd"/>
      <w:r w:rsidRPr="00EF2814">
        <w:rPr>
          <w:rFonts w:cs="Arial"/>
          <w:lang w:val="en-GB"/>
        </w:rPr>
        <w:t xml:space="preserve">, S., Jones, M., Buckley, J., Johnson, R., Medici, T. and Corner, E. (2022) ‘Covid-19 ICU remote-learning course (CIRLC): Rapid ICU remote training for frontline health professionals during the COVID-19 pandemic in the UK’, </w:t>
      </w:r>
      <w:r w:rsidRPr="00EF2814">
        <w:rPr>
          <w:rFonts w:cs="Arial"/>
          <w:i/>
          <w:iCs/>
          <w:lang w:val="en-GB"/>
        </w:rPr>
        <w:t>Journal of the Intensive Care Society</w:t>
      </w:r>
      <w:r w:rsidRPr="00EF2814">
        <w:rPr>
          <w:rFonts w:cs="Arial"/>
          <w:lang w:val="en-GB"/>
        </w:rPr>
        <w:t xml:space="preserve">, p. 175114372097263. Available at: </w:t>
      </w:r>
      <w:hyperlink r:id="rId35" w:history="1">
        <w:r w:rsidRPr="00EF2814">
          <w:rPr>
            <w:rFonts w:cs="Arial"/>
            <w:lang w:val="en-GB"/>
          </w:rPr>
          <w:t>https://doi.org/10.1177/1751143720972630</w:t>
        </w:r>
      </w:hyperlink>
      <w:r w:rsidRPr="00EF2814">
        <w:rPr>
          <w:rFonts w:cs="Arial"/>
          <w:lang w:val="en-GB"/>
        </w:rPr>
        <w:t>.</w:t>
      </w:r>
    </w:p>
    <w:p w14:paraId="152BB545" w14:textId="77777777" w:rsidR="002D744B" w:rsidRPr="00EF2814" w:rsidRDefault="002D744B" w:rsidP="002D744B">
      <w:pPr>
        <w:spacing w:before="200"/>
        <w:rPr>
          <w:rFonts w:eastAsia="Times New Roman" w:cs="Arial"/>
          <w:b/>
          <w:bCs/>
          <w:lang w:val="en-GB"/>
        </w:rPr>
      </w:pPr>
      <w:r w:rsidRPr="00EF2814">
        <w:rPr>
          <w:rFonts w:eastAsia="Times New Roman" w:cs="Arial"/>
          <w:lang w:val="en-GB"/>
        </w:rPr>
        <w:t xml:space="preserve">Camilleri, M., Zhang, X., Norris, M., Monkhouse, A., Harvey, A., Wiseman, A., Sinha, P., Hemsley, A., Tang, S., Menon, A., </w:t>
      </w:r>
      <w:proofErr w:type="spellStart"/>
      <w:r w:rsidRPr="00EF2814">
        <w:rPr>
          <w:rFonts w:eastAsia="Times New Roman" w:cs="Arial"/>
          <w:lang w:val="en-GB"/>
        </w:rPr>
        <w:t>Sinmayee</w:t>
      </w:r>
      <w:proofErr w:type="spellEnd"/>
      <w:r w:rsidRPr="00EF2814">
        <w:rPr>
          <w:rFonts w:eastAsia="Times New Roman" w:cs="Arial"/>
          <w:lang w:val="en-GB"/>
        </w:rPr>
        <w:t xml:space="preserve">, S., Jones, M., Buckley, J., Johnson, R., Medici, T. and Corner, E. (2020) ‘Covid-19 ICU remote-learning course (CIRLC): Rapid ICU remote training for frontline health professionals during the COVID-19 pandemic in the UK.’ </w:t>
      </w:r>
      <w:r w:rsidRPr="00EF2814">
        <w:rPr>
          <w:rFonts w:eastAsia="Times New Roman" w:cs="Arial"/>
          <w:i/>
          <w:iCs/>
          <w:lang w:val="en-GB"/>
        </w:rPr>
        <w:t>Journal of the Intensive Care Society</w:t>
      </w:r>
      <w:r w:rsidRPr="00EF2814">
        <w:rPr>
          <w:rFonts w:eastAsia="Times New Roman" w:cs="Arial"/>
          <w:lang w:val="en-GB"/>
        </w:rPr>
        <w:t xml:space="preserve">, pp.175114372097263-175114372097270. Available at:  </w:t>
      </w:r>
      <w:hyperlink r:id="rId36" w:history="1">
        <w:r w:rsidRPr="00EF2814">
          <w:rPr>
            <w:rStyle w:val="Hyperlink"/>
            <w:rFonts w:eastAsia="Times New Roman" w:cs="Arial"/>
            <w:lang w:val="en-GB"/>
          </w:rPr>
          <w:t>https://doi.org/10.1177/1751143720972630</w:t>
        </w:r>
      </w:hyperlink>
    </w:p>
    <w:p w14:paraId="48D5CB04"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Carrillo, I., </w:t>
      </w:r>
      <w:proofErr w:type="spellStart"/>
      <w:r w:rsidRPr="00EF2814">
        <w:rPr>
          <w:rFonts w:cs="Arial"/>
          <w:lang w:val="en-GB"/>
        </w:rPr>
        <w:t>Skoumalová</w:t>
      </w:r>
      <w:proofErr w:type="spellEnd"/>
      <w:r w:rsidRPr="00EF2814">
        <w:rPr>
          <w:rFonts w:cs="Arial"/>
          <w:lang w:val="en-GB"/>
        </w:rPr>
        <w:t xml:space="preserve">, I., Ireen Bruus, Klemm, V., Guerra-Paiva, S., Bojana Knežević, </w:t>
      </w:r>
      <w:proofErr w:type="spellStart"/>
      <w:r w:rsidRPr="00EF2814">
        <w:rPr>
          <w:rFonts w:cs="Arial"/>
          <w:lang w:val="en-GB"/>
        </w:rPr>
        <w:t>Jankauskiene</w:t>
      </w:r>
      <w:proofErr w:type="spellEnd"/>
      <w:r w:rsidRPr="00EF2814">
        <w:rPr>
          <w:rFonts w:cs="Arial"/>
          <w:lang w:val="en-GB"/>
        </w:rPr>
        <w:t xml:space="preserve">, A., Dragana Jocic, Tella, S., Buttigieg, S.C., Einav Srulovici, Andrea Madarasová Gecková, Kaja </w:t>
      </w:r>
      <w:proofErr w:type="spellStart"/>
      <w:r w:rsidRPr="00EF2814">
        <w:rPr>
          <w:rFonts w:cs="Arial"/>
          <w:lang w:val="en-GB"/>
        </w:rPr>
        <w:t>Põlluste</w:t>
      </w:r>
      <w:proofErr w:type="spellEnd"/>
      <w:r w:rsidRPr="00EF2814">
        <w:rPr>
          <w:rFonts w:cs="Arial"/>
          <w:lang w:val="en-GB"/>
        </w:rPr>
        <w:t xml:space="preserve">, Reinhard Strametz, Sousa, P., Odalovic, M. and José Joaquín Mira (2024) ‘Psychological Safety Competency Training During the Clinical Internship From the Perspective of Health Care Trainee Mentors in 11 Pan-European Countries: Mixed Methods </w:t>
      </w:r>
      <w:r w:rsidRPr="00EF2814">
        <w:rPr>
          <w:rFonts w:cs="Arial"/>
          <w:lang w:val="en-GB"/>
        </w:rPr>
        <w:lastRenderedPageBreak/>
        <w:t xml:space="preserve">Observational Study’, </w:t>
      </w:r>
      <w:r w:rsidRPr="00EF2814">
        <w:rPr>
          <w:rFonts w:cs="Arial"/>
          <w:i/>
          <w:iCs/>
          <w:lang w:val="en-GB"/>
        </w:rPr>
        <w:t>JMIR Medical Education</w:t>
      </w:r>
      <w:r w:rsidRPr="00EF2814">
        <w:rPr>
          <w:rFonts w:cs="Arial"/>
          <w:lang w:val="en-GB"/>
        </w:rPr>
        <w:t xml:space="preserve">, 10, pp. e64125–e64125. Available at: </w:t>
      </w:r>
      <w:hyperlink r:id="rId37" w:history="1">
        <w:r w:rsidRPr="00EF2814">
          <w:rPr>
            <w:rFonts w:cs="Arial"/>
            <w:lang w:val="en-GB"/>
          </w:rPr>
          <w:t>https://doi.org/10.2196/64125</w:t>
        </w:r>
      </w:hyperlink>
      <w:r w:rsidRPr="00EF2814">
        <w:rPr>
          <w:rFonts w:cs="Arial"/>
          <w:lang w:val="en-GB"/>
        </w:rPr>
        <w:t>.</w:t>
      </w:r>
    </w:p>
    <w:p w14:paraId="4CDA4613"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Chapwanya, O. (2025) ‘Assessment of United Kingdom (UK) further education student perceptions of the significance of ChatGPT on learning experiences in business studies: An integrative literature review’, </w:t>
      </w:r>
      <w:r w:rsidRPr="00EF2814">
        <w:rPr>
          <w:rFonts w:cs="Arial"/>
          <w:i/>
          <w:iCs/>
          <w:lang w:val="en-GB"/>
        </w:rPr>
        <w:t>Studies in Technology Enhanced Learning</w:t>
      </w:r>
      <w:r w:rsidRPr="00EF2814">
        <w:rPr>
          <w:rFonts w:cs="Arial"/>
          <w:lang w:val="en-GB"/>
        </w:rPr>
        <w:t xml:space="preserve">, 4(1). Available at: </w:t>
      </w:r>
      <w:hyperlink r:id="rId38" w:history="1">
        <w:r w:rsidRPr="00EF2814">
          <w:rPr>
            <w:rFonts w:cs="Arial"/>
            <w:lang w:val="en-GB"/>
          </w:rPr>
          <w:t>https://doi.org/10.21428/8c225f6e.a48744da</w:t>
        </w:r>
      </w:hyperlink>
      <w:r w:rsidRPr="00EF2814">
        <w:rPr>
          <w:rFonts w:cs="Arial"/>
          <w:lang w:val="en-GB"/>
        </w:rPr>
        <w:t>.</w:t>
      </w:r>
    </w:p>
    <w:p w14:paraId="6CBF16C6" w14:textId="15B75283" w:rsidR="002D744B" w:rsidRPr="00EF2814" w:rsidRDefault="002D744B" w:rsidP="008C02E0">
      <w:pPr>
        <w:spacing w:before="240" w:after="0"/>
        <w:rPr>
          <w:rFonts w:cs="Arial"/>
          <w:lang w:val="en-GB"/>
        </w:rPr>
      </w:pPr>
      <w:r w:rsidRPr="00EF2814">
        <w:rPr>
          <w:rFonts w:cs="Arial"/>
          <w:lang w:val="en-GB"/>
        </w:rPr>
        <w:t xml:space="preserve">Chelwest (2022) </w:t>
      </w:r>
      <w:r w:rsidRPr="00EF2814">
        <w:rPr>
          <w:rFonts w:cs="Arial"/>
          <w:i/>
          <w:iCs/>
          <w:lang w:val="en-GB"/>
        </w:rPr>
        <w:t>Simulation</w:t>
      </w:r>
      <w:r w:rsidRPr="00EF2814">
        <w:rPr>
          <w:rFonts w:cs="Arial"/>
          <w:lang w:val="en-GB"/>
        </w:rPr>
        <w:t xml:space="preserve">. [online] Chelsea and Westminster Hospital NHS Foundation Trust. Available at: </w:t>
      </w:r>
      <w:hyperlink r:id="rId39" w:history="1">
        <w:r w:rsidRPr="00EF2814">
          <w:rPr>
            <w:rStyle w:val="Hyperlink"/>
            <w:rFonts w:cs="Arial"/>
            <w:lang w:val="en-GB"/>
          </w:rPr>
          <w:t>https://www.chelwest.nhs.uk/professionals/clinical-learning-development/simulation</w:t>
        </w:r>
      </w:hyperlink>
      <w:r w:rsidRPr="00EF2814">
        <w:rPr>
          <w:rFonts w:cs="Arial"/>
          <w:lang w:val="en-GB"/>
        </w:rPr>
        <w:t xml:space="preserve"> [Accessed 7</w:t>
      </w:r>
      <w:r w:rsidR="005B71A0">
        <w:rPr>
          <w:rFonts w:cs="Arial"/>
          <w:lang w:val="en-GB"/>
        </w:rPr>
        <w:t>April</w:t>
      </w:r>
      <w:r w:rsidRPr="00EF2814">
        <w:rPr>
          <w:rFonts w:cs="Arial"/>
          <w:lang w:val="en-GB"/>
        </w:rPr>
        <w:t xml:space="preserve"> 2026]</w:t>
      </w:r>
    </w:p>
    <w:p w14:paraId="79D99BE4"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Cheong, H., Lyons, A., Houghton, R. and Majumdar, A. (2023) ‘Secondary Qualitative Research Methodology Using Online Data within the Context of Social Sciences’, </w:t>
      </w:r>
      <w:r w:rsidRPr="00EF2814">
        <w:rPr>
          <w:rFonts w:cs="Arial"/>
          <w:i/>
          <w:iCs/>
          <w:lang w:val="en-GB"/>
        </w:rPr>
        <w:t>International Journal of Qualitative Methods</w:t>
      </w:r>
      <w:r w:rsidRPr="00EF2814">
        <w:rPr>
          <w:rFonts w:cs="Arial"/>
          <w:lang w:val="en-GB"/>
        </w:rPr>
        <w:t>, 22(1), pp. 1–19.</w:t>
      </w:r>
    </w:p>
    <w:p w14:paraId="2C3E84AC" w14:textId="77777777" w:rsidR="002D744B" w:rsidRPr="00EF2814" w:rsidRDefault="002D744B" w:rsidP="008C02E0">
      <w:pPr>
        <w:spacing w:before="240" w:after="0"/>
        <w:rPr>
          <w:rFonts w:cs="Arial"/>
          <w:lang w:val="en-GB"/>
        </w:rPr>
      </w:pPr>
      <w:r w:rsidRPr="00EF2814">
        <w:rPr>
          <w:rFonts w:cs="Arial"/>
          <w:lang w:val="en-GB"/>
        </w:rPr>
        <w:t xml:space="preserve">Choudry, M.I., Stewart, K. and Woodhead, T. (2026). ‘The Royal College of Physician’s Quality Improvement Hub – how can it help physicians to improve patient care?’ </w:t>
      </w:r>
      <w:r w:rsidRPr="00EF2814">
        <w:rPr>
          <w:rFonts w:cs="Arial"/>
          <w:i/>
          <w:iCs/>
          <w:lang w:val="en-GB"/>
        </w:rPr>
        <w:t>Future Hospital Journal</w:t>
      </w:r>
      <w:r w:rsidRPr="00EF2814">
        <w:rPr>
          <w:rFonts w:cs="Arial"/>
          <w:lang w:val="en-GB"/>
        </w:rPr>
        <w:t xml:space="preserve">, 3(3), pp. 211–216. Available at: </w:t>
      </w:r>
      <w:hyperlink r:id="rId40" w:history="1">
        <w:r w:rsidRPr="00EF2814">
          <w:rPr>
            <w:rStyle w:val="Hyperlink"/>
            <w:rFonts w:cs="Arial"/>
            <w:lang w:val="en-GB"/>
          </w:rPr>
          <w:t>https://doi.org/10.7861/futurehosp.3-3-211</w:t>
        </w:r>
      </w:hyperlink>
      <w:r w:rsidRPr="00EF2814">
        <w:rPr>
          <w:rFonts w:cs="Arial"/>
          <w:lang w:val="en-GB"/>
        </w:rPr>
        <w:t xml:space="preserve"> </w:t>
      </w:r>
    </w:p>
    <w:p w14:paraId="75748449"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Clarke, V. and Braun, V. (2020) ‘Thematic Analysis.’ </w:t>
      </w:r>
      <w:r w:rsidRPr="00EF2814">
        <w:rPr>
          <w:rFonts w:eastAsia="Times New Roman" w:cs="Arial"/>
          <w:i/>
          <w:iCs/>
          <w:lang w:val="en-GB"/>
        </w:rPr>
        <w:t>The Journal of Positive Psychology</w:t>
      </w:r>
      <w:r w:rsidRPr="00EF2814">
        <w:rPr>
          <w:rFonts w:eastAsia="Times New Roman" w:cs="Arial"/>
          <w:lang w:val="en-GB"/>
        </w:rPr>
        <w:t xml:space="preserve">, 12(3), pp.297–298. Available at: </w:t>
      </w:r>
      <w:hyperlink r:id="rId41" w:history="1">
        <w:r w:rsidRPr="00EF2814">
          <w:rPr>
            <w:rStyle w:val="Hyperlink"/>
            <w:rFonts w:eastAsia="Times New Roman" w:cs="Arial"/>
            <w:lang w:val="en-GB"/>
          </w:rPr>
          <w:t>https://doi.org/10.1080/17439760.2016.1262613</w:t>
        </w:r>
      </w:hyperlink>
      <w:r w:rsidRPr="00EF2814">
        <w:rPr>
          <w:rFonts w:eastAsia="Times New Roman" w:cs="Arial"/>
          <w:lang w:val="en-GB"/>
        </w:rPr>
        <w:t xml:space="preserve"> </w:t>
      </w:r>
    </w:p>
    <w:p w14:paraId="1203E181"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Coppens, E., Hogg, B., Greiner, B.A., Paterson, C., Lars de Winter, Mathieu, S., Cresswell-Smith, J., </w:t>
      </w:r>
      <w:proofErr w:type="spellStart"/>
      <w:r w:rsidRPr="00EF2814">
        <w:rPr>
          <w:rFonts w:eastAsia="Times New Roman" w:cs="Arial"/>
          <w:lang w:val="en-GB"/>
        </w:rPr>
        <w:t>Aust</w:t>
      </w:r>
      <w:proofErr w:type="spellEnd"/>
      <w:r w:rsidRPr="00EF2814">
        <w:rPr>
          <w:rFonts w:eastAsia="Times New Roman" w:cs="Arial"/>
          <w:lang w:val="en-GB"/>
        </w:rPr>
        <w:t xml:space="preserve">, B., Leduc, C., Chantal Van </w:t>
      </w:r>
      <w:proofErr w:type="spellStart"/>
      <w:r w:rsidRPr="00EF2814">
        <w:rPr>
          <w:rFonts w:eastAsia="Times New Roman" w:cs="Arial"/>
          <w:lang w:val="en-GB"/>
        </w:rPr>
        <w:t>Audenhove</w:t>
      </w:r>
      <w:proofErr w:type="spellEnd"/>
      <w:r w:rsidRPr="00EF2814">
        <w:rPr>
          <w:rFonts w:eastAsia="Times New Roman" w:cs="Arial"/>
          <w:lang w:val="en-GB"/>
        </w:rPr>
        <w:t xml:space="preserve">, Arlinda </w:t>
      </w:r>
      <w:proofErr w:type="spellStart"/>
      <w:r w:rsidRPr="00EF2814">
        <w:rPr>
          <w:rFonts w:eastAsia="Times New Roman" w:cs="Arial"/>
          <w:lang w:val="en-GB"/>
        </w:rPr>
        <w:t>Cerga</w:t>
      </w:r>
      <w:proofErr w:type="spellEnd"/>
      <w:r w:rsidRPr="00EF2814">
        <w:rPr>
          <w:rFonts w:eastAsia="Times New Roman" w:cs="Arial"/>
          <w:lang w:val="en-GB"/>
        </w:rPr>
        <w:t xml:space="preserve"> Pashoja, Kim, D., Reich, H., Naim Fanaj, Dushaj, A., Thomson, K., Cliodhna O’Connor, Moreno-Alcázar, A., Amann, B.L. and Arensman, E. (2023) ‘Promoting employee wellbeing and preventing non-clinical mental health problems in the workplace: a preparatory consultation survey.’ </w:t>
      </w:r>
      <w:r w:rsidRPr="00EF2814">
        <w:rPr>
          <w:rFonts w:eastAsia="Times New Roman" w:cs="Arial"/>
          <w:i/>
          <w:iCs/>
          <w:lang w:val="en-GB"/>
        </w:rPr>
        <w:t>Journal of Occupational Medicine and Toxicology</w:t>
      </w:r>
      <w:r w:rsidRPr="00EF2814">
        <w:rPr>
          <w:rFonts w:eastAsia="Times New Roman" w:cs="Arial"/>
          <w:lang w:val="en-GB"/>
        </w:rPr>
        <w:t xml:space="preserve">, [online] 18(1). Available at: </w:t>
      </w:r>
      <w:hyperlink r:id="rId42" w:history="1">
        <w:r w:rsidRPr="00EF2814">
          <w:rPr>
            <w:rStyle w:val="Hyperlink"/>
            <w:rFonts w:eastAsia="Times New Roman" w:cs="Arial"/>
            <w:lang w:val="en-GB"/>
          </w:rPr>
          <w:t>https://doi.org/10.1186/s12995-023-00378-2</w:t>
        </w:r>
      </w:hyperlink>
      <w:r w:rsidRPr="00EF2814">
        <w:rPr>
          <w:rFonts w:eastAsia="Times New Roman" w:cs="Arial"/>
          <w:lang w:val="en-GB"/>
        </w:rPr>
        <w:t xml:space="preserve"> </w:t>
      </w:r>
    </w:p>
    <w:p w14:paraId="39EEC471"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Dib, K. and </w:t>
      </w:r>
      <w:proofErr w:type="spellStart"/>
      <w:r w:rsidRPr="00EF2814">
        <w:rPr>
          <w:rFonts w:cs="Arial"/>
          <w:lang w:val="en-GB"/>
        </w:rPr>
        <w:t>Belrhiti</w:t>
      </w:r>
      <w:proofErr w:type="spellEnd"/>
      <w:r w:rsidRPr="00EF2814">
        <w:rPr>
          <w:rFonts w:cs="Arial"/>
          <w:lang w:val="en-GB"/>
        </w:rPr>
        <w:t xml:space="preserve">, Z. (2025) ‘Unpacking the black box of interprofessional collaboration within healthcare networks: a scoping review’, </w:t>
      </w:r>
      <w:r w:rsidRPr="00EF2814">
        <w:rPr>
          <w:rFonts w:cs="Arial"/>
          <w:i/>
          <w:iCs/>
          <w:lang w:val="en-GB"/>
        </w:rPr>
        <w:t>BMJ Open</w:t>
      </w:r>
      <w:r w:rsidRPr="00EF2814">
        <w:rPr>
          <w:rFonts w:cs="Arial"/>
          <w:lang w:val="en-GB"/>
        </w:rPr>
        <w:t xml:space="preserve">, 15(6), p. e101702. Available at: </w:t>
      </w:r>
      <w:hyperlink r:id="rId43" w:history="1">
        <w:r w:rsidRPr="00EF2814">
          <w:rPr>
            <w:rFonts w:cs="Arial"/>
            <w:lang w:val="en-GB"/>
          </w:rPr>
          <w:t>https://doi.org/10.1136/bmjopen-2025-101702</w:t>
        </w:r>
      </w:hyperlink>
      <w:r w:rsidRPr="00EF2814">
        <w:rPr>
          <w:rFonts w:cs="Arial"/>
          <w:lang w:val="en-GB"/>
        </w:rPr>
        <w:t>.</w:t>
      </w:r>
    </w:p>
    <w:p w14:paraId="17F2EDD5"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Drageset, J. (2021) ‘Social Support.’ </w:t>
      </w:r>
      <w:r w:rsidRPr="00EF2814">
        <w:rPr>
          <w:rFonts w:eastAsia="Times New Roman" w:cs="Arial"/>
          <w:i/>
          <w:iCs/>
          <w:lang w:val="en-GB"/>
        </w:rPr>
        <w:t>Health Promotion in Health Care – Vital Theories and Research</w:t>
      </w:r>
      <w:r w:rsidRPr="00EF2814">
        <w:rPr>
          <w:rFonts w:eastAsia="Times New Roman" w:cs="Arial"/>
          <w:lang w:val="en-GB"/>
        </w:rPr>
        <w:t xml:space="preserve">, 1(1), pp.137–144. Available at: </w:t>
      </w:r>
      <w:hyperlink r:id="rId44" w:history="1">
        <w:r w:rsidRPr="00EF2814">
          <w:rPr>
            <w:rStyle w:val="Hyperlink"/>
            <w:rFonts w:eastAsia="Times New Roman" w:cs="Arial"/>
            <w:lang w:val="en-GB"/>
          </w:rPr>
          <w:t>https://doi.org/10.1007/978-3-030-63135-2_11</w:t>
        </w:r>
      </w:hyperlink>
      <w:r w:rsidRPr="00EF2814">
        <w:rPr>
          <w:rFonts w:eastAsia="Times New Roman" w:cs="Arial"/>
          <w:lang w:val="en-GB"/>
        </w:rPr>
        <w:t xml:space="preserve"> </w:t>
      </w:r>
    </w:p>
    <w:p w14:paraId="5D9AC27E" w14:textId="77777777" w:rsidR="002D744B" w:rsidRPr="00EF2814" w:rsidRDefault="002D744B" w:rsidP="008C02E0">
      <w:pPr>
        <w:spacing w:before="240" w:after="0"/>
        <w:rPr>
          <w:rFonts w:cs="Arial"/>
          <w:lang w:val="en-GB"/>
        </w:rPr>
      </w:pPr>
      <w:r w:rsidRPr="00EF2814">
        <w:rPr>
          <w:rFonts w:cs="Arial"/>
          <w:lang w:val="en-GB"/>
        </w:rPr>
        <w:lastRenderedPageBreak/>
        <w:t xml:space="preserve">Egan, L.A., Park, H.R., Lam, J. and Gatt, J.M. (2024) ‘Resilience to Stress and Adversity: A Narrative Review of the Role of Positive Affect.’ </w:t>
      </w:r>
      <w:r w:rsidRPr="00EF2814">
        <w:rPr>
          <w:rFonts w:cs="Arial"/>
          <w:i/>
          <w:iCs/>
          <w:lang w:val="en-GB"/>
        </w:rPr>
        <w:t xml:space="preserve">Psychology Research and </w:t>
      </w:r>
      <w:proofErr w:type="spellStart"/>
      <w:r w:rsidRPr="00EF2814">
        <w:rPr>
          <w:rFonts w:cs="Arial"/>
          <w:i/>
          <w:iCs/>
          <w:lang w:val="en-GB"/>
        </w:rPr>
        <w:t>Behavior</w:t>
      </w:r>
      <w:proofErr w:type="spellEnd"/>
      <w:r w:rsidRPr="00EF2814">
        <w:rPr>
          <w:rFonts w:cs="Arial"/>
          <w:i/>
          <w:iCs/>
          <w:lang w:val="en-GB"/>
        </w:rPr>
        <w:t xml:space="preserve"> Management</w:t>
      </w:r>
      <w:r w:rsidRPr="00EF2814">
        <w:rPr>
          <w:rFonts w:cs="Arial"/>
          <w:lang w:val="en-GB"/>
        </w:rPr>
        <w:t xml:space="preserve">, [online] 17, pp.2011–2038. Available at: </w:t>
      </w:r>
      <w:hyperlink r:id="rId45" w:history="1">
        <w:r w:rsidRPr="00EF2814">
          <w:rPr>
            <w:rStyle w:val="Hyperlink"/>
            <w:rFonts w:cs="Arial"/>
            <w:lang w:val="en-GB"/>
          </w:rPr>
          <w:t>https://doi.org/10.2147/PRBM.S391403</w:t>
        </w:r>
      </w:hyperlink>
      <w:r w:rsidRPr="00EF2814">
        <w:rPr>
          <w:rFonts w:cs="Arial"/>
          <w:lang w:val="en-GB"/>
        </w:rPr>
        <w:t xml:space="preserve"> </w:t>
      </w:r>
    </w:p>
    <w:p w14:paraId="15244BDE" w14:textId="77777777" w:rsidR="002D744B" w:rsidRPr="00EF2814" w:rsidRDefault="002D744B" w:rsidP="008C02E0">
      <w:pPr>
        <w:spacing w:before="240" w:after="0"/>
        <w:rPr>
          <w:rFonts w:cs="Arial"/>
          <w:lang w:val="en-GB"/>
        </w:rPr>
      </w:pPr>
      <w:r w:rsidRPr="00EF2814">
        <w:rPr>
          <w:rFonts w:cs="Arial"/>
          <w:lang w:val="en-GB"/>
        </w:rPr>
        <w:t xml:space="preserve">Ellis, L.A., Saba, M., Long, J.C., Hilda </w:t>
      </w:r>
      <w:proofErr w:type="spellStart"/>
      <w:r w:rsidRPr="00EF2814">
        <w:rPr>
          <w:rFonts w:cs="Arial"/>
          <w:lang w:val="en-GB"/>
        </w:rPr>
        <w:t>Bø</w:t>
      </w:r>
      <w:proofErr w:type="spellEnd"/>
      <w:r w:rsidRPr="00EF2814">
        <w:rPr>
          <w:rFonts w:cs="Arial"/>
          <w:lang w:val="en-GB"/>
        </w:rPr>
        <w:t xml:space="preserve"> Lyng, Cecilie Haraldseid-</w:t>
      </w:r>
      <w:proofErr w:type="spellStart"/>
      <w:r w:rsidRPr="00EF2814">
        <w:rPr>
          <w:rFonts w:cs="Arial"/>
          <w:lang w:val="en-GB"/>
        </w:rPr>
        <w:t>Driftland</w:t>
      </w:r>
      <w:proofErr w:type="spellEnd"/>
      <w:r w:rsidRPr="00EF2814">
        <w:rPr>
          <w:rFonts w:cs="Arial"/>
          <w:lang w:val="en-GB"/>
        </w:rPr>
        <w:t xml:space="preserve">, </w:t>
      </w:r>
      <w:proofErr w:type="spellStart"/>
      <w:r w:rsidRPr="00EF2814">
        <w:rPr>
          <w:rFonts w:cs="Arial"/>
          <w:lang w:val="en-GB"/>
        </w:rPr>
        <w:t>Churruca</w:t>
      </w:r>
      <w:proofErr w:type="spellEnd"/>
      <w:r w:rsidRPr="00EF2814">
        <w:rPr>
          <w:rFonts w:cs="Arial"/>
          <w:lang w:val="en-GB"/>
        </w:rPr>
        <w:t>, K., Wiig, S., Austin, E., Clay</w:t>
      </w:r>
      <w:r w:rsidRPr="00EF2814">
        <w:rPr>
          <w:rFonts w:ascii="Cambria Math" w:hAnsi="Cambria Math" w:cs="Cambria Math"/>
          <w:lang w:val="en-GB"/>
        </w:rPr>
        <w:t>‐</w:t>
      </w:r>
      <w:r w:rsidRPr="00EF2814">
        <w:rPr>
          <w:rFonts w:cs="Arial"/>
          <w:lang w:val="en-GB"/>
        </w:rPr>
        <w:t xml:space="preserve">Williams, R., Carrigan, A. and Braithwaite, J. (2023) ‘The rise of resilient healthcare research during COVID-19: scoping review of empirical research’, </w:t>
      </w:r>
      <w:r w:rsidRPr="00EF2814">
        <w:rPr>
          <w:rFonts w:cs="Arial"/>
          <w:i/>
          <w:iCs/>
          <w:lang w:val="en-GB"/>
        </w:rPr>
        <w:t>BMC Health Services Research</w:t>
      </w:r>
      <w:r w:rsidRPr="00EF2814">
        <w:rPr>
          <w:rFonts w:cs="Arial"/>
          <w:lang w:val="en-GB"/>
        </w:rPr>
        <w:t xml:space="preserve">, 23(1). Available at: </w:t>
      </w:r>
      <w:hyperlink r:id="rId46" w:history="1">
        <w:r w:rsidRPr="00EF2814">
          <w:rPr>
            <w:rFonts w:cs="Arial"/>
            <w:lang w:val="en-GB"/>
          </w:rPr>
          <w:t>https://doi.org/10.1186/s12913-023-09839-0</w:t>
        </w:r>
      </w:hyperlink>
      <w:r w:rsidRPr="00EF2814">
        <w:rPr>
          <w:rFonts w:cs="Arial"/>
          <w:lang w:val="en-GB"/>
        </w:rPr>
        <w:t>.</w:t>
      </w:r>
    </w:p>
    <w:p w14:paraId="2C7F534C" w14:textId="568F0DB5"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Faisal, A. and Saleh, F. (2024) ‘Nursing Practice </w:t>
      </w:r>
      <w:proofErr w:type="gramStart"/>
      <w:r w:rsidRPr="00EF2814">
        <w:rPr>
          <w:rFonts w:cs="Arial"/>
          <w:lang w:val="en-GB"/>
        </w:rPr>
        <w:t>In</w:t>
      </w:r>
      <w:proofErr w:type="gramEnd"/>
      <w:r w:rsidRPr="00EF2814">
        <w:rPr>
          <w:rFonts w:cs="Arial"/>
          <w:lang w:val="en-GB"/>
        </w:rPr>
        <w:t xml:space="preserve"> Emergency Care Settings: Evidence-Based Approaches’, </w:t>
      </w:r>
      <w:r w:rsidRPr="00EF2814">
        <w:rPr>
          <w:rFonts w:cs="Arial"/>
          <w:i/>
          <w:iCs/>
          <w:lang w:val="en-GB"/>
        </w:rPr>
        <w:t xml:space="preserve">The Review of Diabetic </w:t>
      </w:r>
      <w:r w:rsidR="005B71A0" w:rsidRPr="00EF2814">
        <w:rPr>
          <w:rFonts w:cs="Arial"/>
          <w:i/>
          <w:iCs/>
          <w:lang w:val="en-GB"/>
        </w:rPr>
        <w:t>Studies,</w:t>
      </w:r>
      <w:r w:rsidRPr="00EF2814">
        <w:rPr>
          <w:rFonts w:cs="Arial"/>
          <w:lang w:val="en-GB"/>
        </w:rPr>
        <w:t xml:space="preserve"> pp. 253–268. Available at: </w:t>
      </w:r>
      <w:hyperlink r:id="rId47" w:history="1">
        <w:r w:rsidRPr="00EF2814">
          <w:rPr>
            <w:rFonts w:cs="Arial"/>
            <w:lang w:val="en-GB"/>
          </w:rPr>
          <w:t>https://doi.org/10.70082/1q6pfy61</w:t>
        </w:r>
      </w:hyperlink>
      <w:r w:rsidRPr="00EF2814">
        <w:rPr>
          <w:rFonts w:cs="Arial"/>
          <w:lang w:val="en-GB"/>
        </w:rPr>
        <w:t>.</w:t>
      </w:r>
    </w:p>
    <w:p w14:paraId="2BAB67AC"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Falk, A.-C. and Lindström, V. (2022) ‘Self-reported clinical competence before entering advanced level training in acute and prehospital emergency care among registered nurses in Sweden’, </w:t>
      </w:r>
      <w:r w:rsidRPr="00EF2814">
        <w:rPr>
          <w:rFonts w:cs="Arial"/>
          <w:i/>
          <w:iCs/>
          <w:lang w:val="en-GB"/>
        </w:rPr>
        <w:t>International Emergency Nursing</w:t>
      </w:r>
      <w:r w:rsidRPr="00EF2814">
        <w:rPr>
          <w:rFonts w:cs="Arial"/>
          <w:lang w:val="en-GB"/>
        </w:rPr>
        <w:t xml:space="preserve">, 61, p. 101146. Available at: </w:t>
      </w:r>
      <w:hyperlink r:id="rId48" w:history="1">
        <w:r w:rsidRPr="00EF2814">
          <w:rPr>
            <w:rFonts w:cs="Arial"/>
            <w:lang w:val="en-GB"/>
          </w:rPr>
          <w:t>https://doi.org/10.1016/j.ienj.2022.101146</w:t>
        </w:r>
      </w:hyperlink>
      <w:r w:rsidRPr="00EF2814">
        <w:rPr>
          <w:rFonts w:cs="Arial"/>
          <w:lang w:val="en-GB"/>
        </w:rPr>
        <w:t>.</w:t>
      </w:r>
    </w:p>
    <w:p w14:paraId="69B4FBE3"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Faulkner-Gurstein, R., Wyatt, D., Cowan, H., Hare, N., Harris, C. and Wolfe, C. (2022) ‘The organization and impacts of clinical research delivery workforce redeployment during the COVID-19 pandemic: a qualitative case study of one research-intensive acute hospital trust’, </w:t>
      </w:r>
      <w:r w:rsidRPr="00EF2814">
        <w:rPr>
          <w:rFonts w:cs="Arial"/>
          <w:i/>
          <w:iCs/>
          <w:lang w:val="en-GB"/>
        </w:rPr>
        <w:t>Health Research Policy and Systems</w:t>
      </w:r>
      <w:r w:rsidRPr="00EF2814">
        <w:rPr>
          <w:rFonts w:cs="Arial"/>
          <w:lang w:val="en-GB"/>
        </w:rPr>
        <w:t xml:space="preserve">, 20(1). Available at: </w:t>
      </w:r>
      <w:hyperlink r:id="rId49" w:history="1">
        <w:r w:rsidRPr="00EF2814">
          <w:rPr>
            <w:rFonts w:cs="Arial"/>
            <w:lang w:val="en-GB"/>
          </w:rPr>
          <w:t>https://doi.org/10.1186/s12961-022-00876-5</w:t>
        </w:r>
      </w:hyperlink>
      <w:r w:rsidRPr="00EF2814">
        <w:rPr>
          <w:rFonts w:cs="Arial"/>
          <w:lang w:val="en-GB"/>
        </w:rPr>
        <w:t>.</w:t>
      </w:r>
    </w:p>
    <w:p w14:paraId="5F301B77"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Faulkner-Gurstein, R., Wyatt, D., Cowan, H., Hare, N., Harris, C. and Wolfe, C. (2022) ‘The organization and impacts of clinical research delivery workforce redeployment during the COVID-19 pandemic: a qualitative case study of one research-intensive acute hospital trust’, </w:t>
      </w:r>
      <w:r w:rsidRPr="00EF2814">
        <w:rPr>
          <w:rFonts w:cs="Arial"/>
          <w:i/>
          <w:iCs/>
          <w:lang w:val="en-GB"/>
        </w:rPr>
        <w:t>Health Research Policy and Systems</w:t>
      </w:r>
      <w:r w:rsidRPr="00EF2814">
        <w:rPr>
          <w:rFonts w:cs="Arial"/>
          <w:lang w:val="en-GB"/>
        </w:rPr>
        <w:t xml:space="preserve">, 20(1). Available at: </w:t>
      </w:r>
      <w:hyperlink r:id="rId50" w:history="1">
        <w:r w:rsidRPr="00EF2814">
          <w:rPr>
            <w:rFonts w:cs="Arial"/>
            <w:lang w:val="en-GB"/>
          </w:rPr>
          <w:t>https://doi.org/10.1186/s12961-022-00876-5</w:t>
        </w:r>
      </w:hyperlink>
      <w:r w:rsidRPr="00EF2814">
        <w:rPr>
          <w:rFonts w:cs="Arial"/>
          <w:lang w:val="en-GB"/>
        </w:rPr>
        <w:t>.</w:t>
      </w:r>
    </w:p>
    <w:p w14:paraId="539A8290" w14:textId="77777777" w:rsidR="002D744B" w:rsidRPr="00EF2814" w:rsidRDefault="002D744B" w:rsidP="008C02E0">
      <w:pPr>
        <w:spacing w:before="240" w:after="0"/>
        <w:rPr>
          <w:rFonts w:cs="Arial"/>
          <w:lang w:val="en-GB"/>
        </w:rPr>
      </w:pPr>
      <w:r w:rsidRPr="00EF2814">
        <w:rPr>
          <w:rFonts w:cs="Arial"/>
          <w:lang w:val="en-GB"/>
        </w:rPr>
        <w:t xml:space="preserve">Filip, R., </w:t>
      </w:r>
      <w:proofErr w:type="spellStart"/>
      <w:r w:rsidRPr="00EF2814">
        <w:rPr>
          <w:rFonts w:cs="Arial"/>
          <w:lang w:val="en-GB"/>
        </w:rPr>
        <w:t>Puscaselu</w:t>
      </w:r>
      <w:proofErr w:type="spellEnd"/>
      <w:r w:rsidRPr="00EF2814">
        <w:rPr>
          <w:rFonts w:cs="Arial"/>
          <w:lang w:val="en-GB"/>
        </w:rPr>
        <w:t xml:space="preserve">, R.G., </w:t>
      </w:r>
      <w:proofErr w:type="spellStart"/>
      <w:r w:rsidRPr="00EF2814">
        <w:rPr>
          <w:rFonts w:cs="Arial"/>
          <w:lang w:val="en-GB"/>
        </w:rPr>
        <w:t>Anchidin-Norocel</w:t>
      </w:r>
      <w:proofErr w:type="spellEnd"/>
      <w:r w:rsidRPr="00EF2814">
        <w:rPr>
          <w:rFonts w:cs="Arial"/>
          <w:lang w:val="en-GB"/>
        </w:rPr>
        <w:t xml:space="preserve">, L., </w:t>
      </w:r>
      <w:proofErr w:type="spellStart"/>
      <w:r w:rsidRPr="00EF2814">
        <w:rPr>
          <w:rFonts w:cs="Arial"/>
          <w:lang w:val="en-GB"/>
        </w:rPr>
        <w:t>Dimian</w:t>
      </w:r>
      <w:proofErr w:type="spellEnd"/>
      <w:r w:rsidRPr="00EF2814">
        <w:rPr>
          <w:rFonts w:cs="Arial"/>
          <w:lang w:val="en-GB"/>
        </w:rPr>
        <w:t xml:space="preserve">, M. and Savage, W.K. (2022) ‘Global Challenges to Public Health Care Systems during the COVID-19 Pandemic: </w:t>
      </w:r>
      <w:proofErr w:type="gramStart"/>
      <w:r w:rsidRPr="00EF2814">
        <w:rPr>
          <w:rFonts w:cs="Arial"/>
          <w:lang w:val="en-GB"/>
        </w:rPr>
        <w:t>a</w:t>
      </w:r>
      <w:proofErr w:type="gramEnd"/>
      <w:r w:rsidRPr="00EF2814">
        <w:rPr>
          <w:rFonts w:cs="Arial"/>
          <w:lang w:val="en-GB"/>
        </w:rPr>
        <w:t xml:space="preserve"> Review of Pandemic Measures and Problems.’ </w:t>
      </w:r>
      <w:r w:rsidRPr="00EF2814">
        <w:rPr>
          <w:rFonts w:cs="Arial"/>
          <w:i/>
          <w:iCs/>
          <w:lang w:val="en-GB"/>
        </w:rPr>
        <w:t>Journal of Personalized Medicine</w:t>
      </w:r>
      <w:r w:rsidRPr="00EF2814">
        <w:rPr>
          <w:rFonts w:cs="Arial"/>
          <w:lang w:val="en-GB"/>
        </w:rPr>
        <w:t xml:space="preserve">, [online] 12(8), pp.12-95. Available at: </w:t>
      </w:r>
      <w:hyperlink r:id="rId51" w:history="1">
        <w:r w:rsidRPr="00EF2814">
          <w:rPr>
            <w:rStyle w:val="Hyperlink"/>
            <w:rFonts w:cs="Arial"/>
            <w:lang w:val="en-GB"/>
          </w:rPr>
          <w:t>https://doi.org/10.3390/jpm12081295</w:t>
        </w:r>
      </w:hyperlink>
      <w:r w:rsidRPr="00EF2814">
        <w:rPr>
          <w:rFonts w:cs="Arial"/>
          <w:lang w:val="en-GB"/>
        </w:rPr>
        <w:t xml:space="preserve"> </w:t>
      </w:r>
    </w:p>
    <w:p w14:paraId="698FC273" w14:textId="7471D6DB" w:rsidR="002D744B" w:rsidRPr="00EF2814" w:rsidRDefault="002D744B" w:rsidP="008C02E0">
      <w:pPr>
        <w:spacing w:before="240" w:after="0"/>
        <w:rPr>
          <w:rFonts w:cs="Arial"/>
          <w:lang w:val="en-GB"/>
        </w:rPr>
      </w:pPr>
      <w:r w:rsidRPr="00EF2814">
        <w:rPr>
          <w:rFonts w:cs="Arial"/>
          <w:lang w:val="en-GB"/>
        </w:rPr>
        <w:t xml:space="preserve">GMC (2021) </w:t>
      </w:r>
      <w:r w:rsidRPr="00EF2814">
        <w:rPr>
          <w:rFonts w:cs="Arial"/>
          <w:i/>
          <w:iCs/>
          <w:lang w:val="en-GB"/>
        </w:rPr>
        <w:t>General Medical Council</w:t>
      </w:r>
      <w:r w:rsidRPr="00EF2814">
        <w:rPr>
          <w:rFonts w:cs="Arial"/>
          <w:lang w:val="en-GB"/>
        </w:rPr>
        <w:t xml:space="preserve">. [online] Gmc-uk.org. Available at: </w:t>
      </w:r>
      <w:hyperlink r:id="rId52" w:history="1">
        <w:r w:rsidRPr="00EF2814">
          <w:rPr>
            <w:rStyle w:val="Hyperlink"/>
            <w:rFonts w:cs="Arial"/>
            <w:lang w:val="en-GB"/>
          </w:rPr>
          <w:t>https://www.gmc-uk.org/</w:t>
        </w:r>
      </w:hyperlink>
      <w:r w:rsidRPr="00EF2814">
        <w:rPr>
          <w:rFonts w:cs="Arial"/>
          <w:lang w:val="en-GB"/>
        </w:rPr>
        <w:t xml:space="preserve"> [Accessed 7 </w:t>
      </w:r>
      <w:r w:rsidR="005B71A0">
        <w:rPr>
          <w:rFonts w:cs="Arial"/>
          <w:lang w:val="en-GB"/>
        </w:rPr>
        <w:t xml:space="preserve">April </w:t>
      </w:r>
      <w:r w:rsidRPr="00EF2814">
        <w:rPr>
          <w:rFonts w:cs="Arial"/>
          <w:lang w:val="en-GB"/>
        </w:rPr>
        <w:t>2026]</w:t>
      </w:r>
    </w:p>
    <w:p w14:paraId="4B23A472" w14:textId="77777777" w:rsidR="002D744B" w:rsidRPr="00EF2814" w:rsidRDefault="002D744B" w:rsidP="002D744B">
      <w:pPr>
        <w:spacing w:before="240"/>
        <w:rPr>
          <w:rFonts w:eastAsia="Times New Roman" w:cs="Arial"/>
          <w:lang w:val="en-GB"/>
        </w:rPr>
      </w:pPr>
      <w:r w:rsidRPr="00EF2814">
        <w:rPr>
          <w:rFonts w:eastAsia="Times New Roman" w:cs="Arial"/>
          <w:lang w:val="en-GB"/>
        </w:rPr>
        <w:lastRenderedPageBreak/>
        <w:t xml:space="preserve">GMC, (2021) </w:t>
      </w:r>
      <w:r w:rsidRPr="00EF2814">
        <w:rPr>
          <w:rFonts w:eastAsia="Times New Roman" w:cs="Arial"/>
          <w:i/>
          <w:iCs/>
          <w:lang w:val="en-GB"/>
        </w:rPr>
        <w:t>The impact of service change on doctors’ training.</w:t>
      </w:r>
      <w:r w:rsidRPr="00EF2814">
        <w:rPr>
          <w:rFonts w:eastAsia="Times New Roman" w:cs="Arial"/>
          <w:lang w:val="en-GB"/>
        </w:rPr>
        <w:t xml:space="preserve"> [online] Available at: </w:t>
      </w:r>
      <w:hyperlink r:id="rId53" w:history="1">
        <w:r w:rsidRPr="00EF2814">
          <w:rPr>
            <w:rStyle w:val="Hyperlink"/>
            <w:rFonts w:eastAsia="Times New Roman" w:cs="Arial"/>
            <w:lang w:val="en-GB"/>
          </w:rPr>
          <w:t>https://www.gmc-uk.org/cdn/documents/impact-of-service-change-on-doctors--training---full-report_pdf-86838768.pdf</w:t>
        </w:r>
      </w:hyperlink>
      <w:r w:rsidRPr="00EF2814">
        <w:rPr>
          <w:rFonts w:eastAsia="Times New Roman" w:cs="Arial"/>
          <w:lang w:val="en-GB"/>
        </w:rPr>
        <w:t xml:space="preserve"> [Accessed 17 February 2026]</w:t>
      </w:r>
    </w:p>
    <w:p w14:paraId="31688E1E"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Goniewicz, M., </w:t>
      </w:r>
      <w:proofErr w:type="spellStart"/>
      <w:r w:rsidRPr="00EF2814">
        <w:rPr>
          <w:rFonts w:cs="Arial"/>
          <w:lang w:val="en-GB"/>
        </w:rPr>
        <w:t>Włoszczak-Szubzda</w:t>
      </w:r>
      <w:proofErr w:type="spellEnd"/>
      <w:r w:rsidRPr="00EF2814">
        <w:rPr>
          <w:rFonts w:cs="Arial"/>
          <w:lang w:val="en-GB"/>
        </w:rPr>
        <w:t>, A., Al-</w:t>
      </w:r>
      <w:proofErr w:type="spellStart"/>
      <w:r w:rsidRPr="00EF2814">
        <w:rPr>
          <w:rFonts w:cs="Arial"/>
          <w:lang w:val="en-GB"/>
        </w:rPr>
        <w:t>Wathinani</w:t>
      </w:r>
      <w:proofErr w:type="spellEnd"/>
      <w:r w:rsidRPr="00EF2814">
        <w:rPr>
          <w:rFonts w:cs="Arial"/>
          <w:lang w:val="en-GB"/>
        </w:rPr>
        <w:t xml:space="preserve">, A.M. and Goniewicz, K. (2023) ‘Resilience in Emergency Medicine during COVID-19: Evaluating Staff Expectations and Preparedness’, </w:t>
      </w:r>
      <w:r w:rsidRPr="00EF2814">
        <w:rPr>
          <w:rFonts w:cs="Arial"/>
          <w:i/>
          <w:iCs/>
          <w:lang w:val="en-GB"/>
        </w:rPr>
        <w:t>Journal of Personalized Medicine</w:t>
      </w:r>
      <w:r w:rsidRPr="00EF2814">
        <w:rPr>
          <w:rFonts w:cs="Arial"/>
          <w:lang w:val="en-GB"/>
        </w:rPr>
        <w:t xml:space="preserve">, 13(11), p. 1545. Available at: </w:t>
      </w:r>
      <w:hyperlink r:id="rId54" w:history="1">
        <w:r w:rsidRPr="00EF2814">
          <w:rPr>
            <w:rFonts w:cs="Arial"/>
            <w:lang w:val="en-GB"/>
          </w:rPr>
          <w:t>https://doi.org/10.3390/jpm13111545</w:t>
        </w:r>
      </w:hyperlink>
      <w:r w:rsidRPr="00EF2814">
        <w:rPr>
          <w:rFonts w:cs="Arial"/>
          <w:lang w:val="en-GB"/>
        </w:rPr>
        <w:t>.</w:t>
      </w:r>
    </w:p>
    <w:p w14:paraId="1320F389"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Gottlieb, M., Chan, T.M., Zaver, F. and </w:t>
      </w:r>
      <w:proofErr w:type="spellStart"/>
      <w:r w:rsidRPr="00EF2814">
        <w:rPr>
          <w:rFonts w:eastAsia="Times New Roman" w:cs="Arial"/>
          <w:lang w:val="en-GB"/>
        </w:rPr>
        <w:t>Ellaway</w:t>
      </w:r>
      <w:proofErr w:type="spellEnd"/>
      <w:r w:rsidRPr="00EF2814">
        <w:rPr>
          <w:rFonts w:eastAsia="Times New Roman" w:cs="Arial"/>
          <w:lang w:val="en-GB"/>
        </w:rPr>
        <w:t>, R. (2021) ‘Confidence</w:t>
      </w:r>
      <w:r w:rsidRPr="00EF2814">
        <w:rPr>
          <w:rFonts w:ascii="Cambria Math" w:eastAsia="Times New Roman" w:hAnsi="Cambria Math" w:cs="Cambria Math"/>
          <w:lang w:val="en-GB"/>
        </w:rPr>
        <w:t>‐</w:t>
      </w:r>
      <w:r w:rsidRPr="00EF2814">
        <w:rPr>
          <w:rFonts w:eastAsia="Times New Roman" w:cs="Arial"/>
          <w:lang w:val="en-GB"/>
        </w:rPr>
        <w:t>competence alignment and the role of self</w:t>
      </w:r>
      <w:r w:rsidRPr="00EF2814">
        <w:rPr>
          <w:rFonts w:ascii="Cambria Math" w:eastAsia="Times New Roman" w:hAnsi="Cambria Math" w:cs="Cambria Math"/>
          <w:lang w:val="en-GB"/>
        </w:rPr>
        <w:t>‐</w:t>
      </w:r>
      <w:r w:rsidRPr="00EF2814">
        <w:rPr>
          <w:rFonts w:eastAsia="Times New Roman" w:cs="Arial"/>
          <w:lang w:val="en-GB"/>
        </w:rPr>
        <w:t xml:space="preserve">confidence in medical education: A conceptual review.’ </w:t>
      </w:r>
      <w:r w:rsidRPr="00EF2814">
        <w:rPr>
          <w:rFonts w:eastAsia="Times New Roman" w:cs="Arial"/>
          <w:i/>
          <w:iCs/>
          <w:lang w:val="en-GB"/>
        </w:rPr>
        <w:t>Medical Education</w:t>
      </w:r>
      <w:r w:rsidRPr="00EF2814">
        <w:rPr>
          <w:rFonts w:eastAsia="Times New Roman" w:cs="Arial"/>
          <w:lang w:val="en-GB"/>
        </w:rPr>
        <w:t xml:space="preserve">, [online] 56(1). Available at: </w:t>
      </w:r>
      <w:hyperlink r:id="rId55" w:history="1">
        <w:r w:rsidRPr="00EF2814">
          <w:rPr>
            <w:rStyle w:val="Hyperlink"/>
            <w:rFonts w:eastAsia="Times New Roman" w:cs="Arial"/>
            <w:lang w:val="en-GB"/>
          </w:rPr>
          <w:t>https://doi.org/10.1111/medu.14592</w:t>
        </w:r>
      </w:hyperlink>
      <w:r w:rsidRPr="00EF2814">
        <w:rPr>
          <w:rFonts w:eastAsia="Times New Roman" w:cs="Arial"/>
          <w:lang w:val="en-GB"/>
        </w:rPr>
        <w:t xml:space="preserve"> </w:t>
      </w:r>
    </w:p>
    <w:p w14:paraId="722B920D" w14:textId="3CC526FD" w:rsidR="002D744B" w:rsidRPr="00EF2814" w:rsidRDefault="002D744B" w:rsidP="002D744B">
      <w:pPr>
        <w:spacing w:before="240"/>
        <w:rPr>
          <w:rFonts w:eastAsia="Times New Roman" w:cs="Arial"/>
          <w:lang w:val="en-GB"/>
        </w:rPr>
      </w:pPr>
      <w:r w:rsidRPr="00EF2814">
        <w:rPr>
          <w:rFonts w:eastAsia="Times New Roman" w:cs="Arial"/>
          <w:lang w:val="en-GB"/>
        </w:rPr>
        <w:t xml:space="preserve">Gov.uk (2022) </w:t>
      </w:r>
      <w:r w:rsidRPr="00EF2814">
        <w:rPr>
          <w:rFonts w:eastAsia="Times New Roman" w:cs="Arial"/>
          <w:i/>
          <w:iCs/>
          <w:lang w:val="en-GB"/>
        </w:rPr>
        <w:t>Health and Social Care Act 2012</w:t>
      </w:r>
      <w:r w:rsidRPr="00EF2814">
        <w:rPr>
          <w:rFonts w:eastAsia="Times New Roman" w:cs="Arial"/>
          <w:lang w:val="en-GB"/>
        </w:rPr>
        <w:t xml:space="preserve">. [online] GOV.UK. Available at: </w:t>
      </w:r>
      <w:hyperlink r:id="rId56" w:history="1">
        <w:r w:rsidRPr="00EF2814">
          <w:rPr>
            <w:rStyle w:val="Hyperlink"/>
            <w:rFonts w:eastAsia="Times New Roman" w:cs="Arial"/>
            <w:lang w:val="en-GB"/>
          </w:rPr>
          <w:t>https://www.gov.uk/government/publications/health-and-social-care-act-2012-fact-sheets</w:t>
        </w:r>
      </w:hyperlink>
      <w:r w:rsidRPr="00EF2814">
        <w:rPr>
          <w:rFonts w:eastAsia="Times New Roman" w:cs="Arial"/>
          <w:lang w:val="en-GB"/>
        </w:rPr>
        <w:t xml:space="preserve"> [Accessed 17 </w:t>
      </w:r>
      <w:r w:rsidR="005B71A0">
        <w:rPr>
          <w:rFonts w:eastAsia="Times New Roman" w:cs="Arial"/>
          <w:lang w:val="en-GB"/>
        </w:rPr>
        <w:t>April</w:t>
      </w:r>
      <w:r w:rsidRPr="00EF2814">
        <w:rPr>
          <w:rFonts w:eastAsia="Times New Roman" w:cs="Arial"/>
          <w:lang w:val="en-GB"/>
        </w:rPr>
        <w:t xml:space="preserve"> 2026]</w:t>
      </w:r>
    </w:p>
    <w:p w14:paraId="0C8F0146" w14:textId="496E53A7" w:rsidR="002D744B" w:rsidRPr="00EF2814" w:rsidRDefault="002D744B" w:rsidP="008C02E0">
      <w:pPr>
        <w:spacing w:before="240" w:after="0"/>
        <w:rPr>
          <w:rFonts w:cs="Arial"/>
          <w:lang w:val="en-GB"/>
        </w:rPr>
      </w:pPr>
      <w:r w:rsidRPr="00EF2814">
        <w:rPr>
          <w:rFonts w:cs="Arial"/>
          <w:lang w:val="en-GB"/>
        </w:rPr>
        <w:t xml:space="preserve">GOV.UK (2024) </w:t>
      </w:r>
      <w:r w:rsidRPr="00EF2814">
        <w:rPr>
          <w:rFonts w:cs="Arial"/>
          <w:i/>
          <w:iCs/>
          <w:lang w:val="en-GB"/>
        </w:rPr>
        <w:t>Care Act 2014</w:t>
      </w:r>
      <w:r w:rsidRPr="00EF2814">
        <w:rPr>
          <w:rFonts w:cs="Arial"/>
          <w:lang w:val="en-GB"/>
        </w:rPr>
        <w:t xml:space="preserve">. [online] Legislation.gov.uk. Available at: </w:t>
      </w:r>
      <w:hyperlink r:id="rId57" w:history="1">
        <w:r w:rsidRPr="00EF2814">
          <w:rPr>
            <w:rStyle w:val="Hyperlink"/>
            <w:rFonts w:cs="Arial"/>
            <w:lang w:val="en-GB"/>
          </w:rPr>
          <w:t>https://www.legislation.gov.uk/id/ukpga/2014/23</w:t>
        </w:r>
      </w:hyperlink>
      <w:r w:rsidRPr="00EF2814">
        <w:rPr>
          <w:rFonts w:cs="Arial"/>
          <w:lang w:val="en-GB"/>
        </w:rPr>
        <w:t xml:space="preserve"> [Accessed 7 </w:t>
      </w:r>
      <w:r w:rsidR="005B71A0">
        <w:rPr>
          <w:rFonts w:cs="Arial"/>
          <w:lang w:val="en-GB"/>
        </w:rPr>
        <w:t>April</w:t>
      </w:r>
      <w:r w:rsidRPr="00EF2814">
        <w:rPr>
          <w:rFonts w:cs="Arial"/>
          <w:lang w:val="en-GB"/>
        </w:rPr>
        <w:t>. 2026].</w:t>
      </w:r>
    </w:p>
    <w:p w14:paraId="65309A57" w14:textId="79D79763" w:rsidR="002D744B" w:rsidRPr="00EF2814" w:rsidRDefault="002D744B" w:rsidP="008C02E0">
      <w:pPr>
        <w:spacing w:before="240" w:after="0"/>
        <w:rPr>
          <w:rFonts w:cs="Arial"/>
          <w:lang w:val="en-GB"/>
        </w:rPr>
      </w:pPr>
      <w:r w:rsidRPr="00EF2814">
        <w:rPr>
          <w:rFonts w:cs="Arial"/>
          <w:lang w:val="en-GB"/>
        </w:rPr>
        <w:t xml:space="preserve">GOV.UK (2026) </w:t>
      </w:r>
      <w:r w:rsidRPr="00EF2814">
        <w:rPr>
          <w:rFonts w:cs="Arial"/>
          <w:i/>
          <w:iCs/>
          <w:lang w:val="en-GB"/>
        </w:rPr>
        <w:t>Health Education England</w:t>
      </w:r>
      <w:r w:rsidRPr="00EF2814">
        <w:rPr>
          <w:rFonts w:cs="Arial"/>
          <w:lang w:val="en-GB"/>
        </w:rPr>
        <w:t xml:space="preserve">. [online] GOV.UK. Available at: </w:t>
      </w:r>
      <w:hyperlink r:id="rId58" w:history="1">
        <w:r w:rsidRPr="00EF2814">
          <w:rPr>
            <w:rStyle w:val="Hyperlink"/>
            <w:rFonts w:cs="Arial"/>
            <w:lang w:val="en-GB"/>
          </w:rPr>
          <w:t>https://www.gov.uk/government/organisations/health-education-england</w:t>
        </w:r>
      </w:hyperlink>
      <w:r w:rsidRPr="00EF2814">
        <w:rPr>
          <w:rFonts w:cs="Arial"/>
          <w:lang w:val="en-GB"/>
        </w:rPr>
        <w:t xml:space="preserve"> [Accessed 7 </w:t>
      </w:r>
      <w:r w:rsidR="005B71A0">
        <w:rPr>
          <w:rFonts w:cs="Arial"/>
          <w:lang w:val="en-GB"/>
        </w:rPr>
        <w:t>Apri l</w:t>
      </w:r>
      <w:r w:rsidRPr="00EF2814">
        <w:rPr>
          <w:rFonts w:cs="Arial"/>
          <w:lang w:val="en-GB"/>
        </w:rPr>
        <w:t>2026]</w:t>
      </w:r>
    </w:p>
    <w:p w14:paraId="149DF97D"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Hanusch, F. and </w:t>
      </w:r>
      <w:proofErr w:type="spellStart"/>
      <w:r w:rsidRPr="00EF2814">
        <w:rPr>
          <w:rFonts w:cs="Arial"/>
          <w:lang w:val="en-GB"/>
        </w:rPr>
        <w:t>Löhmann</w:t>
      </w:r>
      <w:proofErr w:type="spellEnd"/>
      <w:r w:rsidRPr="00EF2814">
        <w:rPr>
          <w:rFonts w:cs="Arial"/>
          <w:lang w:val="en-GB"/>
        </w:rPr>
        <w:t xml:space="preserve">, K. (2022) ‘Dimensions of Peripherality in Journalism: A Typology for Studying New Actors in the Journalistic Field’, </w:t>
      </w:r>
      <w:r w:rsidRPr="00EF2814">
        <w:rPr>
          <w:rFonts w:cs="Arial"/>
          <w:i/>
          <w:iCs/>
          <w:lang w:val="en-GB"/>
        </w:rPr>
        <w:t>Digital Journalism</w:t>
      </w:r>
      <w:r w:rsidRPr="00EF2814">
        <w:rPr>
          <w:rFonts w:cs="Arial"/>
          <w:lang w:val="en-GB"/>
        </w:rPr>
        <w:t xml:space="preserve">, pp. 1–19. Available at: </w:t>
      </w:r>
      <w:hyperlink r:id="rId59" w:history="1">
        <w:r w:rsidRPr="00EF2814">
          <w:rPr>
            <w:rFonts w:cs="Arial"/>
            <w:lang w:val="en-GB"/>
          </w:rPr>
          <w:t>https://doi.org/10.1080/21670811.2022.2148549</w:t>
        </w:r>
      </w:hyperlink>
      <w:r w:rsidRPr="00EF2814">
        <w:rPr>
          <w:rFonts w:cs="Arial"/>
          <w:lang w:val="en-GB"/>
        </w:rPr>
        <w:t>.</w:t>
      </w:r>
    </w:p>
    <w:p w14:paraId="0B78E9E2" w14:textId="6EA187FE" w:rsidR="002D744B" w:rsidRPr="00EF2814" w:rsidRDefault="002D744B" w:rsidP="002D744B">
      <w:pPr>
        <w:spacing w:before="240"/>
        <w:rPr>
          <w:rFonts w:eastAsia="Times New Roman" w:cs="Arial"/>
          <w:lang w:val="en-GB"/>
        </w:rPr>
      </w:pPr>
      <w:r w:rsidRPr="00EF2814">
        <w:rPr>
          <w:rFonts w:eastAsia="Times New Roman" w:cs="Arial"/>
          <w:lang w:val="en-GB"/>
        </w:rPr>
        <w:t xml:space="preserve">Harney, B. (2024) Systems theory. </w:t>
      </w:r>
      <w:r w:rsidRPr="00EF2814">
        <w:rPr>
          <w:rFonts w:eastAsia="Times New Roman" w:cs="Arial"/>
          <w:i/>
          <w:iCs/>
          <w:lang w:val="en-GB"/>
        </w:rPr>
        <w:t>Edward Elgar Publishing eBooks</w:t>
      </w:r>
      <w:r w:rsidRPr="00EF2814">
        <w:rPr>
          <w:rFonts w:eastAsia="Times New Roman" w:cs="Arial"/>
          <w:lang w:val="en-GB"/>
        </w:rPr>
        <w:t xml:space="preserve">, [online] pp.312–318. Available at: </w:t>
      </w:r>
      <w:hyperlink r:id="rId60" w:history="1">
        <w:r w:rsidRPr="00EF2814">
          <w:rPr>
            <w:rStyle w:val="Hyperlink"/>
            <w:rFonts w:eastAsia="Times New Roman" w:cs="Arial"/>
            <w:lang w:val="en-GB"/>
          </w:rPr>
          <w:t>https://www.researchgate.net/publication/377150769_Systems_theory</w:t>
        </w:r>
      </w:hyperlink>
      <w:r w:rsidRPr="00EF2814">
        <w:rPr>
          <w:rFonts w:eastAsia="Times New Roman" w:cs="Arial"/>
          <w:lang w:val="en-GB"/>
        </w:rPr>
        <w:t xml:space="preserve"> [Accessed 17 </w:t>
      </w:r>
      <w:r w:rsidR="005B71A0">
        <w:rPr>
          <w:rFonts w:eastAsia="Times New Roman" w:cs="Arial"/>
          <w:lang w:val="en-GB"/>
        </w:rPr>
        <w:t>April</w:t>
      </w:r>
      <w:r w:rsidRPr="00EF2814">
        <w:rPr>
          <w:rFonts w:eastAsia="Times New Roman" w:cs="Arial"/>
          <w:lang w:val="en-GB"/>
        </w:rPr>
        <w:t xml:space="preserve"> 2026]</w:t>
      </w:r>
    </w:p>
    <w:p w14:paraId="38B142CB" w14:textId="77777777" w:rsidR="002D744B" w:rsidRPr="00EF2814" w:rsidRDefault="002D744B" w:rsidP="008C02E0">
      <w:pPr>
        <w:spacing w:before="240" w:after="0"/>
        <w:rPr>
          <w:rFonts w:cs="Arial"/>
          <w:lang w:val="en-GB"/>
        </w:rPr>
      </w:pPr>
      <w:r w:rsidRPr="00EF2814">
        <w:rPr>
          <w:rFonts w:cs="Arial"/>
          <w:lang w:val="en-GB"/>
        </w:rPr>
        <w:t xml:space="preserve">Hartley, H., Dunning, A., Murray, J., Simms-Ellis, R., Unsworth, K., Grange, A., Dunn, M., Marran, J., Joseph, O., Essler, P., Archibong, U., Johnson, J. and Lawton, R. (2025) ‘The impact of redeployment during COVID-19 on nurse well-being, performance and retention: a mixed-methods study (REDEPLOY).’ </w:t>
      </w:r>
      <w:r w:rsidRPr="00EF2814">
        <w:rPr>
          <w:rFonts w:cs="Arial"/>
          <w:i/>
          <w:iCs/>
          <w:lang w:val="en-GB"/>
        </w:rPr>
        <w:t>Health and Social Care Delivery Research</w:t>
      </w:r>
      <w:r w:rsidRPr="00EF2814">
        <w:rPr>
          <w:rFonts w:cs="Arial"/>
          <w:lang w:val="en-GB"/>
        </w:rPr>
        <w:t xml:space="preserve">, pp.1–50. Available at: </w:t>
      </w:r>
      <w:hyperlink r:id="rId61" w:history="1">
        <w:r w:rsidRPr="00EF2814">
          <w:rPr>
            <w:rStyle w:val="Hyperlink"/>
            <w:rFonts w:cs="Arial"/>
            <w:lang w:val="en-GB"/>
          </w:rPr>
          <w:t>https://doi.org/10.3310/ewpe7103</w:t>
        </w:r>
      </w:hyperlink>
      <w:r w:rsidRPr="00EF2814">
        <w:rPr>
          <w:rFonts w:cs="Arial"/>
          <w:lang w:val="en-GB"/>
        </w:rPr>
        <w:t xml:space="preserve"> </w:t>
      </w:r>
    </w:p>
    <w:p w14:paraId="035C285D" w14:textId="77777777" w:rsidR="002D744B" w:rsidRPr="00EF2814" w:rsidRDefault="002D744B" w:rsidP="008C02E0">
      <w:pPr>
        <w:spacing w:before="240" w:after="0"/>
        <w:rPr>
          <w:rFonts w:cs="Arial"/>
          <w:lang w:val="en-GB"/>
        </w:rPr>
      </w:pPr>
      <w:r w:rsidRPr="00EF2814">
        <w:rPr>
          <w:rFonts w:cs="Arial"/>
          <w:lang w:val="en-GB"/>
        </w:rPr>
        <w:lastRenderedPageBreak/>
        <w:t xml:space="preserve">Haynes, A., Gilchrist, H., Oliveira, J.S. and Tiedemann, A. (2021) ‘Using Realist Evaluation to Understand Process Outcomes in a COVID-19-Impacted Yoga Intervention Trial: A Worked Example.’ </w:t>
      </w:r>
      <w:r w:rsidRPr="00EF2814">
        <w:rPr>
          <w:rFonts w:cs="Arial"/>
          <w:i/>
          <w:iCs/>
          <w:lang w:val="en-GB"/>
        </w:rPr>
        <w:t>International Journal of Environmental Research and Public Health</w:t>
      </w:r>
      <w:r w:rsidRPr="00EF2814">
        <w:rPr>
          <w:rFonts w:cs="Arial"/>
          <w:lang w:val="en-GB"/>
        </w:rPr>
        <w:t xml:space="preserve">, 18(17), pp. 70-90. Available at: </w:t>
      </w:r>
      <w:hyperlink r:id="rId62" w:history="1">
        <w:r w:rsidRPr="00EF2814">
          <w:rPr>
            <w:rStyle w:val="Hyperlink"/>
            <w:rFonts w:cs="Arial"/>
            <w:lang w:val="en-GB"/>
          </w:rPr>
          <w:t>https://doi.org/10.3390/ijerph18179065</w:t>
        </w:r>
      </w:hyperlink>
      <w:r w:rsidRPr="00EF2814">
        <w:rPr>
          <w:rFonts w:cs="Arial"/>
          <w:lang w:val="en-GB"/>
        </w:rPr>
        <w:t xml:space="preserve"> </w:t>
      </w:r>
    </w:p>
    <w:p w14:paraId="01851742"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Heath, A., Levay, P. and Tuvey, D. (2022) ‘Literature Searching Methods or Guidance and Their Application to Public Health topics: a Narrative Review’, </w:t>
      </w:r>
      <w:r w:rsidRPr="00EF2814">
        <w:rPr>
          <w:rFonts w:cs="Arial"/>
          <w:i/>
          <w:iCs/>
          <w:lang w:val="en-GB"/>
        </w:rPr>
        <w:t>Health Information &amp; Libraries Journal</w:t>
      </w:r>
      <w:r w:rsidRPr="00EF2814">
        <w:rPr>
          <w:rFonts w:cs="Arial"/>
          <w:lang w:val="en-GB"/>
        </w:rPr>
        <w:t xml:space="preserve">, 39(1), pp. 6–21. Available at: </w:t>
      </w:r>
      <w:hyperlink r:id="rId63" w:history="1">
        <w:r w:rsidRPr="00EF2814">
          <w:rPr>
            <w:rFonts w:cs="Arial"/>
            <w:lang w:val="en-GB"/>
          </w:rPr>
          <w:t>https://doi.org/10.1111/hir.12414</w:t>
        </w:r>
      </w:hyperlink>
      <w:r w:rsidRPr="00EF2814">
        <w:rPr>
          <w:rFonts w:cs="Arial"/>
          <w:lang w:val="en-GB"/>
        </w:rPr>
        <w:t>.</w:t>
      </w:r>
    </w:p>
    <w:p w14:paraId="69D9FD8A"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Heath, A., Levay, P. and Tuvey, D. (2022) ‘Literature Searching Methods or Guidance and Their Application to Public Health topics: a Narrative Review’, </w:t>
      </w:r>
      <w:r w:rsidRPr="00EF2814">
        <w:rPr>
          <w:rFonts w:cs="Arial"/>
          <w:i/>
          <w:iCs/>
          <w:lang w:val="en-GB"/>
        </w:rPr>
        <w:t>Health Information &amp; Libraries Journal</w:t>
      </w:r>
      <w:r w:rsidRPr="00EF2814">
        <w:rPr>
          <w:rFonts w:cs="Arial"/>
          <w:lang w:val="en-GB"/>
        </w:rPr>
        <w:t xml:space="preserve">, 39(1), pp. 6–21. Available at: </w:t>
      </w:r>
      <w:hyperlink r:id="rId64" w:history="1">
        <w:r w:rsidRPr="00EF2814">
          <w:rPr>
            <w:rFonts w:cs="Arial"/>
            <w:lang w:val="en-GB"/>
          </w:rPr>
          <w:t>https://doi.org/10.1111/hir.12414</w:t>
        </w:r>
      </w:hyperlink>
      <w:r w:rsidRPr="00EF2814">
        <w:rPr>
          <w:rFonts w:cs="Arial"/>
          <w:lang w:val="en-GB"/>
        </w:rPr>
        <w:t>.</w:t>
      </w:r>
    </w:p>
    <w:p w14:paraId="6AE08AAC"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Hinchliffe, S., Bard, A., Kin Wing Chan, Adam, K., Bruce, A., Reyher, K. and Buller, H. (2023) ‘Regulating antimicrobial resistance: market intermediaries, poultry and the audit lock-in’, </w:t>
      </w:r>
      <w:r w:rsidRPr="00EF2814">
        <w:rPr>
          <w:rFonts w:cs="Arial"/>
          <w:i/>
          <w:iCs/>
          <w:lang w:val="en-GB"/>
        </w:rPr>
        <w:t>Agriculture and Human Values</w:t>
      </w:r>
      <w:r w:rsidRPr="00EF2814">
        <w:rPr>
          <w:rFonts w:cs="Arial"/>
          <w:lang w:val="en-GB"/>
        </w:rPr>
        <w:t xml:space="preserve"> [Preprint]. Available at: </w:t>
      </w:r>
      <w:hyperlink r:id="rId65" w:history="1">
        <w:r w:rsidRPr="00EF2814">
          <w:rPr>
            <w:rFonts w:cs="Arial"/>
            <w:lang w:val="en-GB"/>
          </w:rPr>
          <w:t>https://doi.org/10.1007/s10460-023-10525-4</w:t>
        </w:r>
      </w:hyperlink>
      <w:r w:rsidRPr="00EF2814">
        <w:rPr>
          <w:rFonts w:cs="Arial"/>
          <w:lang w:val="en-GB"/>
        </w:rPr>
        <w:t>.</w:t>
      </w:r>
    </w:p>
    <w:p w14:paraId="4334D13C"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Houghton, C., Meskell, P., Delaney, H., </w:t>
      </w:r>
      <w:proofErr w:type="spellStart"/>
      <w:r w:rsidRPr="00EF2814">
        <w:rPr>
          <w:rFonts w:eastAsia="Times New Roman" w:cs="Arial"/>
          <w:lang w:val="en-GB"/>
        </w:rPr>
        <w:t>Smalle</w:t>
      </w:r>
      <w:proofErr w:type="spellEnd"/>
      <w:r w:rsidRPr="00EF2814">
        <w:rPr>
          <w:rFonts w:eastAsia="Times New Roman" w:cs="Arial"/>
          <w:lang w:val="en-GB"/>
        </w:rPr>
        <w:t xml:space="preserve">, M., Glenton, C., Booth, A., Chan, X.H.S., Devane, D. and </w:t>
      </w:r>
      <w:proofErr w:type="spellStart"/>
      <w:r w:rsidRPr="00EF2814">
        <w:rPr>
          <w:rFonts w:eastAsia="Times New Roman" w:cs="Arial"/>
          <w:lang w:val="en-GB"/>
        </w:rPr>
        <w:t>Biesty</w:t>
      </w:r>
      <w:proofErr w:type="spellEnd"/>
      <w:r w:rsidRPr="00EF2814">
        <w:rPr>
          <w:rFonts w:eastAsia="Times New Roman" w:cs="Arial"/>
          <w:lang w:val="en-GB"/>
        </w:rPr>
        <w:t xml:space="preserve">, L.M. (2020) ‘Barriers and facilitators to healthcare workers’ adherence with infection prevention and control (IPC) guidelines for respiratory infectious diseases: a rapid qualitative evidence synthesis.’ </w:t>
      </w:r>
      <w:r w:rsidRPr="00EF2814">
        <w:rPr>
          <w:rFonts w:eastAsia="Times New Roman" w:cs="Arial"/>
          <w:i/>
          <w:iCs/>
          <w:lang w:val="en-GB"/>
        </w:rPr>
        <w:t>Cochrane Database of Systematic Reviews</w:t>
      </w:r>
      <w:r w:rsidRPr="00EF2814">
        <w:rPr>
          <w:rFonts w:eastAsia="Times New Roman" w:cs="Arial"/>
          <w:lang w:val="en-GB"/>
        </w:rPr>
        <w:t xml:space="preserve">, [online] 4(4). Available at: </w:t>
      </w:r>
      <w:hyperlink r:id="rId66" w:history="1">
        <w:r w:rsidRPr="00EF2814">
          <w:rPr>
            <w:rStyle w:val="Hyperlink"/>
            <w:rFonts w:eastAsia="Times New Roman" w:cs="Arial"/>
            <w:lang w:val="en-GB"/>
          </w:rPr>
          <w:t>https://doi.org/10.1002/14651858.cd013582</w:t>
        </w:r>
      </w:hyperlink>
      <w:r w:rsidRPr="00EF2814">
        <w:rPr>
          <w:rFonts w:eastAsia="Times New Roman" w:cs="Arial"/>
          <w:lang w:val="en-GB"/>
        </w:rPr>
        <w:t xml:space="preserve"> </w:t>
      </w:r>
    </w:p>
    <w:p w14:paraId="5C4BC23D" w14:textId="77777777" w:rsidR="002D744B" w:rsidRPr="00EF2814" w:rsidRDefault="002D744B" w:rsidP="008C02E0">
      <w:pPr>
        <w:spacing w:before="240" w:after="0"/>
        <w:rPr>
          <w:rFonts w:cs="Arial"/>
          <w:lang w:val="en-GB"/>
        </w:rPr>
      </w:pPr>
      <w:r w:rsidRPr="00EF2814">
        <w:rPr>
          <w:rFonts w:cs="Arial"/>
          <w:lang w:val="en-GB"/>
        </w:rPr>
        <w:t xml:space="preserve">Hussein, A.A. (2024) ‘Competency-Based Training: Skills Development.’ Available at: </w:t>
      </w:r>
      <w:hyperlink r:id="rId67" w:history="1">
        <w:r w:rsidRPr="00EF2814">
          <w:rPr>
            <w:rStyle w:val="Hyperlink"/>
            <w:rFonts w:cs="Arial"/>
            <w:lang w:val="en-GB"/>
          </w:rPr>
          <w:t>https://www.researchgate.net/publication/382594147_Competency-Based_Training_Skills_Development</w:t>
        </w:r>
      </w:hyperlink>
      <w:r w:rsidRPr="00EF2814">
        <w:rPr>
          <w:rFonts w:cs="Arial"/>
          <w:lang w:val="en-GB"/>
        </w:rPr>
        <w:t xml:space="preserve"> [Accessed 7 February 2026]</w:t>
      </w:r>
    </w:p>
    <w:p w14:paraId="61677706"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Hyeon, Y. H., and Moon, K. J. (2024) ‘Development of an infection control competency scale for clinical nurses: an instrument design study.’ </w:t>
      </w:r>
      <w:r w:rsidRPr="00EF2814">
        <w:rPr>
          <w:rFonts w:eastAsia="Times New Roman" w:cs="Arial"/>
          <w:i/>
          <w:iCs/>
          <w:lang w:val="en-GB"/>
        </w:rPr>
        <w:t>BMC nursing</w:t>
      </w:r>
      <w:r w:rsidRPr="00EF2814">
        <w:rPr>
          <w:rFonts w:eastAsia="Times New Roman" w:cs="Arial"/>
          <w:lang w:val="en-GB"/>
        </w:rPr>
        <w:t xml:space="preserve">, 23(1). Available at: </w:t>
      </w:r>
      <w:hyperlink r:id="rId68" w:history="1">
        <w:r w:rsidRPr="00EF2814">
          <w:rPr>
            <w:rStyle w:val="Hyperlink"/>
            <w:rFonts w:eastAsia="Times New Roman" w:cs="Arial"/>
            <w:lang w:val="en-GB"/>
          </w:rPr>
          <w:t>https://doi.org/10.1186/s12912-024-01904-1</w:t>
        </w:r>
      </w:hyperlink>
      <w:r w:rsidRPr="00EF2814">
        <w:rPr>
          <w:rFonts w:eastAsia="Times New Roman" w:cs="Arial"/>
          <w:lang w:val="en-GB"/>
        </w:rPr>
        <w:t xml:space="preserve"> </w:t>
      </w:r>
    </w:p>
    <w:p w14:paraId="594E0B5A"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Johnson, A., Conroy, S., Thompson, D., Hassett, G., Clayton, A. and Backhouse, E. (2022) ‘Staff Experience in the NHS: A National Study—An Experience-Based Design Approach.’ </w:t>
      </w:r>
      <w:r w:rsidRPr="00EF2814">
        <w:rPr>
          <w:rFonts w:eastAsia="Times New Roman" w:cs="Arial"/>
          <w:i/>
          <w:iCs/>
          <w:lang w:val="en-GB"/>
        </w:rPr>
        <w:t>Journal of Patient Experience</w:t>
      </w:r>
      <w:r w:rsidRPr="00EF2814">
        <w:rPr>
          <w:rFonts w:eastAsia="Times New Roman" w:cs="Arial"/>
          <w:lang w:val="en-GB"/>
        </w:rPr>
        <w:t xml:space="preserve">, [online] 9, pp.237437352211439-237437352211440. Available at: </w:t>
      </w:r>
      <w:hyperlink r:id="rId69" w:history="1">
        <w:r w:rsidRPr="00EF2814">
          <w:rPr>
            <w:rStyle w:val="Hyperlink"/>
            <w:rFonts w:eastAsia="Times New Roman" w:cs="Arial"/>
            <w:lang w:val="en-GB"/>
          </w:rPr>
          <w:t>https://doi.org/10.1177/23743735221143921</w:t>
        </w:r>
      </w:hyperlink>
      <w:r w:rsidRPr="00EF2814">
        <w:rPr>
          <w:rFonts w:eastAsia="Times New Roman" w:cs="Arial"/>
          <w:lang w:val="en-GB"/>
        </w:rPr>
        <w:t xml:space="preserve"> </w:t>
      </w:r>
    </w:p>
    <w:p w14:paraId="2216644C" w14:textId="77777777" w:rsidR="002D744B" w:rsidRPr="00EF2814" w:rsidRDefault="002D744B" w:rsidP="002D744B">
      <w:pPr>
        <w:spacing w:before="240"/>
        <w:rPr>
          <w:rFonts w:eastAsia="Times New Roman" w:cs="Arial"/>
          <w:lang w:val="en-GB"/>
        </w:rPr>
      </w:pPr>
      <w:r w:rsidRPr="00EF2814">
        <w:rPr>
          <w:rFonts w:eastAsia="Times New Roman" w:cs="Arial"/>
          <w:lang w:val="en-GB"/>
        </w:rPr>
        <w:lastRenderedPageBreak/>
        <w:t xml:space="preserve">Kempny, C., Tugba Aksakal, Yüce Yilmaz-Aslan and Brzoska, P. (2025). Competence development among healthcare professionals through an online diversity training - a scoping review. </w:t>
      </w:r>
      <w:r w:rsidRPr="00EF2814">
        <w:rPr>
          <w:rFonts w:eastAsia="Times New Roman" w:cs="Arial"/>
          <w:i/>
          <w:iCs/>
          <w:lang w:val="en-GB"/>
        </w:rPr>
        <w:t>BMC Medical Education</w:t>
      </w:r>
      <w:r w:rsidRPr="00EF2814">
        <w:rPr>
          <w:rFonts w:eastAsia="Times New Roman" w:cs="Arial"/>
          <w:lang w:val="en-GB"/>
        </w:rPr>
        <w:t xml:space="preserve">, 25(1). Available at: </w:t>
      </w:r>
      <w:hyperlink r:id="rId70" w:history="1">
        <w:r w:rsidRPr="00EF2814">
          <w:rPr>
            <w:rStyle w:val="Hyperlink"/>
            <w:rFonts w:eastAsia="Times New Roman" w:cs="Arial"/>
            <w:lang w:val="en-GB"/>
          </w:rPr>
          <w:t>https://doi.org/10.1186/s12909-025-07745-z</w:t>
        </w:r>
      </w:hyperlink>
      <w:r w:rsidRPr="00EF2814">
        <w:rPr>
          <w:rFonts w:eastAsia="Times New Roman" w:cs="Arial"/>
          <w:lang w:val="en-GB"/>
        </w:rPr>
        <w:t xml:space="preserve"> </w:t>
      </w:r>
    </w:p>
    <w:p w14:paraId="501280F7"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Khalid, K. and Al Zahrani, M.A.K. (2024) ‘Investigating the Dynamics of Workforce Stability: The Influence of Perceived Employability on Career Resilience, Task Performance, Learning Agility and Employee Retention’, </w:t>
      </w:r>
      <w:r w:rsidRPr="00EF2814">
        <w:rPr>
          <w:rFonts w:cs="Arial"/>
          <w:i/>
          <w:iCs/>
          <w:lang w:val="en-GB"/>
        </w:rPr>
        <w:t>European Journal of Sustainable Development</w:t>
      </w:r>
      <w:r w:rsidRPr="00EF2814">
        <w:rPr>
          <w:rFonts w:cs="Arial"/>
          <w:lang w:val="en-GB"/>
        </w:rPr>
        <w:t xml:space="preserve">, 13(3), p. 389. Available at: </w:t>
      </w:r>
      <w:hyperlink r:id="rId71" w:history="1">
        <w:r w:rsidRPr="00EF2814">
          <w:rPr>
            <w:rFonts w:cs="Arial"/>
            <w:lang w:val="en-GB"/>
          </w:rPr>
          <w:t>https://doi.org/10.14207/ejsd.2024.v13n3p389</w:t>
        </w:r>
      </w:hyperlink>
      <w:r w:rsidRPr="00EF2814">
        <w:rPr>
          <w:rFonts w:cs="Arial"/>
          <w:lang w:val="en-GB"/>
        </w:rPr>
        <w:t>.</w:t>
      </w:r>
    </w:p>
    <w:p w14:paraId="70EA56E6"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Khazaei, A., Torabi, M., </w:t>
      </w:r>
      <w:proofErr w:type="spellStart"/>
      <w:r w:rsidRPr="00EF2814">
        <w:rPr>
          <w:rFonts w:cs="Arial"/>
          <w:lang w:val="en-GB"/>
        </w:rPr>
        <w:t>Shayganihonar</w:t>
      </w:r>
      <w:proofErr w:type="spellEnd"/>
      <w:r w:rsidRPr="00EF2814">
        <w:rPr>
          <w:rFonts w:cs="Arial"/>
          <w:lang w:val="en-GB"/>
        </w:rPr>
        <w:t xml:space="preserve">, M. and Bayat, A.R. (2024) ‘Exploring the challenges of emergency medical service providers in the initial phase of the COVID-19 pandemic: a qualitative content analysis’, </w:t>
      </w:r>
      <w:r w:rsidRPr="00EF2814">
        <w:rPr>
          <w:rFonts w:cs="Arial"/>
          <w:i/>
          <w:iCs/>
          <w:lang w:val="en-GB"/>
        </w:rPr>
        <w:t>BMC Emergency Medicine</w:t>
      </w:r>
      <w:r w:rsidRPr="00EF2814">
        <w:rPr>
          <w:rFonts w:cs="Arial"/>
          <w:lang w:val="en-GB"/>
        </w:rPr>
        <w:t xml:space="preserve">, 24(1). Available at: </w:t>
      </w:r>
      <w:hyperlink r:id="rId72" w:history="1">
        <w:r w:rsidRPr="00EF2814">
          <w:rPr>
            <w:rFonts w:cs="Arial"/>
            <w:lang w:val="en-GB"/>
          </w:rPr>
          <w:t>https://doi.org/10.1186/s12873-024-01079-7</w:t>
        </w:r>
      </w:hyperlink>
      <w:r w:rsidRPr="00EF2814">
        <w:rPr>
          <w:rFonts w:cs="Arial"/>
          <w:lang w:val="en-GB"/>
        </w:rPr>
        <w:t>.</w:t>
      </w:r>
    </w:p>
    <w:p w14:paraId="6914A738"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Khurshid, Z., Tariq, R., Asiri, F.Y., Abid, K. and Zafar, M.S. (2022) ‘Literature search strategies in dental education and research’, </w:t>
      </w:r>
      <w:r w:rsidRPr="00EF2814">
        <w:rPr>
          <w:rFonts w:cs="Arial"/>
          <w:i/>
          <w:iCs/>
          <w:lang w:val="en-GB"/>
        </w:rPr>
        <w:t>Journal of Taibah University Medical Sciences</w:t>
      </w:r>
      <w:r w:rsidRPr="00EF2814">
        <w:rPr>
          <w:rFonts w:cs="Arial"/>
          <w:lang w:val="en-GB"/>
        </w:rPr>
        <w:t xml:space="preserve">, 16(6). Available at: </w:t>
      </w:r>
      <w:hyperlink r:id="rId73" w:history="1">
        <w:r w:rsidRPr="00EF2814">
          <w:rPr>
            <w:rFonts w:cs="Arial"/>
            <w:lang w:val="en-GB"/>
          </w:rPr>
          <w:t>https://doi.org/10.1016/j.jtumed.2021.05.012</w:t>
        </w:r>
      </w:hyperlink>
      <w:r w:rsidRPr="00EF2814">
        <w:rPr>
          <w:rFonts w:cs="Arial"/>
          <w:lang w:val="en-GB"/>
        </w:rPr>
        <w:t>.</w:t>
      </w:r>
    </w:p>
    <w:p w14:paraId="585FFE50"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Khurshid, Z., Tariq, R., Asiri, F.Y., Abid, K. and Zafar, M.S. (2022) ‘Literature search strategies in dental education and research’, </w:t>
      </w:r>
      <w:r w:rsidRPr="00EF2814">
        <w:rPr>
          <w:rFonts w:cs="Arial"/>
          <w:i/>
          <w:iCs/>
          <w:lang w:val="en-GB"/>
        </w:rPr>
        <w:t>Journal of Taibah University Medical Sciences</w:t>
      </w:r>
      <w:r w:rsidRPr="00EF2814">
        <w:rPr>
          <w:rFonts w:cs="Arial"/>
          <w:lang w:val="en-GB"/>
        </w:rPr>
        <w:t xml:space="preserve">, 16(6). Available at: </w:t>
      </w:r>
      <w:hyperlink r:id="rId74" w:history="1">
        <w:r w:rsidRPr="00EF2814">
          <w:rPr>
            <w:rFonts w:cs="Arial"/>
            <w:lang w:val="en-GB"/>
          </w:rPr>
          <w:t>https://doi.org/10.1016/j.jtumed.2021.05.012</w:t>
        </w:r>
      </w:hyperlink>
      <w:r w:rsidRPr="00EF2814">
        <w:rPr>
          <w:rFonts w:cs="Arial"/>
          <w:lang w:val="en-GB"/>
        </w:rPr>
        <w:t>.</w:t>
      </w:r>
    </w:p>
    <w:p w14:paraId="75AC1D46"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Kidanemariam, T.T., Raknes Sogstad, M.K., Wiig, S. and Haraldseid-</w:t>
      </w:r>
      <w:proofErr w:type="spellStart"/>
      <w:r w:rsidRPr="00EF2814">
        <w:rPr>
          <w:rFonts w:cs="Arial"/>
          <w:lang w:val="en-GB"/>
        </w:rPr>
        <w:t>Driftland</w:t>
      </w:r>
      <w:proofErr w:type="spellEnd"/>
      <w:r w:rsidRPr="00EF2814">
        <w:rPr>
          <w:rFonts w:cs="Arial"/>
          <w:lang w:val="en-GB"/>
        </w:rPr>
        <w:t xml:space="preserve">, C. (2026) ‘Factors supporting resilient performance and mental well-being among health care professionals in home care settings: a qualitative study’, </w:t>
      </w:r>
      <w:r w:rsidRPr="00EF2814">
        <w:rPr>
          <w:rFonts w:cs="Arial"/>
          <w:i/>
          <w:iCs/>
          <w:lang w:val="en-GB"/>
        </w:rPr>
        <w:t>BMC Health Services Research</w:t>
      </w:r>
      <w:r w:rsidRPr="00EF2814">
        <w:rPr>
          <w:rFonts w:cs="Arial"/>
          <w:lang w:val="en-GB"/>
        </w:rPr>
        <w:t xml:space="preserve">, 26(1). Available at: </w:t>
      </w:r>
      <w:hyperlink r:id="rId75" w:history="1">
        <w:r w:rsidRPr="00EF2814">
          <w:rPr>
            <w:rFonts w:cs="Arial"/>
            <w:lang w:val="en-GB"/>
          </w:rPr>
          <w:t>https://doi.org/10.1186/s12913-025-13917-w</w:t>
        </w:r>
      </w:hyperlink>
      <w:r w:rsidRPr="00EF2814">
        <w:rPr>
          <w:rFonts w:cs="Arial"/>
          <w:lang w:val="en-GB"/>
        </w:rPr>
        <w:t>.</w:t>
      </w:r>
    </w:p>
    <w:p w14:paraId="66EBFAF1"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Lal, Z.Z., Mayuri Gogoi, Qureshi, I., Amani Al-Oraibi, Chaloner, J., </w:t>
      </w:r>
      <w:proofErr w:type="spellStart"/>
      <w:r w:rsidRPr="00EF2814">
        <w:rPr>
          <w:rFonts w:cs="Arial"/>
          <w:lang w:val="en-GB"/>
        </w:rPr>
        <w:t>Padmasayee</w:t>
      </w:r>
      <w:proofErr w:type="spellEnd"/>
      <w:r w:rsidRPr="00EF2814">
        <w:rPr>
          <w:rFonts w:cs="Arial"/>
          <w:lang w:val="en-GB"/>
        </w:rPr>
        <w:t xml:space="preserve"> </w:t>
      </w:r>
      <w:proofErr w:type="spellStart"/>
      <w:r w:rsidRPr="00EF2814">
        <w:rPr>
          <w:rFonts w:cs="Arial"/>
          <w:lang w:val="en-GB"/>
        </w:rPr>
        <w:t>Papineni</w:t>
      </w:r>
      <w:proofErr w:type="spellEnd"/>
      <w:r w:rsidRPr="00EF2814">
        <w:rPr>
          <w:rFonts w:cs="Arial"/>
          <w:lang w:val="en-GB"/>
        </w:rPr>
        <w:t xml:space="preserve">, </w:t>
      </w:r>
      <w:proofErr w:type="spellStart"/>
      <w:r w:rsidRPr="00EF2814">
        <w:rPr>
          <w:rFonts w:cs="Arial"/>
          <w:lang w:val="en-GB"/>
        </w:rPr>
        <w:t>Lagrata</w:t>
      </w:r>
      <w:proofErr w:type="spellEnd"/>
      <w:r w:rsidRPr="00EF2814">
        <w:rPr>
          <w:rFonts w:cs="Arial"/>
          <w:lang w:val="en-GB"/>
        </w:rPr>
        <w:t xml:space="preserve">, S., Nellums, L.B., Martin, C.A., Woolf, K., Manish Pareek, Gray, L., Nellums, L., Guyatt, A.L., John, C., McManus, I.C., Abubakar, I., Gupta, A., Avinash Aujayeb and Bindu Gregary (2025) ‘Redeployment and changes in working patterns of healthcare workers during COVID-19 in the UK: a qualitative study’, </w:t>
      </w:r>
      <w:r w:rsidRPr="00EF2814">
        <w:rPr>
          <w:rFonts w:cs="Arial"/>
          <w:i/>
          <w:iCs/>
          <w:lang w:val="en-GB"/>
        </w:rPr>
        <w:t>BMC Health Services Research</w:t>
      </w:r>
      <w:r w:rsidRPr="00EF2814">
        <w:rPr>
          <w:rFonts w:cs="Arial"/>
          <w:lang w:val="en-GB"/>
        </w:rPr>
        <w:t xml:space="preserve">, 25(1). Available at: </w:t>
      </w:r>
      <w:hyperlink r:id="rId76" w:history="1">
        <w:r w:rsidRPr="00EF2814">
          <w:rPr>
            <w:rFonts w:cs="Arial"/>
            <w:lang w:val="en-GB"/>
          </w:rPr>
          <w:t>https://doi.org/10.1186/s12913-025-12389-2</w:t>
        </w:r>
      </w:hyperlink>
      <w:r w:rsidRPr="00EF2814">
        <w:rPr>
          <w:rFonts w:cs="Arial"/>
          <w:lang w:val="en-GB"/>
        </w:rPr>
        <w:t>.</w:t>
      </w:r>
    </w:p>
    <w:p w14:paraId="0606DAC7" w14:textId="77777777" w:rsidR="002D744B" w:rsidRPr="00EF2814" w:rsidRDefault="002D744B" w:rsidP="008C02E0">
      <w:pPr>
        <w:spacing w:before="240" w:after="0"/>
        <w:rPr>
          <w:rFonts w:cs="Arial"/>
          <w:lang w:val="en-GB"/>
        </w:rPr>
      </w:pPr>
      <w:r w:rsidRPr="00EF2814">
        <w:rPr>
          <w:rFonts w:cs="Arial"/>
          <w:lang w:val="en-GB"/>
        </w:rPr>
        <w:t xml:space="preserve">Lamberti-Castronuovo, A., </w:t>
      </w:r>
      <w:proofErr w:type="spellStart"/>
      <w:r w:rsidRPr="00EF2814">
        <w:rPr>
          <w:rFonts w:cs="Arial"/>
          <w:lang w:val="en-GB"/>
        </w:rPr>
        <w:t>Parotto</w:t>
      </w:r>
      <w:proofErr w:type="spellEnd"/>
      <w:r w:rsidRPr="00EF2814">
        <w:rPr>
          <w:rFonts w:cs="Arial"/>
          <w:lang w:val="en-GB"/>
        </w:rPr>
        <w:t xml:space="preserve">, E., Della Corte, F., Hubloue, I., </w:t>
      </w:r>
      <w:proofErr w:type="spellStart"/>
      <w:r w:rsidRPr="00EF2814">
        <w:rPr>
          <w:rFonts w:cs="Arial"/>
          <w:lang w:val="en-GB"/>
        </w:rPr>
        <w:t>Ragazzoni</w:t>
      </w:r>
      <w:proofErr w:type="spellEnd"/>
      <w:r w:rsidRPr="00EF2814">
        <w:rPr>
          <w:rFonts w:cs="Arial"/>
          <w:lang w:val="en-GB"/>
        </w:rPr>
        <w:t xml:space="preserve">, L. and Valente, M. (2022) ‘The COVID-19 pandemic response and its impact on post-corona health emergency and </w:t>
      </w:r>
      <w:r w:rsidRPr="00EF2814">
        <w:rPr>
          <w:rFonts w:cs="Arial"/>
          <w:lang w:val="en-GB"/>
        </w:rPr>
        <w:lastRenderedPageBreak/>
        <w:t xml:space="preserve">disaster risk management in Italy.’ </w:t>
      </w:r>
      <w:r w:rsidRPr="00EF2814">
        <w:rPr>
          <w:rFonts w:cs="Arial"/>
          <w:i/>
          <w:iCs/>
          <w:lang w:val="en-GB"/>
        </w:rPr>
        <w:t>Frontiers in Public Health</w:t>
      </w:r>
      <w:r w:rsidRPr="00EF2814">
        <w:rPr>
          <w:rFonts w:cs="Arial"/>
          <w:lang w:val="en-GB"/>
        </w:rPr>
        <w:t xml:space="preserve">, 10. Available at: </w:t>
      </w:r>
      <w:hyperlink r:id="rId77" w:history="1">
        <w:r w:rsidRPr="00EF2814">
          <w:rPr>
            <w:rStyle w:val="Hyperlink"/>
            <w:rFonts w:cs="Arial"/>
            <w:lang w:val="en-GB"/>
          </w:rPr>
          <w:t>https://doi.org/10.3389/fpubh.2022.1034196</w:t>
        </w:r>
      </w:hyperlink>
      <w:r w:rsidRPr="00EF2814">
        <w:rPr>
          <w:rFonts w:cs="Arial"/>
          <w:lang w:val="en-GB"/>
        </w:rPr>
        <w:t xml:space="preserve"> </w:t>
      </w:r>
    </w:p>
    <w:p w14:paraId="5003B4FF"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Lee, A.T., Ramasamy, R.K. and Subbarao, A. (2025) ‘Barriers to and Facilitators of Technology Adoption in Emergency Departments: A Comprehensive Review.’ </w:t>
      </w:r>
      <w:r w:rsidRPr="00EF2814">
        <w:rPr>
          <w:rFonts w:eastAsia="Times New Roman" w:cs="Arial"/>
          <w:i/>
          <w:iCs/>
          <w:lang w:val="en-GB"/>
        </w:rPr>
        <w:t>International Journal of Environmental Research and Public Health</w:t>
      </w:r>
      <w:r w:rsidRPr="00EF2814">
        <w:rPr>
          <w:rFonts w:eastAsia="Times New Roman" w:cs="Arial"/>
          <w:lang w:val="en-GB"/>
        </w:rPr>
        <w:t xml:space="preserve">, [online] 22(4), pp.479–479. Available at: </w:t>
      </w:r>
      <w:hyperlink r:id="rId78" w:history="1">
        <w:r w:rsidRPr="00EF2814">
          <w:rPr>
            <w:rStyle w:val="Hyperlink"/>
            <w:rFonts w:eastAsia="Times New Roman" w:cs="Arial"/>
            <w:lang w:val="en-GB"/>
          </w:rPr>
          <w:t>https://doi.org/10.3390/ijerph22040479</w:t>
        </w:r>
      </w:hyperlink>
      <w:r w:rsidRPr="00EF2814">
        <w:rPr>
          <w:rFonts w:eastAsia="Times New Roman" w:cs="Arial"/>
          <w:lang w:val="en-GB"/>
        </w:rPr>
        <w:t xml:space="preserve"> </w:t>
      </w:r>
    </w:p>
    <w:p w14:paraId="39437706" w14:textId="77777777" w:rsidR="002D744B" w:rsidRPr="00EF2814" w:rsidRDefault="002D744B" w:rsidP="008C02E0">
      <w:pPr>
        <w:spacing w:before="240" w:after="0"/>
        <w:rPr>
          <w:rFonts w:cs="Arial"/>
          <w:lang w:val="en-GB"/>
        </w:rPr>
      </w:pPr>
      <w:r w:rsidRPr="00EF2814">
        <w:rPr>
          <w:rFonts w:cs="Arial"/>
          <w:lang w:val="en-GB"/>
        </w:rPr>
        <w:t xml:space="preserve">Lefroy, J., Bialan, J., Moult, A., Hay, F., Stapleton, C., Thompson, J., Diggory, K., Mustafa, N., Farrington, J., Aynsley, S.A., Jacklin, S., Winterton, A. and Cope, N. (2023) ‘Training healthcare professionals to be ready for practice in an era of social distancing: a realist evaluation.’ </w:t>
      </w:r>
      <w:r w:rsidRPr="00EF2814">
        <w:rPr>
          <w:rFonts w:cs="Arial"/>
          <w:i/>
          <w:iCs/>
          <w:lang w:val="en-GB"/>
        </w:rPr>
        <w:t>Advances in Health Sciences Education</w:t>
      </w:r>
      <w:r w:rsidRPr="00EF2814">
        <w:rPr>
          <w:rFonts w:cs="Arial"/>
          <w:lang w:val="en-GB"/>
        </w:rPr>
        <w:t xml:space="preserve">. pp. 98-103. Available at: </w:t>
      </w:r>
      <w:hyperlink r:id="rId79" w:history="1">
        <w:r w:rsidRPr="00EF2814">
          <w:rPr>
            <w:rStyle w:val="Hyperlink"/>
            <w:rFonts w:cs="Arial"/>
            <w:lang w:val="en-GB"/>
          </w:rPr>
          <w:t>https://doi.org/10.1007/s10459-023-10297-w</w:t>
        </w:r>
      </w:hyperlink>
      <w:r w:rsidRPr="00EF2814">
        <w:rPr>
          <w:rFonts w:cs="Arial"/>
          <w:lang w:val="en-GB"/>
        </w:rPr>
        <w:t xml:space="preserve"> </w:t>
      </w:r>
    </w:p>
    <w:p w14:paraId="6C39F998" w14:textId="3BB26DF2" w:rsidR="002D744B" w:rsidRPr="00EF2814" w:rsidRDefault="002D744B" w:rsidP="008C02E0">
      <w:pPr>
        <w:spacing w:before="240" w:after="0"/>
        <w:rPr>
          <w:rFonts w:cs="Arial"/>
          <w:lang w:val="en-GB"/>
        </w:rPr>
      </w:pPr>
      <w:r w:rsidRPr="00EF2814">
        <w:rPr>
          <w:rFonts w:cs="Arial"/>
          <w:lang w:val="en-GB"/>
        </w:rPr>
        <w:t xml:space="preserve">Legislation (2022) </w:t>
      </w:r>
      <w:r w:rsidRPr="00EF2814">
        <w:rPr>
          <w:rFonts w:cs="Arial"/>
          <w:i/>
          <w:iCs/>
          <w:lang w:val="en-GB"/>
        </w:rPr>
        <w:t>Health and Social Care Act 2012</w:t>
      </w:r>
      <w:r w:rsidRPr="00EF2814">
        <w:rPr>
          <w:rFonts w:cs="Arial"/>
          <w:lang w:val="en-GB"/>
        </w:rPr>
        <w:t xml:space="preserve">. [online] Legislation.gov.uk. Available at: </w:t>
      </w:r>
      <w:hyperlink r:id="rId80" w:history="1">
        <w:r w:rsidRPr="00EF2814">
          <w:rPr>
            <w:rStyle w:val="Hyperlink"/>
            <w:rFonts w:cs="Arial"/>
            <w:lang w:val="en-GB"/>
          </w:rPr>
          <w:t>https://www.legislation.gov.uk/id/ukpga/2012/7</w:t>
        </w:r>
      </w:hyperlink>
      <w:r w:rsidRPr="00EF2814">
        <w:rPr>
          <w:rFonts w:cs="Arial"/>
          <w:lang w:val="en-GB"/>
        </w:rPr>
        <w:t xml:space="preserve"> [Accessed 7 </w:t>
      </w:r>
      <w:r w:rsidR="005B71A0">
        <w:rPr>
          <w:rFonts w:cs="Arial"/>
          <w:lang w:val="en-GB"/>
        </w:rPr>
        <w:t>April</w:t>
      </w:r>
      <w:r w:rsidRPr="00EF2814">
        <w:rPr>
          <w:rFonts w:cs="Arial"/>
          <w:lang w:val="en-GB"/>
        </w:rPr>
        <w:t>. 2026].</w:t>
      </w:r>
    </w:p>
    <w:p w14:paraId="072922F3" w14:textId="1F3510BA" w:rsidR="002D744B" w:rsidRPr="00EF2814" w:rsidRDefault="002D744B" w:rsidP="002D744B">
      <w:pPr>
        <w:spacing w:before="240"/>
        <w:rPr>
          <w:rFonts w:eastAsia="Times New Roman" w:cs="Arial"/>
          <w:lang w:val="en-GB"/>
        </w:rPr>
      </w:pPr>
      <w:r w:rsidRPr="00EF2814">
        <w:rPr>
          <w:rFonts w:eastAsia="Times New Roman" w:cs="Arial"/>
          <w:lang w:val="en-GB"/>
        </w:rPr>
        <w:t xml:space="preserve">Legislation.gov.uk (2024) </w:t>
      </w:r>
      <w:r w:rsidRPr="00EF2814">
        <w:rPr>
          <w:rFonts w:eastAsia="Times New Roman" w:cs="Arial"/>
          <w:i/>
          <w:iCs/>
          <w:lang w:val="en-GB"/>
        </w:rPr>
        <w:t>Care Act 2014</w:t>
      </w:r>
      <w:r w:rsidRPr="00EF2814">
        <w:rPr>
          <w:rFonts w:eastAsia="Times New Roman" w:cs="Arial"/>
          <w:lang w:val="en-GB"/>
        </w:rPr>
        <w:t xml:space="preserve">. [online] Legislation.gov.uk. Available at: </w:t>
      </w:r>
      <w:hyperlink r:id="rId81" w:history="1">
        <w:r w:rsidRPr="00EF2814">
          <w:rPr>
            <w:rStyle w:val="Hyperlink"/>
            <w:rFonts w:eastAsia="Times New Roman" w:cs="Arial"/>
            <w:lang w:val="en-GB"/>
          </w:rPr>
          <w:t>https://www.legislation.gov.uk/ukpga/2014/23/contents</w:t>
        </w:r>
      </w:hyperlink>
      <w:r w:rsidRPr="00EF2814">
        <w:rPr>
          <w:rFonts w:eastAsia="Times New Roman" w:cs="Arial"/>
          <w:lang w:val="en-GB"/>
        </w:rPr>
        <w:t xml:space="preserve"> [Accessed 17 </w:t>
      </w:r>
      <w:r w:rsidR="005B71A0">
        <w:rPr>
          <w:rFonts w:eastAsia="Times New Roman" w:cs="Arial"/>
          <w:lang w:val="en-GB"/>
        </w:rPr>
        <w:t>April</w:t>
      </w:r>
      <w:r w:rsidRPr="00EF2814">
        <w:rPr>
          <w:rFonts w:eastAsia="Times New Roman" w:cs="Arial"/>
          <w:lang w:val="en-GB"/>
        </w:rPr>
        <w:t xml:space="preserve"> 2026]</w:t>
      </w:r>
    </w:p>
    <w:p w14:paraId="502E78F4"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Leung, C., Olufunlayo, T., </w:t>
      </w:r>
      <w:proofErr w:type="spellStart"/>
      <w:r w:rsidRPr="00EF2814">
        <w:rPr>
          <w:rFonts w:cs="Arial"/>
          <w:lang w:val="en-GB"/>
        </w:rPr>
        <w:t>Olateju</w:t>
      </w:r>
      <w:proofErr w:type="spellEnd"/>
      <w:r w:rsidRPr="00EF2814">
        <w:rPr>
          <w:rFonts w:cs="Arial"/>
          <w:lang w:val="en-GB"/>
        </w:rPr>
        <w:t xml:space="preserve">, Z., MacArthur, C. and Taylor, B. (2022) ‘Perceptions and experiences of maternity care workers during COVID-19 pandemic in Lagos State, Nigeria; a qualitative study’, </w:t>
      </w:r>
      <w:r w:rsidRPr="00EF2814">
        <w:rPr>
          <w:rFonts w:cs="Arial"/>
          <w:i/>
          <w:iCs/>
          <w:lang w:val="en-GB"/>
        </w:rPr>
        <w:t>BMC Health Services Research</w:t>
      </w:r>
      <w:r w:rsidRPr="00EF2814">
        <w:rPr>
          <w:rFonts w:cs="Arial"/>
          <w:lang w:val="en-GB"/>
        </w:rPr>
        <w:t xml:space="preserve">, 22(1). Available at: </w:t>
      </w:r>
      <w:hyperlink r:id="rId82" w:history="1">
        <w:r w:rsidRPr="00EF2814">
          <w:rPr>
            <w:rFonts w:cs="Arial"/>
            <w:lang w:val="en-GB"/>
          </w:rPr>
          <w:t>https://doi.org/10.1186/s12913-022-08009-y</w:t>
        </w:r>
      </w:hyperlink>
      <w:r w:rsidRPr="00EF2814">
        <w:rPr>
          <w:rFonts w:cs="Arial"/>
          <w:lang w:val="en-GB"/>
        </w:rPr>
        <w:t>.</w:t>
      </w:r>
    </w:p>
    <w:p w14:paraId="21E2F6B8" w14:textId="77777777" w:rsidR="002D744B" w:rsidRPr="00EF2814" w:rsidRDefault="002D744B" w:rsidP="008C02E0">
      <w:pPr>
        <w:spacing w:before="240" w:after="0"/>
        <w:rPr>
          <w:rFonts w:cs="Arial"/>
          <w:lang w:val="en-GB"/>
        </w:rPr>
      </w:pPr>
      <w:r w:rsidRPr="00EF2814">
        <w:rPr>
          <w:rFonts w:cs="Arial"/>
          <w:lang w:val="en-GB"/>
        </w:rPr>
        <w:t xml:space="preserve">Ma, J., Zhang, Y., Li, J., Qu, W. and Zhou, Z. (2025) ‘Spillover effects of military healthcare reform on civilian hospitals in China.’ </w:t>
      </w:r>
      <w:r w:rsidRPr="00EF2814">
        <w:rPr>
          <w:rFonts w:cs="Arial"/>
          <w:i/>
          <w:iCs/>
          <w:lang w:val="en-GB"/>
        </w:rPr>
        <w:t>Frontiers in Public Health</w:t>
      </w:r>
      <w:r w:rsidRPr="00EF2814">
        <w:rPr>
          <w:rFonts w:cs="Arial"/>
          <w:lang w:val="en-GB"/>
        </w:rPr>
        <w:t xml:space="preserve">, 13. pp. 46-53. Available at: </w:t>
      </w:r>
      <w:hyperlink r:id="rId83" w:history="1">
        <w:r w:rsidRPr="00EF2814">
          <w:rPr>
            <w:rStyle w:val="Hyperlink"/>
            <w:rFonts w:cs="Arial"/>
            <w:lang w:val="en-GB"/>
          </w:rPr>
          <w:t>https://doi.org/10.3389/fpubh.2025.1702059</w:t>
        </w:r>
      </w:hyperlink>
      <w:r w:rsidRPr="00EF2814">
        <w:rPr>
          <w:rFonts w:cs="Arial"/>
          <w:lang w:val="en-GB"/>
        </w:rPr>
        <w:t xml:space="preserve"> </w:t>
      </w:r>
    </w:p>
    <w:p w14:paraId="1B1FAEAA"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MacKay, M., Ford, C., Grant, L.E., Papadopoulos, A. and McWhirter, J.E. (2024) ‘Developing competencies in public health: a scoping review of the literature on developing competency frameworks and student and workforce development.’ </w:t>
      </w:r>
      <w:r w:rsidRPr="00EF2814">
        <w:rPr>
          <w:rFonts w:eastAsia="Times New Roman" w:cs="Arial"/>
          <w:i/>
          <w:iCs/>
          <w:lang w:val="en-GB"/>
        </w:rPr>
        <w:t>Frontiers in public health</w:t>
      </w:r>
      <w:r w:rsidRPr="00EF2814">
        <w:rPr>
          <w:rFonts w:eastAsia="Times New Roman" w:cs="Arial"/>
          <w:lang w:val="en-GB"/>
        </w:rPr>
        <w:t xml:space="preserve">, 12. Available at: </w:t>
      </w:r>
      <w:hyperlink r:id="rId84" w:history="1">
        <w:r w:rsidRPr="00EF2814">
          <w:rPr>
            <w:rStyle w:val="Hyperlink"/>
            <w:rFonts w:eastAsia="Times New Roman" w:cs="Arial"/>
            <w:lang w:val="en-GB"/>
          </w:rPr>
          <w:t>https://doi.org/10.3389/fpubh.2024.1332412</w:t>
        </w:r>
      </w:hyperlink>
      <w:r w:rsidRPr="00EF2814">
        <w:rPr>
          <w:rFonts w:eastAsia="Times New Roman" w:cs="Arial"/>
          <w:lang w:val="en-GB"/>
        </w:rPr>
        <w:t xml:space="preserve"> </w:t>
      </w:r>
    </w:p>
    <w:p w14:paraId="297C5D9E" w14:textId="77777777" w:rsidR="002D744B" w:rsidRPr="00EF2814" w:rsidRDefault="002D744B" w:rsidP="008C02E0">
      <w:pPr>
        <w:spacing w:before="240" w:after="0"/>
        <w:rPr>
          <w:rFonts w:cs="Arial"/>
          <w:lang w:val="en-GB"/>
        </w:rPr>
      </w:pPr>
      <w:r w:rsidRPr="00EF2814">
        <w:rPr>
          <w:rFonts w:cs="Arial"/>
          <w:lang w:val="en-GB"/>
        </w:rPr>
        <w:t xml:space="preserve">Maddock, J., Parsons, S., Di Gessa, G., Green, M.J., Thompson, E.J., Stevenson, A.J., Kwong, A.S., McElroy, E., Santorelli, G., Silverwood, R.J., Captur, G., Chaturvedi, N., Steves, C.J., Steptoe, A., </w:t>
      </w:r>
      <w:proofErr w:type="spellStart"/>
      <w:r w:rsidRPr="00EF2814">
        <w:rPr>
          <w:rFonts w:cs="Arial"/>
          <w:lang w:val="en-GB"/>
        </w:rPr>
        <w:t>Patalay</w:t>
      </w:r>
      <w:proofErr w:type="spellEnd"/>
      <w:r w:rsidRPr="00EF2814">
        <w:rPr>
          <w:rFonts w:cs="Arial"/>
          <w:lang w:val="en-GB"/>
        </w:rPr>
        <w:t xml:space="preserve">, P., Ploubidis, G.B. and </w:t>
      </w:r>
      <w:proofErr w:type="spellStart"/>
      <w:r w:rsidRPr="00EF2814">
        <w:rPr>
          <w:rFonts w:cs="Arial"/>
          <w:lang w:val="en-GB"/>
        </w:rPr>
        <w:t>Katikireddi</w:t>
      </w:r>
      <w:proofErr w:type="spellEnd"/>
      <w:r w:rsidRPr="00EF2814">
        <w:rPr>
          <w:rFonts w:cs="Arial"/>
          <w:lang w:val="en-GB"/>
        </w:rPr>
        <w:t xml:space="preserve">, S.V. (2022) ‘Inequalities in healthcare </w:t>
      </w:r>
      <w:r w:rsidRPr="00EF2814">
        <w:rPr>
          <w:rFonts w:cs="Arial"/>
          <w:lang w:val="en-GB"/>
        </w:rPr>
        <w:lastRenderedPageBreak/>
        <w:t xml:space="preserve">disruptions during the COVID-19 pandemic: evidence from 12 UK population-based longitudinal studies.’ </w:t>
      </w:r>
      <w:r w:rsidRPr="00EF2814">
        <w:rPr>
          <w:rFonts w:cs="Arial"/>
          <w:i/>
          <w:iCs/>
          <w:lang w:val="en-GB"/>
        </w:rPr>
        <w:t>BMJ Open</w:t>
      </w:r>
      <w:r w:rsidRPr="00EF2814">
        <w:rPr>
          <w:rFonts w:cs="Arial"/>
          <w:lang w:val="en-GB"/>
        </w:rPr>
        <w:t xml:space="preserve">, 12(10), pp. 60-90.  Available at: </w:t>
      </w:r>
      <w:hyperlink r:id="rId85" w:history="1">
        <w:r w:rsidRPr="00EF2814">
          <w:rPr>
            <w:rStyle w:val="Hyperlink"/>
            <w:rFonts w:cs="Arial"/>
            <w:lang w:val="en-GB"/>
          </w:rPr>
          <w:t>https://doi.org/10.1136/bmjopen-2022-064981</w:t>
        </w:r>
      </w:hyperlink>
      <w:r w:rsidRPr="00EF2814">
        <w:rPr>
          <w:rFonts w:cs="Arial"/>
          <w:lang w:val="en-GB"/>
        </w:rPr>
        <w:t xml:space="preserve"> </w:t>
      </w:r>
    </w:p>
    <w:p w14:paraId="2320302C" w14:textId="77777777" w:rsidR="002D744B" w:rsidRPr="00EF2814" w:rsidRDefault="002D744B" w:rsidP="008C02E0">
      <w:pPr>
        <w:spacing w:before="240" w:after="0"/>
        <w:rPr>
          <w:rFonts w:cs="Arial"/>
          <w:lang w:val="en-GB"/>
        </w:rPr>
      </w:pPr>
      <w:r w:rsidRPr="00EF2814">
        <w:rPr>
          <w:rFonts w:cs="Arial"/>
          <w:lang w:val="en-GB"/>
        </w:rPr>
        <w:t xml:space="preserve">Malloch, M., Cairns, L., Evans, K. and O’Connor, B. (2021) </w:t>
      </w:r>
      <w:r w:rsidRPr="00EF2814">
        <w:rPr>
          <w:rFonts w:cs="Arial"/>
          <w:i/>
          <w:iCs/>
          <w:lang w:val="en-GB"/>
        </w:rPr>
        <w:t>The SAGE Handbook of Workplace Learning</w:t>
      </w:r>
      <w:r w:rsidRPr="00EF2814">
        <w:rPr>
          <w:rFonts w:cs="Arial"/>
          <w:lang w:val="en-GB"/>
        </w:rPr>
        <w:t xml:space="preserve">. 1 Oliver’s Yard, 55 City Road, London EC1Y 1SP United Kingdom: SAGE Publications Ltd. Available at: </w:t>
      </w:r>
      <w:hyperlink r:id="rId86" w:history="1">
        <w:r w:rsidRPr="00EF2814">
          <w:rPr>
            <w:rStyle w:val="Hyperlink"/>
            <w:rFonts w:cs="Arial"/>
            <w:lang w:val="en-GB"/>
          </w:rPr>
          <w:t>https://doi.org/10.4135/9781446200940</w:t>
        </w:r>
      </w:hyperlink>
      <w:r w:rsidRPr="00EF2814">
        <w:rPr>
          <w:rFonts w:cs="Arial"/>
          <w:lang w:val="en-GB"/>
        </w:rPr>
        <w:t xml:space="preserve"> </w:t>
      </w:r>
    </w:p>
    <w:p w14:paraId="24E4BD2F"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Manzini, D., Oosthuizen, R. and Chikwanda, H. (2025) ‘Enhancing organisational resilience through systems thinking.’ </w:t>
      </w:r>
      <w:r w:rsidRPr="00EF2814">
        <w:rPr>
          <w:rFonts w:eastAsia="Times New Roman" w:cs="Arial"/>
          <w:i/>
          <w:iCs/>
          <w:lang w:val="en-GB"/>
        </w:rPr>
        <w:t>Social Sciences &amp; Humanities Open</w:t>
      </w:r>
      <w:r w:rsidRPr="00EF2814">
        <w:rPr>
          <w:rFonts w:eastAsia="Times New Roman" w:cs="Arial"/>
          <w:lang w:val="en-GB"/>
        </w:rPr>
        <w:t xml:space="preserve">, [online] 12, p.101783. Available at: </w:t>
      </w:r>
      <w:hyperlink r:id="rId87" w:history="1">
        <w:r w:rsidRPr="00EF2814">
          <w:rPr>
            <w:rStyle w:val="Hyperlink"/>
            <w:rFonts w:eastAsia="Times New Roman" w:cs="Arial"/>
            <w:lang w:val="en-GB"/>
          </w:rPr>
          <w:t>https://doi.org/10.1016/j.ssaho.2025.101783</w:t>
        </w:r>
      </w:hyperlink>
      <w:r w:rsidRPr="00EF2814">
        <w:rPr>
          <w:rFonts w:eastAsia="Times New Roman" w:cs="Arial"/>
          <w:lang w:val="en-GB"/>
        </w:rPr>
        <w:t xml:space="preserve"> </w:t>
      </w:r>
    </w:p>
    <w:p w14:paraId="763A8C90"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Martin, P., Tian, E., Kumar, S. and Lizarondo, L. (2022) ‘A rapid review of the impact of COVID</w:t>
      </w:r>
      <w:r w:rsidRPr="00EF2814">
        <w:rPr>
          <w:rFonts w:ascii="Cambria Math" w:hAnsi="Cambria Math" w:cs="Cambria Math"/>
          <w:lang w:val="en-GB"/>
        </w:rPr>
        <w:t>‐</w:t>
      </w:r>
      <w:r w:rsidRPr="00EF2814">
        <w:rPr>
          <w:rFonts w:cs="Arial"/>
          <w:lang w:val="en-GB"/>
        </w:rPr>
        <w:t xml:space="preserve">19 on clinical supervision practices of healthcare workers and students in healthcare settings’, </w:t>
      </w:r>
      <w:r w:rsidRPr="00EF2814">
        <w:rPr>
          <w:rFonts w:cs="Arial"/>
          <w:i/>
          <w:iCs/>
          <w:lang w:val="en-GB"/>
        </w:rPr>
        <w:t>Journal of Advanced Nursing</w:t>
      </w:r>
      <w:r w:rsidRPr="00EF2814">
        <w:rPr>
          <w:rFonts w:cs="Arial"/>
          <w:lang w:val="en-GB"/>
        </w:rPr>
        <w:t xml:space="preserve">, 78(11), pp. 3531–3539. Available at: </w:t>
      </w:r>
      <w:hyperlink r:id="rId88" w:history="1">
        <w:r w:rsidRPr="00EF2814">
          <w:rPr>
            <w:rFonts w:cs="Arial"/>
            <w:lang w:val="en-GB"/>
          </w:rPr>
          <w:t>https://doi.org/10.1111/jan.15360</w:t>
        </w:r>
      </w:hyperlink>
      <w:r w:rsidRPr="00EF2814">
        <w:rPr>
          <w:rFonts w:cs="Arial"/>
          <w:lang w:val="en-GB"/>
        </w:rPr>
        <w:t>.</w:t>
      </w:r>
    </w:p>
    <w:p w14:paraId="3F2F5E02"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Mattar, M.Y. (2022) ‘Combating Academic Corruption and Enhancing Academic Integrity through International Accreditation Standards: The Model of Qatar University’, </w:t>
      </w:r>
      <w:r w:rsidRPr="00EF2814">
        <w:rPr>
          <w:rFonts w:cs="Arial"/>
          <w:i/>
          <w:iCs/>
          <w:lang w:val="en-GB"/>
        </w:rPr>
        <w:t>Journal of Academic Ethics</w:t>
      </w:r>
      <w:r w:rsidRPr="00EF2814">
        <w:rPr>
          <w:rFonts w:cs="Arial"/>
          <w:lang w:val="en-GB"/>
        </w:rPr>
        <w:t xml:space="preserve">, 20. Available at: </w:t>
      </w:r>
      <w:hyperlink r:id="rId89" w:history="1">
        <w:r w:rsidRPr="00EF2814">
          <w:rPr>
            <w:rFonts w:cs="Arial"/>
            <w:lang w:val="en-GB"/>
          </w:rPr>
          <w:t>https://doi.org/10.1007/s10805-021-09392-7</w:t>
        </w:r>
      </w:hyperlink>
      <w:r w:rsidRPr="00EF2814">
        <w:rPr>
          <w:rFonts w:cs="Arial"/>
          <w:lang w:val="en-GB"/>
        </w:rPr>
        <w:t>.</w:t>
      </w:r>
    </w:p>
    <w:p w14:paraId="17364992"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Mazzetti, G., Mehmet Çetin, Guglielmi, D. and </w:t>
      </w:r>
      <w:proofErr w:type="spellStart"/>
      <w:r w:rsidRPr="00EF2814">
        <w:rPr>
          <w:rFonts w:eastAsia="Times New Roman" w:cs="Arial"/>
          <w:lang w:val="en-GB"/>
        </w:rPr>
        <w:t>Simbula</w:t>
      </w:r>
      <w:proofErr w:type="spellEnd"/>
      <w:r w:rsidRPr="00EF2814">
        <w:rPr>
          <w:rFonts w:eastAsia="Times New Roman" w:cs="Arial"/>
          <w:lang w:val="en-GB"/>
        </w:rPr>
        <w:t>, S. (2024) ‘Resilience and the Dynamics of Job Demands: A Diary Study on Interactions in Healthcare Professionals During the COVID</w:t>
      </w:r>
      <w:r w:rsidRPr="00EF2814">
        <w:rPr>
          <w:rFonts w:ascii="Cambria Math" w:eastAsia="Times New Roman" w:hAnsi="Cambria Math" w:cs="Cambria Math"/>
          <w:lang w:val="en-GB"/>
        </w:rPr>
        <w:t>‐</w:t>
      </w:r>
      <w:r w:rsidRPr="00EF2814">
        <w:rPr>
          <w:rFonts w:eastAsia="Times New Roman" w:cs="Arial"/>
          <w:lang w:val="en-GB"/>
        </w:rPr>
        <w:t xml:space="preserve">19 Pandemic.’ </w:t>
      </w:r>
      <w:r w:rsidRPr="00EF2814">
        <w:rPr>
          <w:rFonts w:eastAsia="Times New Roman" w:cs="Arial"/>
          <w:i/>
          <w:iCs/>
          <w:lang w:val="en-GB"/>
        </w:rPr>
        <w:t>Journal of Advanced Nursing</w:t>
      </w:r>
      <w:r w:rsidRPr="00EF2814">
        <w:rPr>
          <w:rFonts w:eastAsia="Times New Roman" w:cs="Arial"/>
          <w:lang w:val="en-GB"/>
        </w:rPr>
        <w:t xml:space="preserve">. Available at: </w:t>
      </w:r>
      <w:hyperlink r:id="rId90" w:history="1">
        <w:r w:rsidRPr="00EF2814">
          <w:rPr>
            <w:rStyle w:val="Hyperlink"/>
            <w:rFonts w:eastAsia="Times New Roman" w:cs="Arial"/>
            <w:lang w:val="en-GB"/>
          </w:rPr>
          <w:t>https://doi.org/10.1111/jan.16629</w:t>
        </w:r>
      </w:hyperlink>
      <w:r w:rsidRPr="00EF2814">
        <w:rPr>
          <w:rFonts w:eastAsia="Times New Roman" w:cs="Arial"/>
          <w:lang w:val="en-GB"/>
        </w:rPr>
        <w:t xml:space="preserve"> </w:t>
      </w:r>
    </w:p>
    <w:p w14:paraId="18B12D86"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Mukhalalati, B.A. and Taylor, A. (2020) ‘Adult Learning Theories in context: a Quick Guide for Healthcare Professional Educators.’ </w:t>
      </w:r>
      <w:r w:rsidRPr="00EF2814">
        <w:rPr>
          <w:rFonts w:eastAsia="Times New Roman" w:cs="Arial"/>
          <w:i/>
          <w:iCs/>
          <w:lang w:val="en-GB"/>
        </w:rPr>
        <w:t>Journal of Medical Education and Curricular Development</w:t>
      </w:r>
      <w:r w:rsidRPr="00EF2814">
        <w:rPr>
          <w:rFonts w:eastAsia="Times New Roman" w:cs="Arial"/>
          <w:lang w:val="en-GB"/>
        </w:rPr>
        <w:t xml:space="preserve">, 6. Available at: </w:t>
      </w:r>
      <w:hyperlink r:id="rId91" w:history="1">
        <w:r w:rsidRPr="00EF2814">
          <w:rPr>
            <w:rStyle w:val="Hyperlink"/>
            <w:rFonts w:eastAsia="Times New Roman" w:cs="Arial"/>
            <w:lang w:val="en-GB"/>
          </w:rPr>
          <w:t>https://doi.org/10.1177/2382120519840332</w:t>
        </w:r>
      </w:hyperlink>
      <w:r w:rsidRPr="00EF2814">
        <w:rPr>
          <w:rFonts w:eastAsia="Times New Roman" w:cs="Arial"/>
          <w:lang w:val="en-GB"/>
        </w:rPr>
        <w:t xml:space="preserve"> </w:t>
      </w:r>
    </w:p>
    <w:p w14:paraId="602C2C18"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Munasinghe, D. and Ranasinghe, S. (2023) ‘How to conduct a literature review effectively using effective searching techniques’, </w:t>
      </w:r>
      <w:r w:rsidRPr="00EF2814">
        <w:rPr>
          <w:rFonts w:cs="Arial"/>
          <w:i/>
          <w:iCs/>
          <w:lang w:val="en-GB"/>
        </w:rPr>
        <w:t>The Sri Lankan Journal of Orthopaedic Surgery</w:t>
      </w:r>
      <w:r w:rsidRPr="00EF2814">
        <w:rPr>
          <w:rFonts w:cs="Arial"/>
          <w:lang w:val="en-GB"/>
        </w:rPr>
        <w:t xml:space="preserve">, 9(1), pp. 34–39. Available at: </w:t>
      </w:r>
      <w:hyperlink r:id="rId92" w:history="1">
        <w:r w:rsidRPr="00EF2814">
          <w:rPr>
            <w:rFonts w:cs="Arial"/>
            <w:lang w:val="en-GB"/>
          </w:rPr>
          <w:t>https://doi.org/10.4038/tsljos.v9i1.23</w:t>
        </w:r>
      </w:hyperlink>
      <w:r w:rsidRPr="00EF2814">
        <w:rPr>
          <w:rFonts w:cs="Arial"/>
          <w:lang w:val="en-GB"/>
        </w:rPr>
        <w:t>.</w:t>
      </w:r>
    </w:p>
    <w:p w14:paraId="19A47A53" w14:textId="2E3FD212" w:rsidR="002D744B" w:rsidRPr="00EF2814" w:rsidRDefault="002D744B" w:rsidP="008C02E0">
      <w:pPr>
        <w:spacing w:before="240" w:after="0"/>
        <w:rPr>
          <w:rFonts w:cs="Arial"/>
          <w:lang w:val="en-GB"/>
        </w:rPr>
      </w:pPr>
      <w:r w:rsidRPr="00EF2814">
        <w:rPr>
          <w:rFonts w:cs="Arial"/>
          <w:lang w:val="en-GB"/>
        </w:rPr>
        <w:t xml:space="preserve">NHS (2022) </w:t>
      </w:r>
      <w:r w:rsidRPr="00EF2814">
        <w:rPr>
          <w:rFonts w:cs="Arial"/>
          <w:i/>
          <w:iCs/>
          <w:lang w:val="en-GB"/>
        </w:rPr>
        <w:t>Infection management at HEE | NHS England | Workforce, training and education</w:t>
      </w:r>
      <w:r w:rsidRPr="00EF2814">
        <w:rPr>
          <w:rFonts w:cs="Arial"/>
          <w:lang w:val="en-GB"/>
        </w:rPr>
        <w:t xml:space="preserve">. [online] NHS England | Workforce, training and education. Available at: </w:t>
      </w:r>
      <w:hyperlink r:id="rId93" w:history="1">
        <w:r w:rsidRPr="00EF2814">
          <w:rPr>
            <w:rStyle w:val="Hyperlink"/>
            <w:rFonts w:cs="Arial"/>
            <w:lang w:val="en-GB"/>
          </w:rPr>
          <w:t>https://www.hee.nhs.uk/our-work/infection-management-hee</w:t>
        </w:r>
      </w:hyperlink>
      <w:r w:rsidRPr="00EF2814">
        <w:rPr>
          <w:rFonts w:cs="Arial"/>
          <w:lang w:val="en-GB"/>
        </w:rPr>
        <w:t xml:space="preserve"> [Accessed 7 </w:t>
      </w:r>
      <w:r w:rsidR="0048349E">
        <w:rPr>
          <w:rFonts w:cs="Arial"/>
          <w:lang w:val="en-GB"/>
        </w:rPr>
        <w:t>April</w:t>
      </w:r>
      <w:r w:rsidRPr="00EF2814">
        <w:rPr>
          <w:rFonts w:cs="Arial"/>
          <w:lang w:val="en-GB"/>
        </w:rPr>
        <w:t>. 2026].</w:t>
      </w:r>
    </w:p>
    <w:p w14:paraId="55F58151" w14:textId="3354ECD9" w:rsidR="002D744B" w:rsidRPr="00EF2814" w:rsidRDefault="002D744B" w:rsidP="002D744B">
      <w:pPr>
        <w:spacing w:before="240"/>
        <w:rPr>
          <w:rFonts w:eastAsia="Times New Roman" w:cs="Arial"/>
          <w:lang w:val="en-GB"/>
        </w:rPr>
      </w:pPr>
      <w:r w:rsidRPr="00EF2814">
        <w:rPr>
          <w:rFonts w:eastAsia="Times New Roman" w:cs="Arial"/>
          <w:lang w:val="en-GB"/>
        </w:rPr>
        <w:lastRenderedPageBreak/>
        <w:t xml:space="preserve">NHS England (2020) </w:t>
      </w:r>
      <w:r w:rsidRPr="00EF2814">
        <w:rPr>
          <w:rFonts w:eastAsia="Times New Roman" w:cs="Arial"/>
          <w:i/>
          <w:iCs/>
          <w:lang w:val="en-GB"/>
        </w:rPr>
        <w:t>WE ARE THE NHS: People Plan 2020/21 - Action for Us All</w:t>
      </w:r>
      <w:r w:rsidRPr="00EF2814">
        <w:rPr>
          <w:rFonts w:eastAsia="Times New Roman" w:cs="Arial"/>
          <w:lang w:val="en-GB"/>
        </w:rPr>
        <w:t xml:space="preserve">. [online] </w:t>
      </w:r>
      <w:r w:rsidRPr="00EF2814">
        <w:rPr>
          <w:rFonts w:eastAsia="Times New Roman" w:cs="Arial"/>
          <w:i/>
          <w:iCs/>
          <w:lang w:val="en-GB"/>
        </w:rPr>
        <w:t>NHS England</w:t>
      </w:r>
      <w:r w:rsidRPr="00EF2814">
        <w:rPr>
          <w:rFonts w:eastAsia="Times New Roman" w:cs="Arial"/>
          <w:lang w:val="en-GB"/>
        </w:rPr>
        <w:t xml:space="preserve">. NHS England. Available at: </w:t>
      </w:r>
      <w:hyperlink r:id="rId94" w:history="1">
        <w:r w:rsidRPr="00EF2814">
          <w:rPr>
            <w:rStyle w:val="Hyperlink"/>
            <w:rFonts w:eastAsia="Times New Roman" w:cs="Arial"/>
            <w:lang w:val="en-GB"/>
          </w:rPr>
          <w:t>https://www.england.nhs.uk/wp-content/uploads/2020/07/We-Are-The-NHS-Action-For-All-Of-Us-FINAL-March-21.pdf</w:t>
        </w:r>
      </w:hyperlink>
      <w:r w:rsidRPr="00EF2814">
        <w:rPr>
          <w:rFonts w:eastAsia="Times New Roman" w:cs="Arial"/>
          <w:lang w:val="en-GB"/>
        </w:rPr>
        <w:t xml:space="preserve"> [Accessed 17 </w:t>
      </w:r>
      <w:r w:rsidR="0048349E">
        <w:rPr>
          <w:rFonts w:eastAsia="Times New Roman" w:cs="Arial"/>
          <w:lang w:val="en-GB"/>
        </w:rPr>
        <w:t>April</w:t>
      </w:r>
      <w:r w:rsidRPr="00EF2814">
        <w:rPr>
          <w:rFonts w:eastAsia="Times New Roman" w:cs="Arial"/>
          <w:lang w:val="en-GB"/>
        </w:rPr>
        <w:t xml:space="preserve"> 2026]</w:t>
      </w:r>
    </w:p>
    <w:p w14:paraId="466EDEFC" w14:textId="29535806" w:rsidR="002D744B" w:rsidRPr="00EF2814" w:rsidRDefault="002D744B" w:rsidP="008C02E0">
      <w:pPr>
        <w:spacing w:before="240" w:after="0"/>
        <w:rPr>
          <w:rFonts w:cs="Arial"/>
          <w:lang w:val="en-GB"/>
        </w:rPr>
      </w:pPr>
      <w:r w:rsidRPr="00EF2814">
        <w:rPr>
          <w:rFonts w:cs="Arial"/>
          <w:lang w:val="en-GB"/>
        </w:rPr>
        <w:t xml:space="preserve">NHS England (2024) </w:t>
      </w:r>
      <w:r w:rsidRPr="00EF2814">
        <w:rPr>
          <w:rFonts w:cs="Arial"/>
          <w:i/>
          <w:iCs/>
          <w:lang w:val="en-GB"/>
        </w:rPr>
        <w:t>NHS England - NHS Long Term Workforce Plan</w:t>
      </w:r>
      <w:r w:rsidRPr="00EF2814">
        <w:rPr>
          <w:rFonts w:cs="Arial"/>
          <w:lang w:val="en-GB"/>
        </w:rPr>
        <w:t xml:space="preserve">. [online] NHS England. Available at: </w:t>
      </w:r>
      <w:hyperlink r:id="rId95" w:history="1">
        <w:r w:rsidRPr="00EF2814">
          <w:rPr>
            <w:rStyle w:val="Hyperlink"/>
            <w:rFonts w:cs="Arial"/>
            <w:lang w:val="en-GB"/>
          </w:rPr>
          <w:t>https://www.england.nhs.uk/long-read/nhs-long-term-workforce-plan-2/</w:t>
        </w:r>
      </w:hyperlink>
      <w:r w:rsidRPr="00EF2814">
        <w:rPr>
          <w:rFonts w:cs="Arial"/>
          <w:lang w:val="en-GB"/>
        </w:rPr>
        <w:t xml:space="preserve"> [Accessed 7 </w:t>
      </w:r>
      <w:r w:rsidR="0048349E">
        <w:rPr>
          <w:rFonts w:cs="Arial"/>
          <w:lang w:val="en-GB"/>
        </w:rPr>
        <w:t>April</w:t>
      </w:r>
      <w:r w:rsidRPr="00EF2814">
        <w:rPr>
          <w:rFonts w:cs="Arial"/>
          <w:lang w:val="en-GB"/>
        </w:rPr>
        <w:t xml:space="preserve"> 2026]</w:t>
      </w:r>
    </w:p>
    <w:p w14:paraId="266D4C3B" w14:textId="3CF2428B" w:rsidR="002D744B" w:rsidRPr="00EF2814" w:rsidRDefault="002D744B" w:rsidP="002D744B">
      <w:pPr>
        <w:spacing w:before="240"/>
        <w:rPr>
          <w:rFonts w:eastAsia="Times New Roman" w:cs="Arial"/>
          <w:lang w:val="en-GB"/>
        </w:rPr>
      </w:pPr>
      <w:r w:rsidRPr="00EF2814">
        <w:rPr>
          <w:rFonts w:eastAsia="Times New Roman" w:cs="Arial"/>
          <w:lang w:val="en-GB"/>
        </w:rPr>
        <w:t xml:space="preserve">Parliament.uk, (2021) </w:t>
      </w:r>
      <w:r w:rsidRPr="00EF2814">
        <w:rPr>
          <w:rFonts w:eastAsia="Times New Roman" w:cs="Arial"/>
          <w:i/>
          <w:iCs/>
          <w:lang w:val="en-GB"/>
        </w:rPr>
        <w:t>Department of Health and Social Care (DHSC) – Written evidence (AES0014) Lord’s Public Services Committee – Inquiry into Emergency Healthcare Services.</w:t>
      </w:r>
      <w:r w:rsidRPr="00EF2814">
        <w:rPr>
          <w:rFonts w:eastAsia="Times New Roman" w:cs="Arial"/>
          <w:lang w:val="en-GB"/>
        </w:rPr>
        <w:t xml:space="preserve"> Available at: </w:t>
      </w:r>
      <w:hyperlink r:id="rId96" w:history="1">
        <w:r w:rsidRPr="00EF2814">
          <w:rPr>
            <w:rStyle w:val="Hyperlink"/>
            <w:rFonts w:eastAsia="Times New Roman" w:cs="Arial"/>
            <w:lang w:val="en-GB"/>
          </w:rPr>
          <w:t>https://committees.parliament.uk/writtenevidence/113067/pdf/</w:t>
        </w:r>
      </w:hyperlink>
      <w:r w:rsidRPr="00EF2814">
        <w:rPr>
          <w:rFonts w:eastAsia="Times New Roman" w:cs="Arial"/>
          <w:lang w:val="en-GB"/>
        </w:rPr>
        <w:t xml:space="preserve"> [Accessed 17 </w:t>
      </w:r>
      <w:r w:rsidR="0048349E">
        <w:rPr>
          <w:rFonts w:eastAsia="Times New Roman" w:cs="Arial"/>
          <w:lang w:val="en-GB"/>
        </w:rPr>
        <w:t>April</w:t>
      </w:r>
      <w:r w:rsidRPr="00EF2814">
        <w:rPr>
          <w:rFonts w:eastAsia="Times New Roman" w:cs="Arial"/>
          <w:lang w:val="en-GB"/>
        </w:rPr>
        <w:t xml:space="preserve"> 2026]</w:t>
      </w:r>
    </w:p>
    <w:p w14:paraId="4A122F60"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Pearse, C. and Scott, S. (2023) ‘A Review of Clinical Laboratory Education, Training and Progression: Historical Challenges, the Impact of COVID-19 and Future Considerations’, </w:t>
      </w:r>
      <w:r w:rsidRPr="00EF2814">
        <w:rPr>
          <w:rFonts w:cs="Arial"/>
          <w:i/>
          <w:iCs/>
          <w:lang w:val="en-GB"/>
        </w:rPr>
        <w:t>British Journal of Biomedical Science</w:t>
      </w:r>
      <w:r w:rsidRPr="00EF2814">
        <w:rPr>
          <w:rFonts w:cs="Arial"/>
          <w:lang w:val="en-GB"/>
        </w:rPr>
        <w:t xml:space="preserve">, 80. Available at: </w:t>
      </w:r>
      <w:hyperlink r:id="rId97" w:history="1">
        <w:r w:rsidRPr="00EF2814">
          <w:rPr>
            <w:rFonts w:cs="Arial"/>
            <w:lang w:val="en-GB"/>
          </w:rPr>
          <w:t>https://doi.org/10.3389/bjbs.2023.11266</w:t>
        </w:r>
      </w:hyperlink>
      <w:r w:rsidRPr="00EF2814">
        <w:rPr>
          <w:rFonts w:cs="Arial"/>
          <w:lang w:val="en-GB"/>
        </w:rPr>
        <w:t>.</w:t>
      </w:r>
    </w:p>
    <w:p w14:paraId="36B05BB4"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Pelli, J. and Nordquist, H. (2023) ‘Learning Lessons for Future Preparedness: Exploring Work Well-Being-Related Leadership Challenges among Paramedics during the Early Stage of the COVID-19 Pandemic—A Qualitative Study.’ </w:t>
      </w:r>
      <w:r w:rsidRPr="00EF2814">
        <w:rPr>
          <w:rFonts w:eastAsia="Times New Roman" w:cs="Arial"/>
          <w:i/>
          <w:iCs/>
          <w:lang w:val="en-GB"/>
        </w:rPr>
        <w:t>Nursing reports</w:t>
      </w:r>
      <w:r w:rsidRPr="00EF2814">
        <w:rPr>
          <w:rFonts w:eastAsia="Times New Roman" w:cs="Arial"/>
          <w:lang w:val="en-GB"/>
        </w:rPr>
        <w:t xml:space="preserve">, [online] 13(4), pp.1721–1730. Available at: </w:t>
      </w:r>
      <w:hyperlink r:id="rId98" w:history="1">
        <w:r w:rsidRPr="00EF2814">
          <w:rPr>
            <w:rStyle w:val="Hyperlink"/>
            <w:rFonts w:eastAsia="Times New Roman" w:cs="Arial"/>
            <w:lang w:val="en-GB"/>
          </w:rPr>
          <w:t>https://doi.org/10.3390/nursrep13040142</w:t>
        </w:r>
      </w:hyperlink>
      <w:r w:rsidRPr="00EF2814">
        <w:rPr>
          <w:rFonts w:eastAsia="Times New Roman" w:cs="Arial"/>
          <w:lang w:val="en-GB"/>
        </w:rPr>
        <w:t xml:space="preserve"> </w:t>
      </w:r>
    </w:p>
    <w:p w14:paraId="26BADC76"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Philpott, M., O’Reilly, K., Bermudez, L., de Morais, H. and Filtz, T.M. (2022) ‘Professional Student Education and Training During the COVID-19 Pandemic.’ </w:t>
      </w:r>
      <w:r w:rsidRPr="00EF2814">
        <w:rPr>
          <w:rFonts w:cs="Arial"/>
          <w:i/>
          <w:iCs/>
          <w:lang w:val="en-GB"/>
        </w:rPr>
        <w:t>Applied Biosafety</w:t>
      </w:r>
      <w:r w:rsidRPr="00EF2814">
        <w:rPr>
          <w:rFonts w:cs="Arial"/>
          <w:lang w:val="en-GB"/>
        </w:rPr>
        <w:t xml:space="preserve">. pp. 35-42. Available at: </w:t>
      </w:r>
      <w:hyperlink r:id="rId99" w:history="1">
        <w:r w:rsidRPr="00EF2814">
          <w:rPr>
            <w:rStyle w:val="Hyperlink"/>
            <w:rFonts w:cs="Arial"/>
            <w:lang w:val="en-GB"/>
          </w:rPr>
          <w:t>https://doi.org/10.1089/apb.2022.0017</w:t>
        </w:r>
      </w:hyperlink>
      <w:r w:rsidRPr="00EF2814">
        <w:rPr>
          <w:rFonts w:cs="Arial"/>
          <w:lang w:val="en-GB"/>
        </w:rPr>
        <w:t xml:space="preserve"> </w:t>
      </w:r>
    </w:p>
    <w:p w14:paraId="69A86D10"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Pisano, M., </w:t>
      </w:r>
      <w:proofErr w:type="spellStart"/>
      <w:r w:rsidRPr="00EF2814">
        <w:rPr>
          <w:rFonts w:cs="Arial"/>
          <w:lang w:val="en-GB"/>
        </w:rPr>
        <w:t>Bramanti</w:t>
      </w:r>
      <w:proofErr w:type="spellEnd"/>
      <w:r w:rsidRPr="00EF2814">
        <w:rPr>
          <w:rFonts w:cs="Arial"/>
          <w:lang w:val="en-GB"/>
        </w:rPr>
        <w:t xml:space="preserve">, A., Menditti, D., Sangiovanni, G., Santoro, R. and Amato, A. (2023) ‘Modern Approaches to Providing Telematics Oral Health Services in </w:t>
      </w:r>
      <w:proofErr w:type="spellStart"/>
      <w:r w:rsidRPr="00EF2814">
        <w:rPr>
          <w:rFonts w:cs="Arial"/>
          <w:lang w:val="en-GB"/>
        </w:rPr>
        <w:t>Pediatric</w:t>
      </w:r>
      <w:proofErr w:type="spellEnd"/>
      <w:r w:rsidRPr="00EF2814">
        <w:rPr>
          <w:rFonts w:cs="Arial"/>
          <w:lang w:val="en-GB"/>
        </w:rPr>
        <w:t xml:space="preserve"> Dentistry: A Narrative Review’, </w:t>
      </w:r>
      <w:r w:rsidRPr="00EF2814">
        <w:rPr>
          <w:rFonts w:cs="Arial"/>
          <w:i/>
          <w:iCs/>
          <w:lang w:val="en-GB"/>
        </w:rPr>
        <w:t>Applied Sciences</w:t>
      </w:r>
      <w:r w:rsidRPr="00EF2814">
        <w:rPr>
          <w:rFonts w:cs="Arial"/>
          <w:lang w:val="en-GB"/>
        </w:rPr>
        <w:t xml:space="preserve">, 13(14), p. 8331. Available at: </w:t>
      </w:r>
      <w:hyperlink r:id="rId100" w:history="1">
        <w:r w:rsidRPr="00EF2814">
          <w:rPr>
            <w:rFonts w:cs="Arial"/>
            <w:lang w:val="en-GB"/>
          </w:rPr>
          <w:t>https://doi.org/10.3390/app13148331</w:t>
        </w:r>
      </w:hyperlink>
      <w:r w:rsidRPr="00EF2814">
        <w:rPr>
          <w:rFonts w:cs="Arial"/>
          <w:lang w:val="en-GB"/>
        </w:rPr>
        <w:t>.</w:t>
      </w:r>
    </w:p>
    <w:p w14:paraId="7D6CE29D"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Radovan, M. (2024) ‘Workplace Flexibility and Participation in Adult Learning’, </w:t>
      </w:r>
      <w:r w:rsidRPr="00EF2814">
        <w:rPr>
          <w:rFonts w:cs="Arial"/>
          <w:i/>
          <w:iCs/>
          <w:lang w:val="en-GB"/>
        </w:rPr>
        <w:t>Sustainability</w:t>
      </w:r>
      <w:r w:rsidRPr="00EF2814">
        <w:rPr>
          <w:rFonts w:cs="Arial"/>
          <w:lang w:val="en-GB"/>
        </w:rPr>
        <w:t xml:space="preserve">, 16(14), pp. 5950–5950. Available at: </w:t>
      </w:r>
      <w:hyperlink r:id="rId101" w:history="1">
        <w:r w:rsidRPr="00EF2814">
          <w:rPr>
            <w:rFonts w:cs="Arial"/>
            <w:lang w:val="en-GB"/>
          </w:rPr>
          <w:t>https://doi.org/10.3390/su16145950</w:t>
        </w:r>
      </w:hyperlink>
      <w:r w:rsidRPr="00EF2814">
        <w:rPr>
          <w:rFonts w:cs="Arial"/>
          <w:lang w:val="en-GB"/>
        </w:rPr>
        <w:t>.</w:t>
      </w:r>
    </w:p>
    <w:p w14:paraId="553E9F23" w14:textId="22DB4AA1" w:rsidR="002D744B" w:rsidRPr="00EF2814" w:rsidRDefault="002D744B" w:rsidP="008C02E0">
      <w:pPr>
        <w:spacing w:before="240" w:after="0"/>
        <w:rPr>
          <w:rFonts w:cs="Arial"/>
          <w:lang w:val="en-GB"/>
        </w:rPr>
      </w:pPr>
      <w:r w:rsidRPr="00EF2814">
        <w:rPr>
          <w:rFonts w:cs="Arial"/>
          <w:lang w:val="en-GB"/>
        </w:rPr>
        <w:t xml:space="preserve">Rcog, (2026) Effect of the COVID-19 pandemic on training. Available at: </w:t>
      </w:r>
      <w:hyperlink r:id="rId102" w:history="1">
        <w:r w:rsidRPr="00EF2814">
          <w:rPr>
            <w:rStyle w:val="Hyperlink"/>
            <w:rFonts w:cs="Arial"/>
            <w:lang w:val="en-GB"/>
          </w:rPr>
          <w:t>https://www.rcog.org.uk/media/r5mjf400/tef-2021-report-covid-19.pdf?utm_source=copilot.com</w:t>
        </w:r>
      </w:hyperlink>
      <w:r w:rsidRPr="00EF2814">
        <w:rPr>
          <w:rFonts w:cs="Arial"/>
          <w:lang w:val="en-GB"/>
        </w:rPr>
        <w:t xml:space="preserve"> [Accessed 7 </w:t>
      </w:r>
      <w:r w:rsidR="0048349E">
        <w:rPr>
          <w:rFonts w:cs="Arial"/>
          <w:lang w:val="en-GB"/>
        </w:rPr>
        <w:t>April</w:t>
      </w:r>
      <w:r w:rsidRPr="00EF2814">
        <w:rPr>
          <w:rFonts w:cs="Arial"/>
          <w:lang w:val="en-GB"/>
        </w:rPr>
        <w:t xml:space="preserve"> 2026]</w:t>
      </w:r>
    </w:p>
    <w:p w14:paraId="5E6BF687" w14:textId="77777777" w:rsidR="002D744B" w:rsidRPr="00EF2814" w:rsidRDefault="002D744B" w:rsidP="002D744B">
      <w:pPr>
        <w:spacing w:before="240"/>
        <w:rPr>
          <w:rFonts w:eastAsia="Times New Roman" w:cs="Arial"/>
          <w:lang w:val="en-GB"/>
        </w:rPr>
      </w:pPr>
      <w:r w:rsidRPr="00EF2814">
        <w:rPr>
          <w:rFonts w:eastAsia="Times New Roman" w:cs="Arial"/>
          <w:lang w:val="en-GB"/>
        </w:rPr>
        <w:lastRenderedPageBreak/>
        <w:t xml:space="preserve">Riemma, F., Buonocore, F. and de Gennaro, D. (2025) ‘Staying afloat in the storm: coping with work-related stress in healthcare professions.’ </w:t>
      </w:r>
      <w:r w:rsidRPr="00EF2814">
        <w:rPr>
          <w:rFonts w:eastAsia="Times New Roman" w:cs="Arial"/>
          <w:i/>
          <w:iCs/>
          <w:lang w:val="en-GB"/>
        </w:rPr>
        <w:t>Personnel Review</w:t>
      </w:r>
      <w:r w:rsidRPr="00EF2814">
        <w:rPr>
          <w:rFonts w:eastAsia="Times New Roman" w:cs="Arial"/>
          <w:lang w:val="en-GB"/>
        </w:rPr>
        <w:t xml:space="preserve">, [online] 54(9), pp.2273–2285. Available at: </w:t>
      </w:r>
      <w:hyperlink r:id="rId103" w:history="1">
        <w:r w:rsidRPr="00EF2814">
          <w:rPr>
            <w:rStyle w:val="Hyperlink"/>
            <w:rFonts w:eastAsia="Times New Roman" w:cs="Arial"/>
            <w:lang w:val="en-GB"/>
          </w:rPr>
          <w:t>https://doi.org/10.1108/pr-04-2025-0387</w:t>
        </w:r>
      </w:hyperlink>
      <w:r w:rsidRPr="00EF2814">
        <w:rPr>
          <w:rFonts w:eastAsia="Times New Roman" w:cs="Arial"/>
          <w:lang w:val="en-GB"/>
        </w:rPr>
        <w:t xml:space="preserve"> </w:t>
      </w:r>
    </w:p>
    <w:p w14:paraId="6EDD79B3"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Rosen, R.K., Gainey, M., Sabiha Nasrin, </w:t>
      </w:r>
      <w:proofErr w:type="spellStart"/>
      <w:r w:rsidRPr="00EF2814">
        <w:rPr>
          <w:rFonts w:cs="Arial"/>
          <w:lang w:val="en-GB"/>
        </w:rPr>
        <w:t>Garbern</w:t>
      </w:r>
      <w:proofErr w:type="spellEnd"/>
      <w:r w:rsidRPr="00EF2814">
        <w:rPr>
          <w:rFonts w:cs="Arial"/>
          <w:lang w:val="en-GB"/>
        </w:rPr>
        <w:t xml:space="preserve">, S.C., </w:t>
      </w:r>
      <w:proofErr w:type="spellStart"/>
      <w:r w:rsidRPr="00EF2814">
        <w:rPr>
          <w:rFonts w:cs="Arial"/>
          <w:lang w:val="en-GB"/>
        </w:rPr>
        <w:t>Lantini</w:t>
      </w:r>
      <w:proofErr w:type="spellEnd"/>
      <w:r w:rsidRPr="00EF2814">
        <w:rPr>
          <w:rFonts w:cs="Arial"/>
          <w:lang w:val="en-GB"/>
        </w:rPr>
        <w:t xml:space="preserve">, R., Nour </w:t>
      </w:r>
      <w:proofErr w:type="spellStart"/>
      <w:r w:rsidRPr="00EF2814">
        <w:rPr>
          <w:rFonts w:cs="Arial"/>
          <w:lang w:val="en-GB"/>
        </w:rPr>
        <w:t>Elshabassi</w:t>
      </w:r>
      <w:proofErr w:type="spellEnd"/>
      <w:r w:rsidRPr="00EF2814">
        <w:rPr>
          <w:rFonts w:cs="Arial"/>
          <w:lang w:val="en-GB"/>
        </w:rPr>
        <w:t xml:space="preserve">, Sultana, S., Tahmida Hasnin, Alam, N.H., Nelson, E.J. and Levine, A.C. (2023) ‘Use of Framework Matrix and Thematic Coding Methods in Qualitative Analysis for mHealth: The </w:t>
      </w:r>
      <w:proofErr w:type="spellStart"/>
      <w:r w:rsidRPr="00EF2814">
        <w:rPr>
          <w:rFonts w:cs="Arial"/>
          <w:lang w:val="en-GB"/>
        </w:rPr>
        <w:t>FluidCalc</w:t>
      </w:r>
      <w:proofErr w:type="spellEnd"/>
      <w:r w:rsidRPr="00EF2814">
        <w:rPr>
          <w:rFonts w:cs="Arial"/>
          <w:lang w:val="en-GB"/>
        </w:rPr>
        <w:t xml:space="preserve"> app’, </w:t>
      </w:r>
      <w:r w:rsidRPr="00EF2814">
        <w:rPr>
          <w:rFonts w:cs="Arial"/>
          <w:i/>
          <w:iCs/>
          <w:lang w:val="en-GB"/>
        </w:rPr>
        <w:t>International journal of qualitative methods</w:t>
      </w:r>
      <w:r w:rsidRPr="00EF2814">
        <w:rPr>
          <w:rFonts w:cs="Arial"/>
          <w:lang w:val="en-GB"/>
        </w:rPr>
        <w:t xml:space="preserve">, 22. Available at: </w:t>
      </w:r>
      <w:hyperlink r:id="rId104" w:history="1">
        <w:r w:rsidRPr="00EF2814">
          <w:rPr>
            <w:rFonts w:cs="Arial"/>
            <w:lang w:val="en-GB"/>
          </w:rPr>
          <w:t>https://doi.org/10.1177/16094069231184123</w:t>
        </w:r>
      </w:hyperlink>
      <w:r w:rsidRPr="00EF2814">
        <w:rPr>
          <w:rFonts w:cs="Arial"/>
          <w:lang w:val="en-GB"/>
        </w:rPr>
        <w:t>.</w:t>
      </w:r>
    </w:p>
    <w:p w14:paraId="4192AE01" w14:textId="77777777" w:rsidR="002D744B" w:rsidRPr="00EF2814" w:rsidRDefault="002D744B" w:rsidP="008C02E0">
      <w:pPr>
        <w:spacing w:before="240" w:after="0"/>
        <w:rPr>
          <w:rFonts w:cs="Arial"/>
          <w:lang w:val="en-GB"/>
        </w:rPr>
      </w:pPr>
      <w:r w:rsidRPr="00EF2814">
        <w:rPr>
          <w:rFonts w:cs="Arial"/>
          <w:lang w:val="en-GB"/>
        </w:rPr>
        <w:t xml:space="preserve">Seam, N., Lee, A.J., </w:t>
      </w:r>
      <w:proofErr w:type="spellStart"/>
      <w:r w:rsidRPr="00EF2814">
        <w:rPr>
          <w:rFonts w:cs="Arial"/>
          <w:lang w:val="en-GB"/>
        </w:rPr>
        <w:t>Vennero</w:t>
      </w:r>
      <w:proofErr w:type="spellEnd"/>
      <w:r w:rsidRPr="00EF2814">
        <w:rPr>
          <w:rFonts w:cs="Arial"/>
          <w:lang w:val="en-GB"/>
        </w:rPr>
        <w:t xml:space="preserve">, M. and Emlet, L. (2020) ‘Simulation Training in the ICU.’ </w:t>
      </w:r>
      <w:r w:rsidRPr="00EF2814">
        <w:rPr>
          <w:rFonts w:cs="Arial"/>
          <w:i/>
          <w:iCs/>
          <w:lang w:val="en-GB"/>
        </w:rPr>
        <w:t>Chest</w:t>
      </w:r>
      <w:r w:rsidRPr="00EF2814">
        <w:rPr>
          <w:rFonts w:cs="Arial"/>
          <w:lang w:val="en-GB"/>
        </w:rPr>
        <w:t xml:space="preserve">, [online] 156(6). pp. 40-50.  Available at: </w:t>
      </w:r>
      <w:hyperlink r:id="rId105" w:history="1">
        <w:r w:rsidRPr="00EF2814">
          <w:rPr>
            <w:rStyle w:val="Hyperlink"/>
            <w:rFonts w:cs="Arial"/>
            <w:lang w:val="en-GB"/>
          </w:rPr>
          <w:t>https://doi.org/10.1016/j.chest.2019.07.011</w:t>
        </w:r>
      </w:hyperlink>
      <w:r w:rsidRPr="00EF2814">
        <w:rPr>
          <w:rFonts w:cs="Arial"/>
          <w:lang w:val="en-GB"/>
        </w:rPr>
        <w:t xml:space="preserve"> </w:t>
      </w:r>
    </w:p>
    <w:p w14:paraId="332A3E72" w14:textId="77777777" w:rsidR="002D744B" w:rsidRPr="00EF2814" w:rsidRDefault="002D744B" w:rsidP="002D744B">
      <w:pPr>
        <w:spacing w:before="240"/>
        <w:rPr>
          <w:rFonts w:eastAsia="Times New Roman" w:cs="Arial"/>
          <w:lang w:val="en-GB"/>
        </w:rPr>
      </w:pPr>
      <w:proofErr w:type="spellStart"/>
      <w:r w:rsidRPr="00EF2814">
        <w:rPr>
          <w:rFonts w:eastAsia="Times New Roman" w:cs="Arial"/>
          <w:lang w:val="en-GB"/>
        </w:rPr>
        <w:t>Sheikhrabori</w:t>
      </w:r>
      <w:proofErr w:type="spellEnd"/>
      <w:r w:rsidRPr="00EF2814">
        <w:rPr>
          <w:rFonts w:eastAsia="Times New Roman" w:cs="Arial"/>
          <w:lang w:val="en-GB"/>
        </w:rPr>
        <w:t xml:space="preserve">, A., </w:t>
      </w:r>
      <w:proofErr w:type="spellStart"/>
      <w:r w:rsidRPr="00EF2814">
        <w:rPr>
          <w:rFonts w:eastAsia="Times New Roman" w:cs="Arial"/>
          <w:lang w:val="en-GB"/>
        </w:rPr>
        <w:t>Peyrovi</w:t>
      </w:r>
      <w:proofErr w:type="spellEnd"/>
      <w:r w:rsidRPr="00EF2814">
        <w:rPr>
          <w:rFonts w:eastAsia="Times New Roman" w:cs="Arial"/>
          <w:lang w:val="en-GB"/>
        </w:rPr>
        <w:t xml:space="preserve">, H. and </w:t>
      </w:r>
      <w:proofErr w:type="spellStart"/>
      <w:r w:rsidRPr="00EF2814">
        <w:rPr>
          <w:rFonts w:eastAsia="Times New Roman" w:cs="Arial"/>
          <w:lang w:val="en-GB"/>
        </w:rPr>
        <w:t>Khankeh</w:t>
      </w:r>
      <w:proofErr w:type="spellEnd"/>
      <w:r w:rsidRPr="00EF2814">
        <w:rPr>
          <w:rFonts w:eastAsia="Times New Roman" w:cs="Arial"/>
          <w:lang w:val="en-GB"/>
        </w:rPr>
        <w:t xml:space="preserve">, H. (2022) ‘The Main Features of Resilience in Healthcare Providers: A Scoping Review.’ </w:t>
      </w:r>
      <w:r w:rsidRPr="00EF2814">
        <w:rPr>
          <w:rFonts w:eastAsia="Times New Roman" w:cs="Arial"/>
          <w:i/>
          <w:iCs/>
          <w:lang w:val="en-GB"/>
        </w:rPr>
        <w:t>Medical Journal of The Islamic Republic of Iran</w:t>
      </w:r>
      <w:r w:rsidRPr="00EF2814">
        <w:rPr>
          <w:rFonts w:eastAsia="Times New Roman" w:cs="Arial"/>
          <w:lang w:val="en-GB"/>
        </w:rPr>
        <w:t xml:space="preserve">, [online] 36(3). Available at: </w:t>
      </w:r>
      <w:hyperlink r:id="rId106" w:history="1">
        <w:r w:rsidRPr="00EF2814">
          <w:rPr>
            <w:rStyle w:val="Hyperlink"/>
            <w:rFonts w:eastAsia="Times New Roman" w:cs="Arial"/>
            <w:lang w:val="en-GB"/>
          </w:rPr>
          <w:t>https://doi.org/10.47176/mjiri.36.3</w:t>
        </w:r>
      </w:hyperlink>
      <w:r w:rsidRPr="00EF2814">
        <w:rPr>
          <w:rFonts w:eastAsia="Times New Roman" w:cs="Arial"/>
          <w:lang w:val="en-GB"/>
        </w:rPr>
        <w:t xml:space="preserve"> </w:t>
      </w:r>
    </w:p>
    <w:p w14:paraId="76AA6C55" w14:textId="1E4A2436" w:rsidR="002D744B" w:rsidRPr="00EF2814" w:rsidRDefault="002D744B" w:rsidP="008C02E0">
      <w:pPr>
        <w:spacing w:before="240" w:after="0"/>
        <w:rPr>
          <w:rFonts w:cs="Arial"/>
          <w:lang w:val="en-GB"/>
        </w:rPr>
      </w:pPr>
      <w:r w:rsidRPr="00EF2814">
        <w:rPr>
          <w:rFonts w:cs="Arial"/>
          <w:lang w:val="en-GB"/>
        </w:rPr>
        <w:t xml:space="preserve">Skillsforhealth, (2026) Mental Health Core Skills Education and Training Framework. Available at: </w:t>
      </w:r>
      <w:hyperlink r:id="rId107" w:history="1">
        <w:r w:rsidRPr="00EF2814">
          <w:rPr>
            <w:rStyle w:val="Hyperlink"/>
            <w:rFonts w:cs="Arial"/>
            <w:lang w:val="en-GB"/>
          </w:rPr>
          <w:t>https://www.skillsforhealth.org.uk/images/services/cstf/Mental%20Health%20CSTF.pdf</w:t>
        </w:r>
      </w:hyperlink>
      <w:r w:rsidRPr="00EF2814">
        <w:rPr>
          <w:rFonts w:cs="Arial"/>
          <w:lang w:val="en-GB"/>
        </w:rPr>
        <w:t xml:space="preserve"> [Accessed 7 </w:t>
      </w:r>
      <w:r w:rsidR="0048349E">
        <w:rPr>
          <w:rFonts w:cs="Arial"/>
          <w:lang w:val="en-GB"/>
        </w:rPr>
        <w:t>April</w:t>
      </w:r>
      <w:r w:rsidRPr="00EF2814">
        <w:rPr>
          <w:rFonts w:cs="Arial"/>
          <w:lang w:val="en-GB"/>
        </w:rPr>
        <w:t xml:space="preserve"> 2026]</w:t>
      </w:r>
    </w:p>
    <w:p w14:paraId="030AFFAE"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Srikasem, S., </w:t>
      </w:r>
      <w:proofErr w:type="spellStart"/>
      <w:r w:rsidRPr="00EF2814">
        <w:rPr>
          <w:rFonts w:cs="Arial"/>
          <w:lang w:val="en-GB"/>
        </w:rPr>
        <w:t>Seephom</w:t>
      </w:r>
      <w:proofErr w:type="spellEnd"/>
      <w:r w:rsidRPr="00EF2814">
        <w:rPr>
          <w:rFonts w:cs="Arial"/>
          <w:lang w:val="en-GB"/>
        </w:rPr>
        <w:t xml:space="preserve">, S., </w:t>
      </w:r>
      <w:proofErr w:type="spellStart"/>
      <w:r w:rsidRPr="00EF2814">
        <w:rPr>
          <w:rFonts w:cs="Arial"/>
          <w:lang w:val="en-GB"/>
        </w:rPr>
        <w:t>Viriyopase</w:t>
      </w:r>
      <w:proofErr w:type="spellEnd"/>
      <w:r w:rsidRPr="00EF2814">
        <w:rPr>
          <w:rFonts w:cs="Arial"/>
          <w:lang w:val="en-GB"/>
        </w:rPr>
        <w:t xml:space="preserve">, A., </w:t>
      </w:r>
      <w:proofErr w:type="spellStart"/>
      <w:r w:rsidRPr="00EF2814">
        <w:rPr>
          <w:rFonts w:cs="Arial"/>
          <w:lang w:val="en-GB"/>
        </w:rPr>
        <w:t>Phutrakool</w:t>
      </w:r>
      <w:proofErr w:type="spellEnd"/>
      <w:r w:rsidRPr="00EF2814">
        <w:rPr>
          <w:rFonts w:cs="Arial"/>
          <w:lang w:val="en-GB"/>
        </w:rPr>
        <w:t xml:space="preserve">, P., </w:t>
      </w:r>
      <w:proofErr w:type="spellStart"/>
      <w:r w:rsidRPr="00EF2814">
        <w:rPr>
          <w:rFonts w:cs="Arial"/>
          <w:lang w:val="en-GB"/>
        </w:rPr>
        <w:t>Khowinthaseth</w:t>
      </w:r>
      <w:proofErr w:type="spellEnd"/>
      <w:r w:rsidRPr="00EF2814">
        <w:rPr>
          <w:rFonts w:cs="Arial"/>
          <w:lang w:val="en-GB"/>
        </w:rPr>
        <w:t xml:space="preserve">, S. and </w:t>
      </w:r>
      <w:proofErr w:type="spellStart"/>
      <w:r w:rsidRPr="00EF2814">
        <w:rPr>
          <w:rFonts w:cs="Arial"/>
          <w:lang w:val="en-GB"/>
        </w:rPr>
        <w:t>Narajeenron</w:t>
      </w:r>
      <w:proofErr w:type="spellEnd"/>
      <w:r w:rsidRPr="00EF2814">
        <w:rPr>
          <w:rFonts w:cs="Arial"/>
          <w:lang w:val="en-GB"/>
        </w:rPr>
        <w:t xml:space="preserve">, K. (2025) ‘Comparing the Effectiveness of Multimodal Learning Using Computer-Based and Immersive Virtual Reality Simulation–Based Interprofessional Education With Co-Debriefing, Medical Movies, and Massive Online Open Courses for Mitigating Stress and Long-Term Burnout in Medical Training: Quasi-Experimental Study’, </w:t>
      </w:r>
      <w:r w:rsidRPr="00EF2814">
        <w:rPr>
          <w:rFonts w:cs="Arial"/>
          <w:i/>
          <w:iCs/>
          <w:lang w:val="en-GB"/>
        </w:rPr>
        <w:t>JMIR Medical Education</w:t>
      </w:r>
      <w:r w:rsidRPr="00EF2814">
        <w:rPr>
          <w:rFonts w:cs="Arial"/>
          <w:lang w:val="en-GB"/>
        </w:rPr>
        <w:t xml:space="preserve">, 11, p. e70726. Available at: </w:t>
      </w:r>
      <w:hyperlink r:id="rId108" w:history="1">
        <w:r w:rsidRPr="00EF2814">
          <w:rPr>
            <w:rFonts w:cs="Arial"/>
            <w:lang w:val="en-GB"/>
          </w:rPr>
          <w:t>https://doi.org/10.2196/70726</w:t>
        </w:r>
      </w:hyperlink>
      <w:r w:rsidRPr="00EF2814">
        <w:rPr>
          <w:rFonts w:cs="Arial"/>
          <w:lang w:val="en-GB"/>
        </w:rPr>
        <w:t>.</w:t>
      </w:r>
    </w:p>
    <w:p w14:paraId="57FF60FE"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Staller, M.S., Koerner, S., Heil, V., Klemmer, I., Abraham, A. and </w:t>
      </w:r>
      <w:proofErr w:type="spellStart"/>
      <w:r w:rsidRPr="00EF2814">
        <w:rPr>
          <w:rFonts w:cs="Arial"/>
          <w:lang w:val="en-GB"/>
        </w:rPr>
        <w:t>Poolton</w:t>
      </w:r>
      <w:proofErr w:type="spellEnd"/>
      <w:r w:rsidRPr="00EF2814">
        <w:rPr>
          <w:rFonts w:cs="Arial"/>
          <w:lang w:val="en-GB"/>
        </w:rPr>
        <w:t xml:space="preserve">, J. (2022) ‘The Structure and Delivery of Police Use of Force Training: A German Case Study’, </w:t>
      </w:r>
      <w:r w:rsidRPr="00EF2814">
        <w:rPr>
          <w:rFonts w:cs="Arial"/>
          <w:i/>
          <w:iCs/>
          <w:lang w:val="en-GB"/>
        </w:rPr>
        <w:t>European Journal for Security Research</w:t>
      </w:r>
      <w:r w:rsidRPr="00EF2814">
        <w:rPr>
          <w:rFonts w:cs="Arial"/>
          <w:lang w:val="en-GB"/>
        </w:rPr>
        <w:t xml:space="preserve"> [Preprint]. Available at: </w:t>
      </w:r>
      <w:hyperlink r:id="rId109" w:history="1">
        <w:r w:rsidRPr="00EF2814">
          <w:rPr>
            <w:rFonts w:cs="Arial"/>
            <w:lang w:val="en-GB"/>
          </w:rPr>
          <w:t>https://doi.org/10.1007/s41125-021-00073-5</w:t>
        </w:r>
      </w:hyperlink>
      <w:r w:rsidRPr="00EF2814">
        <w:rPr>
          <w:rFonts w:cs="Arial"/>
          <w:lang w:val="en-GB"/>
        </w:rPr>
        <w:t>.</w:t>
      </w:r>
    </w:p>
    <w:p w14:paraId="7B38E59C"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Stark, N., </w:t>
      </w:r>
      <w:proofErr w:type="spellStart"/>
      <w:r w:rsidRPr="00EF2814">
        <w:rPr>
          <w:rFonts w:cs="Arial"/>
          <w:lang w:val="en-GB"/>
        </w:rPr>
        <w:t>Hayirli</w:t>
      </w:r>
      <w:proofErr w:type="spellEnd"/>
      <w:r w:rsidRPr="00EF2814">
        <w:rPr>
          <w:rFonts w:cs="Arial"/>
          <w:lang w:val="en-GB"/>
        </w:rPr>
        <w:t xml:space="preserve">, T., Bhanja, A., </w:t>
      </w:r>
      <w:proofErr w:type="spellStart"/>
      <w:r w:rsidRPr="00EF2814">
        <w:rPr>
          <w:rFonts w:cs="Arial"/>
          <w:lang w:val="en-GB"/>
        </w:rPr>
        <w:t>Kerrissey</w:t>
      </w:r>
      <w:proofErr w:type="spellEnd"/>
      <w:r w:rsidRPr="00EF2814">
        <w:rPr>
          <w:rFonts w:cs="Arial"/>
          <w:lang w:val="en-GB"/>
        </w:rPr>
        <w:t xml:space="preserve">, M., Hardy, J. and Peabody, C.R. (2022) ‘Unprecedented Training: Experience of Residents During the COVID-19 Pandemic’, </w:t>
      </w:r>
      <w:r w:rsidRPr="00EF2814">
        <w:rPr>
          <w:rFonts w:cs="Arial"/>
          <w:i/>
          <w:iCs/>
          <w:lang w:val="en-GB"/>
        </w:rPr>
        <w:t>Annals of Emergency Medicine</w:t>
      </w:r>
      <w:r w:rsidRPr="00EF2814">
        <w:rPr>
          <w:rFonts w:cs="Arial"/>
          <w:lang w:val="en-GB"/>
        </w:rPr>
        <w:t xml:space="preserve"> [Preprint]. Available at: </w:t>
      </w:r>
      <w:hyperlink r:id="rId110" w:history="1">
        <w:r w:rsidRPr="00EF2814">
          <w:rPr>
            <w:rFonts w:cs="Arial"/>
            <w:lang w:val="en-GB"/>
          </w:rPr>
          <w:t>https://doi.org/10.1016/j.annemergmed.2022.01.022</w:t>
        </w:r>
      </w:hyperlink>
      <w:r w:rsidRPr="00EF2814">
        <w:rPr>
          <w:rFonts w:cs="Arial"/>
          <w:lang w:val="en-GB"/>
        </w:rPr>
        <w:t>.</w:t>
      </w:r>
    </w:p>
    <w:p w14:paraId="50CD93BF"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Stralen, A.C. van, Carvalho, C.L., Girardi, S.N., </w:t>
      </w:r>
      <w:proofErr w:type="spellStart"/>
      <w:r w:rsidRPr="00EF2814">
        <w:rPr>
          <w:rFonts w:cs="Arial"/>
          <w:lang w:val="en-GB"/>
        </w:rPr>
        <w:t>Massote</w:t>
      </w:r>
      <w:proofErr w:type="spellEnd"/>
      <w:r w:rsidRPr="00EF2814">
        <w:rPr>
          <w:rFonts w:cs="Arial"/>
          <w:lang w:val="en-GB"/>
        </w:rPr>
        <w:t xml:space="preserve">, A.W. and </w:t>
      </w:r>
      <w:proofErr w:type="spellStart"/>
      <w:r w:rsidRPr="00EF2814">
        <w:rPr>
          <w:rFonts w:cs="Arial"/>
          <w:lang w:val="en-GB"/>
        </w:rPr>
        <w:t>Cherchiglia</w:t>
      </w:r>
      <w:proofErr w:type="spellEnd"/>
      <w:r w:rsidRPr="00EF2814">
        <w:rPr>
          <w:rFonts w:cs="Arial"/>
          <w:lang w:val="en-GB"/>
        </w:rPr>
        <w:t xml:space="preserve">, M.L. (2022) </w:t>
      </w:r>
      <w:r w:rsidRPr="00EF2814">
        <w:rPr>
          <w:rFonts w:cs="Arial"/>
          <w:lang w:val="en-GB"/>
        </w:rPr>
        <w:lastRenderedPageBreak/>
        <w:t>‘</w:t>
      </w:r>
      <w:proofErr w:type="spellStart"/>
      <w:r w:rsidRPr="00EF2814">
        <w:rPr>
          <w:rFonts w:cs="Arial"/>
          <w:lang w:val="en-GB"/>
        </w:rPr>
        <w:t>Estratégias</w:t>
      </w:r>
      <w:proofErr w:type="spellEnd"/>
      <w:r w:rsidRPr="00EF2814">
        <w:rPr>
          <w:rFonts w:cs="Arial"/>
          <w:lang w:val="en-GB"/>
        </w:rPr>
        <w:t xml:space="preserve"> </w:t>
      </w:r>
      <w:proofErr w:type="spellStart"/>
      <w:r w:rsidRPr="00EF2814">
        <w:rPr>
          <w:rFonts w:cs="Arial"/>
          <w:lang w:val="en-GB"/>
        </w:rPr>
        <w:t>internacionais</w:t>
      </w:r>
      <w:proofErr w:type="spellEnd"/>
      <w:r w:rsidRPr="00EF2814">
        <w:rPr>
          <w:rFonts w:cs="Arial"/>
          <w:lang w:val="en-GB"/>
        </w:rPr>
        <w:t xml:space="preserve"> de </w:t>
      </w:r>
      <w:proofErr w:type="spellStart"/>
      <w:r w:rsidRPr="00EF2814">
        <w:rPr>
          <w:rFonts w:cs="Arial"/>
          <w:lang w:val="en-GB"/>
        </w:rPr>
        <w:t>flexibilização</w:t>
      </w:r>
      <w:proofErr w:type="spellEnd"/>
      <w:r w:rsidRPr="00EF2814">
        <w:rPr>
          <w:rFonts w:cs="Arial"/>
          <w:lang w:val="en-GB"/>
        </w:rPr>
        <w:t xml:space="preserve"> da </w:t>
      </w:r>
      <w:proofErr w:type="spellStart"/>
      <w:r w:rsidRPr="00EF2814">
        <w:rPr>
          <w:rFonts w:cs="Arial"/>
          <w:lang w:val="en-GB"/>
        </w:rPr>
        <w:t>regulação</w:t>
      </w:r>
      <w:proofErr w:type="spellEnd"/>
      <w:r w:rsidRPr="00EF2814">
        <w:rPr>
          <w:rFonts w:cs="Arial"/>
          <w:lang w:val="en-GB"/>
        </w:rPr>
        <w:t xml:space="preserve"> da </w:t>
      </w:r>
      <w:proofErr w:type="spellStart"/>
      <w:r w:rsidRPr="00EF2814">
        <w:rPr>
          <w:rFonts w:cs="Arial"/>
          <w:lang w:val="en-GB"/>
        </w:rPr>
        <w:t>prática</w:t>
      </w:r>
      <w:proofErr w:type="spellEnd"/>
      <w:r w:rsidRPr="00EF2814">
        <w:rPr>
          <w:rFonts w:cs="Arial"/>
          <w:lang w:val="en-GB"/>
        </w:rPr>
        <w:t xml:space="preserve"> de </w:t>
      </w:r>
      <w:proofErr w:type="spellStart"/>
      <w:r w:rsidRPr="00EF2814">
        <w:rPr>
          <w:rFonts w:cs="Arial"/>
          <w:lang w:val="en-GB"/>
        </w:rPr>
        <w:t>profissionais</w:t>
      </w:r>
      <w:proofErr w:type="spellEnd"/>
      <w:r w:rsidRPr="00EF2814">
        <w:rPr>
          <w:rFonts w:cs="Arial"/>
          <w:lang w:val="en-GB"/>
        </w:rPr>
        <w:t xml:space="preserve"> de </w:t>
      </w:r>
      <w:proofErr w:type="spellStart"/>
      <w:r w:rsidRPr="00EF2814">
        <w:rPr>
          <w:rFonts w:cs="Arial"/>
          <w:lang w:val="en-GB"/>
        </w:rPr>
        <w:t>saúde</w:t>
      </w:r>
      <w:proofErr w:type="spellEnd"/>
      <w:r w:rsidRPr="00EF2814">
        <w:rPr>
          <w:rFonts w:cs="Arial"/>
          <w:lang w:val="en-GB"/>
        </w:rPr>
        <w:t xml:space="preserve"> </w:t>
      </w:r>
      <w:proofErr w:type="spellStart"/>
      <w:r w:rsidRPr="00EF2814">
        <w:rPr>
          <w:rFonts w:cs="Arial"/>
          <w:lang w:val="en-GB"/>
        </w:rPr>
        <w:t>em</w:t>
      </w:r>
      <w:proofErr w:type="spellEnd"/>
      <w:r w:rsidRPr="00EF2814">
        <w:rPr>
          <w:rFonts w:cs="Arial"/>
          <w:lang w:val="en-GB"/>
        </w:rPr>
        <w:t xml:space="preserve"> </w:t>
      </w:r>
      <w:proofErr w:type="spellStart"/>
      <w:r w:rsidRPr="00EF2814">
        <w:rPr>
          <w:rFonts w:cs="Arial"/>
          <w:lang w:val="en-GB"/>
        </w:rPr>
        <w:t>resposta</w:t>
      </w:r>
      <w:proofErr w:type="spellEnd"/>
      <w:r w:rsidRPr="00EF2814">
        <w:rPr>
          <w:rFonts w:cs="Arial"/>
          <w:lang w:val="en-GB"/>
        </w:rPr>
        <w:t xml:space="preserve"> à pandemia da COVID-19: </w:t>
      </w:r>
      <w:proofErr w:type="spellStart"/>
      <w:r w:rsidRPr="00EF2814">
        <w:rPr>
          <w:rFonts w:cs="Arial"/>
          <w:lang w:val="en-GB"/>
        </w:rPr>
        <w:t>revisão</w:t>
      </w:r>
      <w:proofErr w:type="spellEnd"/>
      <w:r w:rsidRPr="00EF2814">
        <w:rPr>
          <w:rFonts w:cs="Arial"/>
          <w:lang w:val="en-GB"/>
        </w:rPr>
        <w:t xml:space="preserve"> de </w:t>
      </w:r>
      <w:proofErr w:type="spellStart"/>
      <w:r w:rsidRPr="00EF2814">
        <w:rPr>
          <w:rFonts w:cs="Arial"/>
          <w:lang w:val="en-GB"/>
        </w:rPr>
        <w:t>escopo</w:t>
      </w:r>
      <w:proofErr w:type="spellEnd"/>
      <w:r w:rsidRPr="00EF2814">
        <w:rPr>
          <w:rFonts w:cs="Arial"/>
          <w:lang w:val="en-GB"/>
        </w:rPr>
        <w:t xml:space="preserve">’, </w:t>
      </w:r>
      <w:proofErr w:type="spellStart"/>
      <w:r w:rsidRPr="00EF2814">
        <w:rPr>
          <w:rFonts w:cs="Arial"/>
          <w:i/>
          <w:iCs/>
          <w:lang w:val="en-GB"/>
        </w:rPr>
        <w:t>Cadernos</w:t>
      </w:r>
      <w:proofErr w:type="spellEnd"/>
      <w:r w:rsidRPr="00EF2814">
        <w:rPr>
          <w:rFonts w:cs="Arial"/>
          <w:i/>
          <w:iCs/>
          <w:lang w:val="en-GB"/>
        </w:rPr>
        <w:t xml:space="preserve"> de </w:t>
      </w:r>
      <w:proofErr w:type="spellStart"/>
      <w:r w:rsidRPr="00EF2814">
        <w:rPr>
          <w:rFonts w:cs="Arial"/>
          <w:i/>
          <w:iCs/>
          <w:lang w:val="en-GB"/>
        </w:rPr>
        <w:t>Saúde</w:t>
      </w:r>
      <w:proofErr w:type="spellEnd"/>
      <w:r w:rsidRPr="00EF2814">
        <w:rPr>
          <w:rFonts w:cs="Arial"/>
          <w:i/>
          <w:iCs/>
          <w:lang w:val="en-GB"/>
        </w:rPr>
        <w:t xml:space="preserve"> Pública</w:t>
      </w:r>
      <w:r w:rsidRPr="00EF2814">
        <w:rPr>
          <w:rFonts w:cs="Arial"/>
          <w:lang w:val="en-GB"/>
        </w:rPr>
        <w:t xml:space="preserve">, 38(2). Available at: </w:t>
      </w:r>
      <w:hyperlink r:id="rId111" w:history="1">
        <w:r w:rsidRPr="00EF2814">
          <w:rPr>
            <w:rFonts w:cs="Arial"/>
            <w:lang w:val="en-GB"/>
          </w:rPr>
          <w:t>https://doi.org/10.1590/0102-311x00116321</w:t>
        </w:r>
      </w:hyperlink>
      <w:r w:rsidRPr="00EF2814">
        <w:rPr>
          <w:rFonts w:cs="Arial"/>
          <w:lang w:val="en-GB"/>
        </w:rPr>
        <w:t>.</w:t>
      </w:r>
    </w:p>
    <w:p w14:paraId="79A9ECCF" w14:textId="77777777" w:rsidR="002D744B" w:rsidRPr="00EF2814" w:rsidRDefault="002D744B" w:rsidP="008C02E0">
      <w:pPr>
        <w:widowControl w:val="0"/>
        <w:autoSpaceDE w:val="0"/>
        <w:autoSpaceDN w:val="0"/>
        <w:adjustRightInd w:val="0"/>
        <w:spacing w:before="240" w:after="0"/>
        <w:rPr>
          <w:rFonts w:cs="Arial"/>
          <w:lang w:val="en-GB"/>
        </w:rPr>
      </w:pPr>
      <w:proofErr w:type="spellStart"/>
      <w:r w:rsidRPr="00EF2814">
        <w:rPr>
          <w:rFonts w:cs="Arial"/>
          <w:lang w:val="en-GB"/>
        </w:rPr>
        <w:t>Tabche</w:t>
      </w:r>
      <w:proofErr w:type="spellEnd"/>
      <w:r w:rsidRPr="00EF2814">
        <w:rPr>
          <w:rFonts w:cs="Arial"/>
          <w:lang w:val="en-GB"/>
        </w:rPr>
        <w:t xml:space="preserve">, C., Atwan, Z. and </w:t>
      </w:r>
      <w:proofErr w:type="spellStart"/>
      <w:r w:rsidRPr="00EF2814">
        <w:rPr>
          <w:rFonts w:cs="Arial"/>
          <w:lang w:val="en-GB"/>
        </w:rPr>
        <w:t>Rawaf</w:t>
      </w:r>
      <w:proofErr w:type="spellEnd"/>
      <w:r w:rsidRPr="00EF2814">
        <w:rPr>
          <w:rFonts w:cs="Arial"/>
          <w:lang w:val="en-GB"/>
        </w:rPr>
        <w:t xml:space="preserve">, S. (2024) ‘Integrating emergency preparedness competency frameworks in workforce development training’, </w:t>
      </w:r>
      <w:r w:rsidRPr="00EF2814">
        <w:rPr>
          <w:rFonts w:cs="Arial"/>
          <w:i/>
          <w:iCs/>
          <w:lang w:val="en-GB"/>
        </w:rPr>
        <w:t>Mass Gathering Medicine</w:t>
      </w:r>
      <w:r w:rsidRPr="00EF2814">
        <w:rPr>
          <w:rFonts w:cs="Arial"/>
          <w:lang w:val="en-GB"/>
        </w:rPr>
        <w:t xml:space="preserve">, 2, p. 100008. Available at: </w:t>
      </w:r>
      <w:hyperlink r:id="rId112" w:history="1">
        <w:r w:rsidRPr="00EF2814">
          <w:rPr>
            <w:rFonts w:cs="Arial"/>
            <w:lang w:val="en-GB"/>
          </w:rPr>
          <w:t>https://doi.org/10.1016/j.mgmed.2024.100008</w:t>
        </w:r>
      </w:hyperlink>
      <w:r w:rsidRPr="00EF2814">
        <w:rPr>
          <w:rFonts w:cs="Arial"/>
          <w:lang w:val="en-GB"/>
        </w:rPr>
        <w:t>.</w:t>
      </w:r>
    </w:p>
    <w:p w14:paraId="06EECD05" w14:textId="77777777" w:rsidR="002D744B" w:rsidRPr="00EF2814" w:rsidRDefault="002D744B" w:rsidP="002D744B">
      <w:pPr>
        <w:spacing w:before="240"/>
        <w:rPr>
          <w:rFonts w:eastAsia="Times New Roman" w:cs="Arial"/>
          <w:lang w:val="en-GB"/>
        </w:rPr>
      </w:pPr>
      <w:proofErr w:type="spellStart"/>
      <w:r w:rsidRPr="00EF2814">
        <w:rPr>
          <w:rFonts w:eastAsia="Times New Roman" w:cs="Arial"/>
          <w:lang w:val="en-GB"/>
        </w:rPr>
        <w:t>Taherdoost</w:t>
      </w:r>
      <w:proofErr w:type="spellEnd"/>
      <w:r w:rsidRPr="00EF2814">
        <w:rPr>
          <w:rFonts w:eastAsia="Times New Roman" w:cs="Arial"/>
          <w:lang w:val="en-GB"/>
        </w:rPr>
        <w:t xml:space="preserve">, H. (2021) ‘A review of technology acceptance and adoption models and theories.’ </w:t>
      </w:r>
      <w:r w:rsidRPr="00EF2814">
        <w:rPr>
          <w:rFonts w:eastAsia="Times New Roman" w:cs="Arial"/>
          <w:i/>
          <w:iCs/>
          <w:lang w:val="en-GB"/>
        </w:rPr>
        <w:t>Procedia Manufacturing</w:t>
      </w:r>
      <w:r w:rsidRPr="00EF2814">
        <w:rPr>
          <w:rFonts w:eastAsia="Times New Roman" w:cs="Arial"/>
          <w:lang w:val="en-GB"/>
        </w:rPr>
        <w:t xml:space="preserve">, 22, pp.960–967. Available at: </w:t>
      </w:r>
      <w:hyperlink r:id="rId113" w:history="1">
        <w:r w:rsidRPr="00EF2814">
          <w:rPr>
            <w:rStyle w:val="Hyperlink"/>
            <w:rFonts w:eastAsia="Times New Roman" w:cs="Arial"/>
            <w:lang w:val="en-GB"/>
          </w:rPr>
          <w:t>https://doi.org/10.1016/j.promfg.2018.03.137</w:t>
        </w:r>
      </w:hyperlink>
      <w:r w:rsidRPr="00EF2814">
        <w:rPr>
          <w:rFonts w:eastAsia="Times New Roman" w:cs="Arial"/>
          <w:lang w:val="en-GB"/>
        </w:rPr>
        <w:t xml:space="preserve"> </w:t>
      </w:r>
    </w:p>
    <w:p w14:paraId="123BEA33" w14:textId="1FB51005" w:rsidR="002D744B" w:rsidRPr="00EF2814" w:rsidRDefault="002D744B" w:rsidP="008C02E0">
      <w:pPr>
        <w:spacing w:before="240" w:after="0"/>
        <w:rPr>
          <w:rFonts w:cs="Arial"/>
          <w:lang w:val="en-GB"/>
        </w:rPr>
      </w:pPr>
      <w:r w:rsidRPr="00EF2814">
        <w:rPr>
          <w:rFonts w:cs="Arial"/>
          <w:lang w:val="en-GB"/>
        </w:rPr>
        <w:t xml:space="preserve">Thefederation.uk, (2026) Enhancing UK Core Medical Training through simulation-based education: an evidence-based approach A report from the joint JRCPTB/HEE Expert Group on Simulation in Core Medical Training. (2016). pp. 90-120. Available at: </w:t>
      </w:r>
      <w:hyperlink r:id="rId114" w:history="1">
        <w:r w:rsidRPr="00EF2814">
          <w:rPr>
            <w:rStyle w:val="Hyperlink"/>
            <w:rFonts w:cs="Arial"/>
            <w:lang w:val="en-GB"/>
          </w:rPr>
          <w:t>https://www.thefederation.uk/sites/default/files/HEE_Report_FINAL.pdf</w:t>
        </w:r>
      </w:hyperlink>
      <w:r w:rsidRPr="00EF2814">
        <w:rPr>
          <w:rFonts w:cs="Arial"/>
          <w:lang w:val="en-GB"/>
        </w:rPr>
        <w:t xml:space="preserve"> [Accessed 7 </w:t>
      </w:r>
      <w:r w:rsidR="0048349E">
        <w:rPr>
          <w:rFonts w:cs="Arial"/>
          <w:lang w:val="en-GB"/>
        </w:rPr>
        <w:t xml:space="preserve">April </w:t>
      </w:r>
      <w:r w:rsidRPr="00EF2814">
        <w:rPr>
          <w:rFonts w:cs="Arial"/>
          <w:lang w:val="en-GB"/>
        </w:rPr>
        <w:t>2026]</w:t>
      </w:r>
    </w:p>
    <w:p w14:paraId="1F944E8B"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Tringale, M., Stephen, G., Boylan, A.-M. and Heneghan, C. (2022) ‘Integrating Patient Values and Preferences in healthcare: a Systematic Review of Qualitative Evidence’, </w:t>
      </w:r>
      <w:r w:rsidRPr="00EF2814">
        <w:rPr>
          <w:rFonts w:cs="Arial"/>
          <w:i/>
          <w:iCs/>
          <w:lang w:val="en-GB"/>
        </w:rPr>
        <w:t>BMJ Open</w:t>
      </w:r>
      <w:r w:rsidRPr="00EF2814">
        <w:rPr>
          <w:rFonts w:cs="Arial"/>
          <w:lang w:val="en-GB"/>
        </w:rPr>
        <w:t xml:space="preserve">, 12(11), pp. 1–13. Available at: </w:t>
      </w:r>
      <w:hyperlink r:id="rId115" w:history="1">
        <w:r w:rsidRPr="00EF2814">
          <w:rPr>
            <w:rFonts w:cs="Arial"/>
            <w:lang w:val="en-GB"/>
          </w:rPr>
          <w:t>https://www.ncbi.nlm.nih.gov/pmc/articles/PMC9677014/</w:t>
        </w:r>
      </w:hyperlink>
      <w:r w:rsidRPr="00EF2814">
        <w:rPr>
          <w:rFonts w:cs="Arial"/>
          <w:lang w:val="en-GB"/>
        </w:rPr>
        <w:t>.</w:t>
      </w:r>
    </w:p>
    <w:p w14:paraId="1795DDD3"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Tringale, M., Stephen, G., Boylan, A.-M. and Heneghan, C. (2022) ‘Integrating Patient Values and Preferences in healthcare: a Systematic Review of Qualitative Evidence’, </w:t>
      </w:r>
      <w:r w:rsidRPr="00EF2814">
        <w:rPr>
          <w:rFonts w:cs="Arial"/>
          <w:i/>
          <w:iCs/>
          <w:lang w:val="en-GB"/>
        </w:rPr>
        <w:t>BMJ Open</w:t>
      </w:r>
      <w:r w:rsidRPr="00EF2814">
        <w:rPr>
          <w:rFonts w:cs="Arial"/>
          <w:lang w:val="en-GB"/>
        </w:rPr>
        <w:t xml:space="preserve">, 12(11), pp. 1–13. Available at: </w:t>
      </w:r>
      <w:hyperlink r:id="rId116" w:history="1">
        <w:r w:rsidRPr="00EF2814">
          <w:rPr>
            <w:rFonts w:cs="Arial"/>
            <w:lang w:val="en-GB"/>
          </w:rPr>
          <w:t>https://www.ncbi.nlm.nih.gov/pmc/articles/PMC9677014/</w:t>
        </w:r>
      </w:hyperlink>
      <w:r w:rsidRPr="00EF2814">
        <w:rPr>
          <w:rFonts w:cs="Arial"/>
          <w:lang w:val="en-GB"/>
        </w:rPr>
        <w:t>.</w:t>
      </w:r>
    </w:p>
    <w:p w14:paraId="6B6BAB63"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Troyer, L. and Brady, W. (2020) ‘Barriers to Effective EMS to Emergency Department Information Transfer at Patient handover: a Systematic Review.’ </w:t>
      </w:r>
      <w:r w:rsidRPr="00EF2814">
        <w:rPr>
          <w:rFonts w:eastAsia="Times New Roman" w:cs="Arial"/>
          <w:i/>
          <w:iCs/>
          <w:lang w:val="en-GB"/>
        </w:rPr>
        <w:t>The American Journal of Emergency Medicine</w:t>
      </w:r>
      <w:r w:rsidRPr="00EF2814">
        <w:rPr>
          <w:rFonts w:eastAsia="Times New Roman" w:cs="Arial"/>
          <w:lang w:val="en-GB"/>
        </w:rPr>
        <w:t xml:space="preserve">, [online] 38(7). Available at: </w:t>
      </w:r>
      <w:hyperlink r:id="rId117" w:history="1">
        <w:r w:rsidRPr="00EF2814">
          <w:rPr>
            <w:rStyle w:val="Hyperlink"/>
            <w:rFonts w:eastAsia="Times New Roman" w:cs="Arial"/>
            <w:lang w:val="en-GB"/>
          </w:rPr>
          <w:t>https://doi.org/10.1016/j.ajem.2020.04.036</w:t>
        </w:r>
      </w:hyperlink>
      <w:r w:rsidRPr="00EF2814">
        <w:rPr>
          <w:rFonts w:eastAsia="Times New Roman" w:cs="Arial"/>
          <w:lang w:val="en-GB"/>
        </w:rPr>
        <w:t xml:space="preserve"> </w:t>
      </w:r>
    </w:p>
    <w:p w14:paraId="1C9AD699" w14:textId="77777777" w:rsidR="002D744B" w:rsidRPr="00EF2814" w:rsidRDefault="002D744B" w:rsidP="008C02E0">
      <w:pPr>
        <w:spacing w:before="240" w:after="0"/>
        <w:rPr>
          <w:rFonts w:cs="Arial"/>
          <w:lang w:val="en-GB"/>
        </w:rPr>
      </w:pPr>
      <w:r w:rsidRPr="00EF2814">
        <w:rPr>
          <w:rFonts w:cs="Arial"/>
          <w:lang w:val="en-GB"/>
        </w:rPr>
        <w:t xml:space="preserve">Vera San Juan, N., Clark, S.E., Camilleri, M., Jeans, J.P., Monkhouse, A., Chisnall, G. and </w:t>
      </w:r>
      <w:proofErr w:type="spellStart"/>
      <w:r w:rsidRPr="00EF2814">
        <w:rPr>
          <w:rFonts w:cs="Arial"/>
          <w:lang w:val="en-GB"/>
        </w:rPr>
        <w:t>Vindrola-Padros</w:t>
      </w:r>
      <w:proofErr w:type="spellEnd"/>
      <w:r w:rsidRPr="00EF2814">
        <w:rPr>
          <w:rFonts w:cs="Arial"/>
          <w:lang w:val="en-GB"/>
        </w:rPr>
        <w:t xml:space="preserve">, C. (2022) ‘Training and redeployment of healthcare workers to intensive care units (ICUs) during the COVID-19 pandemic: a systematic review.’ </w:t>
      </w:r>
      <w:r w:rsidRPr="00EF2814">
        <w:rPr>
          <w:rFonts w:cs="Arial"/>
          <w:i/>
          <w:iCs/>
          <w:lang w:val="en-GB"/>
        </w:rPr>
        <w:t>BMJ Open</w:t>
      </w:r>
      <w:r w:rsidRPr="00EF2814">
        <w:rPr>
          <w:rFonts w:cs="Arial"/>
          <w:lang w:val="en-GB"/>
        </w:rPr>
        <w:t xml:space="preserve">, 12(1), p.e050038. pp. 56–59. Available at: </w:t>
      </w:r>
      <w:hyperlink r:id="rId118" w:history="1">
        <w:r w:rsidRPr="00EF2814">
          <w:rPr>
            <w:rStyle w:val="Hyperlink"/>
            <w:rFonts w:cs="Arial"/>
            <w:lang w:val="en-GB"/>
          </w:rPr>
          <w:t>https://doi.org/10.1136/bmjopen-2021-050038</w:t>
        </w:r>
      </w:hyperlink>
      <w:r w:rsidRPr="00EF2814">
        <w:rPr>
          <w:rFonts w:cs="Arial"/>
          <w:lang w:val="en-GB"/>
        </w:rPr>
        <w:t xml:space="preserve"> </w:t>
      </w:r>
    </w:p>
    <w:p w14:paraId="7B277921" w14:textId="77777777" w:rsidR="002D744B" w:rsidRPr="00EF2814" w:rsidRDefault="002D744B" w:rsidP="002D744B">
      <w:pPr>
        <w:spacing w:before="240"/>
        <w:rPr>
          <w:rFonts w:eastAsia="Times New Roman" w:cs="Arial"/>
          <w:lang w:val="en-GB"/>
        </w:rPr>
      </w:pPr>
      <w:proofErr w:type="spellStart"/>
      <w:r w:rsidRPr="00EF2814">
        <w:rPr>
          <w:rFonts w:eastAsia="Times New Roman" w:cs="Arial"/>
          <w:lang w:val="en-GB"/>
        </w:rPr>
        <w:t>Vindrola-Padros</w:t>
      </w:r>
      <w:proofErr w:type="spellEnd"/>
      <w:r w:rsidRPr="00EF2814">
        <w:rPr>
          <w:rFonts w:eastAsia="Times New Roman" w:cs="Arial"/>
          <w:lang w:val="en-GB"/>
        </w:rPr>
        <w:t xml:space="preserve">, C., Andrews, L., Dowrick, A., Djellouli, N., Fillmore, H., Bautista Gonzalez, E., Javadi, D., Lewis-Jackson, S., Manby, L., Mitchinson, L., Mulcahy Symmons, S., Martin, S., Regenold, N., Robinson, H., </w:t>
      </w:r>
      <w:proofErr w:type="spellStart"/>
      <w:r w:rsidRPr="00EF2814">
        <w:rPr>
          <w:rFonts w:eastAsia="Times New Roman" w:cs="Arial"/>
          <w:lang w:val="en-GB"/>
        </w:rPr>
        <w:t>Sumray</w:t>
      </w:r>
      <w:proofErr w:type="spellEnd"/>
      <w:r w:rsidRPr="00EF2814">
        <w:rPr>
          <w:rFonts w:eastAsia="Times New Roman" w:cs="Arial"/>
          <w:lang w:val="en-GB"/>
        </w:rPr>
        <w:t xml:space="preserve">, K., Singleton, G., Syversen, A., </w:t>
      </w:r>
      <w:proofErr w:type="spellStart"/>
      <w:r w:rsidRPr="00EF2814">
        <w:rPr>
          <w:rFonts w:eastAsia="Times New Roman" w:cs="Arial"/>
          <w:lang w:val="en-GB"/>
        </w:rPr>
        <w:t>Vanderslott</w:t>
      </w:r>
      <w:proofErr w:type="spellEnd"/>
      <w:r w:rsidRPr="00EF2814">
        <w:rPr>
          <w:rFonts w:eastAsia="Times New Roman" w:cs="Arial"/>
          <w:lang w:val="en-GB"/>
        </w:rPr>
        <w:t xml:space="preserve">, S. and </w:t>
      </w:r>
      <w:r w:rsidRPr="00EF2814">
        <w:rPr>
          <w:rFonts w:eastAsia="Times New Roman" w:cs="Arial"/>
          <w:lang w:val="en-GB"/>
        </w:rPr>
        <w:lastRenderedPageBreak/>
        <w:t xml:space="preserve">Johnson, G. (2020) ‘Perceptions and Experiences of Healthcare Workers during the COVID-19 Pandemic in the UK.’ </w:t>
      </w:r>
      <w:r w:rsidRPr="00EF2814">
        <w:rPr>
          <w:rFonts w:eastAsia="Times New Roman" w:cs="Arial"/>
          <w:i/>
          <w:iCs/>
          <w:lang w:val="en-GB"/>
        </w:rPr>
        <w:t>BMJ Open</w:t>
      </w:r>
      <w:r w:rsidRPr="00EF2814">
        <w:rPr>
          <w:rFonts w:eastAsia="Times New Roman" w:cs="Arial"/>
          <w:lang w:val="en-GB"/>
        </w:rPr>
        <w:t xml:space="preserve">, 10(11), </w:t>
      </w:r>
      <w:proofErr w:type="gramStart"/>
      <w:r w:rsidRPr="00EF2814">
        <w:rPr>
          <w:rFonts w:eastAsia="Times New Roman" w:cs="Arial"/>
          <w:lang w:val="en-GB"/>
        </w:rPr>
        <w:t>pp.e</w:t>
      </w:r>
      <w:proofErr w:type="gramEnd"/>
      <w:r w:rsidRPr="00EF2814">
        <w:rPr>
          <w:rFonts w:eastAsia="Times New Roman" w:cs="Arial"/>
          <w:lang w:val="en-GB"/>
        </w:rPr>
        <w:t xml:space="preserve">040503- e040510. Available at: </w:t>
      </w:r>
      <w:hyperlink r:id="rId119" w:history="1">
        <w:r w:rsidRPr="00EF2814">
          <w:rPr>
            <w:rStyle w:val="Hyperlink"/>
            <w:rFonts w:eastAsia="Times New Roman" w:cs="Arial"/>
            <w:lang w:val="en-GB"/>
          </w:rPr>
          <w:t>https://doi.org/10.1136/bmjopen-2020-040503</w:t>
        </w:r>
      </w:hyperlink>
      <w:r w:rsidRPr="00EF2814">
        <w:rPr>
          <w:rFonts w:eastAsia="Times New Roman" w:cs="Arial"/>
          <w:lang w:val="en-GB"/>
        </w:rPr>
        <w:t xml:space="preserve"> </w:t>
      </w:r>
    </w:p>
    <w:p w14:paraId="345EE71E"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Walshe, K., Smith, J., Lamont, T. and Leary, A. (2024) ‘Workforce research priorities for resilience to future health shocks—and the workforce crisis.’ </w:t>
      </w:r>
      <w:r w:rsidRPr="00EF2814">
        <w:rPr>
          <w:rFonts w:eastAsia="Times New Roman" w:cs="Arial"/>
          <w:i/>
          <w:iCs/>
          <w:lang w:val="en-GB"/>
        </w:rPr>
        <w:t>BMJ</w:t>
      </w:r>
      <w:r w:rsidRPr="00EF2814">
        <w:rPr>
          <w:rFonts w:eastAsia="Times New Roman" w:cs="Arial"/>
          <w:lang w:val="en-GB"/>
        </w:rPr>
        <w:t xml:space="preserve">, </w:t>
      </w:r>
      <w:proofErr w:type="gramStart"/>
      <w:r w:rsidRPr="00EF2814">
        <w:rPr>
          <w:rFonts w:eastAsia="Times New Roman" w:cs="Arial"/>
          <w:lang w:val="en-GB"/>
        </w:rPr>
        <w:t>pp.e</w:t>
      </w:r>
      <w:proofErr w:type="gramEnd"/>
      <w:r w:rsidRPr="00EF2814">
        <w:rPr>
          <w:rFonts w:eastAsia="Times New Roman" w:cs="Arial"/>
          <w:lang w:val="en-GB"/>
        </w:rPr>
        <w:t xml:space="preserve">078997–e078997. Available at: </w:t>
      </w:r>
      <w:hyperlink r:id="rId120" w:history="1">
        <w:r w:rsidRPr="00EF2814">
          <w:rPr>
            <w:rStyle w:val="Hyperlink"/>
            <w:rFonts w:eastAsia="Times New Roman" w:cs="Arial"/>
            <w:lang w:val="en-GB"/>
          </w:rPr>
          <w:t>https://doi.org/10.1136/bmj-2023-078997</w:t>
        </w:r>
      </w:hyperlink>
      <w:r w:rsidRPr="00EF2814">
        <w:rPr>
          <w:rFonts w:eastAsia="Times New Roman" w:cs="Arial"/>
          <w:lang w:val="en-GB"/>
        </w:rPr>
        <w:t xml:space="preserve"> </w:t>
      </w:r>
    </w:p>
    <w:p w14:paraId="37D534C1" w14:textId="77777777" w:rsidR="002D744B" w:rsidRPr="00EF2814" w:rsidRDefault="002D744B" w:rsidP="008C02E0">
      <w:pPr>
        <w:spacing w:before="240" w:after="0"/>
        <w:rPr>
          <w:rFonts w:cs="Arial"/>
          <w:lang w:val="en-GB"/>
        </w:rPr>
      </w:pPr>
      <w:r w:rsidRPr="00EF2814">
        <w:rPr>
          <w:rFonts w:cs="Arial"/>
          <w:lang w:val="en-GB"/>
        </w:rPr>
        <w:t xml:space="preserve">WHO (2020) </w:t>
      </w:r>
      <w:r w:rsidRPr="00EF2814">
        <w:rPr>
          <w:rFonts w:cs="Arial"/>
          <w:i/>
          <w:iCs/>
          <w:lang w:val="en-GB"/>
        </w:rPr>
        <w:t>EQUIP - Ensuring Quality in Psychological Support</w:t>
      </w:r>
      <w:r w:rsidRPr="00EF2814">
        <w:rPr>
          <w:rFonts w:cs="Arial"/>
          <w:lang w:val="en-GB"/>
        </w:rPr>
        <w:t xml:space="preserve">. [online] www.who.int. Available at: </w:t>
      </w:r>
      <w:hyperlink r:id="rId121" w:history="1">
        <w:r w:rsidRPr="00EF2814">
          <w:rPr>
            <w:rStyle w:val="Hyperlink"/>
            <w:rFonts w:cs="Arial"/>
            <w:lang w:val="en-GB"/>
          </w:rPr>
          <w:t>https://www.who.int/teams/mental-health-and-substance-use/treatment-care/equip-ensuring-quality-in-psychological-support</w:t>
        </w:r>
      </w:hyperlink>
      <w:r w:rsidRPr="00EF2814">
        <w:rPr>
          <w:rFonts w:cs="Arial"/>
          <w:lang w:val="en-GB"/>
        </w:rPr>
        <w:t xml:space="preserve"> [Accessed 7 February 2026]</w:t>
      </w:r>
    </w:p>
    <w:p w14:paraId="09559533" w14:textId="4BD648FB" w:rsidR="002D744B" w:rsidRPr="00EF2814" w:rsidRDefault="002D744B" w:rsidP="008C02E0">
      <w:pPr>
        <w:spacing w:before="240" w:after="0"/>
        <w:rPr>
          <w:rFonts w:cs="Arial"/>
          <w:lang w:val="en-GB"/>
        </w:rPr>
      </w:pPr>
      <w:r w:rsidRPr="00EF2814">
        <w:rPr>
          <w:rFonts w:cs="Arial"/>
          <w:lang w:val="en-GB"/>
        </w:rPr>
        <w:t xml:space="preserve">WHO (2021) </w:t>
      </w:r>
      <w:r w:rsidRPr="00EF2814">
        <w:rPr>
          <w:rFonts w:cs="Arial"/>
          <w:i/>
          <w:iCs/>
          <w:lang w:val="en-GB"/>
        </w:rPr>
        <w:t xml:space="preserve">Welcome to </w:t>
      </w:r>
      <w:proofErr w:type="spellStart"/>
      <w:r w:rsidRPr="00EF2814">
        <w:rPr>
          <w:rFonts w:cs="Arial"/>
          <w:i/>
          <w:iCs/>
          <w:lang w:val="en-GB"/>
        </w:rPr>
        <w:t>OpenWHO</w:t>
      </w:r>
      <w:proofErr w:type="spellEnd"/>
      <w:r w:rsidRPr="00EF2814">
        <w:rPr>
          <w:rFonts w:cs="Arial"/>
          <w:lang w:val="en-GB"/>
        </w:rPr>
        <w:t xml:space="preserve">. [online] openwho.org. Available at: </w:t>
      </w:r>
      <w:hyperlink r:id="rId122" w:history="1">
        <w:r w:rsidRPr="00EF2814">
          <w:rPr>
            <w:rStyle w:val="Hyperlink"/>
            <w:rFonts w:cs="Arial"/>
            <w:lang w:val="en-GB"/>
          </w:rPr>
          <w:t>https://openwho.org/</w:t>
        </w:r>
      </w:hyperlink>
      <w:r w:rsidRPr="00EF2814">
        <w:rPr>
          <w:rFonts w:cs="Arial"/>
          <w:lang w:val="en-GB"/>
        </w:rPr>
        <w:t xml:space="preserve"> [Accessed 7</w:t>
      </w:r>
      <w:r w:rsidR="0048349E">
        <w:rPr>
          <w:rFonts w:cs="Arial"/>
          <w:lang w:val="en-GB"/>
        </w:rPr>
        <w:t xml:space="preserve"> April</w:t>
      </w:r>
      <w:r w:rsidRPr="00EF2814">
        <w:rPr>
          <w:rFonts w:cs="Arial"/>
          <w:lang w:val="en-GB"/>
        </w:rPr>
        <w:t xml:space="preserve"> 2026]</w:t>
      </w:r>
    </w:p>
    <w:p w14:paraId="33498B23" w14:textId="1AD5BA17" w:rsidR="002D744B" w:rsidRPr="00EF2814" w:rsidRDefault="002D744B" w:rsidP="008C02E0">
      <w:pPr>
        <w:spacing w:before="240" w:after="0"/>
        <w:rPr>
          <w:rFonts w:cs="Arial"/>
          <w:lang w:val="en-GB"/>
        </w:rPr>
      </w:pPr>
      <w:r w:rsidRPr="00EF2814">
        <w:rPr>
          <w:rFonts w:cs="Arial"/>
          <w:lang w:val="en-GB"/>
        </w:rPr>
        <w:t xml:space="preserve">Wise, J. (2022) ‘Burnout among trainees is at </w:t>
      </w:r>
      <w:proofErr w:type="spellStart"/>
      <w:r w:rsidRPr="00EF2814">
        <w:rPr>
          <w:rFonts w:cs="Arial"/>
          <w:lang w:val="en-GB"/>
        </w:rPr>
        <w:t>all time</w:t>
      </w:r>
      <w:proofErr w:type="spellEnd"/>
      <w:r w:rsidRPr="00EF2814">
        <w:rPr>
          <w:rFonts w:cs="Arial"/>
          <w:lang w:val="en-GB"/>
        </w:rPr>
        <w:t xml:space="preserve"> high, GMC survey shows.’ </w:t>
      </w:r>
      <w:r w:rsidRPr="00EF2814">
        <w:rPr>
          <w:rFonts w:cs="Arial"/>
          <w:i/>
          <w:iCs/>
          <w:lang w:val="en-GB"/>
        </w:rPr>
        <w:t>BMJ</w:t>
      </w:r>
      <w:r w:rsidRPr="00EF2814">
        <w:rPr>
          <w:rFonts w:cs="Arial"/>
          <w:lang w:val="en-GB"/>
        </w:rPr>
        <w:t xml:space="preserve">, p.o1796. pp. 20–29. Available at: </w:t>
      </w:r>
      <w:hyperlink r:id="rId123" w:history="1">
        <w:r w:rsidRPr="00EF2814">
          <w:rPr>
            <w:rStyle w:val="Hyperlink"/>
            <w:rFonts w:cs="Arial"/>
            <w:lang w:val="en-GB"/>
          </w:rPr>
          <w:t>https://doi.org/10.1136/bmj.o1796</w:t>
        </w:r>
      </w:hyperlink>
      <w:r w:rsidRPr="00EF2814">
        <w:rPr>
          <w:rFonts w:cs="Arial"/>
          <w:lang w:val="en-GB"/>
        </w:rPr>
        <w:t xml:space="preserve"> [Accessed 7 </w:t>
      </w:r>
      <w:r w:rsidR="0048349E">
        <w:rPr>
          <w:rFonts w:cs="Arial"/>
          <w:lang w:val="en-GB"/>
        </w:rPr>
        <w:t>April</w:t>
      </w:r>
      <w:r w:rsidRPr="00EF2814">
        <w:rPr>
          <w:rFonts w:cs="Arial"/>
          <w:lang w:val="en-GB"/>
        </w:rPr>
        <w:t xml:space="preserve"> 2026]</w:t>
      </w:r>
    </w:p>
    <w:p w14:paraId="276B8DBD"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Wright, E.V., Haden, N.D. and Dalrymple, K. (2023) ‘Supervision of redeployed surgical trainees during the COVID-19 pandemic: what have we learnt and how can we improve?’, 23(1). Available at: </w:t>
      </w:r>
      <w:hyperlink r:id="rId124" w:history="1">
        <w:r w:rsidRPr="00EF2814">
          <w:rPr>
            <w:rFonts w:cs="Arial"/>
            <w:lang w:val="en-GB"/>
          </w:rPr>
          <w:t>https://doi.org/10.1186/s12909-023-04275-4</w:t>
        </w:r>
      </w:hyperlink>
      <w:r w:rsidRPr="00EF2814">
        <w:rPr>
          <w:rFonts w:cs="Arial"/>
          <w:lang w:val="en-GB"/>
        </w:rPr>
        <w:t>.</w:t>
      </w:r>
    </w:p>
    <w:p w14:paraId="64296533" w14:textId="77777777" w:rsidR="002D744B" w:rsidRPr="00EF2814" w:rsidRDefault="002D744B" w:rsidP="008C02E0">
      <w:pPr>
        <w:widowControl w:val="0"/>
        <w:autoSpaceDE w:val="0"/>
        <w:autoSpaceDN w:val="0"/>
        <w:adjustRightInd w:val="0"/>
        <w:spacing w:before="240" w:after="0"/>
        <w:rPr>
          <w:rFonts w:cs="Arial"/>
          <w:lang w:val="en-GB"/>
        </w:rPr>
      </w:pPr>
      <w:r w:rsidRPr="00EF2814">
        <w:rPr>
          <w:rFonts w:cs="Arial"/>
          <w:lang w:val="en-GB"/>
        </w:rPr>
        <w:t xml:space="preserve">Zhang, C. (2023) ‘A Literature Study of Medical Simulations for Non-Technical Skills Training in Emergency Medicine: Twenty Years of Progress, an Integrated Research Framework, and Future Research Avenues’, </w:t>
      </w:r>
      <w:r w:rsidRPr="00EF2814">
        <w:rPr>
          <w:rFonts w:cs="Arial"/>
          <w:i/>
          <w:iCs/>
          <w:lang w:val="en-GB"/>
        </w:rPr>
        <w:t>International Journal of Environmental Research and Public Health</w:t>
      </w:r>
      <w:r w:rsidRPr="00EF2814">
        <w:rPr>
          <w:rFonts w:cs="Arial"/>
          <w:lang w:val="en-GB"/>
        </w:rPr>
        <w:t xml:space="preserve">, 20(5), p. 4487. Available at: </w:t>
      </w:r>
      <w:hyperlink r:id="rId125" w:history="1">
        <w:r w:rsidRPr="00EF2814">
          <w:rPr>
            <w:rFonts w:cs="Arial"/>
            <w:lang w:val="en-GB"/>
          </w:rPr>
          <w:t>https://doi.org/10.3390/ijerph20054487</w:t>
        </w:r>
      </w:hyperlink>
      <w:r w:rsidRPr="00EF2814">
        <w:rPr>
          <w:rFonts w:cs="Arial"/>
          <w:lang w:val="en-GB"/>
        </w:rPr>
        <w:t xml:space="preserve"> </w:t>
      </w:r>
    </w:p>
    <w:p w14:paraId="231C31B1" w14:textId="77777777" w:rsidR="002D744B" w:rsidRPr="00EF2814" w:rsidRDefault="002D744B" w:rsidP="002D744B">
      <w:pPr>
        <w:spacing w:before="240"/>
        <w:rPr>
          <w:rFonts w:eastAsia="Times New Roman" w:cs="Arial"/>
          <w:lang w:val="en-GB"/>
        </w:rPr>
      </w:pPr>
      <w:r w:rsidRPr="00EF2814">
        <w:rPr>
          <w:rFonts w:eastAsia="Times New Roman" w:cs="Arial"/>
          <w:lang w:val="en-GB"/>
        </w:rPr>
        <w:t xml:space="preserve">Zimmerman, M.A. (2023) ‘Resiliency Theory: </w:t>
      </w:r>
      <w:proofErr w:type="gramStart"/>
      <w:r w:rsidRPr="00EF2814">
        <w:rPr>
          <w:rFonts w:eastAsia="Times New Roman" w:cs="Arial"/>
          <w:lang w:val="en-GB"/>
        </w:rPr>
        <w:t>a</w:t>
      </w:r>
      <w:proofErr w:type="gramEnd"/>
      <w:r w:rsidRPr="00EF2814">
        <w:rPr>
          <w:rFonts w:eastAsia="Times New Roman" w:cs="Arial"/>
          <w:lang w:val="en-GB"/>
        </w:rPr>
        <w:t xml:space="preserve"> Strengths-Based Approach to Research and Practice for Adolescent Health.’ </w:t>
      </w:r>
      <w:r w:rsidRPr="00EF2814">
        <w:rPr>
          <w:rFonts w:eastAsia="Times New Roman" w:cs="Arial"/>
          <w:i/>
          <w:iCs/>
          <w:lang w:val="en-GB"/>
        </w:rPr>
        <w:t xml:space="preserve">Health Education &amp; </w:t>
      </w:r>
      <w:proofErr w:type="spellStart"/>
      <w:r w:rsidRPr="00EF2814">
        <w:rPr>
          <w:rFonts w:eastAsia="Times New Roman" w:cs="Arial"/>
          <w:i/>
          <w:iCs/>
          <w:lang w:val="en-GB"/>
        </w:rPr>
        <w:t>Behavior</w:t>
      </w:r>
      <w:proofErr w:type="spellEnd"/>
      <w:r w:rsidRPr="00EF2814">
        <w:rPr>
          <w:rFonts w:eastAsia="Times New Roman" w:cs="Arial"/>
          <w:lang w:val="en-GB"/>
        </w:rPr>
        <w:t xml:space="preserve">, [online] 40(4), pp.381–383. Available at: </w:t>
      </w:r>
      <w:hyperlink r:id="rId126" w:history="1">
        <w:r w:rsidRPr="00EF2814">
          <w:rPr>
            <w:rStyle w:val="Hyperlink"/>
            <w:rFonts w:eastAsia="Times New Roman" w:cs="Arial"/>
            <w:lang w:val="en-GB"/>
          </w:rPr>
          <w:t>https://doi.org/10.1177/1090198113493782</w:t>
        </w:r>
      </w:hyperlink>
      <w:r w:rsidRPr="00EF2814">
        <w:rPr>
          <w:rFonts w:eastAsia="Times New Roman" w:cs="Arial"/>
          <w:lang w:val="en-GB"/>
        </w:rPr>
        <w:t xml:space="preserve"> </w:t>
      </w:r>
    </w:p>
    <w:p w14:paraId="364E780A" w14:textId="39940913" w:rsidR="00EB6F36" w:rsidRPr="00EF2814" w:rsidRDefault="00EB6F36" w:rsidP="00AD2E14">
      <w:pPr>
        <w:spacing w:after="0"/>
        <w:rPr>
          <w:rFonts w:cs="Arial"/>
          <w:sz w:val="24"/>
          <w:szCs w:val="24"/>
          <w:lang w:val="en-GB"/>
        </w:rPr>
      </w:pPr>
    </w:p>
    <w:p w14:paraId="787444DC" w14:textId="77777777" w:rsidR="00EB6F36" w:rsidRPr="00EF2814" w:rsidRDefault="00EB6F36" w:rsidP="00AD2E14">
      <w:pPr>
        <w:spacing w:after="0"/>
        <w:rPr>
          <w:rFonts w:cs="Arial"/>
          <w:sz w:val="24"/>
          <w:szCs w:val="24"/>
          <w:lang w:val="en-GB"/>
        </w:rPr>
      </w:pPr>
    </w:p>
    <w:p w14:paraId="725FE163" w14:textId="0217A54B" w:rsidR="00EB6F36" w:rsidRPr="00EF2814" w:rsidRDefault="00846694" w:rsidP="00AD2E14">
      <w:pPr>
        <w:spacing w:after="0"/>
        <w:rPr>
          <w:noProof/>
          <w:lang w:val="en-GB"/>
        </w:rPr>
      </w:pPr>
      <w:r w:rsidRPr="00EF2814">
        <w:rPr>
          <w:noProof/>
          <w:lang w:val="en-GB"/>
        </w:rPr>
        <w:t xml:space="preserve"> </w:t>
      </w:r>
    </w:p>
    <w:p w14:paraId="1117C621" w14:textId="77777777" w:rsidR="005F7D75" w:rsidRPr="00EF2814" w:rsidRDefault="005F7D75" w:rsidP="00AD2E14">
      <w:pPr>
        <w:spacing w:after="0"/>
        <w:rPr>
          <w:noProof/>
          <w:lang w:val="en-GB"/>
        </w:rPr>
      </w:pPr>
    </w:p>
    <w:p w14:paraId="403780EA" w14:textId="77777777" w:rsidR="005F7D75" w:rsidRPr="00EF2814" w:rsidRDefault="005F7D75" w:rsidP="00AD2E14">
      <w:pPr>
        <w:spacing w:after="0"/>
        <w:rPr>
          <w:noProof/>
          <w:lang w:val="en-GB"/>
        </w:rPr>
      </w:pPr>
    </w:p>
    <w:p w14:paraId="7C20071D" w14:textId="77777777" w:rsidR="005F7D75" w:rsidRPr="00EF2814" w:rsidRDefault="005F7D75" w:rsidP="00AD2E14">
      <w:pPr>
        <w:spacing w:after="0"/>
        <w:rPr>
          <w:noProof/>
          <w:lang w:val="en-GB"/>
        </w:rPr>
      </w:pPr>
    </w:p>
    <w:p w14:paraId="579172ED" w14:textId="77777777" w:rsidR="005F7D75" w:rsidRPr="00EF2814" w:rsidRDefault="005F7D75" w:rsidP="00AD2E14">
      <w:pPr>
        <w:spacing w:after="0"/>
        <w:rPr>
          <w:noProof/>
          <w:lang w:val="en-GB"/>
        </w:rPr>
      </w:pPr>
    </w:p>
    <w:p w14:paraId="59F89357" w14:textId="77777777" w:rsidR="005F7D75" w:rsidRPr="00EF2814" w:rsidRDefault="005F7D75" w:rsidP="00AD2E14">
      <w:pPr>
        <w:spacing w:after="0"/>
        <w:rPr>
          <w:noProof/>
          <w:lang w:val="en-GB"/>
        </w:rPr>
      </w:pPr>
    </w:p>
    <w:p w14:paraId="26540F31" w14:textId="77777777" w:rsidR="005F7D75" w:rsidRPr="00EF2814" w:rsidRDefault="005F7D75" w:rsidP="00AD2E14">
      <w:pPr>
        <w:spacing w:after="0"/>
        <w:rPr>
          <w:noProof/>
          <w:lang w:val="en-GB"/>
        </w:rPr>
      </w:pPr>
    </w:p>
    <w:p w14:paraId="44C4375A" w14:textId="0F6FC50F" w:rsidR="00A43101" w:rsidRPr="00EF2814" w:rsidRDefault="00A43101" w:rsidP="00AD2E14">
      <w:pPr>
        <w:pStyle w:val="Heading1"/>
        <w:spacing w:line="360" w:lineRule="auto"/>
        <w:rPr>
          <w:noProof/>
          <w:lang w:val="en-GB"/>
        </w:rPr>
      </w:pPr>
      <w:r w:rsidRPr="00EF2814">
        <w:rPr>
          <w:noProof/>
          <w:lang w:val="en-GB"/>
        </w:rPr>
        <w:br w:type="page"/>
      </w:r>
      <w:bookmarkStart w:id="81" w:name="_Toc218267706"/>
      <w:bookmarkStart w:id="82" w:name="_Toc222234377"/>
      <w:r w:rsidRPr="00EF2814">
        <w:rPr>
          <w:lang w:val="en-GB"/>
        </w:rPr>
        <w:lastRenderedPageBreak/>
        <w:t>Appendices</w:t>
      </w:r>
      <w:bookmarkEnd w:id="81"/>
      <w:bookmarkEnd w:id="82"/>
      <w:r w:rsidRPr="00EF2814">
        <w:rPr>
          <w:lang w:val="en-GB"/>
        </w:rPr>
        <w:t xml:space="preserve"> </w:t>
      </w:r>
    </w:p>
    <w:p w14:paraId="368C5AFA" w14:textId="77777777" w:rsidR="00A43101" w:rsidRPr="00EF2814" w:rsidRDefault="00A43101" w:rsidP="00AD2E14">
      <w:pPr>
        <w:spacing w:after="0"/>
        <w:rPr>
          <w:rFonts w:cs="Arial"/>
          <w:b/>
          <w:sz w:val="24"/>
          <w:lang w:val="en-GB"/>
        </w:rPr>
      </w:pPr>
      <w:bookmarkStart w:id="83" w:name="_dqqnrht35dyq" w:colFirst="0" w:colLast="0"/>
      <w:bookmarkStart w:id="84" w:name="_Toc218267707"/>
      <w:bookmarkEnd w:id="83"/>
      <w:r w:rsidRPr="00EF2814">
        <w:rPr>
          <w:rFonts w:cs="Arial"/>
          <w:b/>
          <w:sz w:val="24"/>
          <w:lang w:val="en-GB"/>
        </w:rPr>
        <w:t>Appendix 1: Search Process Table</w:t>
      </w:r>
      <w:bookmarkEnd w:id="84"/>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5259C9" w:rsidRPr="00EF2814" w14:paraId="40D9F1A9" w14:textId="77777777" w:rsidTr="009F715E">
        <w:tc>
          <w:tcPr>
            <w:tcW w:w="2257" w:type="dxa"/>
            <w:tcMar>
              <w:top w:w="100" w:type="dxa"/>
              <w:left w:w="100" w:type="dxa"/>
              <w:bottom w:w="100" w:type="dxa"/>
              <w:right w:w="100" w:type="dxa"/>
            </w:tcMar>
          </w:tcPr>
          <w:p w14:paraId="3B7166B4" w14:textId="77777777" w:rsidR="005259C9" w:rsidRPr="00EF2814" w:rsidRDefault="005259C9" w:rsidP="00AD2E14">
            <w:pPr>
              <w:widowControl w:val="0"/>
              <w:pBdr>
                <w:top w:val="nil"/>
                <w:left w:val="nil"/>
                <w:bottom w:val="nil"/>
                <w:right w:val="nil"/>
                <w:between w:val="nil"/>
              </w:pBdr>
              <w:spacing w:after="0"/>
              <w:jc w:val="center"/>
              <w:rPr>
                <w:rFonts w:cs="Arial"/>
                <w:b/>
                <w:bCs/>
                <w:lang w:val="en-GB"/>
              </w:rPr>
            </w:pPr>
            <w:r w:rsidRPr="00EF2814">
              <w:rPr>
                <w:rFonts w:cs="Arial"/>
                <w:b/>
                <w:bCs/>
                <w:lang w:val="en-GB"/>
              </w:rPr>
              <w:t>Source Category</w:t>
            </w:r>
          </w:p>
        </w:tc>
        <w:tc>
          <w:tcPr>
            <w:tcW w:w="2257" w:type="dxa"/>
            <w:tcMar>
              <w:top w:w="100" w:type="dxa"/>
              <w:left w:w="100" w:type="dxa"/>
              <w:bottom w:w="100" w:type="dxa"/>
              <w:right w:w="100" w:type="dxa"/>
            </w:tcMar>
          </w:tcPr>
          <w:p w14:paraId="087DE428" w14:textId="77777777" w:rsidR="005259C9" w:rsidRPr="00EF2814" w:rsidRDefault="005259C9" w:rsidP="00AD2E14">
            <w:pPr>
              <w:widowControl w:val="0"/>
              <w:pBdr>
                <w:top w:val="nil"/>
                <w:left w:val="nil"/>
                <w:bottom w:val="nil"/>
                <w:right w:val="nil"/>
                <w:between w:val="nil"/>
              </w:pBdr>
              <w:spacing w:after="0"/>
              <w:jc w:val="center"/>
              <w:rPr>
                <w:rFonts w:cs="Arial"/>
                <w:b/>
                <w:bCs/>
                <w:lang w:val="en-GB"/>
              </w:rPr>
            </w:pPr>
            <w:r w:rsidRPr="00EF2814">
              <w:rPr>
                <w:rFonts w:cs="Arial"/>
                <w:b/>
                <w:bCs/>
                <w:lang w:val="en-GB"/>
              </w:rPr>
              <w:t>Number of Sources</w:t>
            </w:r>
          </w:p>
        </w:tc>
        <w:tc>
          <w:tcPr>
            <w:tcW w:w="2257" w:type="dxa"/>
            <w:tcMar>
              <w:top w:w="100" w:type="dxa"/>
              <w:left w:w="100" w:type="dxa"/>
              <w:bottom w:w="100" w:type="dxa"/>
              <w:right w:w="100" w:type="dxa"/>
            </w:tcMar>
          </w:tcPr>
          <w:p w14:paraId="60A6810F" w14:textId="77777777" w:rsidR="005259C9" w:rsidRPr="00EF2814" w:rsidRDefault="005259C9" w:rsidP="00AD2E14">
            <w:pPr>
              <w:widowControl w:val="0"/>
              <w:pBdr>
                <w:top w:val="nil"/>
                <w:left w:val="nil"/>
                <w:bottom w:val="nil"/>
                <w:right w:val="nil"/>
                <w:between w:val="nil"/>
              </w:pBdr>
              <w:spacing w:after="0"/>
              <w:jc w:val="center"/>
              <w:rPr>
                <w:rFonts w:cs="Arial"/>
                <w:b/>
                <w:bCs/>
                <w:lang w:val="en-GB"/>
              </w:rPr>
            </w:pPr>
            <w:r w:rsidRPr="00EF2814">
              <w:rPr>
                <w:rFonts w:cs="Arial"/>
                <w:b/>
                <w:bCs/>
                <w:lang w:val="en-GB"/>
              </w:rPr>
              <w:t>Keywords used</w:t>
            </w:r>
          </w:p>
        </w:tc>
        <w:tc>
          <w:tcPr>
            <w:tcW w:w="2257" w:type="dxa"/>
            <w:tcMar>
              <w:top w:w="100" w:type="dxa"/>
              <w:left w:w="100" w:type="dxa"/>
              <w:bottom w:w="100" w:type="dxa"/>
              <w:right w:w="100" w:type="dxa"/>
            </w:tcMar>
          </w:tcPr>
          <w:p w14:paraId="6EB214EE" w14:textId="77777777" w:rsidR="005259C9" w:rsidRPr="00EF2814" w:rsidRDefault="005259C9" w:rsidP="00AD2E14">
            <w:pPr>
              <w:widowControl w:val="0"/>
              <w:pBdr>
                <w:top w:val="nil"/>
                <w:left w:val="nil"/>
                <w:bottom w:val="nil"/>
                <w:right w:val="nil"/>
                <w:between w:val="nil"/>
              </w:pBdr>
              <w:spacing w:after="0"/>
              <w:jc w:val="center"/>
              <w:rPr>
                <w:rFonts w:cs="Arial"/>
                <w:b/>
                <w:bCs/>
                <w:lang w:val="en-GB"/>
              </w:rPr>
            </w:pPr>
            <w:r w:rsidRPr="00EF2814">
              <w:rPr>
                <w:rFonts w:cs="Arial"/>
                <w:b/>
                <w:bCs/>
                <w:lang w:val="en-GB"/>
              </w:rPr>
              <w:t>Key Referenced Authors</w:t>
            </w:r>
          </w:p>
        </w:tc>
      </w:tr>
      <w:tr w:rsidR="009F715E" w:rsidRPr="00EF2814" w14:paraId="52ADB893" w14:textId="77777777" w:rsidTr="006B1FC8">
        <w:trPr>
          <w:trHeight w:val="1141"/>
        </w:trPr>
        <w:tc>
          <w:tcPr>
            <w:tcW w:w="2257" w:type="dxa"/>
            <w:tcMar>
              <w:top w:w="100" w:type="dxa"/>
              <w:left w:w="100" w:type="dxa"/>
              <w:bottom w:w="100" w:type="dxa"/>
              <w:right w:w="100" w:type="dxa"/>
            </w:tcMar>
          </w:tcPr>
          <w:p w14:paraId="0E78E797" w14:textId="653F6FEC" w:rsidR="009F715E" w:rsidRPr="00EF2814" w:rsidRDefault="006B1FC8" w:rsidP="00AD2E14">
            <w:pPr>
              <w:spacing w:after="0"/>
              <w:rPr>
                <w:rFonts w:cs="Arial"/>
                <w:lang w:val="en-GB"/>
              </w:rPr>
            </w:pPr>
            <w:r w:rsidRPr="00EF2814">
              <w:rPr>
                <w:rFonts w:cs="Arial"/>
                <w:lang w:val="en-GB"/>
              </w:rPr>
              <w:t>Emergency medicine resilience and preparedness</w:t>
            </w:r>
          </w:p>
        </w:tc>
        <w:tc>
          <w:tcPr>
            <w:tcW w:w="2257" w:type="dxa"/>
            <w:tcMar>
              <w:top w:w="100" w:type="dxa"/>
              <w:left w:w="100" w:type="dxa"/>
              <w:bottom w:w="100" w:type="dxa"/>
              <w:right w:w="100" w:type="dxa"/>
            </w:tcMar>
          </w:tcPr>
          <w:p w14:paraId="4F594267" w14:textId="4DB5A971" w:rsidR="009F715E" w:rsidRPr="00EF2814" w:rsidRDefault="006B1FC8" w:rsidP="00AD2E14">
            <w:pPr>
              <w:spacing w:after="0"/>
              <w:jc w:val="center"/>
              <w:rPr>
                <w:rFonts w:cs="Arial"/>
                <w:lang w:val="en-GB"/>
              </w:rPr>
            </w:pPr>
            <w:r w:rsidRPr="00EF2814">
              <w:rPr>
                <w:rFonts w:cs="Arial"/>
                <w:lang w:val="en-GB"/>
              </w:rPr>
              <w:t>1</w:t>
            </w:r>
          </w:p>
        </w:tc>
        <w:tc>
          <w:tcPr>
            <w:tcW w:w="2257" w:type="dxa"/>
            <w:tcMar>
              <w:top w:w="100" w:type="dxa"/>
              <w:left w:w="100" w:type="dxa"/>
              <w:bottom w:w="100" w:type="dxa"/>
              <w:right w:w="100" w:type="dxa"/>
            </w:tcMar>
          </w:tcPr>
          <w:p w14:paraId="2E554C40" w14:textId="3C237250" w:rsidR="009F715E" w:rsidRPr="00EF2814" w:rsidRDefault="006B1FC8" w:rsidP="00AD2E14">
            <w:pPr>
              <w:spacing w:after="0"/>
              <w:rPr>
                <w:rFonts w:cs="Arial"/>
                <w:lang w:val="en-GB"/>
              </w:rPr>
            </w:pPr>
            <w:r w:rsidRPr="00EF2814">
              <w:rPr>
                <w:rFonts w:cs="Arial"/>
                <w:lang w:val="en-GB"/>
              </w:rPr>
              <w:t>Resilience, preparedness, emergency training, COVID-19</w:t>
            </w:r>
          </w:p>
        </w:tc>
        <w:tc>
          <w:tcPr>
            <w:tcW w:w="2257" w:type="dxa"/>
            <w:tcMar>
              <w:top w:w="100" w:type="dxa"/>
              <w:left w:w="100" w:type="dxa"/>
              <w:bottom w:w="100" w:type="dxa"/>
              <w:right w:w="100" w:type="dxa"/>
            </w:tcMar>
          </w:tcPr>
          <w:p w14:paraId="195AFD22" w14:textId="58B4F20A" w:rsidR="009F715E" w:rsidRPr="00EF2814" w:rsidRDefault="006B1FC8" w:rsidP="00AD2E14">
            <w:pPr>
              <w:spacing w:after="0"/>
              <w:jc w:val="center"/>
              <w:rPr>
                <w:lang w:val="en-GB"/>
              </w:rPr>
            </w:pPr>
            <w:proofErr w:type="spellStart"/>
            <w:r w:rsidRPr="00EF2814">
              <w:rPr>
                <w:rFonts w:cs="Arial"/>
                <w:lang w:val="en-GB"/>
              </w:rPr>
              <w:t>Goniewicz</w:t>
            </w:r>
            <w:proofErr w:type="spellEnd"/>
            <w:r w:rsidRPr="00EF2814">
              <w:rPr>
                <w:rFonts w:cs="Arial"/>
                <w:lang w:val="en-GB"/>
              </w:rPr>
              <w:t xml:space="preserve"> </w:t>
            </w:r>
            <w:r w:rsidRPr="00EF2814">
              <w:rPr>
                <w:rFonts w:cs="Arial"/>
                <w:i/>
                <w:lang w:val="en-GB"/>
              </w:rPr>
              <w:t xml:space="preserve">et al., </w:t>
            </w:r>
            <w:r w:rsidRPr="00EF2814">
              <w:rPr>
                <w:rFonts w:cs="Arial"/>
                <w:lang w:val="en-GB"/>
              </w:rPr>
              <w:t>(2023)</w:t>
            </w:r>
          </w:p>
        </w:tc>
      </w:tr>
      <w:tr w:rsidR="006B1FC8" w:rsidRPr="00EF2814" w14:paraId="4614C1DD" w14:textId="77777777" w:rsidTr="009F715E">
        <w:tc>
          <w:tcPr>
            <w:tcW w:w="2257" w:type="dxa"/>
            <w:tcMar>
              <w:top w:w="100" w:type="dxa"/>
              <w:left w:w="100" w:type="dxa"/>
              <w:bottom w:w="100" w:type="dxa"/>
              <w:right w:w="100" w:type="dxa"/>
            </w:tcMar>
          </w:tcPr>
          <w:p w14:paraId="6424B3C9" w14:textId="740ADF1B" w:rsidR="006B1FC8" w:rsidRPr="00EF2814" w:rsidRDefault="006B1FC8" w:rsidP="00AD2E14">
            <w:pPr>
              <w:spacing w:after="0"/>
              <w:rPr>
                <w:rFonts w:cs="Arial"/>
                <w:lang w:val="en-GB"/>
              </w:rPr>
            </w:pPr>
            <w:r w:rsidRPr="00EF2814">
              <w:rPr>
                <w:rFonts w:cs="Arial"/>
                <w:lang w:val="en-GB"/>
              </w:rPr>
              <w:t>Clinical education and laboratory training</w:t>
            </w:r>
          </w:p>
        </w:tc>
        <w:tc>
          <w:tcPr>
            <w:tcW w:w="2257" w:type="dxa"/>
            <w:tcMar>
              <w:top w:w="100" w:type="dxa"/>
              <w:left w:w="100" w:type="dxa"/>
              <w:bottom w:w="100" w:type="dxa"/>
              <w:right w:w="100" w:type="dxa"/>
            </w:tcMar>
          </w:tcPr>
          <w:p w14:paraId="6F121A15" w14:textId="4D3245CB" w:rsidR="006B1FC8" w:rsidRPr="00EF2814" w:rsidRDefault="006B1FC8" w:rsidP="00AD2E14">
            <w:pPr>
              <w:spacing w:after="0"/>
              <w:jc w:val="center"/>
              <w:rPr>
                <w:rFonts w:cs="Arial"/>
                <w:lang w:val="en-GB"/>
              </w:rPr>
            </w:pPr>
            <w:r w:rsidRPr="00EF2814">
              <w:rPr>
                <w:rFonts w:cs="Arial"/>
                <w:lang w:val="en-GB"/>
              </w:rPr>
              <w:t>1</w:t>
            </w:r>
          </w:p>
        </w:tc>
        <w:tc>
          <w:tcPr>
            <w:tcW w:w="2257" w:type="dxa"/>
            <w:tcMar>
              <w:top w:w="100" w:type="dxa"/>
              <w:left w:w="100" w:type="dxa"/>
              <w:bottom w:w="100" w:type="dxa"/>
              <w:right w:w="100" w:type="dxa"/>
            </w:tcMar>
          </w:tcPr>
          <w:p w14:paraId="247F7F55" w14:textId="4B2DC553" w:rsidR="006B1FC8" w:rsidRPr="00EF2814" w:rsidRDefault="006B1FC8" w:rsidP="00AD2E14">
            <w:pPr>
              <w:spacing w:after="0"/>
              <w:rPr>
                <w:rFonts w:cs="Arial"/>
                <w:lang w:val="en-GB"/>
              </w:rPr>
            </w:pPr>
            <w:r w:rsidRPr="00EF2814">
              <w:rPr>
                <w:rFonts w:cs="Arial"/>
                <w:lang w:val="en-GB"/>
              </w:rPr>
              <w:t>Clinical education, training progression, workforce development</w:t>
            </w:r>
          </w:p>
        </w:tc>
        <w:tc>
          <w:tcPr>
            <w:tcW w:w="2257" w:type="dxa"/>
            <w:tcMar>
              <w:top w:w="100" w:type="dxa"/>
              <w:left w:w="100" w:type="dxa"/>
              <w:bottom w:w="100" w:type="dxa"/>
              <w:right w:w="100" w:type="dxa"/>
            </w:tcMar>
          </w:tcPr>
          <w:p w14:paraId="4A44A257" w14:textId="5EBC7B06" w:rsidR="006B1FC8" w:rsidRPr="00EF2814" w:rsidRDefault="006B1FC8" w:rsidP="00AD2E14">
            <w:pPr>
              <w:spacing w:after="0"/>
              <w:jc w:val="center"/>
              <w:rPr>
                <w:rFonts w:cs="Arial"/>
                <w:lang w:val="en-GB"/>
              </w:rPr>
            </w:pPr>
            <w:r w:rsidRPr="00EF2814">
              <w:rPr>
                <w:rFonts w:cs="Arial"/>
                <w:lang w:val="en-GB"/>
              </w:rPr>
              <w:t>Pearse and Scott (2023)</w:t>
            </w:r>
          </w:p>
        </w:tc>
      </w:tr>
      <w:tr w:rsidR="006B1FC8" w:rsidRPr="00EF2814" w14:paraId="3B930DEC" w14:textId="77777777" w:rsidTr="006B1FC8">
        <w:trPr>
          <w:trHeight w:val="672"/>
        </w:trPr>
        <w:tc>
          <w:tcPr>
            <w:tcW w:w="2257" w:type="dxa"/>
            <w:tcMar>
              <w:top w:w="100" w:type="dxa"/>
              <w:left w:w="100" w:type="dxa"/>
              <w:bottom w:w="100" w:type="dxa"/>
              <w:right w:w="100" w:type="dxa"/>
            </w:tcMar>
          </w:tcPr>
          <w:p w14:paraId="3BC421D9" w14:textId="3721947C" w:rsidR="006B1FC8" w:rsidRPr="00EF2814" w:rsidRDefault="006B1FC8" w:rsidP="00AD2E14">
            <w:pPr>
              <w:spacing w:after="0"/>
              <w:rPr>
                <w:rFonts w:cs="Arial"/>
                <w:lang w:val="en-GB"/>
              </w:rPr>
            </w:pPr>
            <w:r w:rsidRPr="00EF2814">
              <w:rPr>
                <w:rFonts w:cs="Arial"/>
                <w:lang w:val="en-GB"/>
              </w:rPr>
              <w:t>Workforce redeployment and flexibility</w:t>
            </w:r>
          </w:p>
        </w:tc>
        <w:tc>
          <w:tcPr>
            <w:tcW w:w="2257" w:type="dxa"/>
            <w:tcMar>
              <w:top w:w="100" w:type="dxa"/>
              <w:left w:w="100" w:type="dxa"/>
              <w:bottom w:w="100" w:type="dxa"/>
              <w:right w:w="100" w:type="dxa"/>
            </w:tcMar>
          </w:tcPr>
          <w:p w14:paraId="6E5358BF" w14:textId="1CAC4C3F" w:rsidR="006B1FC8" w:rsidRPr="00EF2814" w:rsidRDefault="006B1FC8" w:rsidP="00AD2E14">
            <w:pPr>
              <w:spacing w:after="0"/>
              <w:jc w:val="center"/>
              <w:rPr>
                <w:rFonts w:cs="Arial"/>
                <w:lang w:val="en-GB"/>
              </w:rPr>
            </w:pPr>
            <w:r w:rsidRPr="00EF2814">
              <w:rPr>
                <w:rFonts w:cs="Arial"/>
                <w:lang w:val="en-GB"/>
              </w:rPr>
              <w:t>2</w:t>
            </w:r>
          </w:p>
        </w:tc>
        <w:tc>
          <w:tcPr>
            <w:tcW w:w="2257" w:type="dxa"/>
            <w:tcMar>
              <w:top w:w="100" w:type="dxa"/>
              <w:left w:w="100" w:type="dxa"/>
              <w:bottom w:w="100" w:type="dxa"/>
              <w:right w:w="100" w:type="dxa"/>
            </w:tcMar>
          </w:tcPr>
          <w:p w14:paraId="0E808C34" w14:textId="5C13F784" w:rsidR="006B1FC8" w:rsidRPr="00EF2814" w:rsidRDefault="006B1FC8" w:rsidP="00AD2E14">
            <w:pPr>
              <w:spacing w:after="0"/>
              <w:rPr>
                <w:rFonts w:cs="Arial"/>
                <w:lang w:val="en-GB"/>
              </w:rPr>
            </w:pPr>
            <w:r w:rsidRPr="00EF2814">
              <w:rPr>
                <w:rFonts w:cs="Arial"/>
                <w:lang w:val="en-GB"/>
              </w:rPr>
              <w:t>Redeployment, role adaptation, workforce organisation</w:t>
            </w:r>
          </w:p>
        </w:tc>
        <w:tc>
          <w:tcPr>
            <w:tcW w:w="2257" w:type="dxa"/>
            <w:tcMar>
              <w:top w:w="100" w:type="dxa"/>
              <w:left w:w="100" w:type="dxa"/>
              <w:bottom w:w="100" w:type="dxa"/>
              <w:right w:w="100" w:type="dxa"/>
            </w:tcMar>
          </w:tcPr>
          <w:p w14:paraId="748F6142" w14:textId="70AE87D0" w:rsidR="006B1FC8" w:rsidRPr="00EF2814" w:rsidRDefault="006B1FC8" w:rsidP="00AD2E14">
            <w:pPr>
              <w:spacing w:after="0"/>
              <w:jc w:val="center"/>
              <w:rPr>
                <w:rFonts w:cs="Arial"/>
                <w:lang w:val="en-GB"/>
              </w:rPr>
            </w:pPr>
            <w:r w:rsidRPr="00EF2814">
              <w:rPr>
                <w:rFonts w:cs="Arial"/>
                <w:lang w:val="en-GB"/>
              </w:rPr>
              <w:t>Faulkner-</w:t>
            </w:r>
            <w:proofErr w:type="spellStart"/>
            <w:r w:rsidRPr="00EF2814">
              <w:rPr>
                <w:rFonts w:cs="Arial"/>
                <w:lang w:val="en-GB"/>
              </w:rPr>
              <w:t>Gurstein</w:t>
            </w:r>
            <w:proofErr w:type="spellEnd"/>
            <w:r w:rsidRPr="00EF2814">
              <w:rPr>
                <w:rFonts w:cs="Arial"/>
                <w:lang w:val="en-GB"/>
              </w:rPr>
              <w:t xml:space="preserve"> </w:t>
            </w:r>
            <w:r w:rsidRPr="00EF2814">
              <w:rPr>
                <w:rFonts w:cs="Arial"/>
                <w:i/>
                <w:lang w:val="en-GB"/>
              </w:rPr>
              <w:t xml:space="preserve">et al., </w:t>
            </w:r>
            <w:r w:rsidRPr="00EF2814">
              <w:rPr>
                <w:rFonts w:cs="Arial"/>
                <w:lang w:val="en-GB"/>
              </w:rPr>
              <w:t>(2023)</w:t>
            </w:r>
          </w:p>
        </w:tc>
      </w:tr>
      <w:tr w:rsidR="006B1FC8" w:rsidRPr="00EF2814" w14:paraId="4005D145" w14:textId="77777777" w:rsidTr="006B1FC8">
        <w:trPr>
          <w:trHeight w:val="672"/>
        </w:trPr>
        <w:tc>
          <w:tcPr>
            <w:tcW w:w="2257" w:type="dxa"/>
            <w:tcMar>
              <w:top w:w="100" w:type="dxa"/>
              <w:left w:w="100" w:type="dxa"/>
              <w:bottom w:w="100" w:type="dxa"/>
              <w:right w:w="100" w:type="dxa"/>
            </w:tcMar>
          </w:tcPr>
          <w:p w14:paraId="451916DF" w14:textId="02D6833B" w:rsidR="006B1FC8" w:rsidRPr="00EF2814" w:rsidRDefault="006B1FC8" w:rsidP="00AD2E14">
            <w:pPr>
              <w:spacing w:after="0"/>
              <w:rPr>
                <w:rFonts w:cs="Arial"/>
                <w:lang w:val="en-GB"/>
              </w:rPr>
            </w:pPr>
            <w:r w:rsidRPr="00EF2814">
              <w:rPr>
                <w:rFonts w:cs="Arial"/>
                <w:lang w:val="en-GB"/>
              </w:rPr>
              <w:t>Health worker education innovations</w:t>
            </w:r>
          </w:p>
        </w:tc>
        <w:tc>
          <w:tcPr>
            <w:tcW w:w="2257" w:type="dxa"/>
            <w:tcMar>
              <w:top w:w="100" w:type="dxa"/>
              <w:left w:w="100" w:type="dxa"/>
              <w:bottom w:w="100" w:type="dxa"/>
              <w:right w:w="100" w:type="dxa"/>
            </w:tcMar>
          </w:tcPr>
          <w:p w14:paraId="6E8F5176" w14:textId="18F5DC04" w:rsidR="006B1FC8" w:rsidRPr="00EF2814" w:rsidRDefault="006B1FC8" w:rsidP="00AD2E14">
            <w:pPr>
              <w:spacing w:after="0"/>
              <w:jc w:val="center"/>
              <w:rPr>
                <w:rFonts w:cs="Arial"/>
                <w:lang w:val="en-GB"/>
              </w:rPr>
            </w:pPr>
            <w:r w:rsidRPr="00EF2814">
              <w:rPr>
                <w:rFonts w:cs="Arial"/>
                <w:lang w:val="en-GB"/>
              </w:rPr>
              <w:t>1</w:t>
            </w:r>
          </w:p>
        </w:tc>
        <w:tc>
          <w:tcPr>
            <w:tcW w:w="2257" w:type="dxa"/>
            <w:tcMar>
              <w:top w:w="100" w:type="dxa"/>
              <w:left w:w="100" w:type="dxa"/>
              <w:bottom w:w="100" w:type="dxa"/>
              <w:right w:w="100" w:type="dxa"/>
            </w:tcMar>
          </w:tcPr>
          <w:p w14:paraId="0B34FDA7" w14:textId="62981B69" w:rsidR="006B1FC8" w:rsidRPr="00EF2814" w:rsidRDefault="006B1FC8" w:rsidP="00AD2E14">
            <w:pPr>
              <w:spacing w:after="0"/>
              <w:rPr>
                <w:rFonts w:cs="Arial"/>
                <w:lang w:val="en-GB"/>
              </w:rPr>
            </w:pPr>
            <w:r w:rsidRPr="00EF2814">
              <w:rPr>
                <w:rFonts w:cs="Arial"/>
                <w:lang w:val="en-GB"/>
              </w:rPr>
              <w:t>Training adaptation, digital learning, pandemic response</w:t>
            </w:r>
          </w:p>
        </w:tc>
        <w:tc>
          <w:tcPr>
            <w:tcW w:w="2257" w:type="dxa"/>
            <w:tcMar>
              <w:top w:w="100" w:type="dxa"/>
              <w:left w:w="100" w:type="dxa"/>
              <w:bottom w:w="100" w:type="dxa"/>
              <w:right w:w="100" w:type="dxa"/>
            </w:tcMar>
          </w:tcPr>
          <w:p w14:paraId="0AF3A4CC" w14:textId="084BDCAE" w:rsidR="006B1FC8" w:rsidRPr="00EF2814" w:rsidRDefault="006B1FC8" w:rsidP="00AD2E14">
            <w:pPr>
              <w:spacing w:after="0"/>
              <w:jc w:val="center"/>
              <w:rPr>
                <w:rFonts w:cs="Arial"/>
                <w:u w:val="single"/>
                <w:lang w:val="en-GB"/>
              </w:rPr>
            </w:pPr>
            <w:r w:rsidRPr="00EF2814">
              <w:rPr>
                <w:rFonts w:cs="Arial"/>
                <w:lang w:val="en-GB"/>
              </w:rPr>
              <w:t xml:space="preserve">Boutros </w:t>
            </w:r>
            <w:r w:rsidRPr="00EF2814">
              <w:rPr>
                <w:rFonts w:cs="Arial"/>
                <w:i/>
                <w:lang w:val="en-GB"/>
              </w:rPr>
              <w:t xml:space="preserve">et al., </w:t>
            </w:r>
            <w:r w:rsidRPr="00EF2814">
              <w:rPr>
                <w:rFonts w:cs="Arial"/>
                <w:lang w:val="en-GB"/>
              </w:rPr>
              <w:t>(2023)</w:t>
            </w:r>
          </w:p>
        </w:tc>
      </w:tr>
      <w:tr w:rsidR="006B1FC8" w:rsidRPr="00EF2814" w14:paraId="6139F846" w14:textId="77777777" w:rsidTr="006B1FC8">
        <w:trPr>
          <w:trHeight w:val="672"/>
        </w:trPr>
        <w:tc>
          <w:tcPr>
            <w:tcW w:w="2257" w:type="dxa"/>
            <w:tcMar>
              <w:top w:w="100" w:type="dxa"/>
              <w:left w:w="100" w:type="dxa"/>
              <w:bottom w:w="100" w:type="dxa"/>
              <w:right w:w="100" w:type="dxa"/>
            </w:tcMar>
          </w:tcPr>
          <w:p w14:paraId="39A1F0EC" w14:textId="3A1212C6" w:rsidR="006B1FC8" w:rsidRPr="00EF2814" w:rsidRDefault="006B1FC8" w:rsidP="00AD2E14">
            <w:pPr>
              <w:spacing w:after="0"/>
              <w:rPr>
                <w:rFonts w:cs="Arial"/>
                <w:lang w:val="en-GB"/>
              </w:rPr>
            </w:pPr>
            <w:r w:rsidRPr="00EF2814">
              <w:rPr>
                <w:rFonts w:cs="Arial"/>
                <w:lang w:val="en-GB"/>
              </w:rPr>
              <w:t>Clinical supervision and competency support</w:t>
            </w:r>
          </w:p>
        </w:tc>
        <w:tc>
          <w:tcPr>
            <w:tcW w:w="2257" w:type="dxa"/>
            <w:tcMar>
              <w:top w:w="100" w:type="dxa"/>
              <w:left w:w="100" w:type="dxa"/>
              <w:bottom w:w="100" w:type="dxa"/>
              <w:right w:w="100" w:type="dxa"/>
            </w:tcMar>
          </w:tcPr>
          <w:p w14:paraId="14A46D0C" w14:textId="2B0631BD" w:rsidR="006B1FC8" w:rsidRPr="00EF2814" w:rsidRDefault="006B1FC8" w:rsidP="00AD2E14">
            <w:pPr>
              <w:spacing w:after="0"/>
              <w:jc w:val="center"/>
              <w:rPr>
                <w:rFonts w:cs="Arial"/>
                <w:lang w:val="en-GB"/>
              </w:rPr>
            </w:pPr>
            <w:r w:rsidRPr="00EF2814">
              <w:rPr>
                <w:rFonts w:cs="Arial"/>
                <w:lang w:val="en-GB"/>
              </w:rPr>
              <w:t>1</w:t>
            </w:r>
          </w:p>
        </w:tc>
        <w:tc>
          <w:tcPr>
            <w:tcW w:w="2257" w:type="dxa"/>
            <w:tcMar>
              <w:top w:w="100" w:type="dxa"/>
              <w:left w:w="100" w:type="dxa"/>
              <w:bottom w:w="100" w:type="dxa"/>
              <w:right w:w="100" w:type="dxa"/>
            </w:tcMar>
          </w:tcPr>
          <w:p w14:paraId="02F81AA3" w14:textId="09687388" w:rsidR="006B1FC8" w:rsidRPr="00EF2814" w:rsidRDefault="006B1FC8" w:rsidP="00AD2E14">
            <w:pPr>
              <w:spacing w:after="0"/>
              <w:rPr>
                <w:rFonts w:cs="Arial"/>
                <w:lang w:val="en-GB"/>
              </w:rPr>
            </w:pPr>
            <w:r w:rsidRPr="00EF2814">
              <w:rPr>
                <w:rFonts w:cs="Arial"/>
                <w:lang w:val="en-GB"/>
              </w:rPr>
              <w:t>Supervision, competency development, workforce support</w:t>
            </w:r>
          </w:p>
        </w:tc>
        <w:tc>
          <w:tcPr>
            <w:tcW w:w="2257" w:type="dxa"/>
            <w:tcMar>
              <w:top w:w="100" w:type="dxa"/>
              <w:left w:w="100" w:type="dxa"/>
              <w:bottom w:w="100" w:type="dxa"/>
              <w:right w:w="100" w:type="dxa"/>
            </w:tcMar>
          </w:tcPr>
          <w:p w14:paraId="03229850" w14:textId="42DBC9FC" w:rsidR="006B1FC8" w:rsidRPr="00EF2814" w:rsidRDefault="006B1FC8" w:rsidP="00AD2E14">
            <w:pPr>
              <w:spacing w:after="0"/>
              <w:jc w:val="center"/>
              <w:rPr>
                <w:rFonts w:cs="Arial"/>
                <w:lang w:val="en-GB"/>
              </w:rPr>
            </w:pPr>
            <w:r w:rsidRPr="00EF2814">
              <w:rPr>
                <w:rFonts w:cs="Arial"/>
                <w:lang w:val="en-GB"/>
              </w:rPr>
              <w:t xml:space="preserve">Martin </w:t>
            </w:r>
            <w:r w:rsidRPr="00EF2814">
              <w:rPr>
                <w:rFonts w:cs="Arial"/>
                <w:i/>
                <w:lang w:val="en-GB"/>
              </w:rPr>
              <w:t xml:space="preserve">et al., </w:t>
            </w:r>
            <w:r w:rsidRPr="00EF2814">
              <w:rPr>
                <w:rFonts w:cs="Arial"/>
                <w:lang w:val="en-GB"/>
              </w:rPr>
              <w:t>(2022)</w:t>
            </w:r>
          </w:p>
        </w:tc>
      </w:tr>
    </w:tbl>
    <w:p w14:paraId="736CB178" w14:textId="77777777" w:rsidR="005259C9" w:rsidRPr="00EF2814" w:rsidRDefault="005259C9" w:rsidP="00AD2E14">
      <w:pPr>
        <w:spacing w:after="0"/>
        <w:rPr>
          <w:lang w:val="en-GB"/>
        </w:rPr>
      </w:pPr>
    </w:p>
    <w:p w14:paraId="28D9C0BF" w14:textId="77777777" w:rsidR="005F7D75" w:rsidRPr="00EF2814" w:rsidRDefault="005F7D75" w:rsidP="00AD2E14">
      <w:pPr>
        <w:spacing w:after="0"/>
        <w:rPr>
          <w:noProof/>
          <w:lang w:val="en-GB"/>
        </w:rPr>
      </w:pPr>
    </w:p>
    <w:p w14:paraId="5407F508" w14:textId="77777777" w:rsidR="005F7D75" w:rsidRPr="00EF2814" w:rsidRDefault="005F7D75" w:rsidP="00AD2E14">
      <w:pPr>
        <w:spacing w:after="0"/>
        <w:rPr>
          <w:noProof/>
          <w:lang w:val="en-GB"/>
        </w:rPr>
      </w:pPr>
    </w:p>
    <w:p w14:paraId="2A4EA882" w14:textId="77777777" w:rsidR="005F7D75" w:rsidRPr="00EF2814" w:rsidRDefault="005F7D75" w:rsidP="00AD2E14">
      <w:pPr>
        <w:spacing w:after="0"/>
        <w:rPr>
          <w:noProof/>
          <w:lang w:val="en-GB"/>
        </w:rPr>
      </w:pPr>
    </w:p>
    <w:p w14:paraId="03F0D60E" w14:textId="09E1D8B5" w:rsidR="00582081" w:rsidRPr="00EF2814" w:rsidRDefault="00582081" w:rsidP="00AD2E14">
      <w:pPr>
        <w:spacing w:after="0"/>
        <w:rPr>
          <w:rFonts w:ascii="Aptos" w:hAnsi="Aptos" w:cs="Arial"/>
          <w:sz w:val="28"/>
          <w:szCs w:val="28"/>
          <w:lang w:val="en-GB"/>
        </w:rPr>
      </w:pPr>
    </w:p>
    <w:sectPr w:rsidR="00582081" w:rsidRPr="00EF2814" w:rsidSect="001E544F">
      <w:pgSz w:w="12240" w:h="15840" w:code="1"/>
      <w:pgMar w:top="1440" w:right="1440" w:bottom="1440" w:left="144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F3D0D" w14:textId="77777777" w:rsidR="00776AFA" w:rsidRDefault="00776AFA" w:rsidP="00D210FA">
      <w:pPr>
        <w:spacing w:after="0"/>
      </w:pPr>
      <w:r>
        <w:separator/>
      </w:r>
    </w:p>
  </w:endnote>
  <w:endnote w:type="continuationSeparator" w:id="0">
    <w:p w14:paraId="2E91DAA2" w14:textId="77777777" w:rsidR="00776AFA" w:rsidRDefault="00776AFA"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604137"/>
      <w:docPartObj>
        <w:docPartGallery w:val="Page Numbers (Bottom of Page)"/>
        <w:docPartUnique/>
      </w:docPartObj>
    </w:sdtPr>
    <w:sdtEndPr>
      <w:rPr>
        <w:rFonts w:cs="Arial"/>
      </w:rPr>
    </w:sdtEndPr>
    <w:sdtContent>
      <w:sdt>
        <w:sdtPr>
          <w:rPr>
            <w:rFonts w:cs="Arial"/>
          </w:rPr>
          <w:id w:val="178861391"/>
          <w:docPartObj>
            <w:docPartGallery w:val="Page Numbers (Top of Page)"/>
            <w:docPartUnique/>
          </w:docPartObj>
        </w:sdtPr>
        <w:sdtContent>
          <w:p w14:paraId="012D7AE9" w14:textId="1125D79F" w:rsidR="009F715E" w:rsidRPr="00F77FF9" w:rsidRDefault="009F715E">
            <w:pPr>
              <w:pStyle w:val="Footer"/>
              <w:jc w:val="right"/>
              <w:rPr>
                <w:rFonts w:cs="Arial"/>
              </w:rPr>
            </w:pPr>
            <w:r w:rsidRPr="00F77FF9">
              <w:rPr>
                <w:rFonts w:cs="Arial"/>
              </w:rPr>
              <w:t xml:space="preserve">Page </w:t>
            </w:r>
            <w:r w:rsidRPr="00F77FF9">
              <w:rPr>
                <w:rFonts w:cs="Arial"/>
                <w:b/>
                <w:bCs/>
              </w:rPr>
              <w:fldChar w:fldCharType="begin"/>
            </w:r>
            <w:r w:rsidRPr="00F77FF9">
              <w:rPr>
                <w:rFonts w:cs="Arial"/>
                <w:b/>
                <w:bCs/>
              </w:rPr>
              <w:instrText xml:space="preserve"> PAGE </w:instrText>
            </w:r>
            <w:r w:rsidRPr="00F77FF9">
              <w:rPr>
                <w:rFonts w:cs="Arial"/>
                <w:b/>
                <w:bCs/>
              </w:rPr>
              <w:fldChar w:fldCharType="separate"/>
            </w:r>
            <w:r w:rsidR="00934A4E">
              <w:rPr>
                <w:rFonts w:cs="Arial"/>
                <w:b/>
                <w:bCs/>
                <w:noProof/>
              </w:rPr>
              <w:t>38</w:t>
            </w:r>
            <w:r w:rsidRPr="00F77FF9">
              <w:rPr>
                <w:rFonts w:cs="Arial"/>
                <w:b/>
                <w:bCs/>
              </w:rPr>
              <w:fldChar w:fldCharType="end"/>
            </w:r>
            <w:r w:rsidRPr="00F77FF9">
              <w:rPr>
                <w:rFonts w:cs="Arial"/>
              </w:rPr>
              <w:t xml:space="preserve"> of </w:t>
            </w:r>
            <w:r w:rsidRPr="00F77FF9">
              <w:rPr>
                <w:rFonts w:cs="Arial"/>
                <w:b/>
                <w:bCs/>
              </w:rPr>
              <w:fldChar w:fldCharType="begin"/>
            </w:r>
            <w:r w:rsidRPr="00F77FF9">
              <w:rPr>
                <w:rFonts w:cs="Arial"/>
                <w:b/>
                <w:bCs/>
              </w:rPr>
              <w:instrText xml:space="preserve"> NUMPAGES  </w:instrText>
            </w:r>
            <w:r w:rsidRPr="00F77FF9">
              <w:rPr>
                <w:rFonts w:cs="Arial"/>
                <w:b/>
                <w:bCs/>
              </w:rPr>
              <w:fldChar w:fldCharType="separate"/>
            </w:r>
            <w:r w:rsidR="00934A4E">
              <w:rPr>
                <w:rFonts w:cs="Arial"/>
                <w:b/>
                <w:bCs/>
                <w:noProof/>
              </w:rPr>
              <w:t>41</w:t>
            </w:r>
            <w:r w:rsidRPr="00F77FF9">
              <w:rPr>
                <w:rFonts w:cs="Arial"/>
                <w:b/>
                <w:bCs/>
              </w:rPr>
              <w:fldChar w:fldCharType="end"/>
            </w:r>
          </w:p>
        </w:sdtContent>
      </w:sdt>
    </w:sdtContent>
  </w:sdt>
  <w:p w14:paraId="4059FDA3" w14:textId="77777777" w:rsidR="009F715E" w:rsidRDefault="009F7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3D027" w14:textId="77777777" w:rsidR="00776AFA" w:rsidRDefault="00776AFA" w:rsidP="00D210FA">
      <w:pPr>
        <w:spacing w:after="0"/>
      </w:pPr>
      <w:r>
        <w:separator/>
      </w:r>
    </w:p>
  </w:footnote>
  <w:footnote w:type="continuationSeparator" w:id="0">
    <w:p w14:paraId="018927EC" w14:textId="77777777" w:rsidR="00776AFA" w:rsidRDefault="00776AFA"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9F715E" w:rsidRDefault="009F715E">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9F715E" w:rsidRDefault="009F715E">
    <w:pPr>
      <w:pStyle w:val="Header"/>
    </w:pPr>
  </w:p>
  <w:p w14:paraId="68BF0258" w14:textId="683785A9" w:rsidR="009F715E" w:rsidRDefault="009F7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66480B"/>
    <w:multiLevelType w:val="multilevel"/>
    <w:tmpl w:val="038C8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37641D"/>
    <w:multiLevelType w:val="multilevel"/>
    <w:tmpl w:val="D26C3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AEE7C01"/>
    <w:multiLevelType w:val="multilevel"/>
    <w:tmpl w:val="1116E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397EBD"/>
    <w:multiLevelType w:val="multilevel"/>
    <w:tmpl w:val="C706B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805841"/>
    <w:multiLevelType w:val="multilevel"/>
    <w:tmpl w:val="E7BCA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9CD7383"/>
    <w:multiLevelType w:val="multilevel"/>
    <w:tmpl w:val="5726E7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C5775E3"/>
    <w:multiLevelType w:val="multilevel"/>
    <w:tmpl w:val="AFE80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ABF0EB1"/>
    <w:multiLevelType w:val="multilevel"/>
    <w:tmpl w:val="83968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116526D"/>
    <w:multiLevelType w:val="multilevel"/>
    <w:tmpl w:val="C5B07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125B11"/>
    <w:multiLevelType w:val="multilevel"/>
    <w:tmpl w:val="EBBAF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9202FE2"/>
    <w:multiLevelType w:val="multilevel"/>
    <w:tmpl w:val="417CB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A342CF0"/>
    <w:multiLevelType w:val="multilevel"/>
    <w:tmpl w:val="38E04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F4150AE"/>
    <w:multiLevelType w:val="hybridMultilevel"/>
    <w:tmpl w:val="CE3460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419952CE"/>
    <w:multiLevelType w:val="multilevel"/>
    <w:tmpl w:val="E90E4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B873A61"/>
    <w:multiLevelType w:val="multilevel"/>
    <w:tmpl w:val="D242E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F442F02"/>
    <w:multiLevelType w:val="multilevel"/>
    <w:tmpl w:val="3BB86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3FE4B6D"/>
    <w:multiLevelType w:val="multilevel"/>
    <w:tmpl w:val="B5063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5F41D07"/>
    <w:multiLevelType w:val="multilevel"/>
    <w:tmpl w:val="843C72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04556F8"/>
    <w:multiLevelType w:val="multilevel"/>
    <w:tmpl w:val="4C141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0B51AB8"/>
    <w:multiLevelType w:val="multilevel"/>
    <w:tmpl w:val="6336A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49E34CF"/>
    <w:multiLevelType w:val="multilevel"/>
    <w:tmpl w:val="2E1C3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654B81"/>
    <w:multiLevelType w:val="multilevel"/>
    <w:tmpl w:val="ADECC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DA04611"/>
    <w:multiLevelType w:val="multilevel"/>
    <w:tmpl w:val="9ECA4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5241584">
    <w:abstractNumId w:val="11"/>
  </w:num>
  <w:num w:numId="2" w16cid:durableId="2009284618">
    <w:abstractNumId w:val="7"/>
  </w:num>
  <w:num w:numId="3" w16cid:durableId="681320416">
    <w:abstractNumId w:val="34"/>
  </w:num>
  <w:num w:numId="4" w16cid:durableId="1331787792">
    <w:abstractNumId w:val="35"/>
  </w:num>
  <w:num w:numId="5" w16cid:durableId="655187081">
    <w:abstractNumId w:val="16"/>
  </w:num>
  <w:num w:numId="6" w16cid:durableId="255597223">
    <w:abstractNumId w:val="14"/>
  </w:num>
  <w:num w:numId="7" w16cid:durableId="678895736">
    <w:abstractNumId w:val="25"/>
  </w:num>
  <w:num w:numId="8" w16cid:durableId="47656894">
    <w:abstractNumId w:val="22"/>
  </w:num>
  <w:num w:numId="9" w16cid:durableId="1882815691">
    <w:abstractNumId w:val="4"/>
  </w:num>
  <w:num w:numId="10" w16cid:durableId="1688824110">
    <w:abstractNumId w:val="0"/>
  </w:num>
  <w:num w:numId="11" w16cid:durableId="653071595">
    <w:abstractNumId w:val="12"/>
  </w:num>
  <w:num w:numId="12" w16cid:durableId="1525485680">
    <w:abstractNumId w:val="3"/>
  </w:num>
  <w:num w:numId="13" w16cid:durableId="453602302">
    <w:abstractNumId w:val="31"/>
  </w:num>
  <w:num w:numId="14" w16cid:durableId="1362128715">
    <w:abstractNumId w:val="8"/>
  </w:num>
  <w:num w:numId="15" w16cid:durableId="457190720">
    <w:abstractNumId w:val="15"/>
  </w:num>
  <w:num w:numId="16" w16cid:durableId="728649591">
    <w:abstractNumId w:val="13"/>
  </w:num>
  <w:num w:numId="17" w16cid:durableId="944965961">
    <w:abstractNumId w:val="9"/>
  </w:num>
  <w:num w:numId="18" w16cid:durableId="1661694611">
    <w:abstractNumId w:val="23"/>
  </w:num>
  <w:num w:numId="19" w16cid:durableId="33165957">
    <w:abstractNumId w:val="10"/>
  </w:num>
  <w:num w:numId="20" w16cid:durableId="58748424">
    <w:abstractNumId w:val="30"/>
  </w:num>
  <w:num w:numId="21" w16cid:durableId="1709910050">
    <w:abstractNumId w:val="5"/>
  </w:num>
  <w:num w:numId="22" w16cid:durableId="1635674476">
    <w:abstractNumId w:val="32"/>
  </w:num>
  <w:num w:numId="23" w16cid:durableId="2074962670">
    <w:abstractNumId w:val="33"/>
  </w:num>
  <w:num w:numId="24" w16cid:durableId="611060575">
    <w:abstractNumId w:val="18"/>
  </w:num>
  <w:num w:numId="25" w16cid:durableId="1610119017">
    <w:abstractNumId w:val="27"/>
  </w:num>
  <w:num w:numId="26" w16cid:durableId="1205095360">
    <w:abstractNumId w:val="19"/>
  </w:num>
  <w:num w:numId="27" w16cid:durableId="1750073874">
    <w:abstractNumId w:val="29"/>
  </w:num>
  <w:num w:numId="28" w16cid:durableId="506019840">
    <w:abstractNumId w:val="28"/>
  </w:num>
  <w:num w:numId="29" w16cid:durableId="1574465922">
    <w:abstractNumId w:val="17"/>
  </w:num>
  <w:num w:numId="30" w16cid:durableId="612858170">
    <w:abstractNumId w:val="20"/>
  </w:num>
  <w:num w:numId="31" w16cid:durableId="676807901">
    <w:abstractNumId w:val="21"/>
  </w:num>
  <w:num w:numId="32" w16cid:durableId="1293094929">
    <w:abstractNumId w:val="6"/>
  </w:num>
  <w:num w:numId="33" w16cid:durableId="775295507">
    <w:abstractNumId w:val="26"/>
  </w:num>
  <w:num w:numId="34" w16cid:durableId="2130273155">
    <w:abstractNumId w:val="1"/>
  </w:num>
  <w:num w:numId="35" w16cid:durableId="271059344">
    <w:abstractNumId w:val="2"/>
  </w:num>
  <w:num w:numId="36" w16cid:durableId="84876085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C19"/>
    <w:rsid w:val="00002366"/>
    <w:rsid w:val="00023293"/>
    <w:rsid w:val="000317A6"/>
    <w:rsid w:val="000355AE"/>
    <w:rsid w:val="00061977"/>
    <w:rsid w:val="00063B85"/>
    <w:rsid w:val="000702A0"/>
    <w:rsid w:val="0008782A"/>
    <w:rsid w:val="000A065A"/>
    <w:rsid w:val="000C4A3D"/>
    <w:rsid w:val="000E56ED"/>
    <w:rsid w:val="001069CB"/>
    <w:rsid w:val="00106E4C"/>
    <w:rsid w:val="00106FC5"/>
    <w:rsid w:val="00120DEC"/>
    <w:rsid w:val="00123C19"/>
    <w:rsid w:val="00124633"/>
    <w:rsid w:val="00126B52"/>
    <w:rsid w:val="00142DC1"/>
    <w:rsid w:val="001527B8"/>
    <w:rsid w:val="00154856"/>
    <w:rsid w:val="00173E41"/>
    <w:rsid w:val="0018543F"/>
    <w:rsid w:val="00186002"/>
    <w:rsid w:val="001912C0"/>
    <w:rsid w:val="001A246A"/>
    <w:rsid w:val="001A2DAB"/>
    <w:rsid w:val="001A4E86"/>
    <w:rsid w:val="001B49A1"/>
    <w:rsid w:val="001C55B6"/>
    <w:rsid w:val="001D544E"/>
    <w:rsid w:val="001D6CC4"/>
    <w:rsid w:val="001E08AA"/>
    <w:rsid w:val="001E544F"/>
    <w:rsid w:val="001F75C5"/>
    <w:rsid w:val="00203113"/>
    <w:rsid w:val="00206405"/>
    <w:rsid w:val="00211CD2"/>
    <w:rsid w:val="002167F4"/>
    <w:rsid w:val="00220699"/>
    <w:rsid w:val="002250B0"/>
    <w:rsid w:val="002341AD"/>
    <w:rsid w:val="00241566"/>
    <w:rsid w:val="002519B7"/>
    <w:rsid w:val="00253267"/>
    <w:rsid w:val="00267668"/>
    <w:rsid w:val="002823CD"/>
    <w:rsid w:val="00287787"/>
    <w:rsid w:val="00291685"/>
    <w:rsid w:val="0029329C"/>
    <w:rsid w:val="002B0A3D"/>
    <w:rsid w:val="002B1A73"/>
    <w:rsid w:val="002D1FA2"/>
    <w:rsid w:val="002D744B"/>
    <w:rsid w:val="002F26AB"/>
    <w:rsid w:val="002F2D57"/>
    <w:rsid w:val="002F6E8D"/>
    <w:rsid w:val="003007A7"/>
    <w:rsid w:val="00322850"/>
    <w:rsid w:val="003257E1"/>
    <w:rsid w:val="00325DEC"/>
    <w:rsid w:val="00336506"/>
    <w:rsid w:val="00342FE7"/>
    <w:rsid w:val="00346FFA"/>
    <w:rsid w:val="00371AE8"/>
    <w:rsid w:val="00385494"/>
    <w:rsid w:val="00385798"/>
    <w:rsid w:val="003A3069"/>
    <w:rsid w:val="003C20B5"/>
    <w:rsid w:val="003C50AB"/>
    <w:rsid w:val="003D5E3F"/>
    <w:rsid w:val="003E545F"/>
    <w:rsid w:val="003F03D2"/>
    <w:rsid w:val="003F0733"/>
    <w:rsid w:val="003F1E1A"/>
    <w:rsid w:val="004045E5"/>
    <w:rsid w:val="00421496"/>
    <w:rsid w:val="00422C27"/>
    <w:rsid w:val="00430A01"/>
    <w:rsid w:val="0044367C"/>
    <w:rsid w:val="0044412C"/>
    <w:rsid w:val="004500EA"/>
    <w:rsid w:val="004642F0"/>
    <w:rsid w:val="00471BA1"/>
    <w:rsid w:val="00476B07"/>
    <w:rsid w:val="0048349E"/>
    <w:rsid w:val="004869D8"/>
    <w:rsid w:val="004905BD"/>
    <w:rsid w:val="00490CC9"/>
    <w:rsid w:val="00491B19"/>
    <w:rsid w:val="004A6850"/>
    <w:rsid w:val="004C4233"/>
    <w:rsid w:val="004D4B19"/>
    <w:rsid w:val="004D68CE"/>
    <w:rsid w:val="004E1EEE"/>
    <w:rsid w:val="004E48A2"/>
    <w:rsid w:val="00500564"/>
    <w:rsid w:val="0051102B"/>
    <w:rsid w:val="00516CC0"/>
    <w:rsid w:val="005259C9"/>
    <w:rsid w:val="0053102F"/>
    <w:rsid w:val="005475F0"/>
    <w:rsid w:val="005578F0"/>
    <w:rsid w:val="00571C11"/>
    <w:rsid w:val="00582081"/>
    <w:rsid w:val="005838BC"/>
    <w:rsid w:val="00595B72"/>
    <w:rsid w:val="005B1B4C"/>
    <w:rsid w:val="005B57E1"/>
    <w:rsid w:val="005B71A0"/>
    <w:rsid w:val="005E2236"/>
    <w:rsid w:val="005E31A6"/>
    <w:rsid w:val="005E61E0"/>
    <w:rsid w:val="005F0F31"/>
    <w:rsid w:val="005F18E7"/>
    <w:rsid w:val="005F7D75"/>
    <w:rsid w:val="006024ED"/>
    <w:rsid w:val="0061793F"/>
    <w:rsid w:val="0062123A"/>
    <w:rsid w:val="0064251A"/>
    <w:rsid w:val="006529DC"/>
    <w:rsid w:val="006605F8"/>
    <w:rsid w:val="006632FC"/>
    <w:rsid w:val="006652E3"/>
    <w:rsid w:val="006676A1"/>
    <w:rsid w:val="006833BD"/>
    <w:rsid w:val="00694FE6"/>
    <w:rsid w:val="006B1FC8"/>
    <w:rsid w:val="006B271B"/>
    <w:rsid w:val="006B67A0"/>
    <w:rsid w:val="006D2642"/>
    <w:rsid w:val="006E2D42"/>
    <w:rsid w:val="006F104A"/>
    <w:rsid w:val="006F283F"/>
    <w:rsid w:val="00720FEE"/>
    <w:rsid w:val="00724E15"/>
    <w:rsid w:val="00726759"/>
    <w:rsid w:val="00727D52"/>
    <w:rsid w:val="007331C6"/>
    <w:rsid w:val="00742191"/>
    <w:rsid w:val="00745D56"/>
    <w:rsid w:val="00745EED"/>
    <w:rsid w:val="00746D97"/>
    <w:rsid w:val="00764B6F"/>
    <w:rsid w:val="00774045"/>
    <w:rsid w:val="00776AFA"/>
    <w:rsid w:val="00783D2C"/>
    <w:rsid w:val="007A33D2"/>
    <w:rsid w:val="007B49C1"/>
    <w:rsid w:val="007B69E2"/>
    <w:rsid w:val="007C3BFC"/>
    <w:rsid w:val="007C563F"/>
    <w:rsid w:val="007C7319"/>
    <w:rsid w:val="007D43B3"/>
    <w:rsid w:val="007F20B4"/>
    <w:rsid w:val="007F2C45"/>
    <w:rsid w:val="007F520B"/>
    <w:rsid w:val="007F525E"/>
    <w:rsid w:val="00800407"/>
    <w:rsid w:val="00802FF1"/>
    <w:rsid w:val="00820CB5"/>
    <w:rsid w:val="00825397"/>
    <w:rsid w:val="0082695D"/>
    <w:rsid w:val="0083044C"/>
    <w:rsid w:val="00835FAC"/>
    <w:rsid w:val="00840100"/>
    <w:rsid w:val="00846694"/>
    <w:rsid w:val="0085182D"/>
    <w:rsid w:val="00854F07"/>
    <w:rsid w:val="00867E5F"/>
    <w:rsid w:val="008709F5"/>
    <w:rsid w:val="00877A91"/>
    <w:rsid w:val="00884E86"/>
    <w:rsid w:val="00890534"/>
    <w:rsid w:val="00891124"/>
    <w:rsid w:val="008918D9"/>
    <w:rsid w:val="008927FF"/>
    <w:rsid w:val="008B0F18"/>
    <w:rsid w:val="008B6379"/>
    <w:rsid w:val="008B6733"/>
    <w:rsid w:val="008C02E0"/>
    <w:rsid w:val="008C1616"/>
    <w:rsid w:val="008E3921"/>
    <w:rsid w:val="008E7F30"/>
    <w:rsid w:val="0090027B"/>
    <w:rsid w:val="0090119E"/>
    <w:rsid w:val="00905238"/>
    <w:rsid w:val="00931C60"/>
    <w:rsid w:val="00934A4E"/>
    <w:rsid w:val="0094702A"/>
    <w:rsid w:val="00953ADF"/>
    <w:rsid w:val="009553B1"/>
    <w:rsid w:val="00967DAB"/>
    <w:rsid w:val="0098500B"/>
    <w:rsid w:val="00990E76"/>
    <w:rsid w:val="00991A53"/>
    <w:rsid w:val="00996F4E"/>
    <w:rsid w:val="009C6120"/>
    <w:rsid w:val="009D2D31"/>
    <w:rsid w:val="009E2D12"/>
    <w:rsid w:val="009E7268"/>
    <w:rsid w:val="009F715E"/>
    <w:rsid w:val="009F71FE"/>
    <w:rsid w:val="009F7FCC"/>
    <w:rsid w:val="00A02049"/>
    <w:rsid w:val="00A133ED"/>
    <w:rsid w:val="00A14513"/>
    <w:rsid w:val="00A16716"/>
    <w:rsid w:val="00A24DD5"/>
    <w:rsid w:val="00A27D8D"/>
    <w:rsid w:val="00A31F33"/>
    <w:rsid w:val="00A43101"/>
    <w:rsid w:val="00A70A62"/>
    <w:rsid w:val="00A71DA8"/>
    <w:rsid w:val="00A90A7A"/>
    <w:rsid w:val="00AA3852"/>
    <w:rsid w:val="00AB1210"/>
    <w:rsid w:val="00AB5409"/>
    <w:rsid w:val="00AB770D"/>
    <w:rsid w:val="00AD2E14"/>
    <w:rsid w:val="00AD4371"/>
    <w:rsid w:val="00AD772C"/>
    <w:rsid w:val="00AF10F2"/>
    <w:rsid w:val="00AF2088"/>
    <w:rsid w:val="00AF28B1"/>
    <w:rsid w:val="00AF5FB0"/>
    <w:rsid w:val="00AF7848"/>
    <w:rsid w:val="00B0080A"/>
    <w:rsid w:val="00B0538C"/>
    <w:rsid w:val="00B13EC9"/>
    <w:rsid w:val="00B14C71"/>
    <w:rsid w:val="00B15DE2"/>
    <w:rsid w:val="00B376E4"/>
    <w:rsid w:val="00B37AB8"/>
    <w:rsid w:val="00B418DE"/>
    <w:rsid w:val="00B47985"/>
    <w:rsid w:val="00B47FE7"/>
    <w:rsid w:val="00B56361"/>
    <w:rsid w:val="00B67824"/>
    <w:rsid w:val="00B67EEF"/>
    <w:rsid w:val="00B70B38"/>
    <w:rsid w:val="00BC594A"/>
    <w:rsid w:val="00BD4469"/>
    <w:rsid w:val="00BE0794"/>
    <w:rsid w:val="00BE0A7C"/>
    <w:rsid w:val="00BE15BA"/>
    <w:rsid w:val="00BF4C80"/>
    <w:rsid w:val="00C06416"/>
    <w:rsid w:val="00C13153"/>
    <w:rsid w:val="00C15F95"/>
    <w:rsid w:val="00C20ED0"/>
    <w:rsid w:val="00C31D85"/>
    <w:rsid w:val="00C348A8"/>
    <w:rsid w:val="00C34FA0"/>
    <w:rsid w:val="00C4426F"/>
    <w:rsid w:val="00C46111"/>
    <w:rsid w:val="00C47DCC"/>
    <w:rsid w:val="00C73CBD"/>
    <w:rsid w:val="00C80714"/>
    <w:rsid w:val="00C83332"/>
    <w:rsid w:val="00C95E04"/>
    <w:rsid w:val="00CA3CC4"/>
    <w:rsid w:val="00CA46CA"/>
    <w:rsid w:val="00CB2531"/>
    <w:rsid w:val="00CB2962"/>
    <w:rsid w:val="00CC0A8F"/>
    <w:rsid w:val="00CC24B6"/>
    <w:rsid w:val="00CC66FE"/>
    <w:rsid w:val="00CD3A64"/>
    <w:rsid w:val="00CD7D0E"/>
    <w:rsid w:val="00CE08CD"/>
    <w:rsid w:val="00D02196"/>
    <w:rsid w:val="00D05236"/>
    <w:rsid w:val="00D0664A"/>
    <w:rsid w:val="00D07937"/>
    <w:rsid w:val="00D120B1"/>
    <w:rsid w:val="00D2064C"/>
    <w:rsid w:val="00D210FA"/>
    <w:rsid w:val="00D30F1D"/>
    <w:rsid w:val="00D408D7"/>
    <w:rsid w:val="00D45258"/>
    <w:rsid w:val="00D47C9D"/>
    <w:rsid w:val="00D543E3"/>
    <w:rsid w:val="00D57231"/>
    <w:rsid w:val="00D64655"/>
    <w:rsid w:val="00D667E3"/>
    <w:rsid w:val="00D87B48"/>
    <w:rsid w:val="00D91203"/>
    <w:rsid w:val="00D94FD1"/>
    <w:rsid w:val="00DA30F0"/>
    <w:rsid w:val="00DB2A48"/>
    <w:rsid w:val="00DB528D"/>
    <w:rsid w:val="00DE0C62"/>
    <w:rsid w:val="00E02977"/>
    <w:rsid w:val="00E118CF"/>
    <w:rsid w:val="00E16A54"/>
    <w:rsid w:val="00E1782A"/>
    <w:rsid w:val="00E364C9"/>
    <w:rsid w:val="00E41692"/>
    <w:rsid w:val="00E55D74"/>
    <w:rsid w:val="00E66391"/>
    <w:rsid w:val="00E81234"/>
    <w:rsid w:val="00E837CB"/>
    <w:rsid w:val="00E9037E"/>
    <w:rsid w:val="00E9692B"/>
    <w:rsid w:val="00EA120D"/>
    <w:rsid w:val="00EA49C3"/>
    <w:rsid w:val="00EB0489"/>
    <w:rsid w:val="00EB5E14"/>
    <w:rsid w:val="00EB6F36"/>
    <w:rsid w:val="00ED1049"/>
    <w:rsid w:val="00EE19D9"/>
    <w:rsid w:val="00EE1D04"/>
    <w:rsid w:val="00EF26FC"/>
    <w:rsid w:val="00EF2814"/>
    <w:rsid w:val="00F0469E"/>
    <w:rsid w:val="00F20316"/>
    <w:rsid w:val="00F26D36"/>
    <w:rsid w:val="00F37523"/>
    <w:rsid w:val="00F43A60"/>
    <w:rsid w:val="00F441B8"/>
    <w:rsid w:val="00F50168"/>
    <w:rsid w:val="00F50D34"/>
    <w:rsid w:val="00F52F83"/>
    <w:rsid w:val="00F61360"/>
    <w:rsid w:val="00F77FF9"/>
    <w:rsid w:val="00FC538A"/>
    <w:rsid w:val="00FE2B9F"/>
    <w:rsid w:val="00FE4768"/>
    <w:rsid w:val="00FE5D4D"/>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2E0"/>
    <w:pPr>
      <w:spacing w:line="360" w:lineRule="auto"/>
      <w:jc w:val="both"/>
    </w:pPr>
    <w:rPr>
      <w:rFonts w:ascii="Arial" w:hAnsi="Arial"/>
    </w:rPr>
  </w:style>
  <w:style w:type="paragraph" w:styleId="Heading1">
    <w:name w:val="heading 1"/>
    <w:basedOn w:val="Normal"/>
    <w:next w:val="Normal"/>
    <w:link w:val="Heading1Char"/>
    <w:uiPriority w:val="9"/>
    <w:qFormat/>
    <w:rsid w:val="008C02E0"/>
    <w:pPr>
      <w:spacing w:after="0" w:line="480" w:lineRule="auto"/>
      <w:outlineLvl w:val="0"/>
    </w:pPr>
    <w:rPr>
      <w:b/>
      <w:spacing w:val="10"/>
      <w:sz w:val="28"/>
    </w:rPr>
  </w:style>
  <w:style w:type="paragraph" w:styleId="Heading2">
    <w:name w:val="heading 2"/>
    <w:basedOn w:val="Normal"/>
    <w:next w:val="Normal"/>
    <w:link w:val="Heading2Char"/>
    <w:autoRedefine/>
    <w:uiPriority w:val="9"/>
    <w:qFormat/>
    <w:rsid w:val="001F75C5"/>
    <w:pPr>
      <w:spacing w:before="240" w:after="0"/>
      <w:outlineLvl w:val="1"/>
    </w:pPr>
    <w:rPr>
      <w:b/>
      <w:spacing w:val="10"/>
      <w:sz w:val="24"/>
    </w:rPr>
  </w:style>
  <w:style w:type="paragraph" w:styleId="Heading3">
    <w:name w:val="heading 3"/>
    <w:basedOn w:val="Normal"/>
    <w:next w:val="Normal"/>
    <w:link w:val="Heading3Char"/>
    <w:uiPriority w:val="9"/>
    <w:semiHidden/>
    <w:qFormat/>
    <w:rsid w:val="00745E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8C02E0"/>
    <w:rPr>
      <w:rFonts w:ascii="Arial" w:hAnsi="Arial"/>
      <w:b/>
      <w:spacing w:val="10"/>
      <w:sz w:val="28"/>
    </w:rPr>
  </w:style>
  <w:style w:type="character" w:customStyle="1" w:styleId="Hashtag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1">
    <w:name w:val="Unresolved Mention1"/>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1F75C5"/>
    <w:rPr>
      <w:rFonts w:ascii="Arial" w:hAnsi="Arial"/>
      <w:b/>
      <w:spacing w:val="10"/>
      <w:sz w:val="24"/>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rsid w:val="00C46111"/>
    <w:pPr>
      <w:spacing w:after="0"/>
    </w:pPr>
  </w:style>
  <w:style w:type="character" w:customStyle="1" w:styleId="FooterChar">
    <w:name w:val="Footer Char"/>
    <w:basedOn w:val="DefaultParagraphFont"/>
    <w:link w:val="Footer"/>
    <w:uiPriority w:val="99"/>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unhideWhenUsed/>
    <w:rsid w:val="00A133ED"/>
    <w:pPr>
      <w:spacing w:before="100" w:beforeAutospacing="1" w:after="100" w:afterAutospacing="1"/>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106E4C"/>
    <w:rPr>
      <w:color w:val="0563C1" w:themeColor="hyperlink"/>
      <w:u w:val="single"/>
    </w:rPr>
  </w:style>
  <w:style w:type="paragraph" w:styleId="TOCHeading">
    <w:name w:val="TOC Heading"/>
    <w:basedOn w:val="Heading1"/>
    <w:next w:val="Normal"/>
    <w:uiPriority w:val="39"/>
    <w:unhideWhenUsed/>
    <w:qFormat/>
    <w:rsid w:val="00BC594A"/>
    <w:pPr>
      <w:keepNext/>
      <w:keepLines/>
      <w:spacing w:before="240" w:line="259" w:lineRule="auto"/>
      <w:outlineLvl w:val="9"/>
    </w:pPr>
    <w:rPr>
      <w:rFonts w:asciiTheme="majorHAnsi" w:eastAsiaTheme="majorEastAsia" w:hAnsiTheme="majorHAnsi" w:cstheme="majorBidi"/>
      <w:b w:val="0"/>
      <w:color w:val="2F5496" w:themeColor="accent1" w:themeShade="BF"/>
      <w:spacing w:val="0"/>
      <w:szCs w:val="32"/>
    </w:rPr>
  </w:style>
  <w:style w:type="paragraph" w:styleId="TOC1">
    <w:name w:val="toc 1"/>
    <w:basedOn w:val="Normal"/>
    <w:next w:val="Normal"/>
    <w:autoRedefine/>
    <w:uiPriority w:val="39"/>
    <w:unhideWhenUsed/>
    <w:rsid w:val="00BC594A"/>
    <w:pPr>
      <w:spacing w:after="100"/>
    </w:pPr>
  </w:style>
  <w:style w:type="paragraph" w:styleId="TOC2">
    <w:name w:val="toc 2"/>
    <w:basedOn w:val="Normal"/>
    <w:next w:val="Normal"/>
    <w:autoRedefine/>
    <w:uiPriority w:val="39"/>
    <w:unhideWhenUsed/>
    <w:rsid w:val="00BC594A"/>
    <w:pPr>
      <w:spacing w:after="100"/>
      <w:ind w:left="220"/>
    </w:pPr>
  </w:style>
  <w:style w:type="character" w:customStyle="1" w:styleId="Heading3Char">
    <w:name w:val="Heading 3 Char"/>
    <w:basedOn w:val="DefaultParagraphFont"/>
    <w:link w:val="Heading3"/>
    <w:uiPriority w:val="9"/>
    <w:semiHidden/>
    <w:rsid w:val="00745EE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F6E8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365956473">
      <w:bodyDiv w:val="1"/>
      <w:marLeft w:val="0"/>
      <w:marRight w:val="0"/>
      <w:marTop w:val="0"/>
      <w:marBottom w:val="0"/>
      <w:divBdr>
        <w:top w:val="none" w:sz="0" w:space="0" w:color="auto"/>
        <w:left w:val="none" w:sz="0" w:space="0" w:color="auto"/>
        <w:bottom w:val="none" w:sz="0" w:space="0" w:color="auto"/>
        <w:right w:val="none" w:sz="0" w:space="0" w:color="auto"/>
      </w:divBdr>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937786641">
      <w:bodyDiv w:val="1"/>
      <w:marLeft w:val="0"/>
      <w:marRight w:val="0"/>
      <w:marTop w:val="0"/>
      <w:marBottom w:val="0"/>
      <w:divBdr>
        <w:top w:val="none" w:sz="0" w:space="0" w:color="auto"/>
        <w:left w:val="none" w:sz="0" w:space="0" w:color="auto"/>
        <w:bottom w:val="none" w:sz="0" w:space="0" w:color="auto"/>
        <w:right w:val="none" w:sz="0" w:space="0" w:color="auto"/>
      </w:divBdr>
    </w:div>
    <w:div w:id="964120208">
      <w:bodyDiv w:val="1"/>
      <w:marLeft w:val="0"/>
      <w:marRight w:val="0"/>
      <w:marTop w:val="0"/>
      <w:marBottom w:val="0"/>
      <w:divBdr>
        <w:top w:val="none" w:sz="0" w:space="0" w:color="auto"/>
        <w:left w:val="none" w:sz="0" w:space="0" w:color="auto"/>
        <w:bottom w:val="none" w:sz="0" w:space="0" w:color="auto"/>
        <w:right w:val="none" w:sz="0" w:space="0" w:color="auto"/>
      </w:divBdr>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1583879732">
      <w:bodyDiv w:val="1"/>
      <w:marLeft w:val="0"/>
      <w:marRight w:val="0"/>
      <w:marTop w:val="0"/>
      <w:marBottom w:val="0"/>
      <w:divBdr>
        <w:top w:val="none" w:sz="0" w:space="0" w:color="auto"/>
        <w:left w:val="none" w:sz="0" w:space="0" w:color="auto"/>
        <w:bottom w:val="none" w:sz="0" w:space="0" w:color="auto"/>
        <w:right w:val="none" w:sz="0" w:space="0" w:color="auto"/>
      </w:divBdr>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094428120969905" TargetMode="External"/><Relationship Id="rId117" Type="http://schemas.openxmlformats.org/officeDocument/2006/relationships/hyperlink" Target="https://doi.org/10.1016/j.ajem.2020.04.036" TargetMode="External"/><Relationship Id="rId21" Type="http://schemas.microsoft.com/office/2007/relationships/diagramDrawing" Target="diagrams/drawing1.xml"/><Relationship Id="rId42" Type="http://schemas.openxmlformats.org/officeDocument/2006/relationships/hyperlink" Target="https://doi.org/10.1186/s12995-023-00378-2" TargetMode="External"/><Relationship Id="rId47" Type="http://schemas.openxmlformats.org/officeDocument/2006/relationships/hyperlink" Target="https://doi.org/10.70082/1q6pfy61" TargetMode="External"/><Relationship Id="rId63" Type="http://schemas.openxmlformats.org/officeDocument/2006/relationships/hyperlink" Target="https://doi.org/10.1111/hir.12414" TargetMode="External"/><Relationship Id="rId68" Type="http://schemas.openxmlformats.org/officeDocument/2006/relationships/hyperlink" Target="https://doi.org/10.1186/s12912-024-01904-1" TargetMode="External"/><Relationship Id="rId84" Type="http://schemas.openxmlformats.org/officeDocument/2006/relationships/hyperlink" Target="https://doi.org/10.3389/fpubh.2024.1332412" TargetMode="External"/><Relationship Id="rId89" Type="http://schemas.openxmlformats.org/officeDocument/2006/relationships/hyperlink" Target="https://doi.org/10.1007/s10805-021-09392-7" TargetMode="External"/><Relationship Id="rId112" Type="http://schemas.openxmlformats.org/officeDocument/2006/relationships/hyperlink" Target="https://doi.org/10.1016/j.mgmed.2024.100008" TargetMode="External"/><Relationship Id="rId16" Type="http://schemas.openxmlformats.org/officeDocument/2006/relationships/image" Target="media/image3.png"/><Relationship Id="rId107" Type="http://schemas.openxmlformats.org/officeDocument/2006/relationships/hyperlink" Target="https://www.skillsforhealth.org.uk/images/services/cstf/Mental%20Health%20CSTF.pdf" TargetMode="External"/><Relationship Id="rId11" Type="http://schemas.openxmlformats.org/officeDocument/2006/relationships/image" Target="media/image1.png"/><Relationship Id="rId32" Type="http://schemas.openxmlformats.org/officeDocument/2006/relationships/hyperlink" Target="https://doi.org/10.3390/healthcare11212902" TargetMode="External"/><Relationship Id="rId37" Type="http://schemas.openxmlformats.org/officeDocument/2006/relationships/hyperlink" Target="https://doi.org/10.2196/64125" TargetMode="External"/><Relationship Id="rId53" Type="http://schemas.openxmlformats.org/officeDocument/2006/relationships/hyperlink" Target="https://www.gmc-uk.org/cdn/documents/impact-of-service-change-on-doctors--training---full-report_pdf-86838768.pdf" TargetMode="External"/><Relationship Id="rId58" Type="http://schemas.openxmlformats.org/officeDocument/2006/relationships/hyperlink" Target="https://www.gov.uk/government/organisations/health-education-england" TargetMode="External"/><Relationship Id="rId74" Type="http://schemas.openxmlformats.org/officeDocument/2006/relationships/hyperlink" Target="https://doi.org/10.1016/j.jtumed.2021.05.012" TargetMode="External"/><Relationship Id="rId79" Type="http://schemas.openxmlformats.org/officeDocument/2006/relationships/hyperlink" Target="https://doi.org/10.1007/s10459-023-10297-w" TargetMode="External"/><Relationship Id="rId102" Type="http://schemas.openxmlformats.org/officeDocument/2006/relationships/hyperlink" Target="https://www.rcog.org.uk/media/r5mjf400/tef-2021-report-covid-19.pdf?utm_source=copilot.com" TargetMode="External"/><Relationship Id="rId123" Type="http://schemas.openxmlformats.org/officeDocument/2006/relationships/hyperlink" Target="https://doi.org/10.1136/bmj.o1796" TargetMode="External"/><Relationship Id="rId128"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doi.org/10.1111/jan.16629" TargetMode="External"/><Relationship Id="rId95" Type="http://schemas.openxmlformats.org/officeDocument/2006/relationships/hyperlink" Target="https://www.england.nhs.uk/long-read/nhs-long-term-workforce-plan-2/" TargetMode="External"/><Relationship Id="rId22" Type="http://schemas.openxmlformats.org/officeDocument/2006/relationships/image" Target="media/image4.png"/><Relationship Id="rId27" Type="http://schemas.openxmlformats.org/officeDocument/2006/relationships/hyperlink" Target="https://doi.org/10.1177/1094428120969905" TargetMode="External"/><Relationship Id="rId43" Type="http://schemas.openxmlformats.org/officeDocument/2006/relationships/hyperlink" Target="https://doi.org/10.1136/bmjopen-2025-101702" TargetMode="External"/><Relationship Id="rId48" Type="http://schemas.openxmlformats.org/officeDocument/2006/relationships/hyperlink" Target="https://doi.org/10.1016/j.ienj.2022.101146" TargetMode="External"/><Relationship Id="rId64" Type="http://schemas.openxmlformats.org/officeDocument/2006/relationships/hyperlink" Target="https://doi.org/10.1111/hir.12414" TargetMode="External"/><Relationship Id="rId69" Type="http://schemas.openxmlformats.org/officeDocument/2006/relationships/hyperlink" Target="https://doi.org/10.1177/23743735221143921" TargetMode="External"/><Relationship Id="rId113" Type="http://schemas.openxmlformats.org/officeDocument/2006/relationships/hyperlink" Target="https://doi.org/10.1016/j.promfg.2018.03.137" TargetMode="External"/><Relationship Id="rId118" Type="http://schemas.openxmlformats.org/officeDocument/2006/relationships/hyperlink" Target="https://doi.org/10.1136/bmjopen-2021-050038" TargetMode="External"/><Relationship Id="rId80" Type="http://schemas.openxmlformats.org/officeDocument/2006/relationships/hyperlink" Target="https://www.legislation.gov.uk/id/ukpga/2012/7" TargetMode="External"/><Relationship Id="rId85" Type="http://schemas.openxmlformats.org/officeDocument/2006/relationships/hyperlink" Target="https://doi.org/10.1136/bmjopen-2022-064981" TargetMode="External"/><Relationship Id="rId12" Type="http://schemas.openxmlformats.org/officeDocument/2006/relationships/header" Target="header1.xml"/><Relationship Id="rId17" Type="http://schemas.openxmlformats.org/officeDocument/2006/relationships/diagramData" Target="diagrams/data1.xml"/><Relationship Id="rId33" Type="http://schemas.openxmlformats.org/officeDocument/2006/relationships/hyperlink" Target="https://doi.org/10.1136/postgradmedj-2012-130881" TargetMode="External"/><Relationship Id="rId38" Type="http://schemas.openxmlformats.org/officeDocument/2006/relationships/hyperlink" Target="https://doi.org/10.21428/8c225f6e.a48744da" TargetMode="External"/><Relationship Id="rId59" Type="http://schemas.openxmlformats.org/officeDocument/2006/relationships/hyperlink" Target="https://doi.org/10.1080/21670811.2022.2148549" TargetMode="External"/><Relationship Id="rId103" Type="http://schemas.openxmlformats.org/officeDocument/2006/relationships/hyperlink" Target="https://doi.org/10.1108/pr-04-2025-0387" TargetMode="External"/><Relationship Id="rId108" Type="http://schemas.openxmlformats.org/officeDocument/2006/relationships/hyperlink" Target="https://doi.org/10.2196/70726" TargetMode="External"/><Relationship Id="rId124" Type="http://schemas.openxmlformats.org/officeDocument/2006/relationships/hyperlink" Target="https://doi.org/10.1186/s12909-023-04275-4" TargetMode="External"/><Relationship Id="rId54" Type="http://schemas.openxmlformats.org/officeDocument/2006/relationships/hyperlink" Target="https://doi.org/10.3390/jpm13111545" TargetMode="External"/><Relationship Id="rId70" Type="http://schemas.openxmlformats.org/officeDocument/2006/relationships/hyperlink" Target="https://doi.org/10.1186/s12909-025-07745-z" TargetMode="External"/><Relationship Id="rId75" Type="http://schemas.openxmlformats.org/officeDocument/2006/relationships/hyperlink" Target="https://doi.org/10.1186/s12913-025-13917-w" TargetMode="External"/><Relationship Id="rId91" Type="http://schemas.openxmlformats.org/officeDocument/2006/relationships/hyperlink" Target="https://doi.org/10.1177/2382120519840332" TargetMode="External"/><Relationship Id="rId96" Type="http://schemas.openxmlformats.org/officeDocument/2006/relationships/hyperlink" Target="https://committees.parliament.uk/writtenevidence/113067/pdf/"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accipio.com/case-studies/department-of-health-and-social-care/" TargetMode="External"/><Relationship Id="rId28" Type="http://schemas.openxmlformats.org/officeDocument/2006/relationships/hyperlink" Target="https://doi.org/10.1016/j.is.2023.102231" TargetMode="External"/><Relationship Id="rId49" Type="http://schemas.openxmlformats.org/officeDocument/2006/relationships/hyperlink" Target="https://doi.org/10.1186/s12961-022-00876-5" TargetMode="External"/><Relationship Id="rId114" Type="http://schemas.openxmlformats.org/officeDocument/2006/relationships/hyperlink" Target="https://www.thefederation.uk/sites/default/files/HEE_Report_FINAL.pdf" TargetMode="External"/><Relationship Id="rId119" Type="http://schemas.openxmlformats.org/officeDocument/2006/relationships/hyperlink" Target="https://doi.org/10.1136/bmjopen-2020-040503" TargetMode="External"/><Relationship Id="rId44" Type="http://schemas.openxmlformats.org/officeDocument/2006/relationships/hyperlink" Target="https://doi.org/10.1007/978-3-030-63135-2_11" TargetMode="External"/><Relationship Id="rId60" Type="http://schemas.openxmlformats.org/officeDocument/2006/relationships/hyperlink" Target="https://www.researchgate.net/publication/377150769_Systems_theory" TargetMode="External"/><Relationship Id="rId65" Type="http://schemas.openxmlformats.org/officeDocument/2006/relationships/hyperlink" Target="https://doi.org/10.1007/s10460-023-10525-4" TargetMode="External"/><Relationship Id="rId81" Type="http://schemas.openxmlformats.org/officeDocument/2006/relationships/hyperlink" Target="https://www.legislation.gov.uk/ukpga/2014/23/contents" TargetMode="External"/><Relationship Id="rId86" Type="http://schemas.openxmlformats.org/officeDocument/2006/relationships/hyperlink" Target="https://doi.org/10.4135/9781446200940" TargetMode="External"/><Relationship Id="rId13" Type="http://schemas.openxmlformats.org/officeDocument/2006/relationships/footer" Target="footer1.xml"/><Relationship Id="rId18" Type="http://schemas.openxmlformats.org/officeDocument/2006/relationships/diagramLayout" Target="diagrams/layout1.xml"/><Relationship Id="rId39" Type="http://schemas.openxmlformats.org/officeDocument/2006/relationships/hyperlink" Target="https://www.chelwest.nhs.uk/professionals/clinical-learning-development/simulation" TargetMode="External"/><Relationship Id="rId109" Type="http://schemas.openxmlformats.org/officeDocument/2006/relationships/hyperlink" Target="https://doi.org/10.1007/s41125-021-00073-5" TargetMode="External"/><Relationship Id="rId34" Type="http://schemas.openxmlformats.org/officeDocument/2006/relationships/hyperlink" Target="https://doi.org/10.1002/hpm.3446" TargetMode="External"/><Relationship Id="rId50" Type="http://schemas.openxmlformats.org/officeDocument/2006/relationships/hyperlink" Target="https://doi.org/10.1186/s12961-022-00876-5" TargetMode="External"/><Relationship Id="rId55" Type="http://schemas.openxmlformats.org/officeDocument/2006/relationships/hyperlink" Target="https://doi.org/10.1111/medu.14592" TargetMode="External"/><Relationship Id="rId76" Type="http://schemas.openxmlformats.org/officeDocument/2006/relationships/hyperlink" Target="https://doi.org/10.1186/s12913-025-12389-2" TargetMode="External"/><Relationship Id="rId97" Type="http://schemas.openxmlformats.org/officeDocument/2006/relationships/hyperlink" Target="https://doi.org/10.3389/bjbs.2023.11266" TargetMode="External"/><Relationship Id="rId104" Type="http://schemas.openxmlformats.org/officeDocument/2006/relationships/hyperlink" Target="https://doi.org/10.1177/16094069231184123" TargetMode="External"/><Relationship Id="rId120" Type="http://schemas.openxmlformats.org/officeDocument/2006/relationships/hyperlink" Target="https://doi.org/10.1136/bmj-2023-078997" TargetMode="External"/><Relationship Id="rId125" Type="http://schemas.openxmlformats.org/officeDocument/2006/relationships/hyperlink" Target="https://doi.org/10.3390/ijerph20054487" TargetMode="External"/><Relationship Id="rId7" Type="http://schemas.openxmlformats.org/officeDocument/2006/relationships/settings" Target="settings.xml"/><Relationship Id="rId71" Type="http://schemas.openxmlformats.org/officeDocument/2006/relationships/hyperlink" Target="https://doi.org/10.14207/ejsd.2024.v13n3p389" TargetMode="External"/><Relationship Id="rId92" Type="http://schemas.openxmlformats.org/officeDocument/2006/relationships/hyperlink" Target="https://doi.org/10.4038/tsljos.v9i1.23" TargetMode="External"/><Relationship Id="rId2" Type="http://schemas.openxmlformats.org/officeDocument/2006/relationships/customXml" Target="../customXml/item2.xml"/><Relationship Id="rId29" Type="http://schemas.openxmlformats.org/officeDocument/2006/relationships/hyperlink" Target="https://www.bma.org.uk/advice-and-support/covid-19/what-the-bma-is-doing/covid-19-impact-of-the-pandemic-on-healthcare-delivery" TargetMode="External"/><Relationship Id="rId24" Type="http://schemas.openxmlformats.org/officeDocument/2006/relationships/hyperlink" Target="https://doi.org/10.1016/j.ssaho.2023.100532" TargetMode="External"/><Relationship Id="rId40" Type="http://schemas.openxmlformats.org/officeDocument/2006/relationships/hyperlink" Target="https://doi.org/10.7861/futurehosp.3-3-211" TargetMode="External"/><Relationship Id="rId45" Type="http://schemas.openxmlformats.org/officeDocument/2006/relationships/hyperlink" Target="https://doi.org/10.2147/PRBM.S391403" TargetMode="External"/><Relationship Id="rId66" Type="http://schemas.openxmlformats.org/officeDocument/2006/relationships/hyperlink" Target="https://doi.org/10.1002/14651858.cd013582" TargetMode="External"/><Relationship Id="rId87" Type="http://schemas.openxmlformats.org/officeDocument/2006/relationships/hyperlink" Target="https://doi.org/10.1016/j.ssaho.2025.101783" TargetMode="External"/><Relationship Id="rId110" Type="http://schemas.openxmlformats.org/officeDocument/2006/relationships/hyperlink" Target="https://doi.org/10.1016/j.annemergmed.2022.01.022" TargetMode="External"/><Relationship Id="rId115" Type="http://schemas.openxmlformats.org/officeDocument/2006/relationships/hyperlink" Target="https://www.ncbi.nlm.nih.gov/pmc/articles/PMC9677014/" TargetMode="External"/><Relationship Id="rId61" Type="http://schemas.openxmlformats.org/officeDocument/2006/relationships/hyperlink" Target="https://doi.org/10.3310/ewpe7103" TargetMode="External"/><Relationship Id="rId82" Type="http://schemas.openxmlformats.org/officeDocument/2006/relationships/hyperlink" Target="https://doi.org/10.1186/s12913-022-08009-y" TargetMode="External"/><Relationship Id="rId19" Type="http://schemas.openxmlformats.org/officeDocument/2006/relationships/diagramQuickStyle" Target="diagrams/quickStyle1.xml"/><Relationship Id="rId14" Type="http://schemas.openxmlformats.org/officeDocument/2006/relationships/header" Target="header2.xml"/><Relationship Id="rId30" Type="http://schemas.openxmlformats.org/officeDocument/2006/relationships/hyperlink" Target="https://doi.org/10.1016/j.socscimed.2025.118062" TargetMode="External"/><Relationship Id="rId35" Type="http://schemas.openxmlformats.org/officeDocument/2006/relationships/hyperlink" Target="https://doi.org/10.1177/1751143720972630" TargetMode="External"/><Relationship Id="rId56" Type="http://schemas.openxmlformats.org/officeDocument/2006/relationships/hyperlink" Target="https://www.gov.uk/government/publications/health-and-social-care-act-2012-fact-sheets" TargetMode="External"/><Relationship Id="rId77" Type="http://schemas.openxmlformats.org/officeDocument/2006/relationships/hyperlink" Target="https://doi.org/10.3389/fpubh.2022.1034196" TargetMode="External"/><Relationship Id="rId100" Type="http://schemas.openxmlformats.org/officeDocument/2006/relationships/hyperlink" Target="https://doi.org/10.3390/app13148331" TargetMode="External"/><Relationship Id="rId105" Type="http://schemas.openxmlformats.org/officeDocument/2006/relationships/hyperlink" Target="https://doi.org/10.1016/j.chest.2019.07.011" TargetMode="External"/><Relationship Id="rId126" Type="http://schemas.openxmlformats.org/officeDocument/2006/relationships/hyperlink" Target="https://doi.org/10.1177/1090198113493782" TargetMode="External"/><Relationship Id="rId8" Type="http://schemas.openxmlformats.org/officeDocument/2006/relationships/webSettings" Target="webSettings.xml"/><Relationship Id="rId51" Type="http://schemas.openxmlformats.org/officeDocument/2006/relationships/hyperlink" Target="https://doi.org/10.3390/jpm12081295" TargetMode="External"/><Relationship Id="rId72" Type="http://schemas.openxmlformats.org/officeDocument/2006/relationships/hyperlink" Target="https://doi.org/10.1186/s12873-024-01079-7" TargetMode="External"/><Relationship Id="rId93" Type="http://schemas.openxmlformats.org/officeDocument/2006/relationships/hyperlink" Target="https://www.hee.nhs.uk/our-work/infection-management-hee" TargetMode="External"/><Relationship Id="rId98" Type="http://schemas.openxmlformats.org/officeDocument/2006/relationships/hyperlink" Target="https://doi.org/10.3390/nursrep13040142" TargetMode="External"/><Relationship Id="rId121" Type="http://schemas.openxmlformats.org/officeDocument/2006/relationships/hyperlink" Target="https://www.who.int/teams/mental-health-and-substance-use/treatment-care/equip-ensuring-quality-in-psychological-support" TargetMode="External"/><Relationship Id="rId3" Type="http://schemas.openxmlformats.org/officeDocument/2006/relationships/customXml" Target="../customXml/item3.xml"/><Relationship Id="rId25" Type="http://schemas.openxmlformats.org/officeDocument/2006/relationships/hyperlink" Target="https://doi.org/10.1016/j.ssaho.2023.100532" TargetMode="External"/><Relationship Id="rId46" Type="http://schemas.openxmlformats.org/officeDocument/2006/relationships/hyperlink" Target="https://doi.org/10.1186/s12913-023-09839-0" TargetMode="External"/><Relationship Id="rId67" Type="http://schemas.openxmlformats.org/officeDocument/2006/relationships/hyperlink" Target="https://www.researchgate.net/publication/382594147_Competency-Based_Training_Skills_Development" TargetMode="External"/><Relationship Id="rId116" Type="http://schemas.openxmlformats.org/officeDocument/2006/relationships/hyperlink" Target="https://www.ncbi.nlm.nih.gov/pmc/articles/PMC9677014/" TargetMode="External"/><Relationship Id="rId20" Type="http://schemas.openxmlformats.org/officeDocument/2006/relationships/diagramColors" Target="diagrams/colors1.xml"/><Relationship Id="rId41" Type="http://schemas.openxmlformats.org/officeDocument/2006/relationships/hyperlink" Target="https://doi.org/10.1080/17439760.2016.1262613" TargetMode="External"/><Relationship Id="rId62" Type="http://schemas.openxmlformats.org/officeDocument/2006/relationships/hyperlink" Target="https://doi.org/10.3390/ijerph18179065" TargetMode="External"/><Relationship Id="rId83" Type="http://schemas.openxmlformats.org/officeDocument/2006/relationships/hyperlink" Target="https://doi.org/10.3389/fpubh.2025.1702059" TargetMode="External"/><Relationship Id="rId88" Type="http://schemas.openxmlformats.org/officeDocument/2006/relationships/hyperlink" Target="https://doi.org/10.1111/jan.15360" TargetMode="External"/><Relationship Id="rId111" Type="http://schemas.openxmlformats.org/officeDocument/2006/relationships/hyperlink" Target="https://doi.org/10.1590/0102-311x00116321" TargetMode="External"/><Relationship Id="rId15" Type="http://schemas.openxmlformats.org/officeDocument/2006/relationships/image" Target="media/image2.png"/><Relationship Id="rId36" Type="http://schemas.openxmlformats.org/officeDocument/2006/relationships/hyperlink" Target="https://doi.org/10.1177/1751143720972630" TargetMode="External"/><Relationship Id="rId57" Type="http://schemas.openxmlformats.org/officeDocument/2006/relationships/hyperlink" Target="https://www.legislation.gov.uk/id/ukpga/2014/23" TargetMode="External"/><Relationship Id="rId106" Type="http://schemas.openxmlformats.org/officeDocument/2006/relationships/hyperlink" Target="https://doi.org/10.47176/mjiri.36.3" TargetMode="External"/><Relationship Id="rId12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doi.org/10.3390/healthcare11212902" TargetMode="External"/><Relationship Id="rId52" Type="http://schemas.openxmlformats.org/officeDocument/2006/relationships/hyperlink" Target="https://www.gmc-uk.org/" TargetMode="External"/><Relationship Id="rId73" Type="http://schemas.openxmlformats.org/officeDocument/2006/relationships/hyperlink" Target="https://doi.org/10.1016/j.jtumed.2021.05.012" TargetMode="External"/><Relationship Id="rId78" Type="http://schemas.openxmlformats.org/officeDocument/2006/relationships/hyperlink" Target="https://doi.org/10.3390/ijerph22040479" TargetMode="External"/><Relationship Id="rId94" Type="http://schemas.openxmlformats.org/officeDocument/2006/relationships/hyperlink" Target="https://www.england.nhs.uk/wp-content/uploads/2020/07/We-Are-The-NHS-Action-For-All-Of-Us-FINAL-March-21.pdf" TargetMode="External"/><Relationship Id="rId99" Type="http://schemas.openxmlformats.org/officeDocument/2006/relationships/hyperlink" Target="https://doi.org/10.1089/apb.2022.0017" TargetMode="External"/><Relationship Id="rId101" Type="http://schemas.openxmlformats.org/officeDocument/2006/relationships/hyperlink" Target="https://doi.org/10.3390/su16145950" TargetMode="External"/><Relationship Id="rId122" Type="http://schemas.openxmlformats.org/officeDocument/2006/relationships/hyperlink" Target="https://openwho.org/"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3" qsCatId="simple" csTypeId="urn:microsoft.com/office/officeart/2005/8/colors/colorful4" csCatId="colorful"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gn="just">
            <a:lnSpc>
              <a:spcPct val="150000"/>
            </a:lnSpc>
          </a:pPr>
          <a:r>
            <a:rPr lang="en-IN" b="0" i="0" u="none">
              <a:latin typeface="Arial" panose="020B0604020202020204" pitchFamily="34" charset="0"/>
              <a:cs typeface="Arial" panose="020B0604020202020204" pitchFamily="34" charset="0"/>
            </a:rPr>
            <a:t>All sources will be appropriately credited by acknowledgement, and no plagiarism will be allowed.</a:t>
          </a:r>
          <a:endParaRPr lang="en-GB" dirty="0">
            <a:latin typeface="Arial" panose="020B0604020202020204" pitchFamily="34" charset="0"/>
            <a:cs typeface="Arial" panose="020B06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gn="just">
            <a:lnSpc>
              <a:spcPct val="150000"/>
            </a:lnSpc>
          </a:pPr>
          <a:r>
            <a:rPr lang="en-IN" b="0" i="0" u="none">
              <a:latin typeface="Arial" panose="020B0604020202020204" pitchFamily="34" charset="0"/>
              <a:cs typeface="Arial" panose="020B0604020202020204" pitchFamily="34" charset="0"/>
            </a:rPr>
            <a:t>Only secondary data collected publicly and available anonymously shall be employed, as a result guaranteeing that there is no disclosure of personal or identifiable information.</a:t>
          </a:r>
          <a:endParaRPr lang="en-GB">
            <a:latin typeface="Arial" panose="020B0604020202020204" pitchFamily="34" charset="0"/>
            <a:cs typeface="Arial" panose="020B06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latin typeface="Aptos" panose="020B0004020202020204" pitchFamily="34" charset="0"/>
            </a:rPr>
            <a:t>Informed Consent</a:t>
          </a:r>
          <a:endParaRPr lang="en-GB" dirty="0">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gn="just">
            <a:lnSpc>
              <a:spcPct val="150000"/>
            </a:lnSpc>
          </a:pPr>
          <a:r>
            <a:rPr lang="en-IN" b="0" i="0" u="none">
              <a:latin typeface="Arial" panose="020B0604020202020204" pitchFamily="34" charset="0"/>
              <a:cs typeface="Arial" panose="020B0604020202020204" pitchFamily="34" charset="0"/>
            </a:rPr>
            <a:t>Data is analysed sincerely without any attempt at manipulation to match the results of the original research.</a:t>
          </a:r>
          <a:endParaRPr lang="en-GB">
            <a:latin typeface="Arial" panose="020B0604020202020204" pitchFamily="34" charset="0"/>
            <a:cs typeface="Arial" panose="020B06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gn="just">
            <a:lnSpc>
              <a:spcPct val="150000"/>
            </a:lnSpc>
          </a:pPr>
          <a:r>
            <a:rPr lang="en-IN" b="0" i="0" u="none">
              <a:latin typeface="Arial" panose="020B0604020202020204" pitchFamily="34" charset="0"/>
              <a:cs typeface="Arial" panose="020B0604020202020204" pitchFamily="34" charset="0"/>
            </a:rPr>
            <a:t>The research will also be conducted in accordance with UK legislation relating to data protection.</a:t>
          </a:r>
          <a:endParaRPr lang="en-GB">
            <a:latin typeface="Arial" panose="020B0604020202020204" pitchFamily="34" charset="0"/>
            <a:cs typeface="Arial" panose="020B06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gn="just">
            <a:lnSpc>
              <a:spcPct val="150000"/>
            </a:lnSpc>
          </a:pPr>
          <a:r>
            <a:rPr lang="en-IN" b="0" i="0" u="none">
              <a:latin typeface="Arial" panose="020B0604020202020204" pitchFamily="34" charset="0"/>
              <a:cs typeface="Arial" panose="020B0604020202020204" pitchFamily="34" charset="0"/>
            </a:rPr>
            <a:t>Informed consent is not necessary as it is secondary data collected from existing literature.</a:t>
          </a:r>
          <a:endParaRPr lang="en-GB">
            <a:latin typeface="Arial" panose="020B0604020202020204" pitchFamily="34" charset="0"/>
            <a:cs typeface="Arial" panose="020B0604020202020204" pitchFamily="34" charset="0"/>
          </a:endParaRP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420A31B8-5091-4B6D-AB64-4F06820F8FAD}">
      <dgm:prSet/>
      <dgm:spPr/>
      <dgm:t>
        <a:bodyPr/>
        <a:lstStyle/>
        <a:p>
          <a:pPr algn="l"/>
          <a:endParaRPr lang="en-IN">
            <a:latin typeface="Arial" panose="020B0604020202020204" pitchFamily="34" charset="0"/>
            <a:cs typeface="Arial" panose="020B0604020202020204" pitchFamily="34" charset="0"/>
          </a:endParaRPr>
        </a:p>
      </dgm:t>
    </dgm:pt>
    <dgm:pt modelId="{6911C91D-29E7-4A8E-A62F-0249DA26887E}" type="parTrans" cxnId="{F372BC9B-C265-4731-A96A-46FCBCB5ADE9}">
      <dgm:prSet/>
      <dgm:spPr/>
      <dgm:t>
        <a:bodyPr/>
        <a:lstStyle/>
        <a:p>
          <a:endParaRPr lang="en-IN"/>
        </a:p>
      </dgm:t>
    </dgm:pt>
    <dgm:pt modelId="{E4280B2B-AE75-40D7-AD58-82777DA7BF3B}" type="sibTrans" cxnId="{F372BC9B-C265-4731-A96A-46FCBCB5ADE9}">
      <dgm:prSet/>
      <dgm:spPr/>
      <dgm:t>
        <a:bodyPr/>
        <a:lstStyle/>
        <a:p>
          <a:endParaRPr lang="en-IN"/>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63DB4D3F-B4E5-4E7C-A419-559742E09C4D}" type="presOf" srcId="{31ECEDD7-80EF-414B-BE50-B610D566367B}" destId="{B4F89DDA-DC7D-4C4E-967D-E22B07A05DB1}" srcOrd="0" destOrd="0" presId="urn:microsoft.com/office/officeart/2005/8/layout/hList1"/>
    <dgm:cxn modelId="{A9CF1C46-CDCB-419F-86AD-3D6E9E137E3E}" type="presOf" srcId="{D2F35989-0D76-4707-8851-E95507DAC780}" destId="{0F07604D-46A6-4ADA-B996-B9E43A897BA8}" srcOrd="0" destOrd="0" presId="urn:microsoft.com/office/officeart/2005/8/layout/hList1"/>
    <dgm:cxn modelId="{E1287667-0158-478E-BEBB-098FB14FD15C}" type="presOf" srcId="{DED7677A-A811-4E99-A359-AF267F66CB3B}" destId="{4B0BA49E-53FB-4A48-8A53-1DCC68267D3A}"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2C35E268-E81A-4DB9-A0FE-7093A47A8FA9}" type="presOf" srcId="{DD8DD7F7-557F-4529-952E-996BE575A6CC}" destId="{0916EB88-9427-4C81-A0D0-B1BC4D25BFB9}" srcOrd="0" destOrd="0" presId="urn:microsoft.com/office/officeart/2005/8/layout/hList1"/>
    <dgm:cxn modelId="{81E8ED4A-9C61-4261-A97E-A8FB2B721822}" srcId="{7634D104-7D93-4DC9-AA78-CFDC22EB2B7D}" destId="{DED7677A-A811-4E99-A359-AF267F66CB3B}" srcOrd="3" destOrd="0" parTransId="{F38EF5EE-50CB-434C-B7C2-9D5B46BCDA7A}" sibTransId="{9F4A521B-0AB9-4C49-8D3E-A4522CDAC745}"/>
    <dgm:cxn modelId="{400E3570-DFBB-4D2C-B276-1D59091C271D}" type="presOf" srcId="{5674B894-A55E-4559-8EA7-028C3F32E4B2}" destId="{594F44BC-596E-4978-9BF4-2F7DCCF10A7F}"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5D605756-3404-4E79-95EC-028E24814336}" type="presOf" srcId="{7D9AB477-3831-4B66-903C-51888FAB2EF1}" destId="{0426731F-8A3C-42F1-804E-8F6D7BF28D02}" srcOrd="0" destOrd="0" presId="urn:microsoft.com/office/officeart/2005/8/layout/hList1"/>
    <dgm:cxn modelId="{DDAA2077-3A00-470B-936E-8E72D9E1EF82}" type="presOf" srcId="{F5AC5549-675B-444B-905D-2F1D9FDC1779}" destId="{527B8B4B-D6E7-4EB7-86F6-6A7D2579D756}"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303DFF5A-C0A4-442F-87C5-E5CE7D2F0A02}" type="presOf" srcId="{7634D104-7D93-4DC9-AA78-CFDC22EB2B7D}" destId="{15D7D02F-9806-4A7F-A42D-FE7E83343FED}" srcOrd="0" destOrd="0" presId="urn:microsoft.com/office/officeart/2005/8/layout/hList1"/>
    <dgm:cxn modelId="{7B9CB682-0DC9-4815-951A-E787AB7CD2FE}" srcId="{5674B894-A55E-4559-8EA7-028C3F32E4B2}" destId="{31ECEDD7-80EF-414B-BE50-B610D566367B}" srcOrd="0" destOrd="0" parTransId="{20439AF7-F994-4596-8154-7958604637F8}" sibTransId="{BAE7B1D5-018D-43C6-93C5-0E28100285E0}"/>
    <dgm:cxn modelId="{7F42E785-1B30-46D8-9CF3-305887E685C6}" type="presOf" srcId="{420A31B8-5091-4B6D-AB64-4F06820F8FAD}" destId="{B4F89DDA-DC7D-4C4E-967D-E22B07A05DB1}" srcOrd="0" destOrd="1" presId="urn:microsoft.com/office/officeart/2005/8/layout/hList1"/>
    <dgm:cxn modelId="{6A1BDB8A-4B4C-43C2-BC4B-0DF09DE0AF01}" type="presOf" srcId="{B8AA4B07-C565-4CCF-9950-02D7DCC3515C}" destId="{D9C43641-36D4-43D5-A2FD-0F9F6D2C43BC}" srcOrd="0" destOrd="0" presId="urn:microsoft.com/office/officeart/2005/8/layout/hList1"/>
    <dgm:cxn modelId="{F372BC9B-C265-4731-A96A-46FCBCB5ADE9}" srcId="{5674B894-A55E-4559-8EA7-028C3F32E4B2}" destId="{420A31B8-5091-4B6D-AB64-4F06820F8FAD}" srcOrd="1" destOrd="0" parTransId="{6911C91D-29E7-4A8E-A62F-0249DA26887E}" sibTransId="{E4280B2B-AE75-40D7-AD58-82777DA7BF3B}"/>
    <dgm:cxn modelId="{CA8009B7-F8AC-4B61-AB77-708DE133E4A9}" type="presOf" srcId="{D0F2A51A-8617-4842-9A50-755676DCD3DD}" destId="{3FAC58C7-563C-4DE2-B8E2-03C2F5DF4A75}"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C199E3EE-2D20-471A-8A2C-9E5CED183F13}" type="presOf" srcId="{D895BCAF-11FD-4161-9460-71155FF594D5}" destId="{5E4A68E9-45A9-433C-B39E-FA98BC5055EA}"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088E3975-A974-4EB9-9D53-95CE509616E2}" type="presParOf" srcId="{15D7D02F-9806-4A7F-A42D-FE7E83343FED}" destId="{060EE54F-9EBC-4508-90E0-A71D8106BA41}" srcOrd="0" destOrd="0" presId="urn:microsoft.com/office/officeart/2005/8/layout/hList1"/>
    <dgm:cxn modelId="{10214EBD-E181-44E7-AC3F-E901752A81FA}" type="presParOf" srcId="{060EE54F-9EBC-4508-90E0-A71D8106BA41}" destId="{5E4A68E9-45A9-433C-B39E-FA98BC5055EA}" srcOrd="0" destOrd="0" presId="urn:microsoft.com/office/officeart/2005/8/layout/hList1"/>
    <dgm:cxn modelId="{E6AECA9D-2CBB-49D9-ABAA-5DFFEB6095C4}" type="presParOf" srcId="{060EE54F-9EBC-4508-90E0-A71D8106BA41}" destId="{0916EB88-9427-4C81-A0D0-B1BC4D25BFB9}" srcOrd="1" destOrd="0" presId="urn:microsoft.com/office/officeart/2005/8/layout/hList1"/>
    <dgm:cxn modelId="{DBC68FAC-6001-4C9F-898F-78EFA2411B26}" type="presParOf" srcId="{15D7D02F-9806-4A7F-A42D-FE7E83343FED}" destId="{5A8A88A5-B4F4-47DC-BABC-220E75C6B14E}" srcOrd="1" destOrd="0" presId="urn:microsoft.com/office/officeart/2005/8/layout/hList1"/>
    <dgm:cxn modelId="{294B76F4-AE48-4FDB-80AF-A8D846D02FEE}" type="presParOf" srcId="{15D7D02F-9806-4A7F-A42D-FE7E83343FED}" destId="{ABE7DA82-7937-4173-A683-867FD7F4045F}" srcOrd="2" destOrd="0" presId="urn:microsoft.com/office/officeart/2005/8/layout/hList1"/>
    <dgm:cxn modelId="{D04178CA-BE8E-4F5E-9542-244E02539CE2}" type="presParOf" srcId="{ABE7DA82-7937-4173-A683-867FD7F4045F}" destId="{0F07604D-46A6-4ADA-B996-B9E43A897BA8}" srcOrd="0" destOrd="0" presId="urn:microsoft.com/office/officeart/2005/8/layout/hList1"/>
    <dgm:cxn modelId="{B251A61D-B677-4C02-99DC-804BD61A636B}" type="presParOf" srcId="{ABE7DA82-7937-4173-A683-867FD7F4045F}" destId="{D9C43641-36D4-43D5-A2FD-0F9F6D2C43BC}" srcOrd="1" destOrd="0" presId="urn:microsoft.com/office/officeart/2005/8/layout/hList1"/>
    <dgm:cxn modelId="{115F9726-8710-4FA1-89C4-BCE2C4CA7B33}" type="presParOf" srcId="{15D7D02F-9806-4A7F-A42D-FE7E83343FED}" destId="{8D77E0EF-A152-4EF7-A7FC-CC6FAF7F6B43}" srcOrd="3" destOrd="0" presId="urn:microsoft.com/office/officeart/2005/8/layout/hList1"/>
    <dgm:cxn modelId="{6CCB3700-622F-477E-AD75-D1C19F5745F6}" type="presParOf" srcId="{15D7D02F-9806-4A7F-A42D-FE7E83343FED}" destId="{D3157F63-FA9E-47B4-8FF4-EE6DAC4A8479}" srcOrd="4" destOrd="0" presId="urn:microsoft.com/office/officeart/2005/8/layout/hList1"/>
    <dgm:cxn modelId="{029ABDA2-8B58-454F-AFED-F6C60F9A3FD2}" type="presParOf" srcId="{D3157F63-FA9E-47B4-8FF4-EE6DAC4A8479}" destId="{594F44BC-596E-4978-9BF4-2F7DCCF10A7F}" srcOrd="0" destOrd="0" presId="urn:microsoft.com/office/officeart/2005/8/layout/hList1"/>
    <dgm:cxn modelId="{12C1030A-D95E-4B33-8114-15622703D1F9}" type="presParOf" srcId="{D3157F63-FA9E-47B4-8FF4-EE6DAC4A8479}" destId="{B4F89DDA-DC7D-4C4E-967D-E22B07A05DB1}" srcOrd="1" destOrd="0" presId="urn:microsoft.com/office/officeart/2005/8/layout/hList1"/>
    <dgm:cxn modelId="{5B4BA87E-A8CA-43AB-AD97-7764A09FBE1E}" type="presParOf" srcId="{15D7D02F-9806-4A7F-A42D-FE7E83343FED}" destId="{3A60D635-F235-4B71-8993-A550528BFBFB}" srcOrd="5" destOrd="0" presId="urn:microsoft.com/office/officeart/2005/8/layout/hList1"/>
    <dgm:cxn modelId="{B0F5AC8E-BA7E-4506-BC16-AFFF727FF844}" type="presParOf" srcId="{15D7D02F-9806-4A7F-A42D-FE7E83343FED}" destId="{F2A85F99-7F33-46A4-9E84-7525455EC96E}" srcOrd="6" destOrd="0" presId="urn:microsoft.com/office/officeart/2005/8/layout/hList1"/>
    <dgm:cxn modelId="{739E6931-493D-4E41-9864-2CA9A368330D}" type="presParOf" srcId="{F2A85F99-7F33-46A4-9E84-7525455EC96E}" destId="{4B0BA49E-53FB-4A48-8A53-1DCC68267D3A}" srcOrd="0" destOrd="0" presId="urn:microsoft.com/office/officeart/2005/8/layout/hList1"/>
    <dgm:cxn modelId="{711E1AA5-6D0C-44E7-8E89-2776BD48395F}" type="presParOf" srcId="{F2A85F99-7F33-46A4-9E84-7525455EC96E}" destId="{0426731F-8A3C-42F1-804E-8F6D7BF28D02}" srcOrd="1" destOrd="0" presId="urn:microsoft.com/office/officeart/2005/8/layout/hList1"/>
    <dgm:cxn modelId="{55891C11-4516-4384-BBDC-93F1D92F38DE}" type="presParOf" srcId="{15D7D02F-9806-4A7F-A42D-FE7E83343FED}" destId="{D9831088-02B0-4486-B332-594DEF4AFDB7}" srcOrd="7" destOrd="0" presId="urn:microsoft.com/office/officeart/2005/8/layout/hList1"/>
    <dgm:cxn modelId="{B65F234D-C2E7-407B-A30E-341986C8FC8B}" type="presParOf" srcId="{15D7D02F-9806-4A7F-A42D-FE7E83343FED}" destId="{25E0243E-9C63-48E2-BDA9-959F204AC029}" srcOrd="8" destOrd="0" presId="urn:microsoft.com/office/officeart/2005/8/layout/hList1"/>
    <dgm:cxn modelId="{3DC1596B-7D6A-4B24-BF56-0642FB9DB14A}" type="presParOf" srcId="{25E0243E-9C63-48E2-BDA9-959F204AC029}" destId="{527B8B4B-D6E7-4EB7-86F6-6A7D2579D756}" srcOrd="0" destOrd="0" presId="urn:microsoft.com/office/officeart/2005/8/layout/hList1"/>
    <dgm:cxn modelId="{B8322CA3-B6A8-4021-9EB5-D99728F770D3}"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75277"/>
          <a:ext cx="1596851" cy="472691"/>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w="6350" cap="flat" cmpd="sng" algn="ctr">
          <a:solidFill>
            <a:schemeClr val="accent4">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Respect for Intellectual Property:</a:t>
          </a:r>
          <a:endParaRPr lang="en-GB" sz="900" kern="1200">
            <a:latin typeface="Aptos" panose="020B0004020202020204" pitchFamily="34" charset="0"/>
          </a:endParaRPr>
        </a:p>
      </dsp:txBody>
      <dsp:txXfrm>
        <a:off x="4165" y="75277"/>
        <a:ext cx="1596851" cy="472691"/>
      </dsp:txXfrm>
    </dsp:sp>
    <dsp:sp modelId="{0916EB88-9427-4C81-A0D0-B1BC4D25BFB9}">
      <dsp:nvSpPr>
        <dsp:cNvPr id="0" name=""/>
        <dsp:cNvSpPr/>
      </dsp:nvSpPr>
      <dsp:spPr>
        <a:xfrm>
          <a:off x="4165" y="547968"/>
          <a:ext cx="1596851" cy="1500828"/>
        </a:xfrm>
        <a:prstGeom prst="rect">
          <a:avLst/>
        </a:prstGeom>
        <a:solidFill>
          <a:schemeClr val="accent4">
            <a:tint val="40000"/>
            <a:alpha val="90000"/>
            <a:hueOff val="0"/>
            <a:satOff val="0"/>
            <a:lumOff val="0"/>
            <a:alphaOff val="0"/>
          </a:schemeClr>
        </a:solidFill>
        <a:ln w="6350" cap="flat" cmpd="sng" algn="ctr">
          <a:solidFill>
            <a:schemeClr val="accent4">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just" defTabSz="400050">
            <a:lnSpc>
              <a:spcPct val="150000"/>
            </a:lnSpc>
            <a:spcBef>
              <a:spcPct val="0"/>
            </a:spcBef>
            <a:spcAft>
              <a:spcPct val="15000"/>
            </a:spcAft>
            <a:buChar char="•"/>
          </a:pPr>
          <a:r>
            <a:rPr lang="en-IN" sz="900" b="0" i="0" u="none" kern="1200">
              <a:latin typeface="Arial" panose="020B0604020202020204" pitchFamily="34" charset="0"/>
              <a:cs typeface="Arial" panose="020B0604020202020204" pitchFamily="34" charset="0"/>
            </a:rPr>
            <a:t>All sources will be appropriately credited by acknowledgement, and no plagiarism will be allowed.</a:t>
          </a:r>
          <a:endParaRPr lang="en-GB" sz="900" kern="1200" dirty="0">
            <a:latin typeface="Arial" panose="020B0604020202020204" pitchFamily="34" charset="0"/>
            <a:cs typeface="Arial" panose="020B0604020202020204" pitchFamily="34" charset="0"/>
          </a:endParaRPr>
        </a:p>
      </dsp:txBody>
      <dsp:txXfrm>
        <a:off x="4165" y="547968"/>
        <a:ext cx="1596851" cy="1500828"/>
      </dsp:txXfrm>
    </dsp:sp>
    <dsp:sp modelId="{0F07604D-46A6-4ADA-B996-B9E43A897BA8}">
      <dsp:nvSpPr>
        <dsp:cNvPr id="0" name=""/>
        <dsp:cNvSpPr/>
      </dsp:nvSpPr>
      <dsp:spPr>
        <a:xfrm>
          <a:off x="1824576" y="75277"/>
          <a:ext cx="1596851" cy="472691"/>
        </a:xfrm>
        <a:prstGeom prst="rect">
          <a:avLst/>
        </a:prstGeom>
        <a:gradFill rotWithShape="0">
          <a:gsLst>
            <a:gs pos="0">
              <a:schemeClr val="accent4">
                <a:hueOff val="2450223"/>
                <a:satOff val="-10194"/>
                <a:lumOff val="2402"/>
                <a:alphaOff val="0"/>
                <a:lumMod val="110000"/>
                <a:satMod val="105000"/>
                <a:tint val="67000"/>
              </a:schemeClr>
            </a:gs>
            <a:gs pos="50000">
              <a:schemeClr val="accent4">
                <a:hueOff val="2450223"/>
                <a:satOff val="-10194"/>
                <a:lumOff val="2402"/>
                <a:alphaOff val="0"/>
                <a:lumMod val="105000"/>
                <a:satMod val="103000"/>
                <a:tint val="73000"/>
              </a:schemeClr>
            </a:gs>
            <a:gs pos="100000">
              <a:schemeClr val="accent4">
                <a:hueOff val="2450223"/>
                <a:satOff val="-10194"/>
                <a:lumOff val="2402"/>
                <a:alphaOff val="0"/>
                <a:lumMod val="105000"/>
                <a:satMod val="109000"/>
                <a:tint val="81000"/>
              </a:schemeClr>
            </a:gs>
          </a:gsLst>
          <a:lin ang="5400000" scaled="0"/>
        </a:gradFill>
        <a:ln w="6350" cap="flat" cmpd="sng" algn="ctr">
          <a:solidFill>
            <a:schemeClr val="accent4">
              <a:hueOff val="2450223"/>
              <a:satOff val="-10194"/>
              <a:lumOff val="2402"/>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Privacy and Confidentiality:</a:t>
          </a:r>
          <a:endParaRPr lang="en-GB" sz="900" kern="1200">
            <a:latin typeface="Aptos" panose="020B0004020202020204" pitchFamily="34" charset="0"/>
          </a:endParaRPr>
        </a:p>
      </dsp:txBody>
      <dsp:txXfrm>
        <a:off x="1824576" y="75277"/>
        <a:ext cx="1596851" cy="472691"/>
      </dsp:txXfrm>
    </dsp:sp>
    <dsp:sp modelId="{D9C43641-36D4-43D5-A2FD-0F9F6D2C43BC}">
      <dsp:nvSpPr>
        <dsp:cNvPr id="0" name=""/>
        <dsp:cNvSpPr/>
      </dsp:nvSpPr>
      <dsp:spPr>
        <a:xfrm>
          <a:off x="1824576" y="547968"/>
          <a:ext cx="1596851" cy="1500828"/>
        </a:xfrm>
        <a:prstGeom prst="rect">
          <a:avLst/>
        </a:prstGeom>
        <a:solidFill>
          <a:schemeClr val="accent4">
            <a:tint val="40000"/>
            <a:alpha val="90000"/>
            <a:hueOff val="2715481"/>
            <a:satOff val="-12811"/>
            <a:lumOff val="-463"/>
            <a:alphaOff val="0"/>
          </a:schemeClr>
        </a:solidFill>
        <a:ln w="6350" cap="flat" cmpd="sng" algn="ctr">
          <a:solidFill>
            <a:schemeClr val="accent4">
              <a:tint val="40000"/>
              <a:alpha val="90000"/>
              <a:hueOff val="2715481"/>
              <a:satOff val="-12811"/>
              <a:lumOff val="-463"/>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just" defTabSz="400050">
            <a:lnSpc>
              <a:spcPct val="150000"/>
            </a:lnSpc>
            <a:spcBef>
              <a:spcPct val="0"/>
            </a:spcBef>
            <a:spcAft>
              <a:spcPct val="15000"/>
            </a:spcAft>
            <a:buChar char="•"/>
          </a:pPr>
          <a:r>
            <a:rPr lang="en-IN" sz="900" b="0" i="0" u="none" kern="1200">
              <a:latin typeface="Arial" panose="020B0604020202020204" pitchFamily="34" charset="0"/>
              <a:cs typeface="Arial" panose="020B0604020202020204" pitchFamily="34" charset="0"/>
            </a:rPr>
            <a:t>Only secondary data collected publicly and available anonymously shall be employed, as a result guaranteeing that there is no disclosure of personal or identifiable information.</a:t>
          </a:r>
          <a:endParaRPr lang="en-GB" sz="900" kern="1200">
            <a:latin typeface="Arial" panose="020B0604020202020204" pitchFamily="34" charset="0"/>
            <a:cs typeface="Arial" panose="020B0604020202020204" pitchFamily="34" charset="0"/>
          </a:endParaRPr>
        </a:p>
      </dsp:txBody>
      <dsp:txXfrm>
        <a:off x="1824576" y="547968"/>
        <a:ext cx="1596851" cy="1500828"/>
      </dsp:txXfrm>
    </dsp:sp>
    <dsp:sp modelId="{594F44BC-596E-4978-9BF4-2F7DCCF10A7F}">
      <dsp:nvSpPr>
        <dsp:cNvPr id="0" name=""/>
        <dsp:cNvSpPr/>
      </dsp:nvSpPr>
      <dsp:spPr>
        <a:xfrm>
          <a:off x="3644986" y="75277"/>
          <a:ext cx="1596851" cy="472691"/>
        </a:xfrm>
        <a:prstGeom prst="rect">
          <a:avLst/>
        </a:prstGeom>
        <a:gradFill rotWithShape="0">
          <a:gsLst>
            <a:gs pos="0">
              <a:schemeClr val="accent4">
                <a:hueOff val="4900445"/>
                <a:satOff val="-20388"/>
                <a:lumOff val="4804"/>
                <a:alphaOff val="0"/>
                <a:lumMod val="110000"/>
                <a:satMod val="105000"/>
                <a:tint val="67000"/>
              </a:schemeClr>
            </a:gs>
            <a:gs pos="50000">
              <a:schemeClr val="accent4">
                <a:hueOff val="4900445"/>
                <a:satOff val="-20388"/>
                <a:lumOff val="4804"/>
                <a:alphaOff val="0"/>
                <a:lumMod val="105000"/>
                <a:satMod val="103000"/>
                <a:tint val="73000"/>
              </a:schemeClr>
            </a:gs>
            <a:gs pos="100000">
              <a:schemeClr val="accent4">
                <a:hueOff val="4900445"/>
                <a:satOff val="-20388"/>
                <a:lumOff val="4804"/>
                <a:alphaOff val="0"/>
                <a:lumMod val="105000"/>
                <a:satMod val="109000"/>
                <a:tint val="81000"/>
              </a:schemeClr>
            </a:gs>
          </a:gsLst>
          <a:lin ang="5400000" scaled="0"/>
        </a:gradFill>
        <a:ln w="6350" cap="flat" cmpd="sng" algn="ctr">
          <a:solidFill>
            <a:schemeClr val="accent4">
              <a:hueOff val="4900445"/>
              <a:satOff val="-20388"/>
              <a:lumOff val="4804"/>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Data Integrity and Reliability:</a:t>
          </a:r>
          <a:r>
            <a:rPr lang="en-GB" sz="900" kern="1200">
              <a:latin typeface="Aptos" panose="020B0004020202020204" pitchFamily="34" charset="0"/>
            </a:rPr>
            <a:t> </a:t>
          </a:r>
        </a:p>
      </dsp:txBody>
      <dsp:txXfrm>
        <a:off x="3644986" y="75277"/>
        <a:ext cx="1596851" cy="472691"/>
      </dsp:txXfrm>
    </dsp:sp>
    <dsp:sp modelId="{B4F89DDA-DC7D-4C4E-967D-E22B07A05DB1}">
      <dsp:nvSpPr>
        <dsp:cNvPr id="0" name=""/>
        <dsp:cNvSpPr/>
      </dsp:nvSpPr>
      <dsp:spPr>
        <a:xfrm>
          <a:off x="3644986" y="547968"/>
          <a:ext cx="1596851" cy="1500828"/>
        </a:xfrm>
        <a:prstGeom prst="rect">
          <a:avLst/>
        </a:prstGeom>
        <a:solidFill>
          <a:schemeClr val="accent4">
            <a:tint val="40000"/>
            <a:alpha val="90000"/>
            <a:hueOff val="5430963"/>
            <a:satOff val="-25622"/>
            <a:lumOff val="-925"/>
            <a:alphaOff val="0"/>
          </a:schemeClr>
        </a:solidFill>
        <a:ln w="6350" cap="flat" cmpd="sng" algn="ctr">
          <a:solidFill>
            <a:schemeClr val="accent4">
              <a:tint val="40000"/>
              <a:alpha val="90000"/>
              <a:hueOff val="5430963"/>
              <a:satOff val="-25622"/>
              <a:lumOff val="-925"/>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just" defTabSz="400050">
            <a:lnSpc>
              <a:spcPct val="150000"/>
            </a:lnSpc>
            <a:spcBef>
              <a:spcPct val="0"/>
            </a:spcBef>
            <a:spcAft>
              <a:spcPct val="15000"/>
            </a:spcAft>
            <a:buChar char="•"/>
          </a:pPr>
          <a:r>
            <a:rPr lang="en-IN" sz="900" b="0" i="0" u="none" kern="1200">
              <a:latin typeface="Arial" panose="020B0604020202020204" pitchFamily="34" charset="0"/>
              <a:cs typeface="Arial" panose="020B0604020202020204" pitchFamily="34" charset="0"/>
            </a:rPr>
            <a:t>Data is analysed sincerely without any attempt at manipulation to match the results of the original research.</a:t>
          </a:r>
          <a:endParaRPr lang="en-GB" sz="900" kern="1200">
            <a:latin typeface="Arial" panose="020B0604020202020204" pitchFamily="34" charset="0"/>
            <a:cs typeface="Arial" panose="020B0604020202020204" pitchFamily="34" charset="0"/>
          </a:endParaRPr>
        </a:p>
        <a:p>
          <a:pPr marL="57150" lvl="1" indent="-57150" algn="l" defTabSz="400050">
            <a:lnSpc>
              <a:spcPct val="90000"/>
            </a:lnSpc>
            <a:spcBef>
              <a:spcPct val="0"/>
            </a:spcBef>
            <a:spcAft>
              <a:spcPct val="15000"/>
            </a:spcAft>
            <a:buChar char="•"/>
          </a:pPr>
          <a:endParaRPr lang="en-IN" sz="900" kern="1200">
            <a:latin typeface="Arial" panose="020B0604020202020204" pitchFamily="34" charset="0"/>
            <a:cs typeface="Arial" panose="020B0604020202020204" pitchFamily="34" charset="0"/>
          </a:endParaRPr>
        </a:p>
      </dsp:txBody>
      <dsp:txXfrm>
        <a:off x="3644986" y="547968"/>
        <a:ext cx="1596851" cy="1500828"/>
      </dsp:txXfrm>
    </dsp:sp>
    <dsp:sp modelId="{4B0BA49E-53FB-4A48-8A53-1DCC68267D3A}">
      <dsp:nvSpPr>
        <dsp:cNvPr id="0" name=""/>
        <dsp:cNvSpPr/>
      </dsp:nvSpPr>
      <dsp:spPr>
        <a:xfrm>
          <a:off x="5465397" y="75277"/>
          <a:ext cx="1596851" cy="472691"/>
        </a:xfrm>
        <a:prstGeom prst="rect">
          <a:avLst/>
        </a:prstGeom>
        <a:gradFill rotWithShape="0">
          <a:gsLst>
            <a:gs pos="0">
              <a:schemeClr val="accent4">
                <a:hueOff val="7350668"/>
                <a:satOff val="-30583"/>
                <a:lumOff val="7206"/>
                <a:alphaOff val="0"/>
                <a:lumMod val="110000"/>
                <a:satMod val="105000"/>
                <a:tint val="67000"/>
              </a:schemeClr>
            </a:gs>
            <a:gs pos="50000">
              <a:schemeClr val="accent4">
                <a:hueOff val="7350668"/>
                <a:satOff val="-30583"/>
                <a:lumOff val="7206"/>
                <a:alphaOff val="0"/>
                <a:lumMod val="105000"/>
                <a:satMod val="103000"/>
                <a:tint val="73000"/>
              </a:schemeClr>
            </a:gs>
            <a:gs pos="100000">
              <a:schemeClr val="accent4">
                <a:hueOff val="7350668"/>
                <a:satOff val="-30583"/>
                <a:lumOff val="7206"/>
                <a:alphaOff val="0"/>
                <a:lumMod val="105000"/>
                <a:satMod val="109000"/>
                <a:tint val="81000"/>
              </a:schemeClr>
            </a:gs>
          </a:gsLst>
          <a:lin ang="5400000" scaled="0"/>
        </a:gradFill>
        <a:ln w="6350" cap="flat" cmpd="sng" algn="ctr">
          <a:solidFill>
            <a:schemeClr val="accent4">
              <a:hueOff val="7350668"/>
              <a:satOff val="-30583"/>
              <a:lumOff val="7206"/>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Compliance with Laws and Regulations:</a:t>
          </a:r>
          <a:endParaRPr lang="en-GB" sz="900" kern="1200" dirty="0">
            <a:latin typeface="Aptos" panose="020B0004020202020204" pitchFamily="34" charset="0"/>
          </a:endParaRPr>
        </a:p>
      </dsp:txBody>
      <dsp:txXfrm>
        <a:off x="5465397" y="75277"/>
        <a:ext cx="1596851" cy="472691"/>
      </dsp:txXfrm>
    </dsp:sp>
    <dsp:sp modelId="{0426731F-8A3C-42F1-804E-8F6D7BF28D02}">
      <dsp:nvSpPr>
        <dsp:cNvPr id="0" name=""/>
        <dsp:cNvSpPr/>
      </dsp:nvSpPr>
      <dsp:spPr>
        <a:xfrm>
          <a:off x="5465397" y="547968"/>
          <a:ext cx="1596851" cy="1500828"/>
        </a:xfrm>
        <a:prstGeom prst="rect">
          <a:avLst/>
        </a:prstGeom>
        <a:solidFill>
          <a:schemeClr val="accent4">
            <a:tint val="40000"/>
            <a:alpha val="90000"/>
            <a:hueOff val="8146444"/>
            <a:satOff val="-38434"/>
            <a:lumOff val="-1388"/>
            <a:alphaOff val="0"/>
          </a:schemeClr>
        </a:solidFill>
        <a:ln w="6350" cap="flat" cmpd="sng" algn="ctr">
          <a:solidFill>
            <a:schemeClr val="accent4">
              <a:tint val="40000"/>
              <a:alpha val="90000"/>
              <a:hueOff val="8146444"/>
              <a:satOff val="-38434"/>
              <a:lumOff val="-1388"/>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just" defTabSz="400050">
            <a:lnSpc>
              <a:spcPct val="150000"/>
            </a:lnSpc>
            <a:spcBef>
              <a:spcPct val="0"/>
            </a:spcBef>
            <a:spcAft>
              <a:spcPct val="15000"/>
            </a:spcAft>
            <a:buChar char="•"/>
          </a:pPr>
          <a:r>
            <a:rPr lang="en-IN" sz="900" b="0" i="0" u="none" kern="1200">
              <a:latin typeface="Arial" panose="020B0604020202020204" pitchFamily="34" charset="0"/>
              <a:cs typeface="Arial" panose="020B0604020202020204" pitchFamily="34" charset="0"/>
            </a:rPr>
            <a:t>The research will also be conducted in accordance with UK legislation relating to data protection.</a:t>
          </a:r>
          <a:endParaRPr lang="en-GB" sz="900" kern="1200">
            <a:latin typeface="Arial" panose="020B0604020202020204" pitchFamily="34" charset="0"/>
            <a:cs typeface="Arial" panose="020B0604020202020204" pitchFamily="34" charset="0"/>
          </a:endParaRPr>
        </a:p>
      </dsp:txBody>
      <dsp:txXfrm>
        <a:off x="5465397" y="547968"/>
        <a:ext cx="1596851" cy="1500828"/>
      </dsp:txXfrm>
    </dsp:sp>
    <dsp:sp modelId="{527B8B4B-D6E7-4EB7-86F6-6A7D2579D756}">
      <dsp:nvSpPr>
        <dsp:cNvPr id="0" name=""/>
        <dsp:cNvSpPr/>
      </dsp:nvSpPr>
      <dsp:spPr>
        <a:xfrm>
          <a:off x="7285807" y="75277"/>
          <a:ext cx="1596851" cy="472691"/>
        </a:xfrm>
        <a:prstGeom prst="rect">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w="6350" cap="flat" cmpd="sng" algn="ctr">
          <a:solidFill>
            <a:schemeClr val="accent4">
              <a:hueOff val="9800891"/>
              <a:satOff val="-40777"/>
              <a:lumOff val="9608"/>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Informed Consent</a:t>
          </a:r>
          <a:endParaRPr lang="en-GB" sz="900" kern="1200" dirty="0">
            <a:latin typeface="Aptos" panose="020B0004020202020204" pitchFamily="34" charset="0"/>
          </a:endParaRPr>
        </a:p>
      </dsp:txBody>
      <dsp:txXfrm>
        <a:off x="7285807" y="75277"/>
        <a:ext cx="1596851" cy="472691"/>
      </dsp:txXfrm>
    </dsp:sp>
    <dsp:sp modelId="{3FAC58C7-563C-4DE2-B8E2-03C2F5DF4A75}">
      <dsp:nvSpPr>
        <dsp:cNvPr id="0" name=""/>
        <dsp:cNvSpPr/>
      </dsp:nvSpPr>
      <dsp:spPr>
        <a:xfrm>
          <a:off x="7285807" y="547968"/>
          <a:ext cx="1596851" cy="1500828"/>
        </a:xfrm>
        <a:prstGeom prst="rect">
          <a:avLst/>
        </a:prstGeom>
        <a:solidFill>
          <a:schemeClr val="accent4">
            <a:tint val="40000"/>
            <a:alpha val="90000"/>
            <a:hueOff val="10861925"/>
            <a:satOff val="-51245"/>
            <a:lumOff val="-1851"/>
            <a:alphaOff val="0"/>
          </a:schemeClr>
        </a:solidFill>
        <a:ln w="6350" cap="flat" cmpd="sng" algn="ctr">
          <a:solidFill>
            <a:schemeClr val="accent4">
              <a:tint val="40000"/>
              <a:alpha val="90000"/>
              <a:hueOff val="10861925"/>
              <a:satOff val="-51245"/>
              <a:lumOff val="-1851"/>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just" defTabSz="400050">
            <a:lnSpc>
              <a:spcPct val="150000"/>
            </a:lnSpc>
            <a:spcBef>
              <a:spcPct val="0"/>
            </a:spcBef>
            <a:spcAft>
              <a:spcPct val="15000"/>
            </a:spcAft>
            <a:buChar char="•"/>
          </a:pPr>
          <a:r>
            <a:rPr lang="en-IN" sz="900" b="0" i="0" u="none" kern="1200">
              <a:latin typeface="Arial" panose="020B0604020202020204" pitchFamily="34" charset="0"/>
              <a:cs typeface="Arial" panose="020B0604020202020204" pitchFamily="34" charset="0"/>
            </a:rPr>
            <a:t>Informed consent is not necessary as it is secondary data collected from existing literature.</a:t>
          </a:r>
          <a:endParaRPr lang="en-GB" sz="900" kern="1200">
            <a:latin typeface="Arial" panose="020B0604020202020204" pitchFamily="34" charset="0"/>
            <a:cs typeface="Arial" panose="020B0604020202020204" pitchFamily="34" charset="0"/>
          </a:endParaRPr>
        </a:p>
      </dsp:txBody>
      <dsp:txXfrm>
        <a:off x="7285807" y="547968"/>
        <a:ext cx="1596851" cy="1500828"/>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4E219A05-0E3A-4A08-9221-C162CEA17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63</Pages>
  <Words>17735</Words>
  <Characters>101091</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2026-06-07T12:10:00Z</dcterms:created>
  <dcterms:modified xsi:type="dcterms:W3CDTF">2026-06-11T18:30:00Z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