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8257A" w14:textId="5FA19608" w:rsidR="00CF36FB" w:rsidRPr="00CF36FB" w:rsidRDefault="00CF36FB" w:rsidP="00CF36FB">
      <w:pPr>
        <w:jc w:val="center"/>
        <w:rPr>
          <w:b/>
          <w:bCs/>
          <w:sz w:val="24"/>
          <w:szCs w:val="24"/>
          <w:u w:val="single"/>
        </w:rPr>
      </w:pPr>
      <w:r w:rsidRPr="00CF36FB">
        <w:rPr>
          <w:b/>
          <w:bCs/>
          <w:sz w:val="24"/>
          <w:szCs w:val="24"/>
          <w:u w:val="single"/>
        </w:rPr>
        <w:t>Research Methodology</w:t>
      </w:r>
    </w:p>
    <w:p w14:paraId="76249F69" w14:textId="26D55CCD" w:rsidR="00CF36FB" w:rsidRPr="000F1D06" w:rsidRDefault="00CF36FB" w:rsidP="00CF36FB">
      <w:pPr>
        <w:rPr>
          <w:b/>
          <w:bCs/>
          <w:u w:val="single"/>
        </w:rPr>
      </w:pPr>
      <w:r w:rsidRPr="000F1D06">
        <w:rPr>
          <w:b/>
          <w:bCs/>
          <w:u w:val="single"/>
        </w:rPr>
        <w:t>Introduction</w:t>
      </w:r>
    </w:p>
    <w:p w14:paraId="2B5DA7FC" w14:textId="229A6D1C" w:rsidR="00CF36FB" w:rsidRPr="00CF36FB" w:rsidRDefault="00CF36FB" w:rsidP="00CF36FB">
      <w:r w:rsidRPr="00CF36FB">
        <w:t xml:space="preserve">This chapter describes the approach taken to </w:t>
      </w:r>
      <w:proofErr w:type="gramStart"/>
      <w:r w:rsidRPr="00CF36FB">
        <w:t>look into</w:t>
      </w:r>
      <w:proofErr w:type="gramEnd"/>
      <w:r w:rsidRPr="00CF36FB">
        <w:t xml:space="preserve"> the connection between public trust in the criminal justice system and how the public views sentenc</w:t>
      </w:r>
      <w:r w:rsidR="006B755D">
        <w:t>ing</w:t>
      </w:r>
      <w:r w:rsidRPr="00CF36FB">
        <w:t xml:space="preserve">. The chapter discusses ethical issues and possible constraints, provides an overview of the data gathering and analysis procedures, and defends the selected study design. The main goal is to collect empirical data on public perceptions of sentencing decisions and </w:t>
      </w:r>
      <w:r w:rsidR="00185BB3" w:rsidRPr="00CF36FB">
        <w:t>whether</w:t>
      </w:r>
      <w:r w:rsidRPr="00CF36FB">
        <w:t xml:space="preserve"> these perceptions have a quantifiable impact on public confidence in the legal system.</w:t>
      </w:r>
    </w:p>
    <w:p w14:paraId="48947BAA" w14:textId="536313A2" w:rsidR="00CF36FB" w:rsidRPr="00CF36FB" w:rsidRDefault="00CF36FB" w:rsidP="00CF36FB">
      <w:r w:rsidRPr="00CF36FB">
        <w:t>The research addresses the following objectives:</w:t>
      </w:r>
    </w:p>
    <w:p w14:paraId="035901C7" w14:textId="77777777" w:rsidR="00CF36FB" w:rsidRPr="00CF36FB" w:rsidRDefault="00CF36FB" w:rsidP="00CF36FB">
      <w:pPr>
        <w:numPr>
          <w:ilvl w:val="0"/>
          <w:numId w:val="1"/>
        </w:numPr>
      </w:pPr>
      <w:r w:rsidRPr="00CF36FB">
        <w:t>To explore the public perception on sentencing within the courts </w:t>
      </w:r>
    </w:p>
    <w:p w14:paraId="08A5DAAE" w14:textId="77777777" w:rsidR="00CF36FB" w:rsidRPr="00CF36FB" w:rsidRDefault="00CF36FB" w:rsidP="00CF36FB">
      <w:pPr>
        <w:numPr>
          <w:ilvl w:val="0"/>
          <w:numId w:val="1"/>
        </w:numPr>
      </w:pPr>
      <w:r w:rsidRPr="00CF36FB">
        <w:t>To identity if public perception on sentencing is impacting upon community trust towards the police </w:t>
      </w:r>
    </w:p>
    <w:p w14:paraId="1CC55E5C" w14:textId="112D4F6C" w:rsidR="00CF36FB" w:rsidRPr="00CF36FB" w:rsidRDefault="00CF36FB" w:rsidP="00CF36FB">
      <w:pPr>
        <w:numPr>
          <w:ilvl w:val="0"/>
          <w:numId w:val="1"/>
        </w:numPr>
      </w:pPr>
      <w:r w:rsidRPr="00CF36FB">
        <w:t>To identify ways to improve public perception on sentencing and the link to police and their trust within. </w:t>
      </w:r>
    </w:p>
    <w:p w14:paraId="5AC1BB8C" w14:textId="77777777" w:rsidR="00CF36FB" w:rsidRPr="00CF36FB" w:rsidRDefault="00CF36FB" w:rsidP="00CF36FB">
      <w:pPr>
        <w:rPr>
          <w:b/>
          <w:bCs/>
        </w:rPr>
      </w:pPr>
      <w:r w:rsidRPr="00CF36FB">
        <w:rPr>
          <w:b/>
          <w:bCs/>
          <w:u w:val="single"/>
        </w:rPr>
        <w:t>Research Method </w:t>
      </w:r>
    </w:p>
    <w:p w14:paraId="4D39577D" w14:textId="248D17C6" w:rsidR="00CF36FB" w:rsidRPr="00CF36FB" w:rsidRDefault="00CF36FB" w:rsidP="00CF36FB">
      <w:r w:rsidRPr="00CF36FB">
        <w:t xml:space="preserve">A cross-sectional, quantitative survey design was chosen </w:t>
      </w:r>
      <w:proofErr w:type="gramStart"/>
      <w:r w:rsidRPr="00CF36FB">
        <w:t>in order to</w:t>
      </w:r>
      <w:proofErr w:type="gramEnd"/>
      <w:r w:rsidRPr="00CF36FB">
        <w:t xml:space="preserve"> capture numerical data at one particular moment in time. Large-scale views and opinions can be examined with this method, which makes statistical analysis easier to investigate trends and connections (Saunders, Lewis &amp; Thornhill, 2019). The selection of questionnaires was based on their usefulness, affordability, and capacity to reach many people with little interviewer bias. </w:t>
      </w:r>
    </w:p>
    <w:p w14:paraId="05699EE0" w14:textId="14C2BA80" w:rsidR="00CF36FB" w:rsidRPr="00CF36FB" w:rsidRDefault="00CF36FB" w:rsidP="00CF36FB">
      <w:r w:rsidRPr="00CF36FB">
        <w:t>In this essay, questionnaires are the main tool used to collect data. They are generally accepted as effective instruments for collecting information from sizeable groups, and they are particularly helpful in gauging attitudes, beliefs, and opinions (De Vaus, 2014). Additionally, the anonymity of questionnaires promotes truthful answers, especially when discussing delicate subjects like opinions on criminal justice. </w:t>
      </w:r>
    </w:p>
    <w:p w14:paraId="096E37F5" w14:textId="5C80148F" w:rsidR="00CF36FB" w:rsidRPr="00CF36FB" w:rsidRDefault="00CF36FB" w:rsidP="00CF36FB">
      <w:r w:rsidRPr="00CF36FB">
        <w:t>Questionnaires are easily accessible, and participants can complete this at a time that is suitable and comfortable for them. This will achieve the best evidence and allow the participant to complete the survey anonymously and they can share their opinion without having to worry that the reader can link it back to them. Both open-ended and closed-ended questions are used in questionnaires, which can be advantageous because it yields both quantitative and qualitative data. Whereas a closed-ended question can only be answered with a yes, no, or don't know response, an open-ended question demands additional consideration.</w:t>
      </w:r>
    </w:p>
    <w:p w14:paraId="5180F1F5" w14:textId="04A65A8A" w:rsidR="000F1D06" w:rsidRPr="00CF36FB" w:rsidRDefault="000F1D06" w:rsidP="000F1D06">
      <w:r w:rsidRPr="00CF36FB">
        <w:t>The goal of quantitative research is to explain phenomena by collecting numerical data that are analysed using mathematically based methods, in particular statistics</w:t>
      </w:r>
      <w:r w:rsidR="00690368">
        <w:t xml:space="preserve"> </w:t>
      </w:r>
      <w:r w:rsidR="00690368" w:rsidRPr="00690368">
        <w:t>(Lim, 202</w:t>
      </w:r>
      <w:r w:rsidR="00690368">
        <w:t>4)</w:t>
      </w:r>
      <w:r w:rsidRPr="00CF36FB">
        <w:t xml:space="preserve">. It uses sampling techniques and online surveys, polls, and questionnaires to collect data from current or potential clients; the results can be expressed as numerical data </w:t>
      </w:r>
      <w:r w:rsidR="00690368" w:rsidRPr="00690368">
        <w:t>(Fleetwood, 2023)</w:t>
      </w:r>
      <w:r w:rsidR="00690368">
        <w:t xml:space="preserve">. </w:t>
      </w:r>
    </w:p>
    <w:p w14:paraId="5ACF2C14" w14:textId="77777777" w:rsidR="000F1D06" w:rsidRPr="00CF36FB" w:rsidRDefault="000F1D06" w:rsidP="000F1D06">
      <w:r w:rsidRPr="00CF36FB">
        <w:t>Compared to qualitative data, information is collected from a broader population and is much more structured. This type of research reveals various attitudes, beliefs, and actions, and by comparing them, it is possible to determine the answer to the question. Results from a questionnaire will be discussed using quantitative research. Tables and graphs comparing responses to each question will be included with the data.</w:t>
      </w:r>
    </w:p>
    <w:p w14:paraId="53A70C3E" w14:textId="7C21B1B8" w:rsidR="000F1D06" w:rsidRPr="000F1D06" w:rsidRDefault="000F1D06" w:rsidP="00CF36FB">
      <w:pPr>
        <w:rPr>
          <w:b/>
          <w:bCs/>
          <w:u w:val="single"/>
        </w:rPr>
      </w:pPr>
      <w:r w:rsidRPr="000F1D06">
        <w:rPr>
          <w:b/>
          <w:bCs/>
          <w:u w:val="single"/>
        </w:rPr>
        <w:lastRenderedPageBreak/>
        <w:t>Ethical Practice</w:t>
      </w:r>
    </w:p>
    <w:p w14:paraId="37ABEFBE" w14:textId="25599053" w:rsidR="00845E61" w:rsidRDefault="000F1D06" w:rsidP="00CF36FB">
      <w:r>
        <w:t xml:space="preserve">When conducting my research, I ensured that I did not deviate away from the ethical standards required of me. </w:t>
      </w:r>
      <w:r w:rsidR="00845E61">
        <w:t>Ethical permission is necessary before any study can begin to guarantee that cany research involving human participants conforms with the demanding rules and guidelines that are in place</w:t>
      </w:r>
      <w:r w:rsidR="00690368">
        <w:t xml:space="preserve"> </w:t>
      </w:r>
      <w:r w:rsidR="00690368" w:rsidRPr="00690368">
        <w:t>(Research Ethics Committee, 2016)</w:t>
      </w:r>
      <w:r w:rsidR="00690368">
        <w:t xml:space="preserve">. </w:t>
      </w:r>
      <w:r w:rsidR="00702D71">
        <w:t xml:space="preserve">This is granted through an ethical form which is put before a committee to review and assess before the study commences. The ethical consent form detailed how the study would be carried out. This would entail questionnaires, the location of the study, who and why I am engaging certain participants, how the data is going to be stored and how confidentially is going to be maintained. It is the researcher’s duty to </w:t>
      </w:r>
      <w:r w:rsidR="00B36D6C">
        <w:t>always conduct the research with the highest integrity and transparency</w:t>
      </w:r>
      <w:r w:rsidR="00185BB3">
        <w:t xml:space="preserve"> </w:t>
      </w:r>
      <w:r w:rsidR="00185BB3" w:rsidRPr="00185BB3">
        <w:t>(Antes and Maggi, 2021)</w:t>
      </w:r>
      <w:r w:rsidR="00185BB3">
        <w:t xml:space="preserve">. </w:t>
      </w:r>
    </w:p>
    <w:p w14:paraId="77422D41" w14:textId="6D6B4BFF" w:rsidR="00702D71" w:rsidRDefault="00CF36FB" w:rsidP="00CF36FB">
      <w:r w:rsidRPr="00CF36FB">
        <w:t>Participants first received an information sheet and consent form before accessing the questionnaire through a link. Anonymity was guaranteed, and participation was entirely optional</w:t>
      </w:r>
      <w:r w:rsidR="00185BB3">
        <w:t xml:space="preserve"> </w:t>
      </w:r>
      <w:r w:rsidR="00185BB3" w:rsidRPr="00185BB3">
        <w:t>(Cleave, 2021)</w:t>
      </w:r>
      <w:r w:rsidR="00185BB3">
        <w:t xml:space="preserve">. </w:t>
      </w:r>
    </w:p>
    <w:p w14:paraId="4EBFCB29" w14:textId="33ABF360" w:rsidR="00B36D6C" w:rsidRPr="00E0559A" w:rsidRDefault="00B36D6C" w:rsidP="00CF36FB">
      <w:pPr>
        <w:rPr>
          <w:b/>
          <w:bCs/>
          <w:u w:val="single"/>
        </w:rPr>
      </w:pPr>
      <w:r w:rsidRPr="00E0559A">
        <w:rPr>
          <w:b/>
          <w:bCs/>
          <w:u w:val="single"/>
        </w:rPr>
        <w:t xml:space="preserve">Informed Consent </w:t>
      </w:r>
    </w:p>
    <w:p w14:paraId="4E24AEC2" w14:textId="77122C32" w:rsidR="00B36D6C" w:rsidRPr="00E0559A" w:rsidRDefault="00B36D6C" w:rsidP="00CF36FB">
      <w:r>
        <w:t>To ensure all ethical guidelines are adhered to, at the</w:t>
      </w:r>
      <w:r w:rsidR="00E0559A">
        <w:t xml:space="preserve"> beginning of my survey there was a disclaimer which informed participants about how their responses will be stored </w:t>
      </w:r>
      <w:r w:rsidR="00E0559A" w:rsidRPr="00E0559A">
        <w:t>(Central Digital and Data Office, 2020)</w:t>
      </w:r>
      <w:r w:rsidR="00E0559A">
        <w:t>. Participants were cautioned by the survey and the disclaimer stating they could only participant if they were over the age of 18. They were told the aim of the study and how their responses were stored on a password protected device to avoid any leaks in the information.</w:t>
      </w:r>
    </w:p>
    <w:p w14:paraId="5404839A" w14:textId="77777777" w:rsidR="00CF36FB" w:rsidRPr="00CF36FB" w:rsidRDefault="00CF36FB" w:rsidP="00CF36FB">
      <w:r w:rsidRPr="00CF36FB">
        <w:rPr>
          <w:b/>
          <w:bCs/>
          <w:u w:val="single"/>
        </w:rPr>
        <w:t>Sampling</w:t>
      </w:r>
      <w:r w:rsidRPr="00CF36FB">
        <w:t> </w:t>
      </w:r>
    </w:p>
    <w:p w14:paraId="54FE4C52" w14:textId="3514247C" w:rsidR="00CF36FB" w:rsidRPr="00CF36FB" w:rsidRDefault="00CF36FB" w:rsidP="00CF36FB">
      <w:r w:rsidRPr="00CF36FB">
        <w:t>Participants of my survey will be general members of the public. To get a variety of viewpoints and create a solid analysis of the findings, I want to gain 30 members of the community to complete my questionnaire. This will ensure that my results are from a variety of people who may have been involved in the criminal justice system and people who don’t have as much knowledge of the criminal justice system or are not involved in any way. </w:t>
      </w:r>
    </w:p>
    <w:p w14:paraId="5E1E5F90" w14:textId="5DDF4FF8" w:rsidR="00CF36FB" w:rsidRPr="00CF36FB" w:rsidRDefault="00CF36FB" w:rsidP="00CF36FB">
      <w:r w:rsidRPr="00CF36FB">
        <w:t xml:space="preserve">If I do happen to ask my colleagues in the police force, I will ensure they answer as a member of the public and not as a police officer. </w:t>
      </w:r>
    </w:p>
    <w:p w14:paraId="4E44F306" w14:textId="77777777" w:rsidR="00CF36FB" w:rsidRPr="00CF36FB" w:rsidRDefault="00CF36FB" w:rsidP="00CF36FB">
      <w:r w:rsidRPr="00CF36FB">
        <w:rPr>
          <w:b/>
          <w:bCs/>
          <w:u w:val="single"/>
        </w:rPr>
        <w:t>Limitations</w:t>
      </w:r>
      <w:r w:rsidRPr="00CF36FB">
        <w:t> </w:t>
      </w:r>
    </w:p>
    <w:p w14:paraId="25E4EC66" w14:textId="7CF85657" w:rsidR="00E0559A" w:rsidRDefault="00CF36FB" w:rsidP="00E0559A">
      <w:r w:rsidRPr="00CF36FB">
        <w:t xml:space="preserve">I've given considerable thought to the restrictions or difficulties I might face whilst handing out my questionnaire. Participants may believe they are pressed for time, which could affect how much information I am able to collect. Time restrictions, which most police officers struggle to find, because of the demands of their jobs today, they may struggle to find a convenient time to answer the questionnaire and answer it well.  An additional disadvantage of employing a questionnaire is that participants may be less likely to provide truthful answers to open-ended questions, both because of time limits and because they don't want to be perceived as different. As this question is going to be handed out to general members of the public, it bears the risk that people won’t answer the survey truthfully as it doesn’t mean anything to </w:t>
      </w:r>
      <w:r w:rsidR="004D7CE3" w:rsidRPr="00CF36FB">
        <w:t>them,</w:t>
      </w:r>
      <w:r w:rsidRPr="00CF36FB">
        <w:t xml:space="preserve"> and it isn’t going to change anything whether they provide their opinion or not. </w:t>
      </w:r>
    </w:p>
    <w:p w14:paraId="23853E6F" w14:textId="3246AD3B" w:rsidR="00CF36FB" w:rsidRDefault="00E0559A" w:rsidP="00CF36FB">
      <w:r w:rsidRPr="00CF36FB">
        <w:t>Digitally disconnected people may not be able to participate in an online approach, but this issue was lessened by offering physical copies of the questionnaire in police stations around the force which were readily available for people who are less accustomed to the online world.</w:t>
      </w:r>
    </w:p>
    <w:p w14:paraId="72B85333" w14:textId="45EEB6F9" w:rsidR="004D7CE3" w:rsidRPr="00CF36FB" w:rsidRDefault="004D7CE3" w:rsidP="00CF36FB">
      <w:r>
        <w:lastRenderedPageBreak/>
        <w:t>Word Count – 1,024</w:t>
      </w:r>
    </w:p>
    <w:p w14:paraId="5E8E1E79" w14:textId="35DE365E" w:rsidR="00542B45" w:rsidRDefault="00542B45"/>
    <w:p w14:paraId="341FFCC8" w14:textId="77777777" w:rsidR="004D7CE3" w:rsidRPr="004D7CE3" w:rsidRDefault="004D7CE3" w:rsidP="004D7CE3">
      <w:pPr>
        <w:rPr>
          <w:b/>
          <w:bCs/>
          <w:u w:val="single"/>
        </w:rPr>
      </w:pPr>
      <w:r w:rsidRPr="004D7CE3">
        <w:rPr>
          <w:b/>
          <w:bCs/>
          <w:u w:val="single"/>
        </w:rPr>
        <w:t>Reference list</w:t>
      </w:r>
    </w:p>
    <w:p w14:paraId="4A3166D0" w14:textId="77777777" w:rsidR="004D7CE3" w:rsidRPr="004D7CE3" w:rsidRDefault="004D7CE3" w:rsidP="004D7CE3">
      <w:r w:rsidRPr="004D7CE3">
        <w:t xml:space="preserve">Antes, A.L. and Maggi, L.B. (2021). How to Conduct Responsible Research: A Guide for Graduate Students. </w:t>
      </w:r>
      <w:r w:rsidRPr="004D7CE3">
        <w:rPr>
          <w:i/>
          <w:iCs/>
        </w:rPr>
        <w:t>Current Protocols</w:t>
      </w:r>
      <w:r w:rsidRPr="004D7CE3">
        <w:t xml:space="preserve">, 1(3). </w:t>
      </w:r>
      <w:proofErr w:type="spellStart"/>
      <w:proofErr w:type="gramStart"/>
      <w:r w:rsidRPr="004D7CE3">
        <w:t>doi:https</w:t>
      </w:r>
      <w:proofErr w:type="spellEnd"/>
      <w:r w:rsidRPr="004D7CE3">
        <w:t>://doi.org/10.1002/cpz1.87</w:t>
      </w:r>
      <w:proofErr w:type="gramEnd"/>
      <w:r w:rsidRPr="004D7CE3">
        <w:t>.</w:t>
      </w:r>
    </w:p>
    <w:p w14:paraId="64421174" w14:textId="77777777" w:rsidR="004D7CE3" w:rsidRPr="004D7CE3" w:rsidRDefault="004D7CE3" w:rsidP="004D7CE3">
      <w:r w:rsidRPr="004D7CE3">
        <w:t xml:space="preserve">Central Digital and Data Office (2020). </w:t>
      </w:r>
      <w:r w:rsidRPr="004D7CE3">
        <w:rPr>
          <w:i/>
          <w:iCs/>
        </w:rPr>
        <w:t>Data Ethics Framework</w:t>
      </w:r>
      <w:r w:rsidRPr="004D7CE3">
        <w:t>. [online] GOV.UK. Available at: https://www.gov.uk/government/publications/data-ethics-framework/data-ethics-framework-2020.</w:t>
      </w:r>
    </w:p>
    <w:p w14:paraId="55A46B74" w14:textId="77777777" w:rsidR="004D7CE3" w:rsidRPr="004D7CE3" w:rsidRDefault="004D7CE3" w:rsidP="004D7CE3">
      <w:r w:rsidRPr="004D7CE3">
        <w:t xml:space="preserve">Cleave, P. (2021). </w:t>
      </w:r>
      <w:r w:rsidRPr="004D7CE3">
        <w:rPr>
          <w:i/>
          <w:iCs/>
        </w:rPr>
        <w:t>The Benefits of Anonymous Surveys</w:t>
      </w:r>
      <w:r w:rsidRPr="004D7CE3">
        <w:t xml:space="preserve">. [online] </w:t>
      </w:r>
      <w:proofErr w:type="spellStart"/>
      <w:r w:rsidRPr="004D7CE3">
        <w:t>SmartSurvey</w:t>
      </w:r>
      <w:proofErr w:type="spellEnd"/>
      <w:r w:rsidRPr="004D7CE3">
        <w:t>. Available at: https://www.smartsurvey.co.uk/blog/the-benefits-of-anonymous-surveys.</w:t>
      </w:r>
    </w:p>
    <w:p w14:paraId="1FBB1297" w14:textId="77777777" w:rsidR="004D7CE3" w:rsidRPr="004D7CE3" w:rsidRDefault="004D7CE3" w:rsidP="004D7CE3">
      <w:proofErr w:type="spellStart"/>
      <w:r w:rsidRPr="004D7CE3">
        <w:t>DeVaus</w:t>
      </w:r>
      <w:proofErr w:type="spellEnd"/>
      <w:r w:rsidRPr="004D7CE3">
        <w:t xml:space="preserve">, D. (2014). </w:t>
      </w:r>
      <w:r w:rsidRPr="004D7CE3">
        <w:rPr>
          <w:i/>
          <w:iCs/>
        </w:rPr>
        <w:t>Surveys in Social Research</w:t>
      </w:r>
      <w:r w:rsidRPr="004D7CE3">
        <w:t>. 6th ed. Sydney Allen &amp; Unwin.</w:t>
      </w:r>
    </w:p>
    <w:p w14:paraId="66C4EF56" w14:textId="77777777" w:rsidR="004D7CE3" w:rsidRPr="004D7CE3" w:rsidRDefault="004D7CE3" w:rsidP="004D7CE3">
      <w:r w:rsidRPr="004D7CE3">
        <w:t xml:space="preserve">Fleetwood, D. (2023). </w:t>
      </w:r>
      <w:r w:rsidRPr="004D7CE3">
        <w:rPr>
          <w:i/>
          <w:iCs/>
        </w:rPr>
        <w:t>Quantitative Research: Definition, Methods, Types and Examples</w:t>
      </w:r>
      <w:r w:rsidRPr="004D7CE3">
        <w:t xml:space="preserve">. [online] </w:t>
      </w:r>
      <w:proofErr w:type="spellStart"/>
      <w:r w:rsidRPr="004D7CE3">
        <w:t>QuestionPro</w:t>
      </w:r>
      <w:proofErr w:type="spellEnd"/>
      <w:r w:rsidRPr="004D7CE3">
        <w:t>. Available at: https://www.questionpro.com/blog/quantitative-research/.</w:t>
      </w:r>
    </w:p>
    <w:p w14:paraId="2C1EB732" w14:textId="77777777" w:rsidR="004D7CE3" w:rsidRPr="004D7CE3" w:rsidRDefault="004D7CE3" w:rsidP="004D7CE3">
      <w:r w:rsidRPr="004D7CE3">
        <w:t xml:space="preserve">Lim, W.M. (2024). What Is Qualitative research? an Overview and Guidelines. </w:t>
      </w:r>
      <w:r w:rsidRPr="004D7CE3">
        <w:rPr>
          <w:i/>
          <w:iCs/>
        </w:rPr>
        <w:t>Australasian Marketing Journal (AMJ)</w:t>
      </w:r>
      <w:r w:rsidRPr="004D7CE3">
        <w:t xml:space="preserve">, [online] 33(2), pp.199–229. </w:t>
      </w:r>
      <w:proofErr w:type="spellStart"/>
      <w:proofErr w:type="gramStart"/>
      <w:r w:rsidRPr="004D7CE3">
        <w:t>doi:https</w:t>
      </w:r>
      <w:proofErr w:type="spellEnd"/>
      <w:r w:rsidRPr="004D7CE3">
        <w:t>://doi.org/10.1177/14413582241264619</w:t>
      </w:r>
      <w:proofErr w:type="gramEnd"/>
      <w:r w:rsidRPr="004D7CE3">
        <w:t>.</w:t>
      </w:r>
    </w:p>
    <w:p w14:paraId="3166C3CB" w14:textId="77777777" w:rsidR="004D7CE3" w:rsidRPr="004D7CE3" w:rsidRDefault="004D7CE3" w:rsidP="004D7CE3">
      <w:r w:rsidRPr="004D7CE3">
        <w:t xml:space="preserve">Research Ethics Committee (2016). </w:t>
      </w:r>
      <w:r w:rsidRPr="004D7CE3">
        <w:rPr>
          <w:i/>
          <w:iCs/>
        </w:rPr>
        <w:t>The Main Reasons Why Ethical Approval Is Required</w:t>
      </w:r>
      <w:r w:rsidRPr="004D7CE3">
        <w:t>. [online] Ucl.ac.uk. Available at: https://ethics.grad.ucl.ac.uk/why-is-ethical-approval-required.php.</w:t>
      </w:r>
    </w:p>
    <w:p w14:paraId="4E72194A" w14:textId="77777777" w:rsidR="004D7CE3" w:rsidRPr="004D7CE3" w:rsidRDefault="004D7CE3" w:rsidP="004D7CE3">
      <w:r w:rsidRPr="004D7CE3">
        <w:t xml:space="preserve">Saunders, M., Lewis, P., Thornhill, A. and Bristow, A. (2019). </w:t>
      </w:r>
      <w:r w:rsidRPr="004D7CE3">
        <w:rPr>
          <w:i/>
          <w:iCs/>
        </w:rPr>
        <w:t>‘Research Methods for Business students’ Chapter 4: Understanding Research Philosophy and Approaches to Theory Development</w:t>
      </w:r>
      <w:r w:rsidRPr="004D7CE3">
        <w:t xml:space="preserve">. [online] </w:t>
      </w:r>
      <w:proofErr w:type="spellStart"/>
      <w:r w:rsidRPr="004D7CE3">
        <w:t>Researchgate</w:t>
      </w:r>
      <w:proofErr w:type="spellEnd"/>
      <w:r w:rsidRPr="004D7CE3">
        <w:t>. Available at: https://www.researchgate.net/publication/330760964_Research_Methods_for_Business_Students_Chapter_4_Understanding_research_philosophy_and_approaches_to_theory_development.</w:t>
      </w:r>
    </w:p>
    <w:p w14:paraId="5C97C5F2" w14:textId="23A71304" w:rsidR="004D7CE3" w:rsidRDefault="004D7CE3"/>
    <w:sectPr w:rsidR="004D7C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1F69AD"/>
    <w:multiLevelType w:val="multilevel"/>
    <w:tmpl w:val="DCD2F1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390602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E43"/>
    <w:rsid w:val="000149D7"/>
    <w:rsid w:val="000F1D06"/>
    <w:rsid w:val="00185BB3"/>
    <w:rsid w:val="001D3F71"/>
    <w:rsid w:val="00275B8E"/>
    <w:rsid w:val="0029175A"/>
    <w:rsid w:val="002C7945"/>
    <w:rsid w:val="00324112"/>
    <w:rsid w:val="00327188"/>
    <w:rsid w:val="00331E43"/>
    <w:rsid w:val="004D7CE3"/>
    <w:rsid w:val="00542B45"/>
    <w:rsid w:val="00690368"/>
    <w:rsid w:val="006B755D"/>
    <w:rsid w:val="00702D71"/>
    <w:rsid w:val="007959CE"/>
    <w:rsid w:val="00845E61"/>
    <w:rsid w:val="00927F0F"/>
    <w:rsid w:val="00B36D6C"/>
    <w:rsid w:val="00C50838"/>
    <w:rsid w:val="00C7451F"/>
    <w:rsid w:val="00CF36FB"/>
    <w:rsid w:val="00D15254"/>
    <w:rsid w:val="00E0559A"/>
    <w:rsid w:val="00F52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BCC9D"/>
  <w15:chartTrackingRefBased/>
  <w15:docId w15:val="{F3B7ACD6-E12D-4010-A3A0-1B08157B7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1E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1E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1E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1E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1E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1E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1E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1E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1E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1E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1E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1E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1E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1E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1E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1E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1E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1E43"/>
    <w:rPr>
      <w:rFonts w:eastAsiaTheme="majorEastAsia" w:cstheme="majorBidi"/>
      <w:color w:val="272727" w:themeColor="text1" w:themeTint="D8"/>
    </w:rPr>
  </w:style>
  <w:style w:type="paragraph" w:styleId="Title">
    <w:name w:val="Title"/>
    <w:basedOn w:val="Normal"/>
    <w:next w:val="Normal"/>
    <w:link w:val="TitleChar"/>
    <w:uiPriority w:val="10"/>
    <w:qFormat/>
    <w:rsid w:val="00331E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1E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1E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1E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1E43"/>
    <w:pPr>
      <w:spacing w:before="160"/>
      <w:jc w:val="center"/>
    </w:pPr>
    <w:rPr>
      <w:i/>
      <w:iCs/>
      <w:color w:val="404040" w:themeColor="text1" w:themeTint="BF"/>
    </w:rPr>
  </w:style>
  <w:style w:type="character" w:customStyle="1" w:styleId="QuoteChar">
    <w:name w:val="Quote Char"/>
    <w:basedOn w:val="DefaultParagraphFont"/>
    <w:link w:val="Quote"/>
    <w:uiPriority w:val="29"/>
    <w:rsid w:val="00331E43"/>
    <w:rPr>
      <w:i/>
      <w:iCs/>
      <w:color w:val="404040" w:themeColor="text1" w:themeTint="BF"/>
    </w:rPr>
  </w:style>
  <w:style w:type="paragraph" w:styleId="ListParagraph">
    <w:name w:val="List Paragraph"/>
    <w:basedOn w:val="Normal"/>
    <w:uiPriority w:val="34"/>
    <w:qFormat/>
    <w:rsid w:val="00331E43"/>
    <w:pPr>
      <w:ind w:left="720"/>
      <w:contextualSpacing/>
    </w:pPr>
  </w:style>
  <w:style w:type="character" w:styleId="IntenseEmphasis">
    <w:name w:val="Intense Emphasis"/>
    <w:basedOn w:val="DefaultParagraphFont"/>
    <w:uiPriority w:val="21"/>
    <w:qFormat/>
    <w:rsid w:val="00331E43"/>
    <w:rPr>
      <w:i/>
      <w:iCs/>
      <w:color w:val="0F4761" w:themeColor="accent1" w:themeShade="BF"/>
    </w:rPr>
  </w:style>
  <w:style w:type="paragraph" w:styleId="IntenseQuote">
    <w:name w:val="Intense Quote"/>
    <w:basedOn w:val="Normal"/>
    <w:next w:val="Normal"/>
    <w:link w:val="IntenseQuoteChar"/>
    <w:uiPriority w:val="30"/>
    <w:qFormat/>
    <w:rsid w:val="00331E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1E43"/>
    <w:rPr>
      <w:i/>
      <w:iCs/>
      <w:color w:val="0F4761" w:themeColor="accent1" w:themeShade="BF"/>
    </w:rPr>
  </w:style>
  <w:style w:type="character" w:styleId="IntenseReference">
    <w:name w:val="Intense Reference"/>
    <w:basedOn w:val="DefaultParagraphFont"/>
    <w:uiPriority w:val="32"/>
    <w:qFormat/>
    <w:rsid w:val="00331E43"/>
    <w:rPr>
      <w:b/>
      <w:bCs/>
      <w:smallCaps/>
      <w:color w:val="0F4761" w:themeColor="accent1" w:themeShade="BF"/>
      <w:spacing w:val="5"/>
    </w:rPr>
  </w:style>
  <w:style w:type="character" w:styleId="Hyperlink">
    <w:name w:val="Hyperlink"/>
    <w:basedOn w:val="DefaultParagraphFont"/>
    <w:uiPriority w:val="99"/>
    <w:unhideWhenUsed/>
    <w:rsid w:val="00CF36FB"/>
    <w:rPr>
      <w:color w:val="467886" w:themeColor="hyperlink"/>
      <w:u w:val="single"/>
    </w:rPr>
  </w:style>
  <w:style w:type="character" w:styleId="UnresolvedMention">
    <w:name w:val="Unresolved Mention"/>
    <w:basedOn w:val="DefaultParagraphFont"/>
    <w:uiPriority w:val="99"/>
    <w:semiHidden/>
    <w:unhideWhenUsed/>
    <w:rsid w:val="00CF36FB"/>
    <w:rPr>
      <w:color w:val="605E5C"/>
      <w:shd w:val="clear" w:color="auto" w:fill="E1DFDD"/>
    </w:rPr>
  </w:style>
  <w:style w:type="character" w:styleId="FollowedHyperlink">
    <w:name w:val="FollowedHyperlink"/>
    <w:basedOn w:val="DefaultParagraphFont"/>
    <w:uiPriority w:val="99"/>
    <w:semiHidden/>
    <w:unhideWhenUsed/>
    <w:rsid w:val="00845E6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4452">
      <w:bodyDiv w:val="1"/>
      <w:marLeft w:val="0"/>
      <w:marRight w:val="0"/>
      <w:marTop w:val="0"/>
      <w:marBottom w:val="0"/>
      <w:divBdr>
        <w:top w:val="none" w:sz="0" w:space="0" w:color="auto"/>
        <w:left w:val="none" w:sz="0" w:space="0" w:color="auto"/>
        <w:bottom w:val="none" w:sz="0" w:space="0" w:color="auto"/>
        <w:right w:val="none" w:sz="0" w:space="0" w:color="auto"/>
      </w:divBdr>
    </w:div>
    <w:div w:id="180318362">
      <w:bodyDiv w:val="1"/>
      <w:marLeft w:val="0"/>
      <w:marRight w:val="0"/>
      <w:marTop w:val="0"/>
      <w:marBottom w:val="0"/>
      <w:divBdr>
        <w:top w:val="none" w:sz="0" w:space="0" w:color="auto"/>
        <w:left w:val="none" w:sz="0" w:space="0" w:color="auto"/>
        <w:bottom w:val="none" w:sz="0" w:space="0" w:color="auto"/>
        <w:right w:val="none" w:sz="0" w:space="0" w:color="auto"/>
      </w:divBdr>
    </w:div>
    <w:div w:id="358747471">
      <w:bodyDiv w:val="1"/>
      <w:marLeft w:val="0"/>
      <w:marRight w:val="0"/>
      <w:marTop w:val="0"/>
      <w:marBottom w:val="0"/>
      <w:divBdr>
        <w:top w:val="none" w:sz="0" w:space="0" w:color="auto"/>
        <w:left w:val="none" w:sz="0" w:space="0" w:color="auto"/>
        <w:bottom w:val="none" w:sz="0" w:space="0" w:color="auto"/>
        <w:right w:val="none" w:sz="0" w:space="0" w:color="auto"/>
      </w:divBdr>
    </w:div>
    <w:div w:id="376854304">
      <w:bodyDiv w:val="1"/>
      <w:marLeft w:val="0"/>
      <w:marRight w:val="0"/>
      <w:marTop w:val="0"/>
      <w:marBottom w:val="0"/>
      <w:divBdr>
        <w:top w:val="none" w:sz="0" w:space="0" w:color="auto"/>
        <w:left w:val="none" w:sz="0" w:space="0" w:color="auto"/>
        <w:bottom w:val="none" w:sz="0" w:space="0" w:color="auto"/>
        <w:right w:val="none" w:sz="0" w:space="0" w:color="auto"/>
      </w:divBdr>
    </w:div>
    <w:div w:id="455411485">
      <w:bodyDiv w:val="1"/>
      <w:marLeft w:val="0"/>
      <w:marRight w:val="0"/>
      <w:marTop w:val="0"/>
      <w:marBottom w:val="0"/>
      <w:divBdr>
        <w:top w:val="none" w:sz="0" w:space="0" w:color="auto"/>
        <w:left w:val="none" w:sz="0" w:space="0" w:color="auto"/>
        <w:bottom w:val="none" w:sz="0" w:space="0" w:color="auto"/>
        <w:right w:val="none" w:sz="0" w:space="0" w:color="auto"/>
      </w:divBdr>
    </w:div>
    <w:div w:id="720863199">
      <w:bodyDiv w:val="1"/>
      <w:marLeft w:val="0"/>
      <w:marRight w:val="0"/>
      <w:marTop w:val="0"/>
      <w:marBottom w:val="0"/>
      <w:divBdr>
        <w:top w:val="none" w:sz="0" w:space="0" w:color="auto"/>
        <w:left w:val="none" w:sz="0" w:space="0" w:color="auto"/>
        <w:bottom w:val="none" w:sz="0" w:space="0" w:color="auto"/>
        <w:right w:val="none" w:sz="0" w:space="0" w:color="auto"/>
      </w:divBdr>
      <w:divsChild>
        <w:div w:id="991056282">
          <w:marLeft w:val="0"/>
          <w:marRight w:val="0"/>
          <w:marTop w:val="0"/>
          <w:marBottom w:val="0"/>
          <w:divBdr>
            <w:top w:val="none" w:sz="0" w:space="0" w:color="auto"/>
            <w:left w:val="none" w:sz="0" w:space="0" w:color="auto"/>
            <w:bottom w:val="none" w:sz="0" w:space="0" w:color="auto"/>
            <w:right w:val="none" w:sz="0" w:space="0" w:color="auto"/>
          </w:divBdr>
        </w:div>
      </w:divsChild>
    </w:div>
    <w:div w:id="770659715">
      <w:bodyDiv w:val="1"/>
      <w:marLeft w:val="0"/>
      <w:marRight w:val="0"/>
      <w:marTop w:val="0"/>
      <w:marBottom w:val="0"/>
      <w:divBdr>
        <w:top w:val="none" w:sz="0" w:space="0" w:color="auto"/>
        <w:left w:val="none" w:sz="0" w:space="0" w:color="auto"/>
        <w:bottom w:val="none" w:sz="0" w:space="0" w:color="auto"/>
        <w:right w:val="none" w:sz="0" w:space="0" w:color="auto"/>
      </w:divBdr>
    </w:div>
    <w:div w:id="880747751">
      <w:bodyDiv w:val="1"/>
      <w:marLeft w:val="0"/>
      <w:marRight w:val="0"/>
      <w:marTop w:val="0"/>
      <w:marBottom w:val="0"/>
      <w:divBdr>
        <w:top w:val="none" w:sz="0" w:space="0" w:color="auto"/>
        <w:left w:val="none" w:sz="0" w:space="0" w:color="auto"/>
        <w:bottom w:val="none" w:sz="0" w:space="0" w:color="auto"/>
        <w:right w:val="none" w:sz="0" w:space="0" w:color="auto"/>
      </w:divBdr>
    </w:div>
    <w:div w:id="936447042">
      <w:bodyDiv w:val="1"/>
      <w:marLeft w:val="0"/>
      <w:marRight w:val="0"/>
      <w:marTop w:val="0"/>
      <w:marBottom w:val="0"/>
      <w:divBdr>
        <w:top w:val="none" w:sz="0" w:space="0" w:color="auto"/>
        <w:left w:val="none" w:sz="0" w:space="0" w:color="auto"/>
        <w:bottom w:val="none" w:sz="0" w:space="0" w:color="auto"/>
        <w:right w:val="none" w:sz="0" w:space="0" w:color="auto"/>
      </w:divBdr>
    </w:div>
    <w:div w:id="1006975306">
      <w:bodyDiv w:val="1"/>
      <w:marLeft w:val="0"/>
      <w:marRight w:val="0"/>
      <w:marTop w:val="0"/>
      <w:marBottom w:val="0"/>
      <w:divBdr>
        <w:top w:val="none" w:sz="0" w:space="0" w:color="auto"/>
        <w:left w:val="none" w:sz="0" w:space="0" w:color="auto"/>
        <w:bottom w:val="none" w:sz="0" w:space="0" w:color="auto"/>
        <w:right w:val="none" w:sz="0" w:space="0" w:color="auto"/>
      </w:divBdr>
    </w:div>
    <w:div w:id="1016350562">
      <w:bodyDiv w:val="1"/>
      <w:marLeft w:val="0"/>
      <w:marRight w:val="0"/>
      <w:marTop w:val="0"/>
      <w:marBottom w:val="0"/>
      <w:divBdr>
        <w:top w:val="none" w:sz="0" w:space="0" w:color="auto"/>
        <w:left w:val="none" w:sz="0" w:space="0" w:color="auto"/>
        <w:bottom w:val="none" w:sz="0" w:space="0" w:color="auto"/>
        <w:right w:val="none" w:sz="0" w:space="0" w:color="auto"/>
      </w:divBdr>
    </w:div>
    <w:div w:id="1027365011">
      <w:bodyDiv w:val="1"/>
      <w:marLeft w:val="0"/>
      <w:marRight w:val="0"/>
      <w:marTop w:val="0"/>
      <w:marBottom w:val="0"/>
      <w:divBdr>
        <w:top w:val="none" w:sz="0" w:space="0" w:color="auto"/>
        <w:left w:val="none" w:sz="0" w:space="0" w:color="auto"/>
        <w:bottom w:val="none" w:sz="0" w:space="0" w:color="auto"/>
        <w:right w:val="none" w:sz="0" w:space="0" w:color="auto"/>
      </w:divBdr>
    </w:div>
    <w:div w:id="1138231734">
      <w:bodyDiv w:val="1"/>
      <w:marLeft w:val="0"/>
      <w:marRight w:val="0"/>
      <w:marTop w:val="0"/>
      <w:marBottom w:val="0"/>
      <w:divBdr>
        <w:top w:val="none" w:sz="0" w:space="0" w:color="auto"/>
        <w:left w:val="none" w:sz="0" w:space="0" w:color="auto"/>
        <w:bottom w:val="none" w:sz="0" w:space="0" w:color="auto"/>
        <w:right w:val="none" w:sz="0" w:space="0" w:color="auto"/>
      </w:divBdr>
    </w:div>
    <w:div w:id="1176189881">
      <w:bodyDiv w:val="1"/>
      <w:marLeft w:val="0"/>
      <w:marRight w:val="0"/>
      <w:marTop w:val="0"/>
      <w:marBottom w:val="0"/>
      <w:divBdr>
        <w:top w:val="none" w:sz="0" w:space="0" w:color="auto"/>
        <w:left w:val="none" w:sz="0" w:space="0" w:color="auto"/>
        <w:bottom w:val="none" w:sz="0" w:space="0" w:color="auto"/>
        <w:right w:val="none" w:sz="0" w:space="0" w:color="auto"/>
      </w:divBdr>
    </w:div>
    <w:div w:id="1258513598">
      <w:bodyDiv w:val="1"/>
      <w:marLeft w:val="0"/>
      <w:marRight w:val="0"/>
      <w:marTop w:val="0"/>
      <w:marBottom w:val="0"/>
      <w:divBdr>
        <w:top w:val="none" w:sz="0" w:space="0" w:color="auto"/>
        <w:left w:val="none" w:sz="0" w:space="0" w:color="auto"/>
        <w:bottom w:val="none" w:sz="0" w:space="0" w:color="auto"/>
        <w:right w:val="none" w:sz="0" w:space="0" w:color="auto"/>
      </w:divBdr>
    </w:div>
    <w:div w:id="1282420410">
      <w:bodyDiv w:val="1"/>
      <w:marLeft w:val="0"/>
      <w:marRight w:val="0"/>
      <w:marTop w:val="0"/>
      <w:marBottom w:val="0"/>
      <w:divBdr>
        <w:top w:val="none" w:sz="0" w:space="0" w:color="auto"/>
        <w:left w:val="none" w:sz="0" w:space="0" w:color="auto"/>
        <w:bottom w:val="none" w:sz="0" w:space="0" w:color="auto"/>
        <w:right w:val="none" w:sz="0" w:space="0" w:color="auto"/>
      </w:divBdr>
    </w:div>
    <w:div w:id="1689985427">
      <w:bodyDiv w:val="1"/>
      <w:marLeft w:val="0"/>
      <w:marRight w:val="0"/>
      <w:marTop w:val="0"/>
      <w:marBottom w:val="0"/>
      <w:divBdr>
        <w:top w:val="none" w:sz="0" w:space="0" w:color="auto"/>
        <w:left w:val="none" w:sz="0" w:space="0" w:color="auto"/>
        <w:bottom w:val="none" w:sz="0" w:space="0" w:color="auto"/>
        <w:right w:val="none" w:sz="0" w:space="0" w:color="auto"/>
      </w:divBdr>
      <w:divsChild>
        <w:div w:id="1477918280">
          <w:marLeft w:val="0"/>
          <w:marRight w:val="0"/>
          <w:marTop w:val="0"/>
          <w:marBottom w:val="0"/>
          <w:divBdr>
            <w:top w:val="none" w:sz="0" w:space="0" w:color="auto"/>
            <w:left w:val="none" w:sz="0" w:space="0" w:color="auto"/>
            <w:bottom w:val="none" w:sz="0" w:space="0" w:color="auto"/>
            <w:right w:val="none" w:sz="0" w:space="0" w:color="auto"/>
          </w:divBdr>
        </w:div>
      </w:divsChild>
    </w:div>
    <w:div w:id="190560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Pages>
  <Words>1214</Words>
  <Characters>6926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Bourne, Ashleigh</dc:creator>
  <cp:keywords/>
  <dc:description/>
  <cp:lastModifiedBy>Bourne, Ashleigh</cp:lastModifiedBy>
  <cp:revision>46</cp:revision>
  <dcterms:created xsi:type="dcterms:W3CDTF">2025-06-08T08:54:00Z</dcterms:created>
  <dcterms:modified xsi:type="dcterms:W3CDTF">2025-06-15T11:03:00Z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2025-06-08T09:21:54Z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47877314-c4c4-4ab0-97c0-b5501174fe3f</vt:lpwstr>
  </property>
  <property fmtid="{D5CDD505-2E9C-101B-9397-08002B2CF9AE}" pid="8" name="MSIP_Label_f2acd28b-79a3-4a0f-b0ff-4b75658b1549_ContentBits">
    <vt:lpwstr>0</vt:lpwstr>
  </property>
</Properties>
</file>