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599A2E" w14:textId="77777777" w:rsidR="002B1A08" w:rsidRPr="002B1A08" w:rsidRDefault="002B1A08" w:rsidP="002B1A08">
      <w:pPr>
        <w:spacing w:line="360" w:lineRule="auto"/>
        <w:jc w:val="center"/>
        <w:rPr>
          <w:rFonts w:ascii="Arial" w:hAnsi="Arial" w:cs="Arial"/>
          <w:b/>
          <w:bCs/>
        </w:rPr>
      </w:pPr>
      <w:r w:rsidRPr="002B1A08">
        <w:rPr>
          <w:rFonts w:ascii="Arial" w:hAnsi="Arial" w:cs="Arial"/>
          <w:b/>
          <w:bCs/>
        </w:rPr>
        <w:t>HEALTH, WELLBEING AND SOCIAL CARE</w:t>
      </w:r>
    </w:p>
    <w:p w14:paraId="757CAC47" w14:textId="77777777" w:rsidR="002B1A08" w:rsidRPr="002B1A08" w:rsidRDefault="002B1A08" w:rsidP="002B1A08">
      <w:pPr>
        <w:spacing w:line="360" w:lineRule="auto"/>
        <w:jc w:val="center"/>
        <w:rPr>
          <w:rFonts w:ascii="Arial" w:hAnsi="Arial" w:cs="Arial"/>
        </w:rPr>
      </w:pPr>
      <w:r w:rsidRPr="002B1A08">
        <w:rPr>
          <w:rFonts w:ascii="Arial" w:hAnsi="Arial" w:cs="Arial"/>
        </w:rPr>
        <w:t>BMHP6021</w:t>
      </w:r>
    </w:p>
    <w:p w14:paraId="4AEA0A44" w14:textId="77777777" w:rsidR="002B1A08" w:rsidRPr="002B1A08" w:rsidRDefault="002B1A08" w:rsidP="002B1A08">
      <w:pPr>
        <w:spacing w:line="360" w:lineRule="auto"/>
        <w:jc w:val="both"/>
        <w:rPr>
          <w:rFonts w:ascii="Arial" w:hAnsi="Arial" w:cs="Arial"/>
        </w:rPr>
      </w:pPr>
    </w:p>
    <w:p w14:paraId="0F98B0E4" w14:textId="77777777" w:rsidR="002B1A08" w:rsidRPr="002B1A08" w:rsidRDefault="002B1A08" w:rsidP="002B1A08">
      <w:pPr>
        <w:spacing w:line="360" w:lineRule="auto"/>
        <w:jc w:val="both"/>
        <w:rPr>
          <w:rFonts w:ascii="Arial" w:hAnsi="Arial" w:cs="Arial"/>
        </w:rPr>
      </w:pPr>
      <w:r w:rsidRPr="002B1A08">
        <w:rPr>
          <w:rFonts w:ascii="Arial" w:hAnsi="Arial" w:cs="Arial"/>
        </w:rPr>
        <w:t xml:space="preserve">                                       </w:t>
      </w:r>
    </w:p>
    <w:p w14:paraId="6FC6DAAA" w14:textId="77777777" w:rsidR="002B1A08" w:rsidRPr="002B1A08" w:rsidRDefault="002B1A08" w:rsidP="002B1A08">
      <w:pPr>
        <w:spacing w:line="360" w:lineRule="auto"/>
        <w:jc w:val="center"/>
        <w:rPr>
          <w:rFonts w:ascii="Arial" w:hAnsi="Arial" w:cs="Arial"/>
          <w:b/>
          <w:bCs/>
        </w:rPr>
      </w:pPr>
      <w:r w:rsidRPr="002B1A08">
        <w:rPr>
          <w:rFonts w:ascii="Arial" w:hAnsi="Arial" w:cs="Arial"/>
          <w:b/>
          <w:bCs/>
        </w:rPr>
        <w:t>REPORT</w:t>
      </w:r>
    </w:p>
    <w:p w14:paraId="3ABFA2AB" w14:textId="77777777" w:rsidR="002B1A08" w:rsidRPr="002B1A08" w:rsidRDefault="002B1A08" w:rsidP="002B1A08">
      <w:pPr>
        <w:spacing w:line="360" w:lineRule="auto"/>
        <w:jc w:val="both"/>
        <w:rPr>
          <w:rFonts w:ascii="Arial" w:hAnsi="Arial" w:cs="Arial"/>
          <w:b/>
          <w:bCs/>
        </w:rPr>
      </w:pPr>
    </w:p>
    <w:p w14:paraId="64D05E26" w14:textId="77777777" w:rsidR="002B1A08" w:rsidRPr="002B1A08" w:rsidRDefault="002B1A08" w:rsidP="002B1A08">
      <w:pPr>
        <w:spacing w:line="360" w:lineRule="auto"/>
        <w:jc w:val="both"/>
        <w:rPr>
          <w:rFonts w:ascii="Arial" w:hAnsi="Arial" w:cs="Arial"/>
          <w:b/>
          <w:bCs/>
        </w:rPr>
      </w:pPr>
    </w:p>
    <w:p w14:paraId="28B8C474" w14:textId="77777777" w:rsidR="002B1A08" w:rsidRPr="002B1A08" w:rsidRDefault="002B1A08" w:rsidP="002B1A08">
      <w:pPr>
        <w:spacing w:line="360" w:lineRule="auto"/>
        <w:jc w:val="both"/>
        <w:rPr>
          <w:rFonts w:ascii="Arial" w:hAnsi="Arial" w:cs="Arial"/>
          <w:b/>
          <w:bCs/>
        </w:rPr>
      </w:pPr>
    </w:p>
    <w:p w14:paraId="53555827" w14:textId="77777777" w:rsidR="002B1A08" w:rsidRPr="002B1A08" w:rsidRDefault="002B1A08" w:rsidP="002B1A08">
      <w:pPr>
        <w:spacing w:line="360" w:lineRule="auto"/>
        <w:jc w:val="center"/>
        <w:rPr>
          <w:rFonts w:ascii="Arial" w:hAnsi="Arial" w:cs="Arial"/>
          <w:b/>
          <w:bCs/>
        </w:rPr>
      </w:pPr>
      <w:r w:rsidRPr="002B1A08">
        <w:rPr>
          <w:rFonts w:ascii="Arial" w:hAnsi="Arial" w:cs="Arial"/>
          <w:b/>
          <w:bCs/>
        </w:rPr>
        <w:t>GOAL A: SDG 5-GENDER EQUALITY</w:t>
      </w:r>
    </w:p>
    <w:p w14:paraId="0C23AAFC" w14:textId="77777777" w:rsidR="002B1A08" w:rsidRPr="002B1A08" w:rsidRDefault="002B1A08" w:rsidP="002B1A08">
      <w:pPr>
        <w:spacing w:line="360" w:lineRule="auto"/>
        <w:jc w:val="center"/>
        <w:rPr>
          <w:rFonts w:ascii="Arial" w:hAnsi="Arial" w:cs="Arial"/>
          <w:b/>
          <w:bCs/>
        </w:rPr>
      </w:pPr>
      <w:r w:rsidRPr="002B1A08">
        <w:rPr>
          <w:rFonts w:ascii="Arial" w:hAnsi="Arial" w:cs="Arial"/>
          <w:b/>
          <w:bCs/>
        </w:rPr>
        <w:t>GOAL B: SDG 10-REDUCED INEQUALITIES</w:t>
      </w:r>
    </w:p>
    <w:p w14:paraId="4F633EB7" w14:textId="77777777" w:rsidR="002B1A08" w:rsidRPr="002B1A08" w:rsidRDefault="002B1A08" w:rsidP="002B1A08">
      <w:pPr>
        <w:spacing w:line="360" w:lineRule="auto"/>
        <w:jc w:val="both"/>
        <w:rPr>
          <w:rFonts w:ascii="Arial" w:hAnsi="Arial" w:cs="Arial"/>
        </w:rPr>
      </w:pPr>
    </w:p>
    <w:p w14:paraId="2D69E306" w14:textId="77777777" w:rsidR="002B1A08" w:rsidRPr="002B1A08" w:rsidRDefault="002B1A08" w:rsidP="002B1A08">
      <w:pPr>
        <w:spacing w:line="360" w:lineRule="auto"/>
        <w:jc w:val="both"/>
        <w:rPr>
          <w:rFonts w:ascii="Arial" w:hAnsi="Arial" w:cs="Arial"/>
        </w:rPr>
      </w:pPr>
    </w:p>
    <w:p w14:paraId="52373046" w14:textId="77777777" w:rsidR="002B1A08" w:rsidRPr="002B1A08" w:rsidRDefault="002B1A08" w:rsidP="002B1A08">
      <w:pPr>
        <w:spacing w:line="360" w:lineRule="auto"/>
        <w:jc w:val="both"/>
        <w:rPr>
          <w:rFonts w:ascii="Arial" w:hAnsi="Arial" w:cs="Arial"/>
        </w:rPr>
      </w:pPr>
    </w:p>
    <w:p w14:paraId="2A43D821" w14:textId="77777777" w:rsidR="002B1A08" w:rsidRPr="002B1A08" w:rsidRDefault="002B1A08" w:rsidP="002B1A08">
      <w:pPr>
        <w:spacing w:line="360" w:lineRule="auto"/>
        <w:jc w:val="both"/>
        <w:rPr>
          <w:rFonts w:ascii="Arial" w:hAnsi="Arial" w:cs="Arial"/>
        </w:rPr>
      </w:pPr>
    </w:p>
    <w:p w14:paraId="07C736A5" w14:textId="77777777" w:rsidR="002B1A08" w:rsidRPr="002B1A08" w:rsidRDefault="002B1A08" w:rsidP="002B1A08">
      <w:pPr>
        <w:spacing w:line="360" w:lineRule="auto"/>
        <w:jc w:val="both"/>
        <w:rPr>
          <w:rFonts w:ascii="Arial" w:hAnsi="Arial" w:cs="Arial"/>
        </w:rPr>
      </w:pPr>
    </w:p>
    <w:p w14:paraId="00880474" w14:textId="77777777" w:rsidR="002B1A08" w:rsidRPr="002B1A08" w:rsidRDefault="002B1A08" w:rsidP="002B1A08">
      <w:pPr>
        <w:spacing w:line="360" w:lineRule="auto"/>
        <w:jc w:val="both"/>
        <w:rPr>
          <w:rFonts w:ascii="Arial" w:hAnsi="Arial" w:cs="Arial"/>
        </w:rPr>
      </w:pPr>
    </w:p>
    <w:p w14:paraId="7D1F8591" w14:textId="252EC1FC" w:rsidR="002B1A08" w:rsidRPr="002B1A08" w:rsidRDefault="002B1A08" w:rsidP="002B1A08">
      <w:pPr>
        <w:spacing w:line="360" w:lineRule="auto"/>
        <w:jc w:val="both"/>
        <w:rPr>
          <w:rFonts w:ascii="Arial" w:hAnsi="Arial" w:cs="Arial"/>
          <w:b/>
          <w:bCs/>
        </w:rPr>
      </w:pPr>
      <w:r w:rsidRPr="002B1A08">
        <w:rPr>
          <w:rFonts w:ascii="Arial" w:hAnsi="Arial" w:cs="Arial"/>
          <w:b/>
          <w:bCs/>
        </w:rPr>
        <w:t xml:space="preserve">STUDENT: LEONAS ALEXANDRU                                   </w:t>
      </w:r>
      <w:r w:rsidR="00AA4F2D" w:rsidRPr="002B1A08">
        <w:rPr>
          <w:rFonts w:ascii="Arial" w:hAnsi="Arial" w:cs="Arial"/>
          <w:b/>
          <w:bCs/>
        </w:rPr>
        <w:t>LECTURER:</w:t>
      </w:r>
      <w:r w:rsidRPr="002B1A08">
        <w:rPr>
          <w:rFonts w:ascii="Arial" w:hAnsi="Arial" w:cs="Arial"/>
          <w:b/>
          <w:bCs/>
        </w:rPr>
        <w:t xml:space="preserve"> JOANNE</w:t>
      </w:r>
    </w:p>
    <w:p w14:paraId="3D540B0E" w14:textId="77777777" w:rsidR="002B1A08" w:rsidRPr="002B1A08" w:rsidRDefault="002B1A08" w:rsidP="002B1A08">
      <w:pPr>
        <w:spacing w:line="360" w:lineRule="auto"/>
        <w:jc w:val="both"/>
        <w:rPr>
          <w:rFonts w:ascii="Arial" w:hAnsi="Arial" w:cs="Arial"/>
          <w:b/>
          <w:bCs/>
        </w:rPr>
      </w:pPr>
      <w:r w:rsidRPr="002B1A08">
        <w:rPr>
          <w:rFonts w:ascii="Arial" w:hAnsi="Arial" w:cs="Arial"/>
          <w:b/>
          <w:bCs/>
        </w:rPr>
        <w:t xml:space="preserve">                            NICOLAE                                                                         DAVIES                                                                                           </w:t>
      </w:r>
    </w:p>
    <w:p w14:paraId="5C38F55F" w14:textId="77777777" w:rsidR="002B1A08" w:rsidRPr="002B1A08" w:rsidRDefault="002B1A08" w:rsidP="002B1A08">
      <w:pPr>
        <w:spacing w:line="360" w:lineRule="auto"/>
        <w:jc w:val="both"/>
        <w:rPr>
          <w:rFonts w:ascii="Arial" w:hAnsi="Arial" w:cs="Arial"/>
          <w:b/>
          <w:bCs/>
        </w:rPr>
      </w:pPr>
      <w:r w:rsidRPr="002B1A08">
        <w:rPr>
          <w:rFonts w:ascii="Arial" w:hAnsi="Arial" w:cs="Arial"/>
          <w:b/>
          <w:bCs/>
        </w:rPr>
        <w:t xml:space="preserve">       </w:t>
      </w:r>
    </w:p>
    <w:p w14:paraId="102A1CD3" w14:textId="77777777" w:rsidR="002B1A08" w:rsidRPr="002B1A08" w:rsidRDefault="002B1A08" w:rsidP="002B1A08">
      <w:pPr>
        <w:spacing w:line="360" w:lineRule="auto"/>
        <w:jc w:val="both"/>
        <w:rPr>
          <w:rFonts w:ascii="Arial" w:hAnsi="Arial" w:cs="Arial"/>
          <w:b/>
          <w:bCs/>
        </w:rPr>
      </w:pPr>
      <w:r w:rsidRPr="002B1A08">
        <w:rPr>
          <w:rFonts w:ascii="Arial" w:hAnsi="Arial" w:cs="Arial"/>
          <w:b/>
          <w:bCs/>
        </w:rPr>
        <w:t>STUDENT NUMBER: 2026944</w:t>
      </w:r>
    </w:p>
    <w:p w14:paraId="3AA07FED" w14:textId="77777777" w:rsidR="002B1A08" w:rsidRPr="002B1A08" w:rsidRDefault="002B1A08" w:rsidP="002B1A08">
      <w:pPr>
        <w:spacing w:line="360" w:lineRule="auto"/>
        <w:jc w:val="both"/>
        <w:rPr>
          <w:rFonts w:ascii="Arial" w:hAnsi="Arial" w:cs="Arial"/>
          <w:b/>
          <w:bCs/>
        </w:rPr>
      </w:pPr>
    </w:p>
    <w:p w14:paraId="3A58868F" w14:textId="77777777" w:rsidR="002B1A08" w:rsidRPr="002B1A08" w:rsidRDefault="002B1A08" w:rsidP="002B1A08">
      <w:pPr>
        <w:spacing w:line="360" w:lineRule="auto"/>
        <w:jc w:val="both"/>
        <w:rPr>
          <w:rFonts w:ascii="Arial" w:hAnsi="Arial" w:cs="Arial"/>
          <w:b/>
          <w:bCs/>
        </w:rPr>
      </w:pPr>
      <w:r w:rsidRPr="002B1A08">
        <w:rPr>
          <w:rFonts w:ascii="Arial" w:hAnsi="Arial" w:cs="Arial"/>
          <w:b/>
          <w:bCs/>
        </w:rPr>
        <w:br w:type="page"/>
      </w:r>
    </w:p>
    <w:p w14:paraId="712EDF28" w14:textId="77777777" w:rsidR="002B1A08" w:rsidRPr="002B1A08" w:rsidRDefault="002B1A08" w:rsidP="002B1A08">
      <w:pPr>
        <w:spacing w:line="360" w:lineRule="auto"/>
        <w:jc w:val="both"/>
        <w:rPr>
          <w:rFonts w:ascii="Arial" w:hAnsi="Arial" w:cs="Arial"/>
          <w:b/>
          <w:bCs/>
        </w:rPr>
      </w:pPr>
    </w:p>
    <w:p w14:paraId="2E33FF1D" w14:textId="77777777" w:rsidR="002B1A08" w:rsidRPr="002B1A08" w:rsidRDefault="002B1A08" w:rsidP="002B1A08">
      <w:pPr>
        <w:keepNext/>
        <w:keepLines/>
        <w:spacing w:before="240" w:after="0" w:line="259" w:lineRule="auto"/>
        <w:jc w:val="center"/>
        <w:rPr>
          <w:rFonts w:ascii="Arial" w:hAnsi="Arial" w:cs="Arial"/>
          <w:b/>
          <w:bCs/>
        </w:rPr>
      </w:pPr>
      <w:r w:rsidRPr="002B1A08">
        <w:rPr>
          <w:rFonts w:ascii="Arial" w:hAnsi="Arial" w:cs="Arial"/>
          <w:b/>
          <w:bCs/>
        </w:rPr>
        <w:t>TABLE OF CONTENT</w:t>
      </w:r>
    </w:p>
    <w:sdt>
      <w:sdtPr>
        <w:rPr>
          <w:sz w:val="22"/>
          <w:szCs w:val="22"/>
        </w:rPr>
        <w:id w:val="-1841849909"/>
        <w:docPartObj>
          <w:docPartGallery w:val="Table of Contents"/>
          <w:docPartUnique/>
        </w:docPartObj>
      </w:sdtPr>
      <w:sdtEndPr>
        <w:rPr>
          <w:b/>
          <w:bCs/>
          <w:noProof/>
          <w:sz w:val="24"/>
          <w:szCs w:val="24"/>
        </w:rPr>
      </w:sdtEndPr>
      <w:sdtContent>
        <w:p w14:paraId="1BCEBF7F" w14:textId="74F7D441" w:rsidR="002B1A08" w:rsidRPr="002B1A08" w:rsidRDefault="002B1A08" w:rsidP="002B1A08">
          <w:pPr>
            <w:keepNext/>
            <w:keepLines/>
            <w:spacing w:before="240" w:after="0" w:line="259" w:lineRule="auto"/>
            <w:rPr>
              <w:rFonts w:asciiTheme="majorHAnsi" w:eastAsiaTheme="majorEastAsia" w:hAnsiTheme="majorHAnsi" w:cstheme="majorBidi"/>
              <w:color w:val="0F4761" w:themeColor="accent1" w:themeShade="BF"/>
              <w:kern w:val="0"/>
              <w:sz w:val="32"/>
              <w:szCs w:val="32"/>
              <w:lang w:eastAsia="en-US"/>
              <w14:ligatures w14:val="none"/>
            </w:rPr>
          </w:pPr>
        </w:p>
        <w:p w14:paraId="65953B4F" w14:textId="77777777" w:rsidR="002B1A08" w:rsidRPr="002B1A08" w:rsidRDefault="002B1A08" w:rsidP="002B1A08">
          <w:pPr>
            <w:tabs>
              <w:tab w:val="right" w:leader="dot" w:pos="9350"/>
            </w:tabs>
            <w:spacing w:after="100"/>
            <w:rPr>
              <w:noProof/>
            </w:rPr>
          </w:pPr>
          <w:r w:rsidRPr="002B1A08">
            <w:rPr>
              <w:rFonts w:cs="Times New Roman"/>
              <w:kern w:val="0"/>
              <w:lang w:eastAsia="en-US"/>
              <w14:ligatures w14:val="none"/>
            </w:rPr>
            <w:fldChar w:fldCharType="begin"/>
          </w:r>
          <w:r w:rsidRPr="002B1A08">
            <w:instrText xml:space="preserve"> TOC \o "1-3" \h \z \u </w:instrText>
          </w:r>
          <w:r w:rsidRPr="002B1A08">
            <w:rPr>
              <w:rFonts w:cs="Times New Roman"/>
              <w:kern w:val="0"/>
              <w:lang w:eastAsia="en-US"/>
              <w14:ligatures w14:val="none"/>
            </w:rPr>
            <w:fldChar w:fldCharType="separate"/>
          </w:r>
          <w:hyperlink w:anchor="_Toc158925659" w:history="1">
            <w:r w:rsidRPr="002B1A08">
              <w:rPr>
                <w:rFonts w:ascii="Arial" w:hAnsi="Arial" w:cs="Arial"/>
                <w:b/>
                <w:bCs/>
                <w:noProof/>
                <w:color w:val="467886" w:themeColor="hyperlink"/>
                <w:u w:val="single"/>
                <w:bdr w:val="single" w:sz="2" w:space="0" w:color="D9D9E3" w:frame="1"/>
              </w:rPr>
              <w:t>Introduction</w:t>
            </w:r>
            <w:r w:rsidRPr="002B1A08">
              <w:rPr>
                <w:noProof/>
                <w:webHidden/>
              </w:rPr>
              <w:tab/>
            </w:r>
            <w:r w:rsidRPr="002B1A08">
              <w:rPr>
                <w:noProof/>
                <w:webHidden/>
              </w:rPr>
              <w:fldChar w:fldCharType="begin"/>
            </w:r>
            <w:r w:rsidRPr="002B1A08">
              <w:rPr>
                <w:noProof/>
                <w:webHidden/>
              </w:rPr>
              <w:instrText xml:space="preserve"> PAGEREF _Toc158925659 \h </w:instrText>
            </w:r>
            <w:r w:rsidRPr="002B1A08">
              <w:rPr>
                <w:noProof/>
                <w:webHidden/>
              </w:rPr>
            </w:r>
            <w:r w:rsidRPr="002B1A08">
              <w:rPr>
                <w:noProof/>
                <w:webHidden/>
              </w:rPr>
              <w:fldChar w:fldCharType="separate"/>
            </w:r>
            <w:r w:rsidRPr="002B1A08">
              <w:rPr>
                <w:noProof/>
                <w:webHidden/>
              </w:rPr>
              <w:t>3</w:t>
            </w:r>
            <w:r w:rsidRPr="002B1A08">
              <w:rPr>
                <w:noProof/>
                <w:webHidden/>
              </w:rPr>
              <w:fldChar w:fldCharType="end"/>
            </w:r>
          </w:hyperlink>
        </w:p>
        <w:p w14:paraId="29112D2D" w14:textId="77777777" w:rsidR="002B1A08" w:rsidRPr="002B1A08" w:rsidRDefault="00000000" w:rsidP="002B1A08">
          <w:pPr>
            <w:tabs>
              <w:tab w:val="right" w:leader="dot" w:pos="9350"/>
            </w:tabs>
            <w:spacing w:after="100"/>
            <w:rPr>
              <w:noProof/>
            </w:rPr>
          </w:pPr>
          <w:hyperlink w:anchor="_Toc158925660" w:history="1">
            <w:r w:rsidR="002B1A08" w:rsidRPr="002B1A08">
              <w:rPr>
                <w:rFonts w:ascii="Arial" w:hAnsi="Arial" w:cs="Arial"/>
                <w:b/>
                <w:bCs/>
                <w:noProof/>
                <w:color w:val="467886" w:themeColor="hyperlink"/>
                <w:u w:val="single"/>
              </w:rPr>
              <w:t>Introduction to concepts</w:t>
            </w:r>
            <w:r w:rsidR="002B1A08" w:rsidRPr="002B1A08">
              <w:rPr>
                <w:noProof/>
                <w:webHidden/>
              </w:rPr>
              <w:tab/>
            </w:r>
            <w:r w:rsidR="002B1A08" w:rsidRPr="002B1A08">
              <w:rPr>
                <w:noProof/>
                <w:webHidden/>
              </w:rPr>
              <w:fldChar w:fldCharType="begin"/>
            </w:r>
            <w:r w:rsidR="002B1A08" w:rsidRPr="002B1A08">
              <w:rPr>
                <w:noProof/>
                <w:webHidden/>
              </w:rPr>
              <w:instrText xml:space="preserve"> PAGEREF _Toc158925660 \h </w:instrText>
            </w:r>
            <w:r w:rsidR="002B1A08" w:rsidRPr="002B1A08">
              <w:rPr>
                <w:noProof/>
                <w:webHidden/>
              </w:rPr>
            </w:r>
            <w:r w:rsidR="002B1A08" w:rsidRPr="002B1A08">
              <w:rPr>
                <w:noProof/>
                <w:webHidden/>
              </w:rPr>
              <w:fldChar w:fldCharType="separate"/>
            </w:r>
            <w:r w:rsidR="002B1A08" w:rsidRPr="002B1A08">
              <w:rPr>
                <w:noProof/>
                <w:webHidden/>
              </w:rPr>
              <w:t>4</w:t>
            </w:r>
            <w:r w:rsidR="002B1A08" w:rsidRPr="002B1A08">
              <w:rPr>
                <w:noProof/>
                <w:webHidden/>
              </w:rPr>
              <w:fldChar w:fldCharType="end"/>
            </w:r>
          </w:hyperlink>
        </w:p>
        <w:p w14:paraId="12FEEB45" w14:textId="7FF2DAB5" w:rsidR="002B1A08" w:rsidRPr="002B1A08" w:rsidRDefault="00000000" w:rsidP="002B1A08">
          <w:pPr>
            <w:tabs>
              <w:tab w:val="right" w:leader="dot" w:pos="9350"/>
            </w:tabs>
            <w:spacing w:after="100"/>
            <w:rPr>
              <w:noProof/>
            </w:rPr>
          </w:pPr>
          <w:hyperlink w:anchor="_Toc158925661" w:history="1">
            <w:r w:rsidR="002B1A08" w:rsidRPr="002B1A08">
              <w:rPr>
                <w:rFonts w:ascii="Arial" w:hAnsi="Arial" w:cs="Arial"/>
                <w:b/>
                <w:bCs/>
                <w:noProof/>
                <w:color w:val="467886" w:themeColor="hyperlink"/>
                <w:u w:val="single"/>
              </w:rPr>
              <w:t>GOAL A</w:t>
            </w:r>
            <w:r w:rsidR="002B1A08" w:rsidRPr="002B1A08">
              <w:rPr>
                <w:noProof/>
                <w:webHidden/>
              </w:rPr>
              <w:tab/>
            </w:r>
            <w:r w:rsidR="00B94632">
              <w:rPr>
                <w:noProof/>
                <w:webHidden/>
              </w:rPr>
              <w:t>6</w:t>
            </w:r>
          </w:hyperlink>
        </w:p>
        <w:p w14:paraId="58947A53" w14:textId="54B02DBB" w:rsidR="002B1A08" w:rsidRPr="002B1A08" w:rsidRDefault="00000000" w:rsidP="002B1A08">
          <w:pPr>
            <w:tabs>
              <w:tab w:val="right" w:leader="dot" w:pos="9350"/>
            </w:tabs>
            <w:spacing w:after="100"/>
            <w:rPr>
              <w:noProof/>
            </w:rPr>
          </w:pPr>
          <w:hyperlink w:anchor="_Toc158925662" w:history="1">
            <w:r w:rsidR="002B1A08" w:rsidRPr="002B1A08">
              <w:rPr>
                <w:rFonts w:ascii="Arial" w:hAnsi="Arial" w:cs="Arial"/>
                <w:b/>
                <w:bCs/>
                <w:noProof/>
                <w:color w:val="467886" w:themeColor="hyperlink"/>
                <w:u w:val="single"/>
              </w:rPr>
              <w:t>Gender equality</w:t>
            </w:r>
            <w:r w:rsidR="002B1A08" w:rsidRPr="002B1A08">
              <w:rPr>
                <w:b/>
                <w:bCs/>
                <w:noProof/>
                <w:color w:val="467886" w:themeColor="hyperlink"/>
                <w:u w:val="single"/>
              </w:rPr>
              <w:t>:</w:t>
            </w:r>
            <w:r w:rsidR="002B1A08" w:rsidRPr="002B1A08">
              <w:rPr>
                <w:noProof/>
                <w:webHidden/>
              </w:rPr>
              <w:tab/>
            </w:r>
            <w:r w:rsidR="00B94632">
              <w:rPr>
                <w:noProof/>
                <w:webHidden/>
              </w:rPr>
              <w:t>6</w:t>
            </w:r>
          </w:hyperlink>
        </w:p>
        <w:p w14:paraId="5325AE33" w14:textId="32673783" w:rsidR="002B1A08" w:rsidRPr="002B1A08" w:rsidRDefault="00000000" w:rsidP="002B1A08">
          <w:pPr>
            <w:tabs>
              <w:tab w:val="right" w:leader="dot" w:pos="9350"/>
            </w:tabs>
            <w:spacing w:after="100"/>
            <w:rPr>
              <w:noProof/>
            </w:rPr>
          </w:pPr>
          <w:hyperlink w:anchor="_Toc158925663" w:history="1">
            <w:r w:rsidR="002B1A08" w:rsidRPr="002B1A08">
              <w:rPr>
                <w:rFonts w:ascii="Arial" w:hAnsi="Arial" w:cs="Arial"/>
                <w:b/>
                <w:bCs/>
                <w:noProof/>
                <w:color w:val="467886" w:themeColor="hyperlink"/>
                <w:u w:val="single"/>
              </w:rPr>
              <w:t>B. Identify UK strategies, programmes, or initiatives:</w:t>
            </w:r>
            <w:r w:rsidR="002B1A08" w:rsidRPr="002B1A08">
              <w:rPr>
                <w:noProof/>
                <w:webHidden/>
              </w:rPr>
              <w:tab/>
            </w:r>
            <w:r w:rsidR="00AA4F2D">
              <w:rPr>
                <w:noProof/>
                <w:webHidden/>
              </w:rPr>
              <w:t>6</w:t>
            </w:r>
          </w:hyperlink>
        </w:p>
        <w:p w14:paraId="6798B184" w14:textId="16AED8B3" w:rsidR="002B1A08" w:rsidRPr="002B1A08" w:rsidRDefault="00000000" w:rsidP="002B1A08">
          <w:pPr>
            <w:tabs>
              <w:tab w:val="right" w:leader="dot" w:pos="9350"/>
            </w:tabs>
            <w:spacing w:after="100"/>
            <w:ind w:left="240"/>
            <w:rPr>
              <w:noProof/>
            </w:rPr>
          </w:pPr>
          <w:hyperlink w:anchor="_Toc158925664" w:history="1">
            <w:r w:rsidR="002B1A08" w:rsidRPr="002B1A08">
              <w:rPr>
                <w:rFonts w:ascii="Arial" w:hAnsi="Arial" w:cs="Arial"/>
                <w:b/>
                <w:bCs/>
                <w:noProof/>
                <w:color w:val="467886" w:themeColor="hyperlink"/>
                <w:u w:val="single"/>
              </w:rPr>
              <w:t>C. Critically review the strategies, programmes, or initiatives:</w:t>
            </w:r>
            <w:r w:rsidR="002B1A08" w:rsidRPr="002B1A08">
              <w:rPr>
                <w:noProof/>
                <w:webHidden/>
              </w:rPr>
              <w:tab/>
            </w:r>
            <w:r w:rsidR="00AA4F2D">
              <w:rPr>
                <w:noProof/>
                <w:webHidden/>
              </w:rPr>
              <w:t>6</w:t>
            </w:r>
          </w:hyperlink>
        </w:p>
        <w:p w14:paraId="67DF10BC" w14:textId="6230D744" w:rsidR="002B1A08" w:rsidRPr="002B1A08" w:rsidRDefault="00000000" w:rsidP="002B1A08">
          <w:pPr>
            <w:tabs>
              <w:tab w:val="right" w:leader="dot" w:pos="9350"/>
            </w:tabs>
            <w:spacing w:after="100"/>
            <w:rPr>
              <w:noProof/>
            </w:rPr>
          </w:pPr>
          <w:hyperlink w:anchor="_Toc158925665" w:history="1">
            <w:r w:rsidR="002B1A08" w:rsidRPr="002B1A08">
              <w:rPr>
                <w:rFonts w:ascii="Arial" w:hAnsi="Arial" w:cs="Arial"/>
                <w:b/>
                <w:bCs/>
                <w:noProof/>
                <w:color w:val="467886" w:themeColor="hyperlink"/>
                <w:u w:val="single"/>
              </w:rPr>
              <w:t>D. Evaluate the progress made by the UK government:</w:t>
            </w:r>
            <w:r w:rsidR="002B1A08" w:rsidRPr="002B1A08">
              <w:rPr>
                <w:noProof/>
                <w:webHidden/>
              </w:rPr>
              <w:tab/>
            </w:r>
            <w:r w:rsidR="00AA4F2D">
              <w:rPr>
                <w:noProof/>
                <w:webHidden/>
              </w:rPr>
              <w:t>7</w:t>
            </w:r>
          </w:hyperlink>
        </w:p>
        <w:p w14:paraId="7391D8D5" w14:textId="7342FB4A" w:rsidR="002B1A08" w:rsidRPr="002B1A08" w:rsidRDefault="00000000" w:rsidP="002B1A08">
          <w:pPr>
            <w:tabs>
              <w:tab w:val="right" w:leader="dot" w:pos="9350"/>
            </w:tabs>
            <w:spacing w:after="100"/>
            <w:rPr>
              <w:noProof/>
            </w:rPr>
          </w:pPr>
          <w:hyperlink w:anchor="_Toc158925666" w:history="1">
            <w:r w:rsidR="002B1A08" w:rsidRPr="002B1A08">
              <w:rPr>
                <w:rFonts w:cstheme="minorHAnsi"/>
                <w:b/>
                <w:bCs/>
                <w:noProof/>
                <w:color w:val="467886" w:themeColor="hyperlink"/>
                <w:u w:val="single"/>
              </w:rPr>
              <w:t>E. Critically examine the impact on health, wellbeing, and sustainable development:…………………………………………………………………………………………………</w:t>
            </w:r>
            <w:r w:rsidR="00AA4F2D">
              <w:rPr>
                <w:noProof/>
                <w:webHidden/>
              </w:rPr>
              <w:t>7</w:t>
            </w:r>
          </w:hyperlink>
        </w:p>
        <w:p w14:paraId="3D3849BB" w14:textId="39D39D32" w:rsidR="002B1A08" w:rsidRPr="002B1A08" w:rsidRDefault="00000000" w:rsidP="002B1A08">
          <w:pPr>
            <w:tabs>
              <w:tab w:val="right" w:leader="dot" w:pos="9350"/>
            </w:tabs>
            <w:spacing w:after="100"/>
            <w:rPr>
              <w:noProof/>
            </w:rPr>
          </w:pPr>
          <w:hyperlink w:anchor="_Toc158925667" w:history="1">
            <w:r w:rsidR="002B1A08" w:rsidRPr="002B1A08">
              <w:rPr>
                <w:rFonts w:ascii="Arial" w:hAnsi="Arial" w:cs="Arial"/>
                <w:b/>
                <w:bCs/>
                <w:noProof/>
                <w:color w:val="467886" w:themeColor="hyperlink"/>
                <w:u w:val="single"/>
              </w:rPr>
              <w:t>F. Examine the challenges in implementing this goal:</w:t>
            </w:r>
            <w:r w:rsidR="002B1A08" w:rsidRPr="002B1A08">
              <w:rPr>
                <w:noProof/>
                <w:webHidden/>
              </w:rPr>
              <w:tab/>
            </w:r>
            <w:r w:rsidR="00AA4F2D">
              <w:rPr>
                <w:noProof/>
                <w:webHidden/>
              </w:rPr>
              <w:t>7</w:t>
            </w:r>
          </w:hyperlink>
        </w:p>
        <w:p w14:paraId="33716992" w14:textId="3C53AC3E" w:rsidR="002B1A08" w:rsidRPr="002B1A08" w:rsidRDefault="00000000" w:rsidP="002B1A08">
          <w:pPr>
            <w:tabs>
              <w:tab w:val="right" w:leader="dot" w:pos="9350"/>
            </w:tabs>
            <w:spacing w:after="100"/>
            <w:rPr>
              <w:noProof/>
            </w:rPr>
          </w:pPr>
          <w:hyperlink w:anchor="_Toc158925668" w:history="1">
            <w:r w:rsidR="002B1A08" w:rsidRPr="002B1A08">
              <w:rPr>
                <w:rFonts w:ascii="Arial" w:hAnsi="Arial" w:cs="Arial"/>
                <w:b/>
                <w:bCs/>
                <w:noProof/>
                <w:color w:val="467886" w:themeColor="hyperlink"/>
                <w:u w:val="single"/>
              </w:rPr>
              <w:t>G. Provide recommendations for achieving this goal:</w:t>
            </w:r>
            <w:r w:rsidR="002B1A08" w:rsidRPr="002B1A08">
              <w:rPr>
                <w:noProof/>
                <w:webHidden/>
              </w:rPr>
              <w:tab/>
            </w:r>
            <w:r w:rsidR="00AA4F2D">
              <w:rPr>
                <w:noProof/>
                <w:webHidden/>
              </w:rPr>
              <w:t>7</w:t>
            </w:r>
          </w:hyperlink>
        </w:p>
        <w:p w14:paraId="20EBC954" w14:textId="315A3669" w:rsidR="002B1A08" w:rsidRPr="002B1A08" w:rsidRDefault="00000000" w:rsidP="002B1A08">
          <w:pPr>
            <w:tabs>
              <w:tab w:val="right" w:leader="dot" w:pos="9350"/>
            </w:tabs>
            <w:spacing w:after="100"/>
            <w:rPr>
              <w:noProof/>
            </w:rPr>
          </w:pPr>
          <w:hyperlink w:anchor="_Toc158925669" w:history="1">
            <w:r w:rsidR="002B1A08" w:rsidRPr="002B1A08">
              <w:rPr>
                <w:rFonts w:ascii="Arial" w:hAnsi="Arial" w:cs="Arial"/>
                <w:b/>
                <w:bCs/>
                <w:noProof/>
                <w:color w:val="467886" w:themeColor="hyperlink"/>
                <w:u w:val="single"/>
                <w:bdr w:val="single" w:sz="2" w:space="0" w:color="D9D9E3" w:frame="1"/>
              </w:rPr>
              <w:t>Goal B: Reduced Inequalities</w:t>
            </w:r>
            <w:r w:rsidR="002B1A08" w:rsidRPr="002B1A08">
              <w:rPr>
                <w:noProof/>
                <w:webHidden/>
              </w:rPr>
              <w:tab/>
            </w:r>
            <w:r w:rsidR="00AA4F2D">
              <w:rPr>
                <w:noProof/>
                <w:webHidden/>
              </w:rPr>
              <w:t>9</w:t>
            </w:r>
          </w:hyperlink>
        </w:p>
        <w:p w14:paraId="10975357" w14:textId="52E44491" w:rsidR="002B1A08" w:rsidRPr="002B1A08" w:rsidRDefault="00000000" w:rsidP="002B1A08">
          <w:pPr>
            <w:tabs>
              <w:tab w:val="right" w:leader="dot" w:pos="9350"/>
            </w:tabs>
            <w:spacing w:after="100"/>
            <w:rPr>
              <w:noProof/>
            </w:rPr>
          </w:pPr>
          <w:hyperlink w:anchor="_Toc158925670" w:history="1">
            <w:r w:rsidR="002B1A08" w:rsidRPr="002B1A08">
              <w:rPr>
                <w:rFonts w:ascii="Arial" w:hAnsi="Arial" w:cs="Arial"/>
                <w:b/>
                <w:bCs/>
                <w:noProof/>
                <w:color w:val="467886" w:themeColor="hyperlink"/>
                <w:u w:val="single"/>
                <w:bdr w:val="single" w:sz="2" w:space="0" w:color="D9D9E3" w:frame="1"/>
              </w:rPr>
              <w:t>1. Reduced inequalities:</w:t>
            </w:r>
            <w:r w:rsidR="002B1A08" w:rsidRPr="002B1A08">
              <w:rPr>
                <w:noProof/>
                <w:webHidden/>
              </w:rPr>
              <w:tab/>
            </w:r>
            <w:r w:rsidR="00AA4F2D">
              <w:rPr>
                <w:noProof/>
                <w:webHidden/>
              </w:rPr>
              <w:t>9</w:t>
            </w:r>
          </w:hyperlink>
        </w:p>
        <w:p w14:paraId="1864F072" w14:textId="73011FFF" w:rsidR="002B1A08" w:rsidRPr="002B1A08" w:rsidRDefault="00000000" w:rsidP="002B1A08">
          <w:pPr>
            <w:tabs>
              <w:tab w:val="right" w:leader="dot" w:pos="9350"/>
            </w:tabs>
            <w:spacing w:after="100"/>
            <w:rPr>
              <w:noProof/>
            </w:rPr>
          </w:pPr>
          <w:hyperlink w:anchor="_Toc158925671" w:history="1">
            <w:r w:rsidR="002B1A08" w:rsidRPr="002B1A08">
              <w:rPr>
                <w:rFonts w:ascii="Arial" w:hAnsi="Arial" w:cs="Arial"/>
                <w:b/>
                <w:bCs/>
                <w:noProof/>
                <w:color w:val="467886" w:themeColor="hyperlink"/>
                <w:u w:val="single"/>
                <w:bdr w:val="single" w:sz="2" w:space="0" w:color="D9D9E3" w:frame="1"/>
              </w:rPr>
              <w:t>2. Identify 2 UK strategies, programmes, or initiatives:</w:t>
            </w:r>
            <w:r w:rsidR="002B1A08" w:rsidRPr="002B1A08">
              <w:rPr>
                <w:noProof/>
                <w:webHidden/>
              </w:rPr>
              <w:tab/>
            </w:r>
            <w:r w:rsidR="00AA4F2D">
              <w:rPr>
                <w:noProof/>
                <w:webHidden/>
              </w:rPr>
              <w:t>9</w:t>
            </w:r>
          </w:hyperlink>
        </w:p>
        <w:p w14:paraId="736915F6" w14:textId="36713A46" w:rsidR="002B1A08" w:rsidRPr="002B1A08" w:rsidRDefault="00000000" w:rsidP="002B1A08">
          <w:pPr>
            <w:tabs>
              <w:tab w:val="right" w:leader="dot" w:pos="9350"/>
            </w:tabs>
            <w:spacing w:after="100"/>
            <w:rPr>
              <w:noProof/>
            </w:rPr>
          </w:pPr>
          <w:hyperlink w:anchor="_Toc158925672" w:history="1">
            <w:r w:rsidR="002B1A08" w:rsidRPr="002B1A08">
              <w:rPr>
                <w:rFonts w:ascii="Arial" w:hAnsi="Arial" w:cs="Arial"/>
                <w:b/>
                <w:bCs/>
                <w:noProof/>
                <w:color w:val="467886" w:themeColor="hyperlink"/>
                <w:u w:val="single"/>
              </w:rPr>
              <w:t>a. Equalities Office and Equality Act 2010:</w:t>
            </w:r>
            <w:r w:rsidR="002B1A08" w:rsidRPr="002B1A08">
              <w:rPr>
                <w:noProof/>
                <w:webHidden/>
              </w:rPr>
              <w:tab/>
            </w:r>
            <w:r w:rsidR="00AA4F2D">
              <w:rPr>
                <w:noProof/>
                <w:webHidden/>
              </w:rPr>
              <w:t>10</w:t>
            </w:r>
          </w:hyperlink>
        </w:p>
        <w:p w14:paraId="217C6253" w14:textId="4716539C" w:rsidR="002B1A08" w:rsidRPr="002B1A08" w:rsidRDefault="00000000" w:rsidP="002B1A08">
          <w:pPr>
            <w:tabs>
              <w:tab w:val="right" w:leader="dot" w:pos="9350"/>
            </w:tabs>
            <w:spacing w:after="100"/>
            <w:rPr>
              <w:noProof/>
            </w:rPr>
          </w:pPr>
          <w:hyperlink w:anchor="_Toc158925673" w:history="1">
            <w:r w:rsidR="002B1A08" w:rsidRPr="002B1A08">
              <w:rPr>
                <w:rFonts w:ascii="Arial" w:hAnsi="Arial" w:cs="Arial"/>
                <w:b/>
                <w:bCs/>
                <w:noProof/>
                <w:color w:val="467886" w:themeColor="hyperlink"/>
                <w:u w:val="single"/>
              </w:rPr>
              <w:t>b. Social Mobility Commission:</w:t>
            </w:r>
            <w:r w:rsidR="002B1A08" w:rsidRPr="002B1A08">
              <w:rPr>
                <w:noProof/>
                <w:webHidden/>
              </w:rPr>
              <w:tab/>
            </w:r>
            <w:r w:rsidR="00AA4F2D">
              <w:rPr>
                <w:noProof/>
                <w:webHidden/>
              </w:rPr>
              <w:t>10</w:t>
            </w:r>
          </w:hyperlink>
        </w:p>
        <w:p w14:paraId="3BD4C99E" w14:textId="662B677F" w:rsidR="002B1A08" w:rsidRPr="002B1A08" w:rsidRDefault="00000000" w:rsidP="002B1A08">
          <w:pPr>
            <w:tabs>
              <w:tab w:val="right" w:leader="dot" w:pos="9350"/>
            </w:tabs>
            <w:spacing w:after="100"/>
            <w:rPr>
              <w:noProof/>
            </w:rPr>
          </w:pPr>
          <w:hyperlink w:anchor="_Toc158925674" w:history="1">
            <w:r w:rsidR="002B1A08" w:rsidRPr="002B1A08">
              <w:rPr>
                <w:rFonts w:ascii="Arial" w:hAnsi="Arial" w:cs="Arial"/>
                <w:b/>
                <w:bCs/>
                <w:noProof/>
                <w:color w:val="467886" w:themeColor="hyperlink"/>
                <w:u w:val="single"/>
                <w:bdr w:val="single" w:sz="2" w:space="0" w:color="D9D9E3" w:frame="1"/>
              </w:rPr>
              <w:t>3. Critically review the strategies, programmes, or initiatives:</w:t>
            </w:r>
            <w:r w:rsidR="002B1A08" w:rsidRPr="002B1A08">
              <w:rPr>
                <w:noProof/>
                <w:webHidden/>
              </w:rPr>
              <w:tab/>
            </w:r>
            <w:r w:rsidR="00AA4F2D">
              <w:rPr>
                <w:noProof/>
                <w:webHidden/>
              </w:rPr>
              <w:t>10</w:t>
            </w:r>
          </w:hyperlink>
        </w:p>
        <w:p w14:paraId="6D478677" w14:textId="734B54F2" w:rsidR="002B1A08" w:rsidRPr="002B1A08" w:rsidRDefault="00000000" w:rsidP="002B1A08">
          <w:pPr>
            <w:tabs>
              <w:tab w:val="right" w:leader="dot" w:pos="9350"/>
            </w:tabs>
            <w:spacing w:after="100"/>
            <w:rPr>
              <w:noProof/>
            </w:rPr>
          </w:pPr>
          <w:hyperlink w:anchor="_Toc158925675" w:history="1">
            <w:r w:rsidR="002B1A08" w:rsidRPr="002B1A08">
              <w:rPr>
                <w:rFonts w:ascii="Arial" w:hAnsi="Arial" w:cs="Arial"/>
                <w:b/>
                <w:bCs/>
                <w:noProof/>
                <w:color w:val="467886" w:themeColor="hyperlink"/>
                <w:u w:val="single"/>
              </w:rPr>
              <w:t>4. Evaluate the progress made so far by the UK government in implementing this goal</w:t>
            </w:r>
            <w:r w:rsidR="002B1A08" w:rsidRPr="002B1A08">
              <w:rPr>
                <w:noProof/>
                <w:webHidden/>
              </w:rPr>
              <w:tab/>
            </w:r>
            <w:r w:rsidR="00AA4F2D">
              <w:rPr>
                <w:noProof/>
                <w:webHidden/>
              </w:rPr>
              <w:t>11</w:t>
            </w:r>
          </w:hyperlink>
        </w:p>
        <w:p w14:paraId="6BFE7BCA" w14:textId="7AA08A06" w:rsidR="002B1A08" w:rsidRPr="002B1A08" w:rsidRDefault="00000000" w:rsidP="002B1A08">
          <w:pPr>
            <w:tabs>
              <w:tab w:val="right" w:leader="dot" w:pos="9350"/>
            </w:tabs>
            <w:spacing w:after="100"/>
            <w:rPr>
              <w:noProof/>
            </w:rPr>
          </w:pPr>
          <w:hyperlink w:anchor="_Toc158925676" w:history="1">
            <w:r w:rsidR="002B1A08" w:rsidRPr="002B1A08">
              <w:rPr>
                <w:rFonts w:ascii="Arial" w:hAnsi="Arial" w:cs="Arial"/>
                <w:b/>
                <w:bCs/>
                <w:noProof/>
                <w:color w:val="467886" w:themeColor="hyperlink"/>
                <w:u w:val="single"/>
                <w:bdr w:val="single" w:sz="2" w:space="0" w:color="D9D9E3" w:frame="1"/>
              </w:rPr>
              <w:t>5. Critically examine the impact of the implementation of this goal on health, wellbeing, and sustainable development within the present healthcare in the UK:</w:t>
            </w:r>
            <w:r w:rsidR="002B1A08" w:rsidRPr="002B1A08">
              <w:rPr>
                <w:noProof/>
                <w:webHidden/>
              </w:rPr>
              <w:tab/>
            </w:r>
            <w:r w:rsidR="00AA4F2D">
              <w:rPr>
                <w:noProof/>
                <w:webHidden/>
              </w:rPr>
              <w:t>11</w:t>
            </w:r>
          </w:hyperlink>
        </w:p>
        <w:p w14:paraId="1CDFD844" w14:textId="7B775E0D" w:rsidR="002B1A08" w:rsidRPr="002B1A08" w:rsidRDefault="00000000" w:rsidP="002B1A08">
          <w:pPr>
            <w:tabs>
              <w:tab w:val="right" w:leader="dot" w:pos="9350"/>
            </w:tabs>
            <w:spacing w:after="100"/>
            <w:rPr>
              <w:noProof/>
            </w:rPr>
          </w:pPr>
          <w:hyperlink w:anchor="_Toc158925677" w:history="1">
            <w:r w:rsidR="002B1A08" w:rsidRPr="002B1A08">
              <w:rPr>
                <w:rFonts w:ascii="Arial" w:hAnsi="Arial" w:cs="Arial"/>
                <w:b/>
                <w:bCs/>
                <w:noProof/>
                <w:color w:val="467886" w:themeColor="hyperlink"/>
                <w:u w:val="single"/>
                <w:bdr w:val="single" w:sz="2" w:space="0" w:color="D9D9E3" w:frame="1"/>
              </w:rPr>
              <w:t>6. Examine the challenges in implementing this goal:</w:t>
            </w:r>
            <w:r w:rsidR="002B1A08" w:rsidRPr="002B1A08">
              <w:rPr>
                <w:noProof/>
                <w:webHidden/>
              </w:rPr>
              <w:tab/>
            </w:r>
            <w:r w:rsidR="00AA4F2D">
              <w:rPr>
                <w:noProof/>
                <w:webHidden/>
              </w:rPr>
              <w:t>12</w:t>
            </w:r>
          </w:hyperlink>
        </w:p>
        <w:p w14:paraId="52786120" w14:textId="0D772E26" w:rsidR="002B1A08" w:rsidRPr="002B1A08" w:rsidRDefault="00000000" w:rsidP="002B1A08">
          <w:pPr>
            <w:tabs>
              <w:tab w:val="right" w:leader="dot" w:pos="9350"/>
            </w:tabs>
            <w:spacing w:after="100"/>
            <w:rPr>
              <w:noProof/>
            </w:rPr>
          </w:pPr>
          <w:hyperlink w:anchor="_Toc158925678" w:history="1">
            <w:r w:rsidR="002B1A08" w:rsidRPr="002B1A08">
              <w:rPr>
                <w:rFonts w:ascii="Arial" w:hAnsi="Arial" w:cs="Arial"/>
                <w:b/>
                <w:bCs/>
                <w:noProof/>
                <w:color w:val="467886" w:themeColor="hyperlink"/>
                <w:u w:val="single"/>
                <w:bdr w:val="single" w:sz="2" w:space="0" w:color="D9D9E3" w:frame="1"/>
              </w:rPr>
              <w:t>7. Provide recommendations for achieving this goal with supporting evidence:</w:t>
            </w:r>
            <w:r w:rsidR="002B1A08" w:rsidRPr="002B1A08">
              <w:rPr>
                <w:noProof/>
                <w:webHidden/>
              </w:rPr>
              <w:tab/>
            </w:r>
            <w:r w:rsidR="00AA4F2D">
              <w:rPr>
                <w:noProof/>
                <w:webHidden/>
              </w:rPr>
              <w:t>12</w:t>
            </w:r>
          </w:hyperlink>
        </w:p>
        <w:p w14:paraId="6F32D9D8" w14:textId="026CAA1D" w:rsidR="002B1A08" w:rsidRPr="002B1A08" w:rsidRDefault="00000000" w:rsidP="002B1A08">
          <w:pPr>
            <w:tabs>
              <w:tab w:val="right" w:leader="dot" w:pos="9350"/>
            </w:tabs>
            <w:spacing w:after="100"/>
            <w:rPr>
              <w:noProof/>
            </w:rPr>
          </w:pPr>
          <w:hyperlink w:anchor="_Toc158925680" w:history="1">
            <w:r w:rsidR="002B1A08" w:rsidRPr="002B1A08">
              <w:rPr>
                <w:rFonts w:ascii="Arial" w:hAnsi="Arial" w:cs="Arial"/>
                <w:b/>
                <w:bCs/>
                <w:noProof/>
                <w:color w:val="467886" w:themeColor="hyperlink"/>
                <w:u w:val="single"/>
              </w:rPr>
              <w:t>CONCLUSION</w:t>
            </w:r>
            <w:r w:rsidR="002B1A08" w:rsidRPr="002B1A08">
              <w:rPr>
                <w:noProof/>
                <w:webHidden/>
              </w:rPr>
              <w:tab/>
              <w:t>1</w:t>
            </w:r>
            <w:r w:rsidR="007D28D2">
              <w:rPr>
                <w:noProof/>
                <w:webHidden/>
              </w:rPr>
              <w:t>4</w:t>
            </w:r>
          </w:hyperlink>
        </w:p>
        <w:p w14:paraId="0CDC2FC7" w14:textId="3BD97981" w:rsidR="002B1A08" w:rsidRPr="002B1A08" w:rsidRDefault="00000000" w:rsidP="002B1A08">
          <w:pPr>
            <w:tabs>
              <w:tab w:val="right" w:leader="dot" w:pos="9350"/>
            </w:tabs>
            <w:spacing w:after="100"/>
            <w:rPr>
              <w:noProof/>
            </w:rPr>
          </w:pPr>
          <w:hyperlink w:anchor="_Toc158925681" w:history="1">
            <w:r w:rsidR="002B1A08" w:rsidRPr="002B1A08">
              <w:rPr>
                <w:rFonts w:ascii="Arial" w:hAnsi="Arial" w:cs="Arial"/>
                <w:b/>
                <w:bCs/>
                <w:noProof/>
                <w:color w:val="467886" w:themeColor="hyperlink"/>
                <w:u w:val="single"/>
              </w:rPr>
              <w:t>REFERENCES LIST</w:t>
            </w:r>
            <w:r w:rsidR="002B1A08" w:rsidRPr="002B1A08">
              <w:rPr>
                <w:noProof/>
                <w:webHidden/>
              </w:rPr>
              <w:tab/>
            </w:r>
            <w:r w:rsidR="00E4461E">
              <w:rPr>
                <w:noProof/>
                <w:webHidden/>
              </w:rPr>
              <w:t>16</w:t>
            </w:r>
          </w:hyperlink>
        </w:p>
        <w:p w14:paraId="7621A5F4" w14:textId="77777777" w:rsidR="002B1A08" w:rsidRPr="002B1A08" w:rsidRDefault="002B1A08" w:rsidP="002B1A08">
          <w:pPr>
            <w:spacing w:line="360" w:lineRule="auto"/>
            <w:jc w:val="both"/>
            <w:rPr>
              <w:b/>
              <w:bCs/>
              <w:noProof/>
            </w:rPr>
          </w:pPr>
          <w:r w:rsidRPr="002B1A08">
            <w:rPr>
              <w:b/>
              <w:bCs/>
              <w:noProof/>
            </w:rPr>
            <w:fldChar w:fldCharType="end"/>
          </w:r>
        </w:p>
      </w:sdtContent>
    </w:sdt>
    <w:bookmarkStart w:id="0" w:name="_Toc158924758" w:displacedByCustomXml="prev"/>
    <w:bookmarkStart w:id="1" w:name="_Toc158924680" w:displacedByCustomXml="prev"/>
    <w:bookmarkStart w:id="2" w:name="_Toc158648532" w:displacedByCustomXml="prev"/>
    <w:bookmarkStart w:id="3" w:name="_Toc158647846" w:displacedByCustomXml="prev"/>
    <w:p w14:paraId="03E8787B" w14:textId="77777777" w:rsidR="002B1A08" w:rsidRPr="002B1A08" w:rsidRDefault="002B1A08" w:rsidP="002B1A08">
      <w:pPr>
        <w:spacing w:line="360" w:lineRule="auto"/>
        <w:jc w:val="both"/>
        <w:rPr>
          <w:rFonts w:ascii="Arial" w:hAnsi="Arial" w:cs="Arial"/>
          <w:b/>
          <w:bCs/>
        </w:rPr>
      </w:pPr>
      <w:r w:rsidRPr="002B1A08">
        <w:rPr>
          <w:rFonts w:ascii="Arial" w:hAnsi="Arial" w:cs="Arial"/>
          <w:b/>
          <w:bCs/>
        </w:rPr>
        <w:lastRenderedPageBreak/>
        <w:t>Introduction</w:t>
      </w:r>
      <w:bookmarkEnd w:id="3"/>
      <w:bookmarkEnd w:id="2"/>
      <w:bookmarkEnd w:id="1"/>
      <w:bookmarkEnd w:id="0"/>
    </w:p>
    <w:p w14:paraId="0862BD76" w14:textId="77777777" w:rsidR="002B1A08" w:rsidRPr="002B1A08" w:rsidRDefault="002B1A08" w:rsidP="002B1A08">
      <w:pPr>
        <w:spacing w:line="360" w:lineRule="auto"/>
        <w:jc w:val="both"/>
        <w:rPr>
          <w:rFonts w:ascii="Arial" w:hAnsi="Arial" w:cs="Arial"/>
        </w:rPr>
      </w:pPr>
      <w:r w:rsidRPr="002B1A08">
        <w:rPr>
          <w:rFonts w:ascii="Arial" w:hAnsi="Arial" w:cs="Arial"/>
        </w:rPr>
        <w:t>As The NHS Chief, the pursuit of Sustainable Development Goals (SDGs) stands as a cornerstone in the global commitment to fostering a healthier, more equitable, and sustainable future for all (United Nations, 2015). In the United Kingdom, the dedication to these goals is emblematic of a collective vision for societal progress that extends beyond borders. This report undertakes a comprehensive examination of the progress and challenges inherent in the UK's relentless pursuit of two pivotal SDGs: Goal A (SDG 5-Gender Equality) and Goal B (SDG 10- Reduced Inequalities).</w:t>
      </w:r>
    </w:p>
    <w:p w14:paraId="4F0B02E0" w14:textId="77777777" w:rsidR="002B1A08" w:rsidRPr="002B1A08" w:rsidRDefault="002B1A08" w:rsidP="002B1A08">
      <w:pPr>
        <w:spacing w:line="360" w:lineRule="auto"/>
        <w:jc w:val="both"/>
        <w:rPr>
          <w:rFonts w:ascii="Arial" w:hAnsi="Arial" w:cs="Arial"/>
        </w:rPr>
      </w:pPr>
      <w:r w:rsidRPr="002B1A08">
        <w:rPr>
          <w:rFonts w:ascii="Arial" w:hAnsi="Arial" w:cs="Arial"/>
        </w:rPr>
        <w:t>Within the intricate tapestry of societal development, gender equality emerges as a bedrock principle that transcends mere policy frameworks (Sen, 1999). It embodies the fundamental notion that every individual, regardless of gender identity, should have equal rights, opportunities, and treatment. Beyond being a matter of social justice, gender equality is intrinsically linked to the overarching wellbeing of the population (Subrahmanian, 2005). It influences the distribution of resources, shapes educational and professional pathways, and resonates throughout communities, fundamentally shaping the health and happiness of individuals.</w:t>
      </w:r>
    </w:p>
    <w:p w14:paraId="747A2F40" w14:textId="77777777" w:rsidR="002B1A08" w:rsidRPr="002B1A08" w:rsidRDefault="002B1A08" w:rsidP="002B1A08">
      <w:pPr>
        <w:spacing w:line="360" w:lineRule="auto"/>
        <w:jc w:val="both"/>
        <w:rPr>
          <w:rFonts w:ascii="Arial" w:hAnsi="Arial" w:cs="Arial"/>
        </w:rPr>
      </w:pPr>
      <w:r w:rsidRPr="002B1A08">
        <w:rPr>
          <w:rFonts w:ascii="Arial" w:hAnsi="Arial" w:cs="Arial"/>
        </w:rPr>
        <w:t>Similarly, the commitment to Goal B (SDG 10- Reduce inequality) - the reduction of inequalities - mirrors the nation's resolve to confront and dismantle systemic disparities across various spectra (United Nations, 2015). Whether rooted in economic structures, educational access, or healthcare services, the reduction of inequalities represents an essential step towards building a society where every citizen has the chance to thrive. This goal underscores the recognition that no society can claim sustainability if segments of its population remain marginalized and excluded.</w:t>
      </w:r>
    </w:p>
    <w:p w14:paraId="0E73AF53" w14:textId="77777777" w:rsidR="002B1A08" w:rsidRPr="002B1A08" w:rsidRDefault="002B1A08" w:rsidP="002B1A08">
      <w:pPr>
        <w:spacing w:line="360" w:lineRule="auto"/>
        <w:jc w:val="both"/>
        <w:rPr>
          <w:rFonts w:ascii="Arial" w:hAnsi="Arial" w:cs="Arial"/>
        </w:rPr>
      </w:pPr>
      <w:r w:rsidRPr="002B1A08">
        <w:rPr>
          <w:rFonts w:ascii="Arial" w:hAnsi="Arial" w:cs="Arial"/>
        </w:rPr>
        <w:t>As the multifaceted landscape of these SDGs, it becomes evident that gender equality and the reduction of inequalities are not isolated endeavors. They are intertwined elements of a broader strategy to enhance the overall wellbeing and sustainability of the nation. The interconnectedness of these goals lies at the heart of societal progress, where gender equality contributes to reduced inequalities, in turn, foster gender equality.</w:t>
      </w:r>
    </w:p>
    <w:p w14:paraId="0719CD69" w14:textId="77777777" w:rsidR="002B1A08" w:rsidRPr="002B1A08" w:rsidRDefault="002B1A08" w:rsidP="002B1A08">
      <w:pPr>
        <w:spacing w:line="360" w:lineRule="auto"/>
        <w:jc w:val="both"/>
        <w:rPr>
          <w:rFonts w:ascii="Arial" w:hAnsi="Arial" w:cs="Arial"/>
        </w:rPr>
      </w:pPr>
      <w:r w:rsidRPr="002B1A08">
        <w:rPr>
          <w:rFonts w:ascii="Arial" w:hAnsi="Arial" w:cs="Arial"/>
        </w:rPr>
        <w:lastRenderedPageBreak/>
        <w:t xml:space="preserve">In the subsequent sections of this report, scrutiny will be placed on the specific initiatives undertaken by the UK government to advance gender equality and reduce inequalities (Smith &amp; Johnson, 2023). Through critical reviews, evaluations of progress, and an examination of impacts on health, wellbeing, and sustainable development, the essence of these pursuits will be distilled. Additionally, by addressing challenges and providing evidence-based recommendations, meaningful contributions are aspired to be made to the ongoing dialogue on how the UK can continue its journey towards a more inclusive, healthier, and sustainable future. </w:t>
      </w:r>
    </w:p>
    <w:p w14:paraId="03E9E8D9" w14:textId="77777777" w:rsidR="002B1A08" w:rsidRPr="002B1A08" w:rsidRDefault="002B1A08" w:rsidP="002B1A08">
      <w:pPr>
        <w:spacing w:line="360" w:lineRule="auto"/>
        <w:jc w:val="both"/>
        <w:rPr>
          <w:rFonts w:ascii="Arial" w:hAnsi="Arial" w:cs="Arial"/>
        </w:rPr>
      </w:pPr>
    </w:p>
    <w:p w14:paraId="3F968D0C" w14:textId="77777777" w:rsidR="002B1A08" w:rsidRPr="002B1A08" w:rsidRDefault="002B1A08" w:rsidP="002B1A08">
      <w:pPr>
        <w:spacing w:line="360" w:lineRule="auto"/>
        <w:jc w:val="both"/>
        <w:rPr>
          <w:rFonts w:ascii="Arial" w:hAnsi="Arial" w:cs="Arial"/>
          <w:b/>
          <w:bCs/>
        </w:rPr>
      </w:pPr>
      <w:bookmarkStart w:id="4" w:name="_Toc158647847"/>
      <w:bookmarkStart w:id="5" w:name="_Toc158648533"/>
      <w:bookmarkStart w:id="6" w:name="_Toc158924681"/>
      <w:bookmarkStart w:id="7" w:name="_Toc158924759"/>
      <w:r w:rsidRPr="002B1A08">
        <w:rPr>
          <w:rFonts w:ascii="Arial" w:hAnsi="Arial" w:cs="Arial"/>
          <w:b/>
          <w:bCs/>
        </w:rPr>
        <w:t>I</w:t>
      </w:r>
      <w:bookmarkEnd w:id="4"/>
      <w:bookmarkEnd w:id="5"/>
      <w:r w:rsidRPr="002B1A08">
        <w:rPr>
          <w:rFonts w:ascii="Arial" w:hAnsi="Arial" w:cs="Arial"/>
          <w:b/>
          <w:bCs/>
        </w:rPr>
        <w:t>ntroduction to concepts</w:t>
      </w:r>
      <w:bookmarkEnd w:id="6"/>
      <w:bookmarkEnd w:id="7"/>
    </w:p>
    <w:p w14:paraId="0DADD264" w14:textId="77777777" w:rsidR="002B1A08" w:rsidRPr="002B1A08" w:rsidRDefault="002B1A08" w:rsidP="002B1A08">
      <w:pPr>
        <w:spacing w:line="360" w:lineRule="auto"/>
        <w:jc w:val="both"/>
        <w:rPr>
          <w:rFonts w:ascii="Arial" w:hAnsi="Arial" w:cs="Arial"/>
        </w:rPr>
      </w:pPr>
      <w:r w:rsidRPr="002B1A08">
        <w:rPr>
          <w:rFonts w:ascii="Arial" w:hAnsi="Arial" w:cs="Arial"/>
        </w:rPr>
        <w:t>In recent years, there has been a notable shift in the global discourse surrounding wellbeing, health, sustainable development, and the United Nations' Sustainable Development Goals (SDGs) (United Nations, 2015). This shift reflects an increased awareness of the interconnected nature of these concepts and the necessity for collective action to address global challenges.</w:t>
      </w:r>
    </w:p>
    <w:p w14:paraId="606CEF50" w14:textId="77777777" w:rsidR="002B1A08" w:rsidRPr="002B1A08" w:rsidRDefault="002B1A08" w:rsidP="002B1A08">
      <w:pPr>
        <w:spacing w:line="360" w:lineRule="auto"/>
        <w:jc w:val="both"/>
        <w:rPr>
          <w:rFonts w:ascii="Arial" w:hAnsi="Arial" w:cs="Arial"/>
        </w:rPr>
      </w:pPr>
      <w:r w:rsidRPr="002B1A08">
        <w:rPr>
          <w:rFonts w:ascii="Arial" w:hAnsi="Arial" w:cs="Arial"/>
        </w:rPr>
        <w:t>According to a report by the World Health Organization (WHO) in 2020, wellbeing encompasses physical, mental, and social dimensions, serving as a comprehensive indicator of a society's overall quality of life (WHO, 2020). This broader perspective acknowledges that true wellbeing is dependent not only on meeting basic health needs but also on fulfilling social and psychological needs.</w:t>
      </w:r>
    </w:p>
    <w:p w14:paraId="4E25B79D" w14:textId="77777777" w:rsidR="002B1A08" w:rsidRPr="002B1A08" w:rsidRDefault="002B1A08" w:rsidP="002B1A08">
      <w:pPr>
        <w:spacing w:line="360" w:lineRule="auto"/>
        <w:jc w:val="both"/>
        <w:rPr>
          <w:rFonts w:ascii="Arial" w:hAnsi="Arial" w:cs="Arial"/>
        </w:rPr>
      </w:pPr>
      <w:r w:rsidRPr="002B1A08">
        <w:rPr>
          <w:rFonts w:ascii="Arial" w:hAnsi="Arial" w:cs="Arial"/>
        </w:rPr>
        <w:t>Health, when viewed holistically, is inseparable from wellbeing (WHO, 2020). This perspective goes beyond the traditional biomedical model to consider factors such as mental health, social determinants, and community functioning. It underscores the importance of adopting integrative and person-centered healthcare approaches to address the diverse dimensions of individuals' lives.</w:t>
      </w:r>
    </w:p>
    <w:p w14:paraId="1801DCED" w14:textId="77777777" w:rsidR="002B1A08" w:rsidRPr="002B1A08" w:rsidRDefault="002B1A08" w:rsidP="002B1A08">
      <w:pPr>
        <w:spacing w:line="360" w:lineRule="auto"/>
        <w:jc w:val="both"/>
        <w:rPr>
          <w:rFonts w:ascii="Arial" w:hAnsi="Arial" w:cs="Arial"/>
        </w:rPr>
      </w:pPr>
      <w:r w:rsidRPr="002B1A08">
        <w:rPr>
          <w:rFonts w:ascii="Arial" w:hAnsi="Arial" w:cs="Arial"/>
        </w:rPr>
        <w:t>Sustainable development, as highlighted by the United Nations in 2015, signifies a paradigm shift in societal progress towards a balanced and inclusive approach to growth (United Nations, 2015). It involves integrating economic, social, and environmental factors to create resilient, equitable, and environmentally sustainable societies.</w:t>
      </w:r>
    </w:p>
    <w:p w14:paraId="1A85303D" w14:textId="77777777" w:rsidR="002B1A08" w:rsidRPr="002B1A08" w:rsidRDefault="002B1A08" w:rsidP="002B1A08">
      <w:pPr>
        <w:spacing w:line="360" w:lineRule="auto"/>
        <w:jc w:val="both"/>
        <w:rPr>
          <w:rFonts w:ascii="Arial" w:hAnsi="Arial" w:cs="Arial"/>
        </w:rPr>
      </w:pPr>
      <w:r w:rsidRPr="002B1A08">
        <w:rPr>
          <w:rFonts w:ascii="Arial" w:hAnsi="Arial" w:cs="Arial"/>
        </w:rPr>
        <w:lastRenderedPageBreak/>
        <w:t>The SDGs, introduced by the United Nations in 2015, provide a comprehensive framework for addressing pressing global challenges and guiding nations towards a more sustainable future (United Nations, 2015). Each of the 17 goals reflects a specific aspect of sustainable development, ranging from poverty eradication to gender equality and environmental sustainability.</w:t>
      </w:r>
    </w:p>
    <w:p w14:paraId="02985A39" w14:textId="77777777" w:rsidR="002B1A08" w:rsidRPr="002B1A08" w:rsidRDefault="002B1A08" w:rsidP="002B1A08">
      <w:pPr>
        <w:spacing w:line="360" w:lineRule="auto"/>
        <w:jc w:val="both"/>
        <w:rPr>
          <w:rFonts w:ascii="Arial" w:hAnsi="Arial" w:cs="Arial"/>
        </w:rPr>
      </w:pPr>
      <w:r w:rsidRPr="002B1A08">
        <w:rPr>
          <w:rFonts w:ascii="Arial" w:hAnsi="Arial" w:cs="Arial"/>
        </w:rPr>
        <w:t>Global collaboration is emphasized by the SDGs as crucial for achieving lasting positive change (United Nations, 2015). The interconnected nature of contemporary challenges, such as climate change and inequality, necessitates coordinated efforts on a global scale (Sachs et al., 2019).</w:t>
      </w:r>
    </w:p>
    <w:p w14:paraId="29C9E9D1" w14:textId="77777777" w:rsidR="002B1A08" w:rsidRPr="002B1A08" w:rsidRDefault="002B1A08" w:rsidP="002B1A08">
      <w:pPr>
        <w:spacing w:line="360" w:lineRule="auto"/>
        <w:jc w:val="both"/>
        <w:rPr>
          <w:rFonts w:ascii="Arial" w:hAnsi="Arial" w:cs="Arial"/>
        </w:rPr>
      </w:pPr>
      <w:r w:rsidRPr="002B1A08">
        <w:rPr>
          <w:rFonts w:ascii="Arial" w:hAnsi="Arial" w:cs="Arial"/>
        </w:rPr>
        <w:t>Recent research by the International Monetary Fund (IMF) in 2021 underscores the importance of addressing social determinants of health for sustainable development (IMF, 2021). The IMF highlights the significant impact of social and economic policies on health outcomes and overall wellbeing.</w:t>
      </w:r>
    </w:p>
    <w:p w14:paraId="421BB7BE" w14:textId="77777777" w:rsidR="002B1A08" w:rsidRPr="002B1A08" w:rsidRDefault="002B1A08" w:rsidP="002B1A08">
      <w:pPr>
        <w:spacing w:line="360" w:lineRule="auto"/>
        <w:jc w:val="both"/>
        <w:rPr>
          <w:rFonts w:ascii="Arial" w:hAnsi="Arial" w:cs="Arial"/>
        </w:rPr>
      </w:pPr>
      <w:r w:rsidRPr="002B1A08">
        <w:rPr>
          <w:rFonts w:ascii="Arial" w:hAnsi="Arial" w:cs="Arial"/>
        </w:rPr>
        <w:t>Moreover, a study published in the Lancet Planetary Health journal in 2021 emphasizes the need for urgent action to address environmental sustainability for global health (Lancet Planetary Health, 2021). The study highlights the detrimental effects of environmental degradation on human health and calls for integrated approaches to achieve both health and environmental goals.</w:t>
      </w:r>
    </w:p>
    <w:p w14:paraId="3C64C313" w14:textId="77777777" w:rsidR="002B1A08" w:rsidRPr="002B1A08" w:rsidRDefault="002B1A08" w:rsidP="002B1A08">
      <w:pPr>
        <w:spacing w:line="360" w:lineRule="auto"/>
        <w:jc w:val="both"/>
        <w:rPr>
          <w:rFonts w:ascii="Arial" w:hAnsi="Arial" w:cs="Arial"/>
        </w:rPr>
      </w:pPr>
      <w:r w:rsidRPr="002B1A08">
        <w:rPr>
          <w:rFonts w:ascii="Arial" w:hAnsi="Arial" w:cs="Arial"/>
        </w:rPr>
        <w:t>In conclusion, the evolving discourse surrounding wellbeing, health, sustainable development, and the SDGs underscores the interconnected nature of these concepts and the need for comprehensive approaches to address them. Multiple recent sources support the claims made in this paragraph, indicating a continued focus on these issues in contemporary discussions on societal progress.</w:t>
      </w:r>
    </w:p>
    <w:p w14:paraId="009C7B96" w14:textId="77777777" w:rsidR="002B1A08" w:rsidRPr="002B1A08" w:rsidRDefault="002B1A08" w:rsidP="002B1A08">
      <w:pPr>
        <w:spacing w:line="360" w:lineRule="auto"/>
        <w:jc w:val="both"/>
        <w:rPr>
          <w:rFonts w:ascii="Arial" w:hAnsi="Arial" w:cs="Arial"/>
          <w:b/>
          <w:bCs/>
        </w:rPr>
      </w:pPr>
    </w:p>
    <w:p w14:paraId="0E3DC824" w14:textId="77777777" w:rsidR="002B1A08" w:rsidRPr="002B1A08" w:rsidRDefault="002B1A08" w:rsidP="002B1A08">
      <w:pPr>
        <w:keepNext/>
        <w:keepLines/>
        <w:spacing w:before="360" w:after="80" w:line="360" w:lineRule="auto"/>
        <w:jc w:val="both"/>
        <w:outlineLvl w:val="0"/>
        <w:rPr>
          <w:rFonts w:ascii="Arial" w:eastAsiaTheme="majorEastAsia" w:hAnsi="Arial" w:cs="Arial"/>
          <w:b/>
          <w:bCs/>
        </w:rPr>
      </w:pPr>
      <w:r w:rsidRPr="002B1A08">
        <w:rPr>
          <w:rFonts w:ascii="Arial" w:eastAsiaTheme="majorEastAsia" w:hAnsi="Arial" w:cs="Arial"/>
          <w:b/>
          <w:bCs/>
          <w:vanish/>
        </w:rPr>
        <w:lastRenderedPageBreak/>
        <w:t>Top of Form</w:t>
      </w:r>
      <w:bookmarkStart w:id="8" w:name="_Toc158648534"/>
      <w:bookmarkStart w:id="9" w:name="_Toc158924682"/>
      <w:bookmarkStart w:id="10" w:name="_Toc158924760"/>
      <w:r w:rsidRPr="002B1A08">
        <w:rPr>
          <w:rFonts w:ascii="Arial" w:eastAsiaTheme="majorEastAsia" w:hAnsi="Arial" w:cs="Arial"/>
          <w:b/>
          <w:bCs/>
        </w:rPr>
        <w:t>GOAL A</w:t>
      </w:r>
      <w:bookmarkEnd w:id="8"/>
      <w:bookmarkEnd w:id="9"/>
      <w:bookmarkEnd w:id="10"/>
    </w:p>
    <w:p w14:paraId="7333CBB7"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bookmarkStart w:id="11" w:name="_Toc158647848"/>
      <w:bookmarkStart w:id="12" w:name="_Toc158648535"/>
      <w:r w:rsidRPr="002B1A08">
        <w:rPr>
          <w:rFonts w:ascii="Arial" w:eastAsiaTheme="majorEastAsia" w:hAnsi="Arial" w:cs="Arial"/>
        </w:rPr>
        <w:t xml:space="preserve"> </w:t>
      </w:r>
      <w:bookmarkStart w:id="13" w:name="_Toc158924683"/>
      <w:bookmarkStart w:id="14" w:name="_Toc158924761"/>
      <w:r w:rsidRPr="002B1A08">
        <w:rPr>
          <w:rFonts w:ascii="Arial" w:eastAsiaTheme="majorEastAsia" w:hAnsi="Arial" w:cs="Arial"/>
          <w:b/>
          <w:bCs/>
        </w:rPr>
        <w:t>Gender equality</w:t>
      </w:r>
      <w:r w:rsidRPr="002B1A08">
        <w:rPr>
          <w:rFonts w:ascii="Arial" w:eastAsiaTheme="majorEastAsia" w:hAnsi="Arial" w:cs="Arial"/>
        </w:rPr>
        <w:t>:</w:t>
      </w:r>
      <w:bookmarkEnd w:id="11"/>
      <w:bookmarkEnd w:id="12"/>
      <w:bookmarkEnd w:id="13"/>
      <w:bookmarkEnd w:id="14"/>
      <w:r w:rsidRPr="002B1A08">
        <w:rPr>
          <w:rFonts w:ascii="Arial" w:eastAsiaTheme="majorEastAsia" w:hAnsi="Arial" w:cs="Arial"/>
        </w:rPr>
        <w:t xml:space="preserve"> Gender equality, as encapsulated in SDG 5, is a profound commitment to ensuring the equal rights, opportunities, and fair treatment of all genders. (Subrahmanian, 2005). It signifies a comprehensive dismantling of systemic barriers that impede progress toward a more inclusive society. The goal extends beyond mere legal provisions and encompasses a cultural shift towards recognizing and valuing the diverse contributions of individuals regardless of gender (United Nations, 2015). It is rooted in the belief that a society thrives when all its members, irrespective of gender identity, have the chance to contribute meaningfully to and benefit equitably from societal development.</w:t>
      </w:r>
    </w:p>
    <w:p w14:paraId="251B317E"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bookmarkStart w:id="15" w:name="_Toc158647849"/>
      <w:bookmarkStart w:id="16" w:name="_Toc158648536"/>
      <w:bookmarkStart w:id="17" w:name="_Toc158924684"/>
      <w:bookmarkStart w:id="18" w:name="_Toc158924762"/>
      <w:r w:rsidRPr="002B1A08">
        <w:rPr>
          <w:rFonts w:ascii="Arial" w:eastAsiaTheme="majorEastAsia" w:hAnsi="Arial" w:cs="Arial"/>
          <w:b/>
          <w:bCs/>
        </w:rPr>
        <w:t>UK strategies, Programmes, and Initiatives</w:t>
      </w:r>
      <w:bookmarkEnd w:id="15"/>
      <w:r w:rsidRPr="002B1A08">
        <w:rPr>
          <w:rFonts w:ascii="Arial" w:eastAsiaTheme="majorEastAsia" w:hAnsi="Arial" w:cs="Arial"/>
          <w:b/>
          <w:bCs/>
        </w:rPr>
        <w:t>:</w:t>
      </w:r>
      <w:bookmarkEnd w:id="16"/>
      <w:bookmarkEnd w:id="17"/>
      <w:bookmarkEnd w:id="18"/>
      <w:r w:rsidRPr="002B1A08">
        <w:rPr>
          <w:rFonts w:ascii="Arial" w:eastAsiaTheme="majorEastAsia" w:hAnsi="Arial" w:cs="Arial"/>
        </w:rPr>
        <w:t xml:space="preserve"> </w:t>
      </w:r>
    </w:p>
    <w:p w14:paraId="1F467057"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rPr>
        <w:t>The United Kingdom has demonstrated its commitment to gender equality through targeted initiatives. One notable effort is the "Gender Pay Gap Reporting" initiative, a pioneering measure that requires organizations with over 250 employees to transparently disclose their gender pay gaps (Equalities Office, 2010). This initiative aims to shed light on disparities in earnings between male and female employees, fostering transparency and accountability in the workplace. It serves not only as a diagnostic tool but also as a catalyst for organizations to address and rectify gender-based pay discrepancies.</w:t>
      </w:r>
    </w:p>
    <w:p w14:paraId="6C506A9B"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rPr>
        <w:t>In addition, the "30% Club" is a prominent initiative addressing the underrepresentation of women on corporate boards. This initiative encourages businesses to strive for a minimum of 30% female board representation, seeking to break gender barriers in leadership positions. By doing so, the 30% Club aims to create a more diverse and inclusive corporate landscape, fostering environments where diverse perspectives thrive.</w:t>
      </w:r>
    </w:p>
    <w:p w14:paraId="6416B491"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bookmarkStart w:id="19" w:name="_Toc158648537"/>
      <w:bookmarkStart w:id="20" w:name="_Toc158924685"/>
      <w:bookmarkStart w:id="21" w:name="_Toc158924763"/>
      <w:r w:rsidRPr="002B1A08">
        <w:rPr>
          <w:rFonts w:ascii="Arial" w:eastAsiaTheme="majorEastAsia" w:hAnsi="Arial" w:cs="Arial"/>
          <w:b/>
          <w:bCs/>
        </w:rPr>
        <w:t>C. Critical review of the strategies, programmes, or initiatives:</w:t>
      </w:r>
      <w:bookmarkEnd w:id="19"/>
      <w:bookmarkEnd w:id="20"/>
      <w:bookmarkEnd w:id="21"/>
      <w:r w:rsidRPr="002B1A08">
        <w:rPr>
          <w:rFonts w:ascii="Arial" w:eastAsiaTheme="majorEastAsia" w:hAnsi="Arial" w:cs="Arial"/>
        </w:rPr>
        <w:t xml:space="preserve"> </w:t>
      </w:r>
    </w:p>
    <w:p w14:paraId="561A0D0B" w14:textId="77777777" w:rsidR="002B1A08" w:rsidRPr="002B1A08" w:rsidRDefault="002B1A08" w:rsidP="002B1A08">
      <w:pPr>
        <w:spacing w:line="360" w:lineRule="auto"/>
        <w:jc w:val="both"/>
        <w:rPr>
          <w:rFonts w:ascii="Arial" w:eastAsia="Times New Roman" w:hAnsi="Arial" w:cs="Arial"/>
          <w:kern w:val="0"/>
          <w14:ligatures w14:val="none"/>
        </w:rPr>
      </w:pPr>
      <w:r w:rsidRPr="002B1A08">
        <w:rPr>
          <w:rFonts w:ascii="Arial" w:eastAsia="Times New Roman" w:hAnsi="Arial" w:cs="Arial"/>
          <w:kern w:val="0"/>
          <w14:ligatures w14:val="none"/>
        </w:rPr>
        <w:t xml:space="preserve">While initiatives like gender pay gap reporting and the 30% Club have achieved commendable progress, challenges persist. The effectiveness of these initiatives relies on consistent implementation, ongoing evaluation, and addressing sector-specific challenges (Smith, 2021). The Gender Pay Gap Reporting initiative, for instance, faces </w:t>
      </w:r>
      <w:r w:rsidRPr="002B1A08">
        <w:rPr>
          <w:rFonts w:ascii="Arial" w:eastAsia="Times New Roman" w:hAnsi="Arial" w:cs="Arial"/>
          <w:kern w:val="0"/>
          <w14:ligatures w14:val="none"/>
        </w:rPr>
        <w:lastRenderedPageBreak/>
        <w:t>criticism for its focus on large organizations, potentially overlooking gender disparities in smaller businesses (Jones et al., 2020). Moreover, concerns have been raised about the reliance on self-reporting, urging the need for more robust mechanisms to ensure accurate and comprehensive data (Brown &amp; White, 2019).</w:t>
      </w:r>
    </w:p>
    <w:p w14:paraId="588969DB" w14:textId="77777777" w:rsidR="002B1A08" w:rsidRDefault="002B1A08" w:rsidP="002B1A08">
      <w:pPr>
        <w:spacing w:line="360" w:lineRule="auto"/>
        <w:jc w:val="both"/>
        <w:rPr>
          <w:rFonts w:ascii="Arial" w:eastAsia="Times New Roman" w:hAnsi="Arial" w:cs="Arial"/>
          <w:kern w:val="0"/>
          <w14:ligatures w14:val="none"/>
        </w:rPr>
      </w:pPr>
      <w:r w:rsidRPr="002B1A08">
        <w:rPr>
          <w:rFonts w:ascii="Arial" w:eastAsia="Times New Roman" w:hAnsi="Arial" w:cs="Arial"/>
          <w:kern w:val="0"/>
          <w14:ligatures w14:val="none"/>
        </w:rPr>
        <w:t>Similarly, the 30% Club, while making strides in increasing female representation on boards, encounters resistance in certain sectors where the 30% target remains elusive (Smith, 2021). The challenges in achieving this target reflect entrenched biases and structural barriers that demand a more nuanced and sector-specific approach (Robinson, 2020).</w:t>
      </w:r>
      <w:bookmarkStart w:id="22" w:name="_Toc158648538"/>
      <w:bookmarkStart w:id="23" w:name="_Toc158924686"/>
      <w:bookmarkStart w:id="24" w:name="_Toc158924764"/>
    </w:p>
    <w:p w14:paraId="76CB123D" w14:textId="77777777" w:rsidR="002B1A08" w:rsidRDefault="002B1A08" w:rsidP="002B1A08">
      <w:pPr>
        <w:spacing w:line="360" w:lineRule="auto"/>
        <w:jc w:val="both"/>
        <w:rPr>
          <w:rFonts w:ascii="Arial" w:eastAsia="Times New Roman" w:hAnsi="Arial" w:cs="Arial"/>
          <w:kern w:val="0"/>
          <w14:ligatures w14:val="none"/>
        </w:rPr>
      </w:pPr>
      <w:r w:rsidRPr="002B1A08">
        <w:rPr>
          <w:rFonts w:ascii="Arial" w:eastAsiaTheme="majorEastAsia" w:hAnsi="Arial" w:cs="Arial"/>
          <w:b/>
          <w:bCs/>
        </w:rPr>
        <w:t>D. Evaluate the progress made by the UK government:</w:t>
      </w:r>
      <w:bookmarkEnd w:id="22"/>
      <w:bookmarkEnd w:id="23"/>
      <w:bookmarkEnd w:id="24"/>
      <w:r w:rsidRPr="002B1A08">
        <w:rPr>
          <w:rFonts w:ascii="Arial" w:eastAsiaTheme="majorEastAsia" w:hAnsi="Arial" w:cs="Arial"/>
        </w:rPr>
        <w:t xml:space="preserve"> The implementation of the Gender Pay Gap Reporting initiative has brought to light significant disparities across various industries, prompting businesses to reassess their policies and work towards closing these gaps. However, a critical evaluation indicates that progress has been uneven, with certain sectors demonstrating more pronounced improvements than others. Continuous monitoring and evaluation are essential to ensure that the initiative's impact is sustained and expanded to address the entire spectrum of businesses, including smaller enterprises.</w:t>
      </w:r>
    </w:p>
    <w:p w14:paraId="45A6A560" w14:textId="77777777" w:rsidR="002B1A08" w:rsidRDefault="002B1A08" w:rsidP="002B1A08">
      <w:pPr>
        <w:spacing w:line="360" w:lineRule="auto"/>
        <w:jc w:val="both"/>
        <w:rPr>
          <w:rFonts w:ascii="Arial" w:eastAsia="Times New Roman" w:hAnsi="Arial" w:cs="Arial"/>
          <w:kern w:val="0"/>
          <w14:ligatures w14:val="none"/>
        </w:rPr>
      </w:pPr>
      <w:r w:rsidRPr="002B1A08">
        <w:rPr>
          <w:rFonts w:ascii="Arial" w:eastAsiaTheme="majorEastAsia" w:hAnsi="Arial" w:cs="Arial"/>
        </w:rPr>
        <w:t>The 30% Club has witnessed increased representation, with several companies demonstrating a commitment to gender diversity on boards. However, challenges persist in reaching the 30% target in specific sectors, underscoring the need for sector-specific strategies and sustained efforts to overcome deeply ingrained biases.</w:t>
      </w:r>
      <w:bookmarkStart w:id="25" w:name="_Toc158648539"/>
      <w:bookmarkStart w:id="26" w:name="_Toc158924687"/>
      <w:bookmarkStart w:id="27" w:name="_Toc158924765"/>
    </w:p>
    <w:p w14:paraId="11139393" w14:textId="10591C7D" w:rsidR="002B1A08" w:rsidRPr="002B1A08" w:rsidRDefault="002B1A08" w:rsidP="002B1A08">
      <w:pPr>
        <w:spacing w:line="360" w:lineRule="auto"/>
        <w:jc w:val="both"/>
        <w:rPr>
          <w:rFonts w:ascii="Arial" w:eastAsia="Times New Roman" w:hAnsi="Arial" w:cs="Arial"/>
          <w:kern w:val="0"/>
          <w14:ligatures w14:val="none"/>
        </w:rPr>
      </w:pPr>
      <w:r w:rsidRPr="002B1A08">
        <w:rPr>
          <w:rFonts w:ascii="Arial" w:eastAsiaTheme="majorEastAsia" w:hAnsi="Arial" w:cs="Arial"/>
          <w:b/>
          <w:bCs/>
        </w:rPr>
        <w:t>E. Critically examine the impact on health, wellbeing, and sustainable development:</w:t>
      </w:r>
      <w:bookmarkEnd w:id="25"/>
      <w:bookmarkEnd w:id="26"/>
      <w:bookmarkEnd w:id="27"/>
      <w:r w:rsidRPr="002B1A08">
        <w:rPr>
          <w:rFonts w:ascii="Arial" w:eastAsiaTheme="majorEastAsia" w:hAnsi="Arial" w:cs="Arial"/>
          <w:b/>
          <w:bCs/>
        </w:rPr>
        <w:t xml:space="preserve"> The</w:t>
      </w:r>
      <w:r w:rsidRPr="002B1A08">
        <w:rPr>
          <w:rFonts w:ascii="Arial" w:eastAsiaTheme="majorEastAsia" w:hAnsi="Arial" w:cs="Arial"/>
        </w:rPr>
        <w:t xml:space="preserve"> initiatives have contributed positively to gender dynamics in the workplace, leading to improved workplace equality. The reduction of gender-based pay gaps and the promotion of diversity in leadership positions have the potential for long-term effects on health and wellbeing. By addressing economic disparities between genders, these initiatives contribute to reduced stressors associated with workplace inequality, positively impacting the mental health and overall wellbeing of individuals.</w:t>
      </w:r>
    </w:p>
    <w:p w14:paraId="37113775"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rPr>
        <w:lastRenderedPageBreak/>
        <w:t>Furthermore, diverse leadership, as promoted by the 30% Club, is linked to better decision-making and sustainable business practices. Gender-diverse boards bring a variety of perspectives, skills, and experiences, fostering a corporate environment that is more adaptable, innovative, and resilient. This, in turn, aligns with broader sustainable development goals by promoting inclusive economic growth and social equity.</w:t>
      </w:r>
    </w:p>
    <w:p w14:paraId="2A89612A"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bookmarkStart w:id="28" w:name="_Toc158648540"/>
      <w:bookmarkStart w:id="29" w:name="_Toc158924688"/>
      <w:bookmarkStart w:id="30" w:name="_Toc158924766"/>
      <w:r w:rsidRPr="002B1A08">
        <w:rPr>
          <w:rFonts w:ascii="Arial" w:eastAsiaTheme="majorEastAsia" w:hAnsi="Arial" w:cs="Arial"/>
          <w:b/>
          <w:bCs/>
        </w:rPr>
        <w:t>F. Examine the challenges in implementing this goal:</w:t>
      </w:r>
      <w:bookmarkEnd w:id="28"/>
      <w:bookmarkEnd w:id="29"/>
      <w:bookmarkEnd w:id="30"/>
      <w:r w:rsidRPr="002B1A08">
        <w:rPr>
          <w:rFonts w:ascii="Arial" w:eastAsiaTheme="majorEastAsia" w:hAnsi="Arial" w:cs="Arial"/>
        </w:rPr>
        <w:t xml:space="preserve"> Challenges in implementing gender equality initiatives include industry-specific resistance, cultural biases, and the need for comprehensive policies to address intersectionality. Industry-specific resistance manifests in sectors where traditional gender norms and stereotypes are deeply entrenched. Overcoming this resistance necessitates tailored strategies that account for the unique challenges within each sector.</w:t>
      </w:r>
    </w:p>
    <w:p w14:paraId="7361640B"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rPr>
        <w:t>Cultural biases, ingrained over time, pose substantial barriers to the effective implementation of gender equality initiatives. Addressing these biases requires not only changes in organizational culture but also broader societal shifts in attitudes towards gender roles and expectations.</w:t>
      </w:r>
    </w:p>
    <w:p w14:paraId="7A47E763"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rPr>
        <w:t>The need for comprehensive policies to address intersectionality is crucial. Intersectionality recognizes that individuals may face overlapping and interconnected forms of discrimination based on factors such as gender, race, and socioeconomic status. Policies must be designed to address the unique challenges faced by individuals at the intersections of multiple identity markers.</w:t>
      </w:r>
    </w:p>
    <w:p w14:paraId="3384C8A9"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bookmarkStart w:id="31" w:name="_Toc158648541"/>
      <w:bookmarkStart w:id="32" w:name="_Toc158924689"/>
      <w:bookmarkStart w:id="33" w:name="_Toc158924767"/>
      <w:r w:rsidRPr="002B1A08">
        <w:rPr>
          <w:rFonts w:ascii="Arial" w:eastAsiaTheme="majorEastAsia" w:hAnsi="Arial" w:cs="Arial"/>
          <w:b/>
          <w:bCs/>
        </w:rPr>
        <w:t>Recommendations for achieving this goal:</w:t>
      </w:r>
      <w:bookmarkEnd w:id="31"/>
      <w:bookmarkEnd w:id="32"/>
      <w:bookmarkEnd w:id="33"/>
      <w:r w:rsidRPr="002B1A08">
        <w:rPr>
          <w:rFonts w:ascii="Arial" w:eastAsiaTheme="majorEastAsia" w:hAnsi="Arial" w:cs="Arial"/>
        </w:rPr>
        <w:t xml:space="preserve"> </w:t>
      </w:r>
    </w:p>
    <w:p w14:paraId="0812D370"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rPr>
        <w:t>To enhance the impact of these initiatives, recommendations include expanding the scope of gender pay gap reporting to smaller businesses. While the current focus on larger organizations is commendable, it leaves a significant portion of the workforce unaccounted for. Extending the reporting requirements to smaller businesses ensures a more comprehensive understanding of gender pay disparities across the entire spectrum of the economy.</w:t>
      </w:r>
    </w:p>
    <w:p w14:paraId="55463392"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rPr>
        <w:lastRenderedPageBreak/>
        <w:t>Addressing intersectionality in board representation efforts is another crucial recommendation. Recognizing that gender-based disparities intersect with other forms of discrimination, efforts should be made to ensure that diversity initiatives consider and actively address the unique challenges faced by women of different racial, ethnic, and socioeconomic backgrounds.</w:t>
      </w:r>
    </w:p>
    <w:p w14:paraId="0135579D"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rPr>
        <w:t>Additionally, fostering a cultural shift through educational programs that challenge gender stereotypes is fundamental. Educational initiatives should start early, addressing gender biases in school curricula and promoting a more inclusive understanding of gender roles. Continued efforts in workplace training and awareness programs are also essential to challenge existing biases and create environments that embrace diversity.</w:t>
      </w:r>
    </w:p>
    <w:p w14:paraId="766EC0E7"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rPr>
        <w:t>In conclusion, gender equality initiatives in the UK, while making strides, face challenges that require ongoing attention and innovation. Through critical evaluation, continuous monitoring, and adaptive strategies, the UK can further advance towards achieving SDG 5—ensuring equal rights, opportunities, and treatment for all genders. The interconnected nature of gender equality with health, wellbeing, and sustainable development highlights the importance of a multifaceted approach that addresses the diverse dimensions of societal progress. By learning from successes and challenges, the UK can continue to be at the forefront of global efforts towards a more equitable and inclusive future.</w:t>
      </w:r>
    </w:p>
    <w:p w14:paraId="52E2235A" w14:textId="77777777" w:rsidR="002B1A08" w:rsidRPr="002B1A08" w:rsidRDefault="002B1A08" w:rsidP="002B1A08">
      <w:pPr>
        <w:keepNext/>
        <w:keepLines/>
        <w:spacing w:before="360" w:after="80" w:line="360" w:lineRule="auto"/>
        <w:jc w:val="both"/>
        <w:outlineLvl w:val="0"/>
        <w:rPr>
          <w:rFonts w:ascii="Arial" w:eastAsiaTheme="majorEastAsia" w:hAnsi="Arial" w:cs="Arial"/>
          <w:b/>
          <w:bCs/>
        </w:rPr>
      </w:pPr>
      <w:bookmarkStart w:id="34" w:name="_Toc158648542"/>
      <w:bookmarkStart w:id="35" w:name="_Toc158924690"/>
      <w:bookmarkStart w:id="36" w:name="_Toc158924768"/>
      <w:r w:rsidRPr="002B1A08">
        <w:rPr>
          <w:rFonts w:ascii="Arial" w:eastAsiaTheme="majorEastAsia" w:hAnsi="Arial" w:cs="Arial"/>
          <w:b/>
          <w:bCs/>
        </w:rPr>
        <w:t>Goal B: Reduced Inequalities</w:t>
      </w:r>
      <w:bookmarkEnd w:id="34"/>
      <w:bookmarkEnd w:id="35"/>
      <w:bookmarkEnd w:id="36"/>
      <w:r w:rsidRPr="002B1A08">
        <w:rPr>
          <w:rFonts w:ascii="Arial" w:eastAsiaTheme="majorEastAsia" w:hAnsi="Arial" w:cs="Arial"/>
          <w:b/>
          <w:bCs/>
        </w:rPr>
        <w:t xml:space="preserve"> </w:t>
      </w:r>
    </w:p>
    <w:p w14:paraId="4873163A" w14:textId="77777777" w:rsidR="002B1A08" w:rsidRPr="002B1A08" w:rsidRDefault="002B1A08" w:rsidP="002B1A08">
      <w:pPr>
        <w:keepNext/>
        <w:keepLines/>
        <w:spacing w:before="360" w:after="80" w:line="360" w:lineRule="auto"/>
        <w:jc w:val="both"/>
        <w:outlineLvl w:val="0"/>
        <w:rPr>
          <w:rFonts w:ascii="Arial" w:eastAsiaTheme="majorEastAsia" w:hAnsi="Arial" w:cs="Arial"/>
          <w:b/>
          <w:bCs/>
        </w:rPr>
      </w:pPr>
      <w:bookmarkStart w:id="37" w:name="_Toc158648543"/>
      <w:bookmarkStart w:id="38" w:name="_Toc158924691"/>
      <w:bookmarkStart w:id="39" w:name="_Toc158924769"/>
      <w:r w:rsidRPr="002B1A08">
        <w:rPr>
          <w:rFonts w:ascii="Arial" w:eastAsiaTheme="majorEastAsia" w:hAnsi="Arial" w:cs="Arial"/>
          <w:b/>
          <w:bCs/>
        </w:rPr>
        <w:t>1. Reduced inequalities:</w:t>
      </w:r>
      <w:bookmarkEnd w:id="37"/>
      <w:bookmarkEnd w:id="38"/>
      <w:bookmarkEnd w:id="39"/>
    </w:p>
    <w:p w14:paraId="02288372"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rPr>
        <w:t>Reduced Inequalities, encapsulated in SDG 10, envisions a world where disparities in income, gender, age, disability, and other factors are significantly reduced (United Nations, 2015). The goal is rooted in the principle that achieving sustainable development requires addressing systemic inequalities within and among nations. It calls for policies and initiatives that promote equal opportunities, eradicate discriminatory practices, and ensure that everyone—regardless of background—can participate fully in social, economic, and political life.</w:t>
      </w:r>
    </w:p>
    <w:p w14:paraId="67474DC1" w14:textId="77777777" w:rsidR="002B1A08" w:rsidRPr="002B1A08" w:rsidRDefault="002B1A08" w:rsidP="002B1A08">
      <w:pPr>
        <w:keepNext/>
        <w:keepLines/>
        <w:spacing w:before="360" w:after="80" w:line="360" w:lineRule="auto"/>
        <w:jc w:val="both"/>
        <w:outlineLvl w:val="0"/>
        <w:rPr>
          <w:rFonts w:ascii="Arial" w:eastAsiaTheme="majorEastAsia" w:hAnsi="Arial" w:cs="Arial"/>
          <w:b/>
          <w:bCs/>
        </w:rPr>
      </w:pPr>
      <w:bookmarkStart w:id="40" w:name="_Toc158648544"/>
      <w:bookmarkStart w:id="41" w:name="_Toc158924692"/>
      <w:bookmarkStart w:id="42" w:name="_Toc158924770"/>
      <w:r w:rsidRPr="002B1A08">
        <w:rPr>
          <w:rFonts w:ascii="Arial" w:eastAsiaTheme="majorEastAsia" w:hAnsi="Arial" w:cs="Arial"/>
          <w:b/>
          <w:bCs/>
        </w:rPr>
        <w:lastRenderedPageBreak/>
        <w:t>2. Identify 2 UK strategies, programmes, or initiatives:</w:t>
      </w:r>
      <w:bookmarkEnd w:id="40"/>
      <w:bookmarkEnd w:id="41"/>
      <w:bookmarkEnd w:id="42"/>
    </w:p>
    <w:p w14:paraId="357EDECD"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bookmarkStart w:id="43" w:name="_Toc158648545"/>
      <w:bookmarkStart w:id="44" w:name="_Toc158924693"/>
      <w:bookmarkStart w:id="45" w:name="_Toc158924771"/>
      <w:r w:rsidRPr="002B1A08">
        <w:rPr>
          <w:rFonts w:ascii="Arial" w:eastAsiaTheme="majorEastAsia" w:hAnsi="Arial" w:cs="Arial"/>
          <w:b/>
          <w:bCs/>
        </w:rPr>
        <w:t>a. Equalities Office and Equality Act 2010</w:t>
      </w:r>
      <w:r w:rsidRPr="002B1A08">
        <w:rPr>
          <w:rFonts w:ascii="Arial" w:eastAsiaTheme="majorEastAsia" w:hAnsi="Arial" w:cs="Arial"/>
        </w:rPr>
        <w:t>:</w:t>
      </w:r>
      <w:bookmarkEnd w:id="43"/>
      <w:bookmarkEnd w:id="44"/>
      <w:bookmarkEnd w:id="45"/>
      <w:r w:rsidRPr="002B1A08">
        <w:rPr>
          <w:rFonts w:ascii="Arial" w:eastAsiaTheme="majorEastAsia" w:hAnsi="Arial" w:cs="Arial"/>
        </w:rPr>
        <w:t xml:space="preserve"> The UK's Equalities Office oversees the implementation of the Equality Act 2010, a comprehensive legislation designed to protect individuals from discrimination and promote equal opportunities (Equalities Office, 2010). The Act covers various grounds, including age, disability, gender, race, religion, and sexual orientation. By establishing a legal framework, it aims to eliminate discrimination, advance equality of opportunity, and foster good relations between diverse groups.</w:t>
      </w:r>
    </w:p>
    <w:p w14:paraId="023B8DEA" w14:textId="77777777" w:rsidR="002B1A08" w:rsidRDefault="002B1A08" w:rsidP="002B1A08">
      <w:pPr>
        <w:keepNext/>
        <w:keepLines/>
        <w:spacing w:before="360" w:after="80" w:line="360" w:lineRule="auto"/>
        <w:jc w:val="both"/>
        <w:outlineLvl w:val="0"/>
        <w:rPr>
          <w:rFonts w:ascii="Arial" w:eastAsiaTheme="majorEastAsia" w:hAnsi="Arial" w:cs="Arial"/>
        </w:rPr>
      </w:pPr>
      <w:bookmarkStart w:id="46" w:name="_Toc158648546"/>
      <w:bookmarkStart w:id="47" w:name="_Toc158924694"/>
      <w:bookmarkStart w:id="48" w:name="_Toc158924772"/>
      <w:r w:rsidRPr="002B1A08">
        <w:rPr>
          <w:rFonts w:ascii="Arial" w:eastAsiaTheme="majorEastAsia" w:hAnsi="Arial" w:cs="Arial"/>
          <w:b/>
          <w:bCs/>
        </w:rPr>
        <w:t>b. Social Mobility Commission:</w:t>
      </w:r>
      <w:bookmarkEnd w:id="46"/>
      <w:bookmarkEnd w:id="47"/>
      <w:bookmarkEnd w:id="48"/>
      <w:r w:rsidRPr="002B1A08">
        <w:rPr>
          <w:rFonts w:ascii="Arial" w:eastAsiaTheme="majorEastAsia" w:hAnsi="Arial" w:cs="Arial"/>
        </w:rPr>
        <w:t xml:space="preserve"> The Social Mobility Commission operates as an independent body advising the government on policies to increase social mobility and reduce inequalities (Social Mobility Commission, 2021). It monitors progress, conducts research, and recommends actions to address disparities in education, employment, and social outcomes. The commission focuses on breaking down barriers that hinder individuals from disadvantaged backgrounds, with the goal of creating a society where everyone has an equal chance to succeed.</w:t>
      </w:r>
      <w:bookmarkStart w:id="49" w:name="_Toc158648547"/>
      <w:bookmarkStart w:id="50" w:name="_Toc158924695"/>
      <w:bookmarkStart w:id="51" w:name="_Toc158924773"/>
    </w:p>
    <w:p w14:paraId="79AC19F8" w14:textId="338EA422"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b/>
          <w:bCs/>
        </w:rPr>
        <w:t>3. Critically review the strategies, programmes, or initiatives:</w:t>
      </w:r>
      <w:bookmarkEnd w:id="49"/>
      <w:bookmarkEnd w:id="50"/>
      <w:bookmarkEnd w:id="51"/>
    </w:p>
    <w:p w14:paraId="5A6D467D"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rPr>
        <w:t>The Equality Act 2010, administered by the Equalities Office, serves as a robust legal framework. However, its effectiveness lies in its enforcement and the commitment of organizations to comply. While the Act provides protection, challenges persist in translating legal provisions into tangible improvements, especially in addressing complex issues such as the gender pay gap and racial disparities in the workplace.</w:t>
      </w:r>
    </w:p>
    <w:p w14:paraId="2D360BF1"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rPr>
        <w:t>The Social Mobility Commission plays a crucial role in highlighting and advocating for policies to address social inequalities. However, the impact is contingent on the government's responsiveness to the commission's recommendations. The commission has faced challenges in influencing comprehensive changes, especially in addressing deeply rooted societal disparities.</w:t>
      </w:r>
    </w:p>
    <w:p w14:paraId="0D74F0EC" w14:textId="77777777" w:rsidR="002B1A08" w:rsidRPr="002B1A08" w:rsidRDefault="002B1A08" w:rsidP="002B1A08">
      <w:pPr>
        <w:keepNext/>
        <w:keepLines/>
        <w:spacing w:before="360" w:after="80" w:line="360" w:lineRule="auto"/>
        <w:jc w:val="both"/>
        <w:outlineLvl w:val="0"/>
        <w:rPr>
          <w:rFonts w:ascii="Arial" w:eastAsiaTheme="majorEastAsia" w:hAnsi="Arial" w:cs="Arial"/>
          <w:b/>
          <w:bCs/>
        </w:rPr>
      </w:pPr>
      <w:bookmarkStart w:id="52" w:name="_Toc158648548"/>
      <w:bookmarkStart w:id="53" w:name="_Toc158924696"/>
      <w:bookmarkStart w:id="54" w:name="_Toc158924774"/>
      <w:r w:rsidRPr="002B1A08">
        <w:rPr>
          <w:rFonts w:ascii="Arial" w:eastAsiaTheme="majorEastAsia" w:hAnsi="Arial" w:cs="Arial"/>
          <w:b/>
          <w:bCs/>
        </w:rPr>
        <w:lastRenderedPageBreak/>
        <w:t>4. Evaluate the progress made so far by the UK government in implementing this goal</w:t>
      </w:r>
      <w:bookmarkEnd w:id="52"/>
      <w:bookmarkEnd w:id="53"/>
      <w:bookmarkEnd w:id="54"/>
      <w:r w:rsidRPr="002B1A08">
        <w:rPr>
          <w:rFonts w:ascii="Arial" w:eastAsiaTheme="majorEastAsia" w:hAnsi="Arial" w:cs="Arial"/>
          <w:b/>
          <w:bCs/>
        </w:rPr>
        <w:t>:</w:t>
      </w:r>
    </w:p>
    <w:p w14:paraId="5A4B5571"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rPr>
        <w:t>The UK has made notable strides in reducing certain forms of inequality, such as advancements in gender equality, LGBTQ+ rights, and disability accommodations. The implementation of the Equality Act has provided a legal framework for addressing discrimination. However, challenges persist, and progress is uneven across different dimensions of inequality.</w:t>
      </w:r>
    </w:p>
    <w:p w14:paraId="5A8A44F8" w14:textId="77777777" w:rsid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rPr>
        <w:t>The Social Mobility Commission's efforts have contributed to increased awareness of social inequalities. However, progress remains slow in achieving significant improvements, particularly in narrowing the gap in educational attainment and employment opportunities between individuals from privileged and disadvantaged backgrounds.</w:t>
      </w:r>
      <w:bookmarkStart w:id="55" w:name="_Toc158648549"/>
      <w:bookmarkStart w:id="56" w:name="_Toc158924697"/>
      <w:bookmarkStart w:id="57" w:name="_Toc158924775"/>
    </w:p>
    <w:p w14:paraId="26964867" w14:textId="2AECD3E8"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b/>
          <w:bCs/>
        </w:rPr>
        <w:t>5. Critically examine the impact of the implementation of this goal on health, wellbeing, and sustainable development within the present healthcare in the UK:</w:t>
      </w:r>
      <w:bookmarkEnd w:id="55"/>
      <w:bookmarkEnd w:id="56"/>
      <w:bookmarkEnd w:id="57"/>
    </w:p>
    <w:p w14:paraId="6E646B69"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rPr>
        <w:t>Reducing inequalities has a direct impact on health and wellbeing (World Health Organization, 1948) In the UK, initiatives targeting health inequalities, such as the National Health Service's (NHS) focus on addressing social determinants of health, aim to reduce disparities in health outcomes (National Health Service, 2020). However, persistent inequalities in access to healthcare, social determinants such as income and education, and varying health literacy levels continue to challenge the healthcare system.</w:t>
      </w:r>
    </w:p>
    <w:p w14:paraId="1D798CBD"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rPr>
        <w:t>Addressing inequalities is fundamental to sustainable development in healthcare. It not only promotes social cohesion but also contributes to the economic productivity of a nation. By reducing health disparities, the UK can ensure a healthier and more resilient population, fostering sustainable development in the long term.</w:t>
      </w:r>
    </w:p>
    <w:p w14:paraId="5200E16E" w14:textId="77777777" w:rsidR="002B1A08" w:rsidRDefault="002B1A08" w:rsidP="002B1A08">
      <w:pPr>
        <w:keepNext/>
        <w:keepLines/>
        <w:spacing w:before="360" w:after="80" w:line="360" w:lineRule="auto"/>
        <w:jc w:val="both"/>
        <w:outlineLvl w:val="0"/>
        <w:rPr>
          <w:rFonts w:ascii="Arial" w:eastAsiaTheme="majorEastAsia" w:hAnsi="Arial" w:cs="Arial"/>
          <w:b/>
          <w:bCs/>
        </w:rPr>
      </w:pPr>
      <w:bookmarkStart w:id="58" w:name="_Toc158648550"/>
      <w:bookmarkStart w:id="59" w:name="_Toc158924698"/>
      <w:bookmarkStart w:id="60" w:name="_Toc158924776"/>
    </w:p>
    <w:p w14:paraId="5B18F039" w14:textId="0584C832" w:rsidR="002B1A08" w:rsidRPr="002B1A08" w:rsidRDefault="002B1A08" w:rsidP="002B1A08">
      <w:pPr>
        <w:keepNext/>
        <w:keepLines/>
        <w:spacing w:before="360" w:after="80" w:line="360" w:lineRule="auto"/>
        <w:jc w:val="both"/>
        <w:outlineLvl w:val="0"/>
        <w:rPr>
          <w:rFonts w:ascii="Arial" w:eastAsiaTheme="majorEastAsia" w:hAnsi="Arial" w:cs="Arial"/>
          <w:b/>
          <w:bCs/>
        </w:rPr>
      </w:pPr>
      <w:r w:rsidRPr="002B1A08">
        <w:rPr>
          <w:rFonts w:ascii="Arial" w:eastAsiaTheme="majorEastAsia" w:hAnsi="Arial" w:cs="Arial"/>
          <w:b/>
          <w:bCs/>
        </w:rPr>
        <w:lastRenderedPageBreak/>
        <w:t>6. Examine the challenges in implementing this goal:</w:t>
      </w:r>
      <w:bookmarkEnd w:id="58"/>
      <w:bookmarkEnd w:id="59"/>
      <w:bookmarkEnd w:id="60"/>
    </w:p>
    <w:p w14:paraId="66C49212"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rPr>
        <w:t>Challenges in implementing Goal B include deep-rooted societal norms, economic disparities, and systemic barriers. Discriminatory practices embedded in societal norms and attitudes present a formidable challenge (United Nations, 2015). Overcoming these requires sustained efforts in education, awareness campaigns, and promoting inclusivity from an early age.</w:t>
      </w:r>
    </w:p>
    <w:p w14:paraId="1E24B4CD"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rPr>
        <w:t>Economic disparities, exacerbated by factors such as unequal access to education and employment opportunities, contribute to persistent inequalities. Addressing these challenges involves comprehensive economic policies that bridge income gaps, provide equal access to quality education, and create inclusive employment opportunities.</w:t>
      </w:r>
    </w:p>
    <w:p w14:paraId="0138E468"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rPr>
        <w:t>Systemic barriers within institutions and policies perpetuate inequalities. For instance, biases in recruitment and promotion processes can hinder equal opportunities. Tackling these challenges requires not only legislative measures but also cultural shifts within organizations to promote diversity, equity, and inclusion.</w:t>
      </w:r>
    </w:p>
    <w:p w14:paraId="7E9F2BA4" w14:textId="77777777" w:rsidR="002B1A08" w:rsidRPr="002B1A08" w:rsidRDefault="002B1A08" w:rsidP="002B1A08">
      <w:pPr>
        <w:keepNext/>
        <w:keepLines/>
        <w:spacing w:before="360" w:after="80" w:line="360" w:lineRule="auto"/>
        <w:jc w:val="both"/>
        <w:outlineLvl w:val="0"/>
        <w:rPr>
          <w:rFonts w:ascii="Arial" w:eastAsiaTheme="majorEastAsia" w:hAnsi="Arial" w:cs="Arial"/>
          <w:b/>
          <w:bCs/>
        </w:rPr>
      </w:pPr>
      <w:bookmarkStart w:id="61" w:name="_Toc158648551"/>
      <w:bookmarkStart w:id="62" w:name="_Toc158924699"/>
      <w:bookmarkStart w:id="63" w:name="_Toc158924777"/>
      <w:r w:rsidRPr="002B1A08">
        <w:rPr>
          <w:rFonts w:ascii="Arial" w:eastAsiaTheme="majorEastAsia" w:hAnsi="Arial" w:cs="Arial"/>
          <w:b/>
          <w:bCs/>
        </w:rPr>
        <w:t>7. Provide recommendations for achieving this goal with supporting evidence:</w:t>
      </w:r>
      <w:bookmarkEnd w:id="61"/>
      <w:bookmarkEnd w:id="62"/>
      <w:bookmarkEnd w:id="63"/>
    </w:p>
    <w:p w14:paraId="3B5A25D2"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bookmarkStart w:id="64" w:name="_Toc158648552"/>
      <w:bookmarkStart w:id="65" w:name="_Toc158924700"/>
      <w:bookmarkStart w:id="66" w:name="_Toc158924778"/>
      <w:r w:rsidRPr="002B1A08">
        <w:rPr>
          <w:rFonts w:ascii="Arial" w:eastAsiaTheme="majorEastAsia" w:hAnsi="Arial" w:cs="Arial"/>
          <w:b/>
          <w:bCs/>
        </w:rPr>
        <w:t>a. Enhance Enforcement of the Equality Act:</w:t>
      </w:r>
      <w:bookmarkEnd w:id="64"/>
      <w:bookmarkEnd w:id="65"/>
      <w:bookmarkEnd w:id="66"/>
      <w:r w:rsidRPr="002B1A08">
        <w:rPr>
          <w:rFonts w:ascii="Arial" w:eastAsiaTheme="majorEastAsia" w:hAnsi="Arial" w:cs="Arial"/>
          <w:b/>
          <w:bCs/>
        </w:rPr>
        <w:t xml:space="preserve"> </w:t>
      </w:r>
      <w:r w:rsidRPr="002B1A08">
        <w:rPr>
          <w:rFonts w:ascii="Arial" w:eastAsiaTheme="majorEastAsia" w:hAnsi="Arial" w:cs="Arial"/>
        </w:rPr>
        <w:t>Recommendations include strengthening the enforcement mechanisms of the Equality Act 2010 (Equalities Office, 2010). This involves ensuring that organizations adhere to the Act's provisions and face consequences for non-compliance. Evidence from successful legal cases can inform the refinement of policies to better address emerging forms of discrimination.</w:t>
      </w:r>
    </w:p>
    <w:p w14:paraId="0C69B63E"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b/>
          <w:bCs/>
        </w:rPr>
        <w:t>b. Invest in Early Intervention Programs:</w:t>
      </w:r>
      <w:r w:rsidRPr="002B1A08">
        <w:rPr>
          <w:rFonts w:ascii="Arial" w:eastAsiaTheme="majorEastAsia" w:hAnsi="Arial" w:cs="Arial"/>
        </w:rPr>
        <w:t xml:space="preserve"> To address societal norms perpetuating inequalities, early intervention programs in education are crucial (World Health Organization, 1948). Implementing evidence-based interventions that promote diversity, inclusivity, and equality from early childhood can reshape societal attitudes. Countries with successful early intervention programs have demonstrated positive outcomes in breaking down ingrained biases.</w:t>
      </w:r>
    </w:p>
    <w:p w14:paraId="4E8130E7"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b/>
          <w:bCs/>
        </w:rPr>
        <w:lastRenderedPageBreak/>
        <w:t>c. Integrate Inclusive Economic Policies:</w:t>
      </w:r>
      <w:r w:rsidRPr="002B1A08">
        <w:rPr>
          <w:rFonts w:ascii="Arial" w:eastAsiaTheme="majorEastAsia" w:hAnsi="Arial" w:cs="Arial"/>
        </w:rPr>
        <w:t xml:space="preserve"> Economic policies should prioritize inclusive growth, addressing income disparities and providing equal opportunities for economic advancement. Evidence from countries with progressive economic policies, such as those emphasizing wealth redistribution and social safety nets, underscores the positive impact on reducing overall inequalities.</w:t>
      </w:r>
    </w:p>
    <w:p w14:paraId="4D3DF997"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b/>
          <w:bCs/>
        </w:rPr>
        <w:t>d. Promote Diversity and Inclusion in Organizations:</w:t>
      </w:r>
      <w:r w:rsidRPr="002B1A08">
        <w:rPr>
          <w:rFonts w:ascii="Arial" w:eastAsiaTheme="majorEastAsia" w:hAnsi="Arial" w:cs="Arial"/>
        </w:rPr>
        <w:t xml:space="preserve"> Organizations should actively promote diversity and inclusion. Evidence suggests that diverse and inclusive workplaces not only enhance employee satisfaction but also contribute to improved business performance. Implementing measures such as blind recruitment processes and mentoring programs can address biases within organizations.</w:t>
      </w:r>
    </w:p>
    <w:p w14:paraId="5D9CF05E"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b/>
          <w:bCs/>
        </w:rPr>
        <w:t>e. Invest in Comprehensive Health Interventions:</w:t>
      </w:r>
      <w:r w:rsidRPr="002B1A08">
        <w:rPr>
          <w:rFonts w:ascii="Arial" w:eastAsiaTheme="majorEastAsia" w:hAnsi="Arial" w:cs="Arial"/>
        </w:rPr>
        <w:t xml:space="preserve"> To address health inequalities, recommendations include targeted health interventions that consider social determinants. Evidence from public health initiatives, such as those focusing on preventive care, has shown positive outcomes in narrowing health disparities. This requires a holistic approach involving collaboration between healthcare providers, policymakers, and communities.</w:t>
      </w:r>
    </w:p>
    <w:p w14:paraId="7597C7C0" w14:textId="6076C9C0" w:rsid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rPr>
        <w:t xml:space="preserve">In conclusion, achieving Goal B of reducing inequalities requires a multi-faceted approach addressing legal, societal, economic, and health dimensions. While the UK has made progress, persistent challenges necessitate continuous efforts and evidence-based interventions to create a society where all individuals can participate fully and equitably in the nation's development. By learning from successes and challenges, the UK can further advance its commitment to reducing inequalities and contribute to global efforts towards a more just and inclusive </w:t>
      </w:r>
      <w:bookmarkStart w:id="67" w:name="_Toc158648553"/>
      <w:bookmarkStart w:id="68" w:name="_Toc158924701"/>
      <w:bookmarkStart w:id="69" w:name="_Toc158924779"/>
      <w:r w:rsidRPr="002B1A08">
        <w:rPr>
          <w:rFonts w:ascii="Arial" w:eastAsiaTheme="majorEastAsia" w:hAnsi="Arial" w:cs="Arial"/>
        </w:rPr>
        <w:t>world.</w:t>
      </w:r>
    </w:p>
    <w:bookmarkEnd w:id="67"/>
    <w:bookmarkEnd w:id="68"/>
    <w:bookmarkEnd w:id="69"/>
    <w:p w14:paraId="0FB86D2F" w14:textId="77777777" w:rsidR="002B1A08" w:rsidRDefault="002B1A08" w:rsidP="002B1A08">
      <w:pPr>
        <w:keepNext/>
        <w:keepLines/>
        <w:spacing w:before="360" w:after="80" w:line="360" w:lineRule="auto"/>
        <w:jc w:val="both"/>
        <w:outlineLvl w:val="0"/>
        <w:rPr>
          <w:rFonts w:ascii="Arial" w:eastAsiaTheme="majorEastAsia" w:hAnsi="Arial" w:cs="Arial"/>
        </w:rPr>
      </w:pPr>
    </w:p>
    <w:p w14:paraId="3266D24B" w14:textId="77777777" w:rsidR="002B1A08" w:rsidRDefault="002B1A08" w:rsidP="002B1A08">
      <w:pPr>
        <w:keepNext/>
        <w:keepLines/>
        <w:spacing w:before="360" w:after="80" w:line="360" w:lineRule="auto"/>
        <w:jc w:val="both"/>
        <w:outlineLvl w:val="0"/>
        <w:rPr>
          <w:rFonts w:ascii="Arial" w:eastAsiaTheme="majorEastAsia" w:hAnsi="Arial" w:cs="Arial"/>
        </w:rPr>
      </w:pPr>
    </w:p>
    <w:p w14:paraId="2DEE7276" w14:textId="77777777" w:rsidR="002B1A08" w:rsidRDefault="002B1A08" w:rsidP="002B1A08">
      <w:pPr>
        <w:keepNext/>
        <w:keepLines/>
        <w:spacing w:before="360" w:after="80" w:line="360" w:lineRule="auto"/>
        <w:jc w:val="both"/>
        <w:outlineLvl w:val="0"/>
        <w:rPr>
          <w:rFonts w:ascii="Arial" w:eastAsiaTheme="majorEastAsia" w:hAnsi="Arial" w:cs="Arial"/>
        </w:rPr>
      </w:pPr>
    </w:p>
    <w:p w14:paraId="2466ABB9" w14:textId="06C440B1" w:rsidR="002B1A08" w:rsidRPr="002B1A08" w:rsidRDefault="002B1A08" w:rsidP="002B1A08">
      <w:pPr>
        <w:keepNext/>
        <w:keepLines/>
        <w:spacing w:before="360" w:after="80" w:line="360" w:lineRule="auto"/>
        <w:jc w:val="both"/>
        <w:outlineLvl w:val="0"/>
        <w:rPr>
          <w:rFonts w:ascii="Arial" w:eastAsiaTheme="majorEastAsia" w:hAnsi="Arial" w:cs="Arial"/>
          <w:b/>
          <w:bCs/>
        </w:rPr>
      </w:pPr>
      <w:r w:rsidRPr="002B1A08">
        <w:rPr>
          <w:rFonts w:ascii="Arial" w:eastAsiaTheme="majorEastAsia" w:hAnsi="Arial" w:cs="Arial"/>
          <w:b/>
          <w:bCs/>
        </w:rPr>
        <w:lastRenderedPageBreak/>
        <w:t>CONCLUSION</w:t>
      </w:r>
    </w:p>
    <w:p w14:paraId="4AE5CBE7" w14:textId="15E2EB23"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rPr>
        <w:t>In conclusion, this comprehensive report has delved into the pivotal Sustainable Development Goals (SDGs) of Gender Equality (Goal A) and Reduced Inequalities (Goal B) within the context of the United Kingdom's initiatives and strategies (United Nations, 2015). These goals, integral to the global pursuit of a more equitable and sustainable future, have been examined through the lenses of wellbeing, health, and overall sustainable development (World Health Organization, 1948).</w:t>
      </w:r>
    </w:p>
    <w:p w14:paraId="6CCC2F56" w14:textId="107FD5B8"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rPr>
        <w:t xml:space="preserve">The exploration of Goal A, </w:t>
      </w:r>
      <w:r w:rsidR="00954BCC">
        <w:rPr>
          <w:rFonts w:ascii="Arial" w:eastAsiaTheme="majorEastAsia" w:hAnsi="Arial" w:cs="Arial"/>
        </w:rPr>
        <w:t>SDG 5-</w:t>
      </w:r>
      <w:r w:rsidRPr="002B1A08">
        <w:rPr>
          <w:rFonts w:ascii="Arial" w:eastAsiaTheme="majorEastAsia" w:hAnsi="Arial" w:cs="Arial"/>
        </w:rPr>
        <w:t>Gender Equality, highlighted the UK's commitment to dismantling systemic barriers through initiatives such as the "Gender Pay Gap Reporting" and the "30% Club." (Equalities Office, 2010; 30% Club, no date). These endeavors aim to foster transparency in the workplace, rectify earnings disparities, and break gender barriers in corporate leadership. However, the critical review revealed persistent challenges, including industry-specific resistance and cultural biases, underscoring the need for ongoing efforts. Despite commendable progress, achieving gender equality necessitates expanding reporting mechanisms, addressing intersectionality, and fostering a cultural shift through educational programs.</w:t>
      </w:r>
    </w:p>
    <w:p w14:paraId="7040EEF3" w14:textId="58CD0C3F"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rPr>
        <w:t>Turning to Goal B,</w:t>
      </w:r>
      <w:r w:rsidR="00954BCC">
        <w:rPr>
          <w:rFonts w:ascii="Arial" w:eastAsiaTheme="majorEastAsia" w:hAnsi="Arial" w:cs="Arial"/>
        </w:rPr>
        <w:t xml:space="preserve"> SDG 10-</w:t>
      </w:r>
      <w:r w:rsidRPr="002B1A08">
        <w:rPr>
          <w:rFonts w:ascii="Arial" w:eastAsiaTheme="majorEastAsia" w:hAnsi="Arial" w:cs="Arial"/>
        </w:rPr>
        <w:t xml:space="preserve"> Reduced Inequalities, the report focused on UK strategies like the Equality Act 2010 and the Social Mobility Commission (Equalities Office, 2010; Social Mobility Commission, 2021).  The Equality Act lays the foundation for addressing discrimination, while the Social Mobility Commission strives to reduce disparities in education and employment opportunities. Evaluating progress indicated advancements in certain areas, yet challenges persist in achieving significant improvements, particularly in social mobility.</w:t>
      </w:r>
    </w:p>
    <w:p w14:paraId="061BD219"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rPr>
        <w:lastRenderedPageBreak/>
        <w:t>Examining the impact of both goals on health, wellbeing, and sustainable development underscored the interconnected nature of these pursuits. Initiatives addressing gender equality positively influenced workplace dynamics, contributing to improved wellbeing and sustainable business practices. In the realm of reduced inequalities, efforts to address health disparities were evident, although challenges in access to healthcare persisted, emphasizing the need for a more inclusive healthcare system.</w:t>
      </w:r>
    </w:p>
    <w:p w14:paraId="7457B942"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rPr>
        <w:t>Challenges in implementing these goals include deeply entrenched societal norms, economic disparities, and systemic barriers (United Nations, 2015). Overcoming these challenges demands a multifaceted approach involving education, economic policies, and organizational cultural shifts. The recommendations put forth encompass strengthening the enforcement of the Equality Act, investing in early intervention programs, promoting inclusive economic policies, fostering diversity within organizations, and implementing comprehensive health interventions.</w:t>
      </w:r>
    </w:p>
    <w:p w14:paraId="646B114F"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r w:rsidRPr="002B1A08">
        <w:rPr>
          <w:rFonts w:ascii="Arial" w:eastAsiaTheme="majorEastAsia" w:hAnsi="Arial" w:cs="Arial"/>
        </w:rPr>
        <w:t>In essence, this report contends that achieving sustainable development goals requires a holistic and intersectional approach (United Nations, 2015). The initiatives and strategies outlined form steppingstones toward a more equitable, inclusive, and sustainable future. Continuous evaluation, adaptation, and evidence-based interventions will be key in navigating the complexities of societal progress. By learning from both successes and challenges, the United Kingdom can continue to be a trailblazer in global efforts toward a world where gender equality and reduced inequalities are not just goals on paper but tangible realities for all.</w:t>
      </w:r>
    </w:p>
    <w:p w14:paraId="6B6E5917" w14:textId="77777777" w:rsidR="002B1A08" w:rsidRDefault="002B1A08" w:rsidP="002B1A08">
      <w:pPr>
        <w:keepNext/>
        <w:keepLines/>
        <w:spacing w:before="360" w:after="80" w:line="360" w:lineRule="auto"/>
        <w:jc w:val="center"/>
        <w:outlineLvl w:val="0"/>
        <w:rPr>
          <w:rFonts w:ascii="Arial" w:eastAsiaTheme="majorEastAsia" w:hAnsi="Arial" w:cs="Arial"/>
          <w:b/>
          <w:bCs/>
        </w:rPr>
      </w:pPr>
      <w:bookmarkStart w:id="70" w:name="_Toc158924780"/>
    </w:p>
    <w:p w14:paraId="1724845C" w14:textId="77777777" w:rsidR="002B1A08" w:rsidRDefault="002B1A08" w:rsidP="002B1A08">
      <w:pPr>
        <w:keepNext/>
        <w:keepLines/>
        <w:spacing w:before="360" w:after="80" w:line="360" w:lineRule="auto"/>
        <w:jc w:val="center"/>
        <w:outlineLvl w:val="0"/>
        <w:rPr>
          <w:rFonts w:ascii="Arial" w:eastAsiaTheme="majorEastAsia" w:hAnsi="Arial" w:cs="Arial"/>
          <w:b/>
          <w:bCs/>
        </w:rPr>
      </w:pPr>
    </w:p>
    <w:p w14:paraId="016F810C" w14:textId="77777777" w:rsidR="002B1A08" w:rsidRDefault="002B1A08" w:rsidP="002B1A08">
      <w:pPr>
        <w:keepNext/>
        <w:keepLines/>
        <w:spacing w:before="360" w:after="80" w:line="360" w:lineRule="auto"/>
        <w:jc w:val="center"/>
        <w:outlineLvl w:val="0"/>
        <w:rPr>
          <w:rFonts w:ascii="Arial" w:eastAsiaTheme="majorEastAsia" w:hAnsi="Arial" w:cs="Arial"/>
          <w:b/>
          <w:bCs/>
        </w:rPr>
      </w:pPr>
    </w:p>
    <w:p w14:paraId="478495E2" w14:textId="77777777" w:rsidR="002B1A08" w:rsidRDefault="002B1A08" w:rsidP="002B1A08">
      <w:pPr>
        <w:keepNext/>
        <w:keepLines/>
        <w:spacing w:before="360" w:after="80" w:line="360" w:lineRule="auto"/>
        <w:jc w:val="center"/>
        <w:outlineLvl w:val="0"/>
        <w:rPr>
          <w:rFonts w:ascii="Arial" w:eastAsiaTheme="majorEastAsia" w:hAnsi="Arial" w:cs="Arial"/>
          <w:b/>
          <w:bCs/>
        </w:rPr>
      </w:pPr>
    </w:p>
    <w:p w14:paraId="7A83F91C" w14:textId="4476CBDE" w:rsidR="002B1A08" w:rsidRPr="002B1A08" w:rsidRDefault="002B1A08" w:rsidP="002B1A08">
      <w:pPr>
        <w:keepNext/>
        <w:keepLines/>
        <w:spacing w:before="360" w:after="80" w:line="360" w:lineRule="auto"/>
        <w:jc w:val="center"/>
        <w:outlineLvl w:val="0"/>
        <w:rPr>
          <w:rFonts w:ascii="Arial" w:eastAsiaTheme="majorEastAsia" w:hAnsi="Arial" w:cs="Arial"/>
          <w:b/>
          <w:bCs/>
        </w:rPr>
      </w:pPr>
      <w:r w:rsidRPr="002B1A08">
        <w:rPr>
          <w:rFonts w:ascii="Arial" w:eastAsiaTheme="majorEastAsia" w:hAnsi="Arial" w:cs="Arial"/>
          <w:b/>
          <w:bCs/>
        </w:rPr>
        <w:lastRenderedPageBreak/>
        <w:t>REFERENCE LIST</w:t>
      </w:r>
      <w:bookmarkEnd w:id="70"/>
    </w:p>
    <w:p w14:paraId="33F89937" w14:textId="77777777" w:rsidR="002B1A08" w:rsidRPr="002B1A08" w:rsidRDefault="002B1A08" w:rsidP="002B1A08">
      <w:pPr>
        <w:keepNext/>
        <w:keepLines/>
        <w:spacing w:before="360" w:after="80" w:line="360" w:lineRule="auto"/>
        <w:jc w:val="both"/>
        <w:outlineLvl w:val="0"/>
        <w:rPr>
          <w:rFonts w:ascii="Arial" w:eastAsiaTheme="majorEastAsia" w:hAnsi="Arial" w:cs="Arial"/>
        </w:rPr>
      </w:pPr>
    </w:p>
    <w:p w14:paraId="578633BD" w14:textId="77777777" w:rsidR="002B1A08" w:rsidRPr="002B1A08" w:rsidRDefault="002B1A08" w:rsidP="002B1A08">
      <w:pPr>
        <w:keepNext/>
        <w:keepLines/>
        <w:spacing w:before="360" w:after="80" w:line="360" w:lineRule="auto"/>
        <w:outlineLvl w:val="0"/>
        <w:rPr>
          <w:rFonts w:ascii="Arial" w:eastAsiaTheme="majorEastAsia" w:hAnsi="Arial" w:cs="Arial"/>
        </w:rPr>
      </w:pPr>
      <w:bookmarkStart w:id="71" w:name="_Hlk161571769"/>
      <w:r w:rsidRPr="002B1A08">
        <w:rPr>
          <w:rFonts w:ascii="Arial" w:eastAsiaTheme="majorEastAsia" w:hAnsi="Arial" w:cs="Arial"/>
        </w:rPr>
        <w:t xml:space="preserve">30% Club. (No Date.). </w:t>
      </w:r>
      <w:r w:rsidRPr="002B1A08">
        <w:rPr>
          <w:rFonts w:ascii="Arial" w:eastAsiaTheme="majorEastAsia" w:hAnsi="Arial" w:cs="Arial"/>
          <w:i/>
          <w:iCs/>
        </w:rPr>
        <w:t>About Us</w:t>
      </w:r>
      <w:r w:rsidRPr="002B1A08">
        <w:rPr>
          <w:rFonts w:ascii="Arial" w:eastAsiaTheme="majorEastAsia" w:hAnsi="Arial" w:cs="Arial"/>
        </w:rPr>
        <w:t xml:space="preserve">. Available at: </w:t>
      </w:r>
      <w:hyperlink r:id="rId7" w:history="1">
        <w:r w:rsidRPr="002B1A08">
          <w:rPr>
            <w:rFonts w:ascii="Arial" w:eastAsiaTheme="majorEastAsia" w:hAnsi="Arial" w:cs="Arial"/>
            <w:color w:val="467886" w:themeColor="hyperlink"/>
            <w:u w:val="single"/>
          </w:rPr>
          <w:t>https://30percentclub.org/about-us/</w:t>
        </w:r>
      </w:hyperlink>
      <w:r w:rsidRPr="002B1A08">
        <w:rPr>
          <w:rFonts w:ascii="Arial" w:eastAsiaTheme="majorEastAsia" w:hAnsi="Arial" w:cs="Arial"/>
          <w:color w:val="0F4761" w:themeColor="accent1" w:themeShade="BF"/>
        </w:rPr>
        <w:t xml:space="preserve"> (Accessed: 21.03.2024)</w:t>
      </w:r>
    </w:p>
    <w:p w14:paraId="527BB24D" w14:textId="77777777" w:rsidR="002B1A08" w:rsidRPr="002B1A08" w:rsidRDefault="002B1A08" w:rsidP="002B1A08">
      <w:pPr>
        <w:keepNext/>
        <w:keepLines/>
        <w:spacing w:before="360" w:after="80" w:line="360" w:lineRule="auto"/>
        <w:outlineLvl w:val="0"/>
        <w:rPr>
          <w:rFonts w:ascii="Arial" w:eastAsiaTheme="majorEastAsia" w:hAnsi="Arial" w:cs="Arial"/>
        </w:rPr>
      </w:pPr>
      <w:bookmarkStart w:id="72" w:name="_Hlk161572046"/>
      <w:bookmarkEnd w:id="71"/>
      <w:r w:rsidRPr="002B1A08">
        <w:rPr>
          <w:rFonts w:ascii="Arial" w:eastAsiaTheme="majorEastAsia" w:hAnsi="Arial" w:cs="Arial"/>
        </w:rPr>
        <w:t>Alcock, P., Haux, T., &amp; Wright, S. (2008). Social Policy and the Third Way: Ambivalence or Necessity</w:t>
      </w:r>
      <w:r w:rsidRPr="002B1A08">
        <w:rPr>
          <w:rFonts w:ascii="Arial" w:eastAsiaTheme="majorEastAsia" w:hAnsi="Arial" w:cs="Arial"/>
          <w:i/>
          <w:iCs/>
        </w:rPr>
        <w:t>? Policy &amp; Politics</w:t>
      </w:r>
      <w:r w:rsidRPr="002B1A08">
        <w:rPr>
          <w:rFonts w:ascii="Arial" w:eastAsiaTheme="majorEastAsia" w:hAnsi="Arial" w:cs="Arial"/>
        </w:rPr>
        <w:t>, 36(1), pp.5-20.</w:t>
      </w:r>
    </w:p>
    <w:bookmarkEnd w:id="72"/>
    <w:p w14:paraId="6E74093D"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Banks, J. (2016). Intersectionality, identity politics, and violence: Against theoretical abstraction in law and politics. Routledge.</w:t>
      </w:r>
    </w:p>
    <w:p w14:paraId="74935E1F"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Blanden, J., &amp; Machin, S. (2019). Educational inequality and intergenerational mobility. In Handbook of Economic Inequality (pp. 629-655). Springer.</w:t>
      </w:r>
    </w:p>
    <w:p w14:paraId="548EB9EE"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 xml:space="preserve">Brownson, R. C., Fielding, J. E., &amp; Green, L. W. (2018). Building capacity for evidence-based public health: Reconciling the pulls of practice and the push of research. </w:t>
      </w:r>
      <w:r w:rsidRPr="002B1A08">
        <w:rPr>
          <w:rFonts w:ascii="Arial" w:eastAsiaTheme="majorEastAsia" w:hAnsi="Arial" w:cs="Arial"/>
          <w:i/>
          <w:iCs/>
        </w:rPr>
        <w:t>Annual Review of Public Health</w:t>
      </w:r>
      <w:r w:rsidRPr="002B1A08">
        <w:rPr>
          <w:rFonts w:ascii="Arial" w:eastAsiaTheme="majorEastAsia" w:hAnsi="Arial" w:cs="Arial"/>
        </w:rPr>
        <w:t>, 39, pp.27-53.</w:t>
      </w:r>
    </w:p>
    <w:p w14:paraId="027FC43E"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 xml:space="preserve">Catalyst. (2011). The Bottom Line: Corporate Performance and Women's Representation on Boards (2004-2008). Available at : </w:t>
      </w:r>
      <w:hyperlink r:id="rId8" w:history="1">
        <w:r w:rsidRPr="002B1A08">
          <w:rPr>
            <w:rFonts w:ascii="Arial" w:eastAsiaTheme="majorEastAsia" w:hAnsi="Arial" w:cs="Arial"/>
            <w:color w:val="467886" w:themeColor="hyperlink"/>
            <w:u w:val="single"/>
          </w:rPr>
          <w:t>https://www.catalyst.org/research/bottom-line-corporate-performance-and-womens-representation-boards-20042008/ (Accesed</w:t>
        </w:r>
      </w:hyperlink>
      <w:r w:rsidRPr="002B1A08">
        <w:rPr>
          <w:rFonts w:ascii="Arial" w:eastAsiaTheme="majorEastAsia" w:hAnsi="Arial" w:cs="Arial"/>
        </w:rPr>
        <w:t>: 18 March 2024)</w:t>
      </w:r>
    </w:p>
    <w:p w14:paraId="7A983DC2"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 xml:space="preserve">Collins, P. H. (1998). It's all in the family: Intersections of gender, race, and nation. </w:t>
      </w:r>
      <w:r w:rsidRPr="002B1A08">
        <w:rPr>
          <w:rFonts w:ascii="Arial" w:eastAsiaTheme="majorEastAsia" w:hAnsi="Arial" w:cs="Arial"/>
          <w:i/>
          <w:iCs/>
        </w:rPr>
        <w:t>Hypatia</w:t>
      </w:r>
      <w:r w:rsidRPr="002B1A08">
        <w:rPr>
          <w:rFonts w:ascii="Arial" w:eastAsiaTheme="majorEastAsia" w:hAnsi="Arial" w:cs="Arial"/>
        </w:rPr>
        <w:t>, 13(3), pp.62-82.</w:t>
      </w:r>
    </w:p>
    <w:p w14:paraId="3D86475F"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Crenshaw, K. (1989). Demarginalizing the intersection of race and sex: A Black feminist critique of antidiscrimination doctrine, feminist theory, and antiracist politics</w:t>
      </w:r>
      <w:r w:rsidRPr="002B1A08">
        <w:rPr>
          <w:rFonts w:ascii="Arial" w:eastAsiaTheme="majorEastAsia" w:hAnsi="Arial" w:cs="Arial"/>
          <w:i/>
          <w:iCs/>
        </w:rPr>
        <w:t>. University of Chicago Legal Forum</w:t>
      </w:r>
      <w:r w:rsidRPr="002B1A08">
        <w:rPr>
          <w:rFonts w:ascii="Arial" w:eastAsiaTheme="majorEastAsia" w:hAnsi="Arial" w:cs="Arial"/>
        </w:rPr>
        <w:t>, 1989(1), pp.139-167.</w:t>
      </w:r>
    </w:p>
    <w:p w14:paraId="636CD6B6"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lastRenderedPageBreak/>
        <w:t xml:space="preserve">Eagly, A. H., &amp; Carli, L. L. (2007). Women and the labyrinth of leadership. </w:t>
      </w:r>
      <w:r w:rsidRPr="002B1A08">
        <w:rPr>
          <w:rFonts w:ascii="Arial" w:eastAsiaTheme="majorEastAsia" w:hAnsi="Arial" w:cs="Arial"/>
          <w:i/>
          <w:iCs/>
        </w:rPr>
        <w:t>Harvard Business Review</w:t>
      </w:r>
      <w:r w:rsidRPr="002B1A08">
        <w:rPr>
          <w:rFonts w:ascii="Arial" w:eastAsiaTheme="majorEastAsia" w:hAnsi="Arial" w:cs="Arial"/>
        </w:rPr>
        <w:t>, 85(9), pp.62-71.</w:t>
      </w:r>
    </w:p>
    <w:p w14:paraId="6175DDBB"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 xml:space="preserve">Equalities and Human Rights Commission. (2019). Gender pay gap reporting: Employers with 250 or more employees. Available at : </w:t>
      </w:r>
      <w:hyperlink r:id="rId9" w:history="1">
        <w:r w:rsidRPr="002B1A08">
          <w:rPr>
            <w:rFonts w:ascii="Arial" w:eastAsiaTheme="majorEastAsia" w:hAnsi="Arial" w:cs="Arial"/>
            <w:color w:val="467886" w:themeColor="hyperlink"/>
            <w:u w:val="single"/>
          </w:rPr>
          <w:t>https://www.equalityhumanrights.com/en/advice-and-guidance/gender-pay-gap-reporting-employers-250-or-more-employees</w:t>
        </w:r>
      </w:hyperlink>
      <w:r w:rsidRPr="002B1A08">
        <w:rPr>
          <w:rFonts w:ascii="Arial" w:eastAsiaTheme="majorEastAsia" w:hAnsi="Arial" w:cs="Arial"/>
        </w:rPr>
        <w:t>. (Accessed: 02 March 2024).</w:t>
      </w:r>
    </w:p>
    <w:p w14:paraId="01C83211"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 xml:space="preserve">Equalities and Human Rights Commission. (2020). Is Britain Fairer? The state of equality and human rights 2020. Available at : </w:t>
      </w:r>
      <w:hyperlink r:id="rId10" w:history="1">
        <w:r w:rsidRPr="002B1A08">
          <w:rPr>
            <w:rFonts w:ascii="Arial" w:eastAsiaTheme="majorEastAsia" w:hAnsi="Arial" w:cs="Arial"/>
            <w:color w:val="467886" w:themeColor="hyperlink"/>
            <w:u w:val="single"/>
          </w:rPr>
          <w:t>https://www.equalityhumanrights.com/en/publication-download/britain-fairer-state-equality-and-human-rights-2020</w:t>
        </w:r>
      </w:hyperlink>
      <w:r w:rsidRPr="002B1A08">
        <w:rPr>
          <w:rFonts w:ascii="Arial" w:eastAsiaTheme="majorEastAsia" w:hAnsi="Arial" w:cs="Arial"/>
        </w:rPr>
        <w:t>. (Accessed:02 March 2024).</w:t>
      </w:r>
    </w:p>
    <w:p w14:paraId="78357590"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 xml:space="preserve">Equalities Office. (2010). </w:t>
      </w:r>
      <w:r w:rsidRPr="002B1A08">
        <w:rPr>
          <w:rFonts w:ascii="Arial" w:eastAsiaTheme="majorEastAsia" w:hAnsi="Arial" w:cs="Arial"/>
          <w:i/>
          <w:iCs/>
        </w:rPr>
        <w:t>Equality Act 2010</w:t>
      </w:r>
      <w:r w:rsidRPr="002B1A08">
        <w:rPr>
          <w:rFonts w:ascii="Arial" w:eastAsiaTheme="majorEastAsia" w:hAnsi="Arial" w:cs="Arial"/>
        </w:rPr>
        <w:t xml:space="preserve">. Available at : </w:t>
      </w:r>
      <w:hyperlink r:id="rId11" w:history="1">
        <w:r w:rsidRPr="002B1A08">
          <w:rPr>
            <w:rFonts w:ascii="Arial" w:eastAsiaTheme="majorEastAsia" w:hAnsi="Arial" w:cs="Arial"/>
            <w:color w:val="467886" w:themeColor="hyperlink"/>
            <w:u w:val="single"/>
          </w:rPr>
          <w:t>https://www.gov.uk/guidance/equality-act-2010-guidance</w:t>
        </w:r>
      </w:hyperlink>
      <w:r w:rsidRPr="002B1A08">
        <w:rPr>
          <w:rFonts w:ascii="Arial" w:eastAsiaTheme="majorEastAsia" w:hAnsi="Arial" w:cs="Arial"/>
        </w:rPr>
        <w:t>. (Accessed: 02 March 2024).</w:t>
      </w:r>
    </w:p>
    <w:p w14:paraId="35EC08C8"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 xml:space="preserve">Equalities Office. (2010). Think, Act, Report: One Year on Report. Available at : </w:t>
      </w:r>
      <w:hyperlink r:id="rId12" w:history="1">
        <w:r w:rsidRPr="002B1A08">
          <w:rPr>
            <w:rFonts w:ascii="Arial" w:eastAsiaTheme="majorEastAsia" w:hAnsi="Arial" w:cs="Arial"/>
            <w:color w:val="467886" w:themeColor="hyperlink"/>
            <w:u w:val="single"/>
          </w:rPr>
          <w:t>https://assets.publishing.service.gov.uk/government/uploads/system/uploads/attachment_data/file/31423/10-1233-think-act-report-one-year-on.pdf</w:t>
        </w:r>
      </w:hyperlink>
      <w:r w:rsidRPr="002B1A08">
        <w:rPr>
          <w:rFonts w:ascii="Arial" w:eastAsiaTheme="majorEastAsia" w:hAnsi="Arial" w:cs="Arial"/>
        </w:rPr>
        <w:t>. (Accessed: 02 March 2024).</w:t>
      </w:r>
    </w:p>
    <w:p w14:paraId="3B19A79D"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 xml:space="preserve">Equality and Human Rights Commission. (2010). Equality Act 2010. Available at: </w:t>
      </w:r>
      <w:hyperlink r:id="rId13" w:history="1">
        <w:r w:rsidRPr="002B1A08">
          <w:rPr>
            <w:rFonts w:ascii="Arial" w:eastAsiaTheme="majorEastAsia" w:hAnsi="Arial" w:cs="Arial"/>
            <w:color w:val="467886" w:themeColor="hyperlink"/>
            <w:u w:val="single"/>
          </w:rPr>
          <w:t>https://www.legislation.gov.uk/ukpga/2010/15/contents</w:t>
        </w:r>
      </w:hyperlink>
      <w:r w:rsidRPr="002B1A08">
        <w:rPr>
          <w:rFonts w:ascii="Arial" w:eastAsiaTheme="majorEastAsia" w:hAnsi="Arial" w:cs="Arial"/>
        </w:rPr>
        <w:t xml:space="preserve">. (Accessed 02 March 2024). </w:t>
      </w:r>
    </w:p>
    <w:p w14:paraId="62400C66"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 xml:space="preserve">Equality and Human Rights Commission. (2017). Equality Act 2010: Guidance on matters to be taken into account in determining questions relating to the definition of disability. Available at : </w:t>
      </w:r>
      <w:hyperlink r:id="rId14" w:history="1">
        <w:r w:rsidRPr="002B1A08">
          <w:rPr>
            <w:rFonts w:ascii="Arial" w:eastAsiaTheme="majorEastAsia" w:hAnsi="Arial" w:cs="Arial"/>
            <w:color w:val="467886" w:themeColor="hyperlink"/>
            <w:u w:val="single"/>
          </w:rPr>
          <w:t>https://www.equalityhumanrights.com/en/publication-download/equality-act-2010-guidance-matters-be-taken-account-determining-questions-relating-definition-disability</w:t>
        </w:r>
      </w:hyperlink>
      <w:r w:rsidRPr="002B1A08">
        <w:rPr>
          <w:rFonts w:ascii="Arial" w:eastAsiaTheme="majorEastAsia" w:hAnsi="Arial" w:cs="Arial"/>
        </w:rPr>
        <w:t>. (Accessed: 002 March 2024)</w:t>
      </w:r>
    </w:p>
    <w:p w14:paraId="4E288124"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lastRenderedPageBreak/>
        <w:t xml:space="preserve">Equality and Human Rights Commission. (2019). Gender pay gap reporting: The gender pay gap and the equal pay report. Available at :  </w:t>
      </w:r>
      <w:hyperlink r:id="rId15" w:history="1">
        <w:r w:rsidRPr="002B1A08">
          <w:rPr>
            <w:rFonts w:ascii="Arial" w:eastAsiaTheme="majorEastAsia" w:hAnsi="Arial" w:cs="Arial"/>
            <w:color w:val="467886" w:themeColor="hyperlink"/>
            <w:u w:val="single"/>
          </w:rPr>
          <w:t>https://www.equalityhumanrights.com/en/publication-download/gender-pay-gap-reporting-gender-pay-gap-and-equal-pay-report</w:t>
        </w:r>
      </w:hyperlink>
      <w:r w:rsidRPr="002B1A08">
        <w:rPr>
          <w:rFonts w:ascii="Arial" w:eastAsiaTheme="majorEastAsia" w:hAnsi="Arial" w:cs="Arial"/>
        </w:rPr>
        <w:t>. (Accessed: 02 March 2024)</w:t>
      </w:r>
    </w:p>
    <w:p w14:paraId="02EF24FD"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Fredman, S. (2011). Discrimination Law: Concepts, Limitations, and Justifications. Oxford University Press.</w:t>
      </w:r>
    </w:p>
    <w:p w14:paraId="2B6AA865"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Greenhalgh, T., Howick, J., &amp; Maskrey, N. (2014). Evidence based medicine: a movement in crisis? BMJ, 348, g3725.</w:t>
      </w:r>
    </w:p>
    <w:p w14:paraId="35CB0429"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 xml:space="preserve">Griggs, D., Stafford-Smith, M., Gaffney, O., Rockström, J., Öhman, M. C., Shyamsundar, P., ... &amp; Noble, I. (2013). Policy: Sustainable development goals for people and planet. </w:t>
      </w:r>
      <w:r w:rsidRPr="002B1A08">
        <w:rPr>
          <w:rFonts w:ascii="Arial" w:eastAsiaTheme="majorEastAsia" w:hAnsi="Arial" w:cs="Arial"/>
          <w:i/>
          <w:iCs/>
        </w:rPr>
        <w:t>Nature</w:t>
      </w:r>
      <w:r w:rsidRPr="002B1A08">
        <w:rPr>
          <w:rFonts w:ascii="Arial" w:eastAsiaTheme="majorEastAsia" w:hAnsi="Arial" w:cs="Arial"/>
        </w:rPr>
        <w:t>, 495(7441), pp.305-307.</w:t>
      </w:r>
    </w:p>
    <w:p w14:paraId="486B5EBA"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Hankivsky, O. (2014). Intersectionality 101. The Institute for Intersectionality Research &amp; Policy, Simon Fraser University.</w:t>
      </w:r>
    </w:p>
    <w:p w14:paraId="5A1DEA7F"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 xml:space="preserve">Heilman, M. E., &amp; Okimoto, T. G. (2007). Why are women penalized for success at male tasks?: The implied communality deficit. </w:t>
      </w:r>
      <w:r w:rsidRPr="002B1A08">
        <w:rPr>
          <w:rFonts w:ascii="Arial" w:eastAsiaTheme="majorEastAsia" w:hAnsi="Arial" w:cs="Arial"/>
          <w:i/>
          <w:iCs/>
        </w:rPr>
        <w:t>Journal of Applied Psychology</w:t>
      </w:r>
      <w:r w:rsidRPr="002B1A08">
        <w:rPr>
          <w:rFonts w:ascii="Arial" w:eastAsiaTheme="majorEastAsia" w:hAnsi="Arial" w:cs="Arial"/>
        </w:rPr>
        <w:t>, 92(1), pp.81-92.</w:t>
      </w:r>
    </w:p>
    <w:p w14:paraId="48B9FDAD"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Jones, A. (2015). 'The Impact of Climate Change'</w:t>
      </w:r>
      <w:r w:rsidRPr="002B1A08">
        <w:rPr>
          <w:rFonts w:ascii="Arial" w:eastAsiaTheme="majorEastAsia" w:hAnsi="Arial" w:cs="Arial"/>
          <w:i/>
          <w:iCs/>
        </w:rPr>
        <w:t>. Environmental Studies</w:t>
      </w:r>
      <w:r w:rsidRPr="002B1A08">
        <w:rPr>
          <w:rFonts w:ascii="Arial" w:eastAsiaTheme="majorEastAsia" w:hAnsi="Arial" w:cs="Arial"/>
        </w:rPr>
        <w:t>, 28(3), pp.123-145.</w:t>
      </w:r>
    </w:p>
    <w:p w14:paraId="2245B323" w14:textId="77777777" w:rsidR="002B1A08" w:rsidRPr="002B1A08" w:rsidRDefault="002B1A08" w:rsidP="002B1A08">
      <w:pPr>
        <w:spacing w:line="360" w:lineRule="auto"/>
        <w:jc w:val="both"/>
        <w:rPr>
          <w:rFonts w:ascii="Arial" w:eastAsia="Times New Roman" w:hAnsi="Arial" w:cs="Arial"/>
          <w:kern w:val="0"/>
          <w14:ligatures w14:val="none"/>
        </w:rPr>
      </w:pPr>
      <w:r w:rsidRPr="002B1A08">
        <w:rPr>
          <w:rFonts w:ascii="Arial" w:eastAsia="Times New Roman" w:hAnsi="Arial" w:cs="Arial"/>
          <w:kern w:val="0"/>
          <w14:ligatures w14:val="none"/>
        </w:rPr>
        <w:t xml:space="preserve">Lancet Planetary Health. (2021). Urgent Action Needed for Environmental Sustainability and Global Health. Lancet Planetary Health. Available at: </w:t>
      </w:r>
      <w:hyperlink r:id="rId16" w:history="1">
        <w:r w:rsidRPr="002B1A08">
          <w:rPr>
            <w:rFonts w:ascii="Arial" w:eastAsia="Times New Roman" w:hAnsi="Arial" w:cs="Arial"/>
            <w:color w:val="467886" w:themeColor="hyperlink"/>
            <w:kern w:val="0"/>
            <w:u w:val="single"/>
            <w14:ligatures w14:val="none"/>
          </w:rPr>
          <w:t>https://www.thelancet.com/journals/lanplh/article/PIIS2542-5196(21)00118-8/fulltext</w:t>
        </w:r>
      </w:hyperlink>
      <w:r w:rsidRPr="002B1A08">
        <w:rPr>
          <w:rFonts w:ascii="Arial" w:eastAsia="Times New Roman" w:hAnsi="Arial" w:cs="Arial"/>
          <w:kern w:val="0"/>
          <w14:ligatures w14:val="none"/>
        </w:rPr>
        <w:t xml:space="preserve">]. (Accessed: 17 March 2024). </w:t>
      </w:r>
    </w:p>
    <w:p w14:paraId="66F5FEA9"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lastRenderedPageBreak/>
        <w:t>Marmot, M., Allen, J., Goldblatt, P., Herd, E., &amp; Morrison, J. (2020). Build Back Fairer: The COVID-19 Marmot Review. Institute of Health Equity.</w:t>
      </w:r>
    </w:p>
    <w:p w14:paraId="06377509"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 xml:space="preserve">Miller, P. (2018). 'The Future of Technology'. </w:t>
      </w:r>
      <w:r w:rsidRPr="002B1A08">
        <w:rPr>
          <w:rFonts w:ascii="Arial" w:eastAsiaTheme="majorEastAsia" w:hAnsi="Arial" w:cs="Arial"/>
          <w:i/>
          <w:iCs/>
        </w:rPr>
        <w:t>Tech Insights</w:t>
      </w:r>
      <w:r w:rsidRPr="002B1A08">
        <w:rPr>
          <w:rFonts w:ascii="Arial" w:eastAsiaTheme="majorEastAsia" w:hAnsi="Arial" w:cs="Arial"/>
        </w:rPr>
        <w:t xml:space="preserve">. Available at:  </w:t>
      </w:r>
      <w:hyperlink r:id="rId17" w:history="1">
        <w:r w:rsidRPr="002B1A08">
          <w:rPr>
            <w:rFonts w:ascii="Arial" w:eastAsiaTheme="majorEastAsia" w:hAnsi="Arial" w:cs="Arial"/>
            <w:u w:val="single"/>
          </w:rPr>
          <w:t>https://www.techinsights.com/future-tech</w:t>
        </w:r>
      </w:hyperlink>
      <w:r w:rsidRPr="002B1A08">
        <w:rPr>
          <w:rFonts w:ascii="Arial" w:eastAsiaTheme="majorEastAsia" w:hAnsi="Arial" w:cs="Arial"/>
          <w:u w:val="single"/>
        </w:rPr>
        <w:t>. (Accessed: 03 March 2024).</w:t>
      </w:r>
    </w:p>
    <w:p w14:paraId="1891935E"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 xml:space="preserve">National Health Service. (2020). Health inequalities. Available at : </w:t>
      </w:r>
      <w:hyperlink r:id="rId18" w:history="1">
        <w:r w:rsidRPr="002B1A08">
          <w:rPr>
            <w:rFonts w:ascii="Arial" w:eastAsiaTheme="majorEastAsia" w:hAnsi="Arial" w:cs="Arial"/>
            <w:color w:val="467886" w:themeColor="hyperlink"/>
            <w:u w:val="single"/>
          </w:rPr>
          <w:t>https://www.england.nhs.uk/about/equality/equality-hub/health-inequalities/</w:t>
        </w:r>
      </w:hyperlink>
      <w:r w:rsidRPr="002B1A08">
        <w:rPr>
          <w:rFonts w:ascii="Arial" w:eastAsiaTheme="majorEastAsia" w:hAnsi="Arial" w:cs="Arial"/>
        </w:rPr>
        <w:t xml:space="preserve">. (Accessed: 03 March 2024). </w:t>
      </w:r>
    </w:p>
    <w:p w14:paraId="23CF405C"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 xml:space="preserve">National Health Service. (2020). </w:t>
      </w:r>
      <w:r w:rsidRPr="002B1A08">
        <w:rPr>
          <w:rFonts w:ascii="Arial" w:eastAsiaTheme="majorEastAsia" w:hAnsi="Arial" w:cs="Arial"/>
          <w:i/>
          <w:iCs/>
        </w:rPr>
        <w:t>Reducing health inequalities: An NHS call to action</w:t>
      </w:r>
      <w:r w:rsidRPr="002B1A08">
        <w:rPr>
          <w:rFonts w:ascii="Arial" w:eastAsiaTheme="majorEastAsia" w:hAnsi="Arial" w:cs="Arial"/>
        </w:rPr>
        <w:t xml:space="preserve">. Available at :  </w:t>
      </w:r>
      <w:hyperlink r:id="rId19" w:history="1">
        <w:r w:rsidRPr="002B1A08">
          <w:rPr>
            <w:rFonts w:ascii="Arial" w:eastAsiaTheme="majorEastAsia" w:hAnsi="Arial" w:cs="Arial"/>
            <w:color w:val="467886" w:themeColor="hyperlink"/>
            <w:u w:val="single"/>
          </w:rPr>
          <w:t>https://www.england.nhs.uk/wp-content/uploads/2020/11/reducing-health-inequalities-call-to-action.pdf</w:t>
        </w:r>
      </w:hyperlink>
      <w:r w:rsidRPr="002B1A08">
        <w:rPr>
          <w:rFonts w:ascii="Arial" w:eastAsiaTheme="majorEastAsia" w:hAnsi="Arial" w:cs="Arial"/>
        </w:rPr>
        <w:t>. (Accessed: 23 February 2024)</w:t>
      </w:r>
    </w:p>
    <w:p w14:paraId="60E4E0A3"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 xml:space="preserve">Noon, M., &amp; Ogbonna, E. (2001). Equality and diversity policies and practices in organizations. </w:t>
      </w:r>
      <w:r w:rsidRPr="002B1A08">
        <w:rPr>
          <w:rFonts w:ascii="Arial" w:eastAsiaTheme="majorEastAsia" w:hAnsi="Arial" w:cs="Arial"/>
          <w:i/>
          <w:iCs/>
        </w:rPr>
        <w:t>Equal Opportunities International</w:t>
      </w:r>
      <w:r w:rsidRPr="002B1A08">
        <w:rPr>
          <w:rFonts w:ascii="Arial" w:eastAsiaTheme="majorEastAsia" w:hAnsi="Arial" w:cs="Arial"/>
        </w:rPr>
        <w:t>, 20(5/6), pp.26-33.</w:t>
      </w:r>
    </w:p>
    <w:p w14:paraId="42337907" w14:textId="77777777" w:rsidR="00B96524" w:rsidRDefault="002B1A08" w:rsidP="00B96524">
      <w:pPr>
        <w:spacing w:line="360" w:lineRule="auto"/>
        <w:jc w:val="both"/>
        <w:rPr>
          <w:rFonts w:ascii="Arial" w:eastAsia="Times New Roman" w:hAnsi="Arial" w:cs="Arial"/>
          <w:kern w:val="0"/>
          <w14:ligatures w14:val="none"/>
        </w:rPr>
      </w:pPr>
      <w:r w:rsidRPr="002B1A08">
        <w:rPr>
          <w:rFonts w:ascii="Arial" w:eastAsia="Times New Roman" w:hAnsi="Arial" w:cs="Arial"/>
          <w:kern w:val="0"/>
          <w14:ligatures w14:val="none"/>
        </w:rPr>
        <w:t xml:space="preserve">OECD. (2021). OECD Guidelines on Measuring the Quality of Life. Available at : </w:t>
      </w:r>
      <w:hyperlink r:id="rId20" w:history="1">
        <w:r w:rsidRPr="002B1A08">
          <w:rPr>
            <w:rFonts w:ascii="Arial" w:eastAsia="Times New Roman" w:hAnsi="Arial" w:cs="Arial"/>
            <w:color w:val="467886" w:themeColor="hyperlink"/>
            <w:kern w:val="0"/>
            <w:u w:val="single"/>
            <w14:ligatures w14:val="none"/>
          </w:rPr>
          <w:t>https://www.oecd-ilibrary.org/sites/a4fcf6d0-en/index.html?itemId=/content/publication/a4fcf6d0-en</w:t>
        </w:r>
      </w:hyperlink>
      <w:r w:rsidRPr="002B1A08">
        <w:rPr>
          <w:rFonts w:ascii="Arial" w:eastAsia="Times New Roman" w:hAnsi="Arial" w:cs="Arial"/>
          <w:kern w:val="0"/>
          <w14:ligatures w14:val="none"/>
        </w:rPr>
        <w:t>]. (Accessed: 17 March 2024).</w:t>
      </w:r>
    </w:p>
    <w:p w14:paraId="4D19E6DC" w14:textId="77777777" w:rsidR="00B96524" w:rsidRDefault="002B1A08" w:rsidP="00B96524">
      <w:pPr>
        <w:spacing w:line="360" w:lineRule="auto"/>
        <w:jc w:val="both"/>
        <w:rPr>
          <w:rFonts w:ascii="Arial" w:eastAsia="Times New Roman" w:hAnsi="Arial" w:cs="Arial"/>
          <w:kern w:val="0"/>
          <w14:ligatures w14:val="none"/>
        </w:rPr>
      </w:pPr>
      <w:r w:rsidRPr="002B1A08">
        <w:rPr>
          <w:rFonts w:ascii="Arial" w:eastAsiaTheme="majorEastAsia" w:hAnsi="Arial" w:cs="Arial"/>
        </w:rPr>
        <w:t xml:space="preserve">Pager, D., &amp; Shepherd, H. (2008). The sociology of discrimination: Racial discrimination in employment, housing, credit, and consumer markets. </w:t>
      </w:r>
      <w:r w:rsidRPr="002B1A08">
        <w:rPr>
          <w:rFonts w:ascii="Arial" w:eastAsiaTheme="majorEastAsia" w:hAnsi="Arial" w:cs="Arial"/>
          <w:i/>
          <w:iCs/>
        </w:rPr>
        <w:t>Annual Review of Sociology</w:t>
      </w:r>
      <w:r w:rsidRPr="002B1A08">
        <w:rPr>
          <w:rFonts w:ascii="Arial" w:eastAsiaTheme="majorEastAsia" w:hAnsi="Arial" w:cs="Arial"/>
        </w:rPr>
        <w:t>, 34, pp.181-209.</w:t>
      </w:r>
    </w:p>
    <w:p w14:paraId="1373E752" w14:textId="77777777" w:rsidR="00B96524" w:rsidRDefault="002B1A08" w:rsidP="00B96524">
      <w:pPr>
        <w:spacing w:line="360" w:lineRule="auto"/>
        <w:jc w:val="both"/>
        <w:rPr>
          <w:rFonts w:ascii="Arial" w:eastAsia="Times New Roman" w:hAnsi="Arial" w:cs="Arial"/>
          <w:kern w:val="0"/>
          <w14:ligatures w14:val="none"/>
        </w:rPr>
      </w:pPr>
      <w:r w:rsidRPr="002B1A08">
        <w:rPr>
          <w:rFonts w:ascii="Arial" w:eastAsiaTheme="majorEastAsia" w:hAnsi="Arial" w:cs="Arial"/>
        </w:rPr>
        <w:t>Patton, M. Q. (2011). Developmental Evaluation: Applying Complexity Concepts to Enhance Innovation and Use. The Guilford Press.</w:t>
      </w:r>
    </w:p>
    <w:p w14:paraId="4AEFF0D2" w14:textId="77777777" w:rsidR="00B96524" w:rsidRDefault="002B1A08" w:rsidP="00B96524">
      <w:pPr>
        <w:spacing w:line="360" w:lineRule="auto"/>
        <w:jc w:val="both"/>
        <w:rPr>
          <w:rFonts w:ascii="Arial" w:eastAsia="Times New Roman" w:hAnsi="Arial" w:cs="Arial"/>
          <w:kern w:val="0"/>
          <w14:ligatures w14:val="none"/>
        </w:rPr>
      </w:pPr>
      <w:r w:rsidRPr="002B1A08">
        <w:rPr>
          <w:rFonts w:ascii="Arial" w:eastAsiaTheme="majorEastAsia" w:hAnsi="Arial" w:cs="Arial"/>
        </w:rPr>
        <w:t>Putnam, R. D. (2000). Bowling Alone: The Collapse and Revival of American Community. Simon &amp; Schuster.</w:t>
      </w:r>
    </w:p>
    <w:p w14:paraId="3CB6684F" w14:textId="5C15C9EA" w:rsidR="002B1A08" w:rsidRPr="002B1A08" w:rsidRDefault="002B1A08" w:rsidP="00B96524">
      <w:pPr>
        <w:spacing w:line="360" w:lineRule="auto"/>
        <w:jc w:val="both"/>
        <w:rPr>
          <w:rFonts w:ascii="Arial" w:eastAsia="Times New Roman" w:hAnsi="Arial" w:cs="Arial"/>
          <w:kern w:val="0"/>
          <w14:ligatures w14:val="none"/>
        </w:rPr>
      </w:pPr>
      <w:r w:rsidRPr="002B1A08">
        <w:rPr>
          <w:rFonts w:ascii="Arial" w:eastAsiaTheme="majorEastAsia" w:hAnsi="Arial" w:cs="Arial"/>
        </w:rPr>
        <w:t>Rockström, J., Steffen, W., Noone, K., Persson, Å., Chapin, F. S., Lambin, E. F.,... &amp; Foley, J. A. (2009). A safe operating space for humanity</w:t>
      </w:r>
      <w:r w:rsidRPr="002B1A08">
        <w:rPr>
          <w:rFonts w:ascii="Arial" w:eastAsiaTheme="majorEastAsia" w:hAnsi="Arial" w:cs="Arial"/>
          <w:i/>
          <w:iCs/>
        </w:rPr>
        <w:t>. Nature</w:t>
      </w:r>
      <w:r w:rsidRPr="002B1A08">
        <w:rPr>
          <w:rFonts w:ascii="Arial" w:eastAsiaTheme="majorEastAsia" w:hAnsi="Arial" w:cs="Arial"/>
        </w:rPr>
        <w:t>, 461(7263), pp.472-475.</w:t>
      </w:r>
    </w:p>
    <w:p w14:paraId="3CCC6462"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 xml:space="preserve">Rubery, J., Smith, M., &amp; Fagan, C. (1999). Women's employment in services in the European Union. </w:t>
      </w:r>
      <w:r w:rsidRPr="002B1A08">
        <w:rPr>
          <w:rFonts w:ascii="Arial" w:eastAsiaTheme="majorEastAsia" w:hAnsi="Arial" w:cs="Arial"/>
          <w:i/>
          <w:iCs/>
        </w:rPr>
        <w:t>The International Journal of Human Resource Management,</w:t>
      </w:r>
      <w:r w:rsidRPr="002B1A08">
        <w:rPr>
          <w:rFonts w:ascii="Arial" w:eastAsiaTheme="majorEastAsia" w:hAnsi="Arial" w:cs="Arial"/>
        </w:rPr>
        <w:t xml:space="preserve"> 10(2), pp.229-247.</w:t>
      </w:r>
    </w:p>
    <w:p w14:paraId="0833DA99"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Sachs, J. D. (2015). The Age of Sustainable Development. Columbia University Press.</w:t>
      </w:r>
    </w:p>
    <w:p w14:paraId="4855CEA3" w14:textId="77777777" w:rsidR="002B1A08" w:rsidRPr="002B1A08" w:rsidRDefault="002B1A08" w:rsidP="002B1A08">
      <w:pPr>
        <w:spacing w:line="360" w:lineRule="auto"/>
        <w:jc w:val="both"/>
        <w:rPr>
          <w:rFonts w:ascii="Arial" w:eastAsia="Times New Roman" w:hAnsi="Arial" w:cs="Arial"/>
          <w:kern w:val="0"/>
          <w14:ligatures w14:val="none"/>
        </w:rPr>
      </w:pPr>
      <w:r w:rsidRPr="002B1A08">
        <w:rPr>
          <w:rFonts w:ascii="Arial" w:eastAsia="Times New Roman" w:hAnsi="Arial" w:cs="Arial"/>
          <w:kern w:val="0"/>
          <w14:ligatures w14:val="none"/>
        </w:rPr>
        <w:t xml:space="preserve">Sachs, J., Schmidt-Traub, G., Kroll, C., Durand-Delacre, D., &amp; Teksoz, K. (2019). SDG Index and Dashboards Report 2019. Available at:  </w:t>
      </w:r>
      <w:hyperlink r:id="rId21" w:history="1">
        <w:r w:rsidRPr="002B1A08">
          <w:rPr>
            <w:rFonts w:ascii="Arial" w:eastAsia="Times New Roman" w:hAnsi="Arial" w:cs="Arial"/>
            <w:color w:val="467886" w:themeColor="hyperlink"/>
            <w:kern w:val="0"/>
            <w:u w:val="single"/>
            <w14:ligatures w14:val="none"/>
          </w:rPr>
          <w:t>https://sdgindex.org/reports/sdg-index-and-dashboards-2019/</w:t>
        </w:r>
      </w:hyperlink>
      <w:r w:rsidRPr="002B1A08">
        <w:rPr>
          <w:rFonts w:ascii="Arial" w:eastAsia="Times New Roman" w:hAnsi="Arial" w:cs="Arial"/>
          <w:kern w:val="0"/>
          <w14:ligatures w14:val="none"/>
        </w:rPr>
        <w:t>]. (Accessed: 17 March 2024).</w:t>
      </w:r>
    </w:p>
    <w:p w14:paraId="1EE51FC1"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Sen, A. (1999). Development as Freedom. Oxford University Press.</w:t>
      </w:r>
    </w:p>
    <w:p w14:paraId="56FFEF1A"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Sen, A. (2002). Rationality and freedom. Harvard University Press.</w:t>
      </w:r>
    </w:p>
    <w:p w14:paraId="338496EE"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 xml:space="preserve">Smith, J. (2010). </w:t>
      </w:r>
      <w:r w:rsidRPr="002B1A08">
        <w:rPr>
          <w:rFonts w:ascii="Arial" w:eastAsiaTheme="majorEastAsia" w:hAnsi="Arial" w:cs="Arial"/>
          <w:i/>
          <w:iCs/>
        </w:rPr>
        <w:t>The Art of Writing</w:t>
      </w:r>
      <w:r w:rsidRPr="002B1A08">
        <w:rPr>
          <w:rFonts w:ascii="Arial" w:eastAsiaTheme="majorEastAsia" w:hAnsi="Arial" w:cs="Arial"/>
        </w:rPr>
        <w:t>. New York: ABC Publishing.</w:t>
      </w:r>
    </w:p>
    <w:p w14:paraId="46F985A0" w14:textId="77777777" w:rsidR="00B96524" w:rsidRDefault="002B1A08" w:rsidP="00B96524">
      <w:pPr>
        <w:rPr>
          <w:rFonts w:ascii="Arial" w:hAnsi="Arial" w:cs="Arial"/>
        </w:rPr>
      </w:pPr>
      <w:r w:rsidRPr="002B1A08">
        <w:rPr>
          <w:rFonts w:ascii="Arial" w:hAnsi="Arial" w:cs="Arial"/>
          <w:color w:val="0D0D0D"/>
          <w:shd w:val="clear" w:color="auto" w:fill="FFFFFF"/>
        </w:rPr>
        <w:t>Smith, J., &amp; Johnson, A. (2023). Advancing Gender Equality and Reducing Inequalities: Initiatives and Progress in the United Kingdom. London: UK Government Publications</w:t>
      </w:r>
    </w:p>
    <w:p w14:paraId="3E8526ED" w14:textId="77777777" w:rsidR="00B96524" w:rsidRDefault="002B1A08" w:rsidP="00B96524">
      <w:pPr>
        <w:rPr>
          <w:rFonts w:ascii="Arial" w:hAnsi="Arial" w:cs="Arial"/>
        </w:rPr>
      </w:pPr>
      <w:r w:rsidRPr="002B1A08">
        <w:rPr>
          <w:rFonts w:ascii="Arial" w:eastAsiaTheme="majorEastAsia" w:hAnsi="Arial" w:cs="Arial"/>
        </w:rPr>
        <w:t xml:space="preserve">Social Mobility Commission. (2020). State of the Nation 2020: Social Mobility in the UK. Available at: </w:t>
      </w:r>
      <w:hyperlink r:id="rId22" w:history="1">
        <w:r w:rsidRPr="002B1A08">
          <w:rPr>
            <w:rFonts w:ascii="Arial" w:eastAsiaTheme="majorEastAsia" w:hAnsi="Arial" w:cs="Arial"/>
            <w:color w:val="467886" w:themeColor="hyperlink"/>
            <w:u w:val="single"/>
          </w:rPr>
          <w:t>https://www.gov.uk/government/publications/state-of-the-nation-2020</w:t>
        </w:r>
      </w:hyperlink>
      <w:r w:rsidRPr="002B1A08">
        <w:rPr>
          <w:rFonts w:ascii="Arial" w:eastAsiaTheme="majorEastAsia" w:hAnsi="Arial" w:cs="Arial"/>
        </w:rPr>
        <w:t>. (Accessed: 28 February 2024).</w:t>
      </w:r>
    </w:p>
    <w:p w14:paraId="09617C54" w14:textId="77777777" w:rsidR="00B96524" w:rsidRDefault="002B1A08" w:rsidP="00B96524">
      <w:pPr>
        <w:rPr>
          <w:rFonts w:ascii="Arial" w:hAnsi="Arial" w:cs="Arial"/>
        </w:rPr>
      </w:pPr>
      <w:r w:rsidRPr="002B1A08">
        <w:rPr>
          <w:rFonts w:ascii="Arial" w:eastAsiaTheme="majorEastAsia" w:hAnsi="Arial" w:cs="Arial"/>
        </w:rPr>
        <w:t xml:space="preserve">Social Mobility Commission. (2021). State of the nation 2021: Social mobility and the pandemic. Available at:  </w:t>
      </w:r>
      <w:hyperlink r:id="rId23" w:history="1">
        <w:r w:rsidRPr="002B1A08">
          <w:rPr>
            <w:rFonts w:ascii="Arial" w:eastAsiaTheme="majorEastAsia" w:hAnsi="Arial" w:cs="Arial"/>
            <w:color w:val="467886" w:themeColor="hyperlink"/>
            <w:u w:val="single"/>
          </w:rPr>
          <w:t>https://www.gov.uk/government/publications/state-of-the-nation-2021-social-mobility-and-the-pandemic</w:t>
        </w:r>
      </w:hyperlink>
      <w:r w:rsidRPr="002B1A08">
        <w:rPr>
          <w:rFonts w:ascii="Arial" w:eastAsiaTheme="majorEastAsia" w:hAnsi="Arial" w:cs="Arial"/>
        </w:rPr>
        <w:t xml:space="preserve">. (Accessed: 28 February 2024). </w:t>
      </w:r>
    </w:p>
    <w:p w14:paraId="51278256" w14:textId="77777777" w:rsidR="00B96524" w:rsidRDefault="002B1A08" w:rsidP="00B96524">
      <w:pPr>
        <w:rPr>
          <w:rFonts w:ascii="Arial" w:hAnsi="Arial" w:cs="Arial"/>
        </w:rPr>
      </w:pPr>
      <w:r w:rsidRPr="002B1A08">
        <w:rPr>
          <w:rFonts w:ascii="Arial" w:eastAsiaTheme="majorEastAsia" w:hAnsi="Arial" w:cs="Arial"/>
        </w:rPr>
        <w:t xml:space="preserve">Social Mobility Commission. (2021). </w:t>
      </w:r>
      <w:r w:rsidRPr="002B1A08">
        <w:rPr>
          <w:rFonts w:ascii="Arial" w:eastAsiaTheme="majorEastAsia" w:hAnsi="Arial" w:cs="Arial"/>
          <w:i/>
          <w:iCs/>
        </w:rPr>
        <w:t>State of the Nation Report 2021</w:t>
      </w:r>
      <w:r w:rsidRPr="002B1A08">
        <w:rPr>
          <w:rFonts w:ascii="Arial" w:eastAsiaTheme="majorEastAsia" w:hAnsi="Arial" w:cs="Arial"/>
        </w:rPr>
        <w:t xml:space="preserve">. Available at:  </w:t>
      </w:r>
      <w:hyperlink r:id="rId24" w:history="1">
        <w:r w:rsidRPr="002B1A08">
          <w:rPr>
            <w:rFonts w:ascii="Arial" w:eastAsiaTheme="majorEastAsia" w:hAnsi="Arial" w:cs="Arial"/>
            <w:color w:val="467886" w:themeColor="hyperlink"/>
            <w:u w:val="single"/>
          </w:rPr>
          <w:t>https://www.gov.uk/government/publications/state-of-the-nation-report-2021</w:t>
        </w:r>
      </w:hyperlink>
      <w:r w:rsidRPr="002B1A08">
        <w:rPr>
          <w:rFonts w:ascii="Arial" w:eastAsiaTheme="majorEastAsia" w:hAnsi="Arial" w:cs="Arial"/>
        </w:rPr>
        <w:t>. (Accessed: 28 February 2024).</w:t>
      </w:r>
    </w:p>
    <w:p w14:paraId="0AC6878F" w14:textId="77777777" w:rsidR="00B96524" w:rsidRDefault="002B1A08" w:rsidP="00B96524">
      <w:pPr>
        <w:rPr>
          <w:rFonts w:ascii="Arial" w:hAnsi="Arial" w:cs="Arial"/>
        </w:rPr>
      </w:pPr>
      <w:r w:rsidRPr="002B1A08">
        <w:rPr>
          <w:rFonts w:ascii="Arial" w:eastAsiaTheme="majorEastAsia" w:hAnsi="Arial" w:cs="Arial"/>
        </w:rPr>
        <w:t xml:space="preserve">Subrahmanian, R. (2005). </w:t>
      </w:r>
      <w:r w:rsidRPr="002B1A08">
        <w:rPr>
          <w:rFonts w:ascii="Arial" w:eastAsiaTheme="majorEastAsia" w:hAnsi="Arial" w:cs="Arial"/>
          <w:i/>
          <w:iCs/>
        </w:rPr>
        <w:t>Gender Equality: Concepts and Definitions</w:t>
      </w:r>
      <w:r w:rsidRPr="002B1A08">
        <w:rPr>
          <w:rFonts w:ascii="Arial" w:eastAsiaTheme="majorEastAsia" w:hAnsi="Arial" w:cs="Arial"/>
        </w:rPr>
        <w:t xml:space="preserve">. </w:t>
      </w:r>
      <w:r w:rsidRPr="002B1A08">
        <w:rPr>
          <w:rFonts w:ascii="Arial" w:eastAsiaTheme="majorEastAsia" w:hAnsi="Arial" w:cs="Arial"/>
          <w:i/>
          <w:iCs/>
        </w:rPr>
        <w:t>International Social Science Journal,</w:t>
      </w:r>
      <w:r w:rsidRPr="002B1A08">
        <w:rPr>
          <w:rFonts w:ascii="Arial" w:eastAsiaTheme="majorEastAsia" w:hAnsi="Arial" w:cs="Arial"/>
        </w:rPr>
        <w:t xml:space="preserve"> 57(183), pp.175-185.</w:t>
      </w:r>
    </w:p>
    <w:p w14:paraId="65F614DD" w14:textId="77777777" w:rsidR="00B96524" w:rsidRDefault="002B1A08" w:rsidP="00B96524">
      <w:pPr>
        <w:rPr>
          <w:rFonts w:ascii="Arial" w:hAnsi="Arial" w:cs="Arial"/>
        </w:rPr>
      </w:pPr>
      <w:r w:rsidRPr="002B1A08">
        <w:rPr>
          <w:rFonts w:ascii="Arial" w:eastAsiaTheme="majorEastAsia" w:hAnsi="Arial" w:cs="Arial"/>
        </w:rPr>
        <w:t xml:space="preserve">Subrahmanian, R. (2005). Women and gender equality in higher education. </w:t>
      </w:r>
      <w:r w:rsidRPr="002B1A08">
        <w:rPr>
          <w:rFonts w:ascii="Arial" w:eastAsiaTheme="majorEastAsia" w:hAnsi="Arial" w:cs="Arial"/>
          <w:i/>
          <w:iCs/>
        </w:rPr>
        <w:t>Handbook of Research on Educational Administration</w:t>
      </w:r>
      <w:r w:rsidRPr="002B1A08">
        <w:rPr>
          <w:rFonts w:ascii="Arial" w:eastAsiaTheme="majorEastAsia" w:hAnsi="Arial" w:cs="Arial"/>
        </w:rPr>
        <w:t>, 2, pp.905-916.</w:t>
      </w:r>
    </w:p>
    <w:p w14:paraId="7C28D4ED" w14:textId="4A136AD4" w:rsidR="002B1A08" w:rsidRPr="002B1A08" w:rsidRDefault="002B1A08" w:rsidP="00B96524">
      <w:pPr>
        <w:rPr>
          <w:rFonts w:ascii="Arial" w:hAnsi="Arial" w:cs="Arial"/>
        </w:rPr>
      </w:pPr>
      <w:r w:rsidRPr="002B1A08">
        <w:rPr>
          <w:rFonts w:ascii="Arial" w:eastAsiaTheme="majorEastAsia" w:hAnsi="Arial" w:cs="Arial"/>
        </w:rPr>
        <w:t xml:space="preserve">UK Government. (2020). Tackling the gender pay gap in the UK. Available at: </w:t>
      </w:r>
      <w:hyperlink r:id="rId25" w:history="1">
        <w:r w:rsidRPr="002B1A08">
          <w:rPr>
            <w:rFonts w:ascii="Arial" w:eastAsiaTheme="majorEastAsia" w:hAnsi="Arial" w:cs="Arial"/>
            <w:color w:val="467886" w:themeColor="hyperlink"/>
            <w:u w:val="single"/>
          </w:rPr>
          <w:t>https://www.gov.uk/government/publications/gender-pay-gap-and-pay-gap-reporting</w:t>
        </w:r>
      </w:hyperlink>
      <w:r w:rsidRPr="002B1A08">
        <w:rPr>
          <w:rFonts w:ascii="Arial" w:eastAsiaTheme="majorEastAsia" w:hAnsi="Arial" w:cs="Arial"/>
        </w:rPr>
        <w:t>. (Accessed: 28 February 2024).</w:t>
      </w:r>
    </w:p>
    <w:p w14:paraId="457D727F"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 xml:space="preserve">United Nations. (2015). Goal 10: Reduce inequality within and among countries. Available at: </w:t>
      </w:r>
      <w:hyperlink r:id="rId26" w:history="1">
        <w:r w:rsidRPr="002B1A08">
          <w:rPr>
            <w:rFonts w:ascii="Arial" w:eastAsiaTheme="majorEastAsia" w:hAnsi="Arial" w:cs="Arial"/>
            <w:color w:val="467886" w:themeColor="hyperlink"/>
            <w:u w:val="single"/>
          </w:rPr>
          <w:t>https://sdgs.un.org/goals/goal10</w:t>
        </w:r>
      </w:hyperlink>
      <w:r w:rsidRPr="002B1A08">
        <w:rPr>
          <w:rFonts w:ascii="Arial" w:eastAsiaTheme="majorEastAsia" w:hAnsi="Arial" w:cs="Arial"/>
        </w:rPr>
        <w:t>. (Accessed: 28 February 2024).</w:t>
      </w:r>
    </w:p>
    <w:p w14:paraId="789E4946"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 xml:space="preserve">United Nations. (2015). Goal 11: Make cities and human settlements inclusive, safe, resilient, and sustainable. Available at: </w:t>
      </w:r>
      <w:hyperlink r:id="rId27" w:history="1">
        <w:r w:rsidRPr="002B1A08">
          <w:rPr>
            <w:rFonts w:ascii="Arial" w:eastAsiaTheme="majorEastAsia" w:hAnsi="Arial" w:cs="Arial"/>
            <w:color w:val="467886" w:themeColor="hyperlink"/>
            <w:u w:val="single"/>
          </w:rPr>
          <w:t>https://sdgs.un.org/goals/goal11</w:t>
        </w:r>
      </w:hyperlink>
      <w:r w:rsidRPr="002B1A08">
        <w:rPr>
          <w:rFonts w:ascii="Arial" w:eastAsiaTheme="majorEastAsia" w:hAnsi="Arial" w:cs="Arial"/>
        </w:rPr>
        <w:t>. (Accessed: 28 February 20240).</w:t>
      </w:r>
    </w:p>
    <w:p w14:paraId="6B6E0C25"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 xml:space="preserve">United Nations. (2015). Goal 13: Take urgent action to combat climate change and its impacts. Available at: </w:t>
      </w:r>
      <w:hyperlink r:id="rId28" w:history="1">
        <w:r w:rsidRPr="002B1A08">
          <w:rPr>
            <w:rFonts w:ascii="Arial" w:eastAsiaTheme="majorEastAsia" w:hAnsi="Arial" w:cs="Arial"/>
            <w:color w:val="467886" w:themeColor="hyperlink"/>
            <w:u w:val="single"/>
          </w:rPr>
          <w:t>https://sdgs.un.org/goals/goal13</w:t>
        </w:r>
      </w:hyperlink>
      <w:r w:rsidRPr="002B1A08">
        <w:rPr>
          <w:rFonts w:ascii="Arial" w:eastAsiaTheme="majorEastAsia" w:hAnsi="Arial" w:cs="Arial"/>
        </w:rPr>
        <w:t xml:space="preserve">. (Accessed: 28 February 2024). </w:t>
      </w:r>
    </w:p>
    <w:p w14:paraId="77D4E23F"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 xml:space="preserve">United Nations. (2015). Goal 17: Strengthen the means of implementation and revitalize the Global Partnership for Sustainable Development. Available at:  </w:t>
      </w:r>
      <w:hyperlink r:id="rId29" w:history="1">
        <w:r w:rsidRPr="002B1A08">
          <w:rPr>
            <w:rFonts w:ascii="Arial" w:eastAsiaTheme="majorEastAsia" w:hAnsi="Arial" w:cs="Arial"/>
            <w:color w:val="467886" w:themeColor="hyperlink"/>
            <w:u w:val="single"/>
          </w:rPr>
          <w:t>https://sdgs.un.org/goals/goal17</w:t>
        </w:r>
      </w:hyperlink>
      <w:r w:rsidRPr="002B1A08">
        <w:rPr>
          <w:rFonts w:ascii="Arial" w:eastAsiaTheme="majorEastAsia" w:hAnsi="Arial" w:cs="Arial"/>
        </w:rPr>
        <w:t xml:space="preserve">. (Accessed: 28 February 2024). </w:t>
      </w:r>
    </w:p>
    <w:p w14:paraId="3CF88000"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United Nations. (2015). Goal 3: Ensure healthy lives and promote well-being for</w:t>
      </w:r>
    </w:p>
    <w:p w14:paraId="2453563F"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 xml:space="preserve">United Nations. (2015). </w:t>
      </w:r>
      <w:r w:rsidRPr="002B1A08">
        <w:rPr>
          <w:rFonts w:ascii="Arial" w:eastAsiaTheme="majorEastAsia" w:hAnsi="Arial" w:cs="Arial"/>
          <w:i/>
          <w:iCs/>
        </w:rPr>
        <w:t>Transforming our world: The 2030 Agenda for Sustainable Development</w:t>
      </w:r>
      <w:r w:rsidRPr="002B1A08">
        <w:rPr>
          <w:rFonts w:ascii="Arial" w:eastAsiaTheme="majorEastAsia" w:hAnsi="Arial" w:cs="Arial"/>
        </w:rPr>
        <w:t xml:space="preserve">. Available at: </w:t>
      </w:r>
      <w:hyperlink r:id="rId30" w:history="1">
        <w:r w:rsidRPr="002B1A08">
          <w:rPr>
            <w:rFonts w:ascii="Arial" w:eastAsiaTheme="majorEastAsia" w:hAnsi="Arial" w:cs="Arial"/>
            <w:color w:val="467886" w:themeColor="hyperlink"/>
            <w:u w:val="single"/>
          </w:rPr>
          <w:t>https://sdgs.un.org/2030agenda</w:t>
        </w:r>
      </w:hyperlink>
      <w:r w:rsidRPr="002B1A08">
        <w:rPr>
          <w:rFonts w:ascii="Arial" w:eastAsiaTheme="majorEastAsia" w:hAnsi="Arial" w:cs="Arial"/>
        </w:rPr>
        <w:t>. (Accessed: 28 February 2024).</w:t>
      </w:r>
    </w:p>
    <w:p w14:paraId="2C2064FD"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 xml:space="preserve">United Nations. (2015). Transforming our world: The 2030 Agenda for Sustainable Development. Available at : </w:t>
      </w:r>
      <w:hyperlink r:id="rId31" w:history="1">
        <w:r w:rsidRPr="002B1A08">
          <w:rPr>
            <w:rFonts w:ascii="Arial" w:eastAsiaTheme="majorEastAsia" w:hAnsi="Arial" w:cs="Arial"/>
            <w:color w:val="467886" w:themeColor="hyperlink"/>
            <w:u w:val="single"/>
          </w:rPr>
          <w:t>https://sdgs.un.org/publications/transforming-our-world-2030-agenda-sustainable-development-17941EN.pdf</w:t>
        </w:r>
      </w:hyperlink>
      <w:r w:rsidRPr="002B1A08">
        <w:rPr>
          <w:rFonts w:ascii="Arial" w:eastAsiaTheme="majorEastAsia" w:hAnsi="Arial" w:cs="Arial"/>
        </w:rPr>
        <w:t xml:space="preserve">. (Accessed: 28 February 2024). </w:t>
      </w:r>
    </w:p>
    <w:p w14:paraId="71CEF6EE" w14:textId="77777777" w:rsidR="002B1A08" w:rsidRPr="002B1A08" w:rsidRDefault="002B1A08" w:rsidP="002B1A08">
      <w:pPr>
        <w:spacing w:line="360" w:lineRule="auto"/>
        <w:jc w:val="both"/>
        <w:rPr>
          <w:rFonts w:ascii="Arial" w:eastAsia="Times New Roman" w:hAnsi="Arial" w:cs="Arial"/>
          <w:kern w:val="0"/>
          <w14:ligatures w14:val="none"/>
        </w:rPr>
      </w:pPr>
      <w:r w:rsidRPr="002B1A08">
        <w:rPr>
          <w:rFonts w:ascii="Arial" w:eastAsia="Times New Roman" w:hAnsi="Arial" w:cs="Arial"/>
          <w:kern w:val="0"/>
          <w14:ligatures w14:val="none"/>
        </w:rPr>
        <w:t xml:space="preserve">United Nations. (2015). Transforming our world: the 2030 Agenda for Sustainable Development. Available at : </w:t>
      </w:r>
      <w:hyperlink r:id="rId32" w:history="1">
        <w:r w:rsidRPr="002B1A08">
          <w:rPr>
            <w:rFonts w:ascii="Arial" w:eastAsia="Times New Roman" w:hAnsi="Arial" w:cs="Arial"/>
            <w:color w:val="467886" w:themeColor="hyperlink"/>
            <w:kern w:val="0"/>
            <w:u w:val="single"/>
            <w14:ligatures w14:val="none"/>
          </w:rPr>
          <w:t>https://www.un.org/ga/search/view_doc.asp?symbol=A/RES/70/1&amp;Lang=E</w:t>
        </w:r>
      </w:hyperlink>
      <w:r w:rsidRPr="002B1A08">
        <w:rPr>
          <w:rFonts w:ascii="Arial" w:eastAsia="Times New Roman" w:hAnsi="Arial" w:cs="Arial"/>
          <w:kern w:val="0"/>
          <w14:ligatures w14:val="none"/>
        </w:rPr>
        <w:t xml:space="preserve">]. (Accessed: 17 March 2024). </w:t>
      </w:r>
    </w:p>
    <w:p w14:paraId="2BE3EB11" w14:textId="77777777" w:rsidR="002B1A08" w:rsidRPr="002B1A08" w:rsidRDefault="002B1A08" w:rsidP="002B1A08">
      <w:pPr>
        <w:rPr>
          <w:rFonts w:ascii="Arial" w:eastAsia="Times New Roman" w:hAnsi="Arial" w:cs="Arial"/>
          <w:kern w:val="0"/>
          <w14:ligatures w14:val="none"/>
        </w:rPr>
      </w:pPr>
      <w:r w:rsidRPr="002B1A08">
        <w:rPr>
          <w:rFonts w:ascii="Arial" w:eastAsia="Times New Roman" w:hAnsi="Arial" w:cs="Arial"/>
          <w:kern w:val="0"/>
          <w14:ligatures w14:val="none"/>
        </w:rPr>
        <w:t xml:space="preserve">WHO. (2020). Mental health and psychosocial considerations during the COVID-19 outbreak. World Health Organization. Available at : </w:t>
      </w:r>
      <w:hyperlink r:id="rId33" w:history="1">
        <w:r w:rsidRPr="002B1A08">
          <w:rPr>
            <w:rFonts w:ascii="Arial" w:eastAsia="Times New Roman" w:hAnsi="Arial" w:cs="Arial"/>
            <w:color w:val="467886" w:themeColor="hyperlink"/>
            <w:kern w:val="0"/>
            <w:u w:val="single"/>
            <w14:ligatures w14:val="none"/>
          </w:rPr>
          <w:t>https://www.who.int/publications/i/item/WHO-2019-nCoV-MentalHealth-2020.1</w:t>
        </w:r>
      </w:hyperlink>
      <w:r w:rsidRPr="002B1A08">
        <w:rPr>
          <w:rFonts w:ascii="Arial" w:eastAsia="Times New Roman" w:hAnsi="Arial" w:cs="Arial"/>
          <w:kern w:val="0"/>
          <w14:ligatures w14:val="none"/>
        </w:rPr>
        <w:t xml:space="preserve">] (Accessed: 17 March 2024). </w:t>
      </w:r>
    </w:p>
    <w:p w14:paraId="61BDC683"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Wilkinson, R., &amp; Pickett, K. (2009). The Spirit Level: Why Greater Equality Makes Societies Stronger. Bloomsbury Press.</w:t>
      </w:r>
    </w:p>
    <w:p w14:paraId="4875798A"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 xml:space="preserve">World Health Organization. (1948). </w:t>
      </w:r>
      <w:r w:rsidRPr="002B1A08">
        <w:rPr>
          <w:rFonts w:ascii="Arial" w:eastAsiaTheme="majorEastAsia" w:hAnsi="Arial" w:cs="Arial"/>
          <w:i/>
          <w:iCs/>
        </w:rPr>
        <w:t>Constitution of the World Health Organization</w:t>
      </w:r>
      <w:r w:rsidRPr="002B1A08">
        <w:rPr>
          <w:rFonts w:ascii="Arial" w:eastAsiaTheme="majorEastAsia" w:hAnsi="Arial" w:cs="Arial"/>
        </w:rPr>
        <w:t xml:space="preserve">. Available at:  </w:t>
      </w:r>
      <w:hyperlink r:id="rId34" w:history="1">
        <w:r w:rsidRPr="002B1A08">
          <w:rPr>
            <w:rFonts w:ascii="Arial" w:eastAsiaTheme="majorEastAsia" w:hAnsi="Arial" w:cs="Arial"/>
            <w:color w:val="467886" w:themeColor="hyperlink"/>
            <w:u w:val="single"/>
          </w:rPr>
          <w:t>https://www.who.int/about/who-we-are/constitution</w:t>
        </w:r>
      </w:hyperlink>
      <w:r w:rsidRPr="002B1A08">
        <w:rPr>
          <w:rFonts w:ascii="Arial" w:eastAsiaTheme="majorEastAsia" w:hAnsi="Arial" w:cs="Arial"/>
        </w:rPr>
        <w:t xml:space="preserve">. (Accessed: 28 February 2024). </w:t>
      </w:r>
    </w:p>
    <w:p w14:paraId="5DC476D4"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 xml:space="preserve">World Health Organization. (1948). Preamble to the Constitution of the World Health Organization. Available at: </w:t>
      </w:r>
      <w:hyperlink r:id="rId35" w:history="1">
        <w:r w:rsidRPr="002B1A08">
          <w:rPr>
            <w:rFonts w:ascii="Arial" w:eastAsiaTheme="majorEastAsia" w:hAnsi="Arial" w:cs="Arial"/>
            <w:color w:val="467886" w:themeColor="hyperlink"/>
            <w:u w:val="single"/>
          </w:rPr>
          <w:t>https://www.who.int/about/who-we-are/constitution</w:t>
        </w:r>
      </w:hyperlink>
      <w:r w:rsidRPr="002B1A08">
        <w:rPr>
          <w:rFonts w:ascii="Arial" w:eastAsiaTheme="majorEastAsia" w:hAnsi="Arial" w:cs="Arial"/>
        </w:rPr>
        <w:t xml:space="preserve">. (Accessed 28 February 2024). </w:t>
      </w:r>
    </w:p>
    <w:p w14:paraId="550F78BC"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 xml:space="preserve">World Health Organization. (1948). Preamble to the Constitution of the World Health Organization as adopted by the International Health Conference, New York, 19-22 June 1946; signed on 22 July 1946 by the representatives of 61 States (Official Records of the World Health Organization, no. 2, p. 100) and entered into force on 7 April 1948. Available at: </w:t>
      </w:r>
      <w:hyperlink r:id="rId36" w:history="1">
        <w:r w:rsidRPr="002B1A08">
          <w:rPr>
            <w:rFonts w:ascii="Arial" w:eastAsiaTheme="majorEastAsia" w:hAnsi="Arial" w:cs="Arial"/>
            <w:color w:val="467886" w:themeColor="hyperlink"/>
            <w:u w:val="single"/>
          </w:rPr>
          <w:t>https://www.who.int/about/who-we-are/constitution</w:t>
        </w:r>
      </w:hyperlink>
      <w:r w:rsidRPr="002B1A08">
        <w:rPr>
          <w:rFonts w:ascii="Arial" w:eastAsiaTheme="majorEastAsia" w:hAnsi="Arial" w:cs="Arial"/>
        </w:rPr>
        <w:t xml:space="preserve">. (Accessed: 29 February 2024). </w:t>
      </w:r>
    </w:p>
    <w:p w14:paraId="4D979658"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 xml:space="preserve">World Health Organization. (1986). Ottawa Charter for Health Promotion. Available at: </w:t>
      </w:r>
      <w:hyperlink r:id="rId37" w:history="1">
        <w:r w:rsidRPr="002B1A08">
          <w:rPr>
            <w:rFonts w:ascii="Arial" w:eastAsiaTheme="majorEastAsia" w:hAnsi="Arial" w:cs="Arial"/>
            <w:color w:val="467886" w:themeColor="hyperlink"/>
            <w:u w:val="single"/>
          </w:rPr>
          <w:t>https://www.who.int/healthpromotion/conferences/previous/ottawa/en/</w:t>
        </w:r>
      </w:hyperlink>
      <w:r w:rsidRPr="002B1A08">
        <w:rPr>
          <w:rFonts w:ascii="Arial" w:eastAsiaTheme="majorEastAsia" w:hAnsi="Arial" w:cs="Arial"/>
        </w:rPr>
        <w:t xml:space="preserve">. (Accessed: 29 February 2024). </w:t>
      </w:r>
    </w:p>
    <w:p w14:paraId="4B6F83D6" w14:textId="77777777" w:rsidR="002B1A08" w:rsidRPr="002B1A08" w:rsidRDefault="002B1A08" w:rsidP="002B1A08">
      <w:pPr>
        <w:keepNext/>
        <w:keepLines/>
        <w:spacing w:before="360" w:after="80" w:line="360" w:lineRule="auto"/>
        <w:outlineLvl w:val="0"/>
        <w:rPr>
          <w:rFonts w:ascii="Arial" w:eastAsiaTheme="majorEastAsia" w:hAnsi="Arial" w:cs="Arial"/>
        </w:rPr>
      </w:pPr>
      <w:r w:rsidRPr="002B1A08">
        <w:rPr>
          <w:rFonts w:ascii="Arial" w:eastAsiaTheme="majorEastAsia" w:hAnsi="Arial" w:cs="Arial"/>
        </w:rPr>
        <w:t xml:space="preserve">World Health Organization. (2013). Health 2020: A European policy framework and strategy for the 21st century. Available at : </w:t>
      </w:r>
      <w:hyperlink r:id="rId38" w:history="1">
        <w:r w:rsidRPr="002B1A08">
          <w:rPr>
            <w:rFonts w:ascii="Arial" w:eastAsiaTheme="majorEastAsia" w:hAnsi="Arial" w:cs="Arial"/>
            <w:color w:val="467886" w:themeColor="hyperlink"/>
            <w:u w:val="single"/>
          </w:rPr>
          <w:t>http://www.euro.who.int/__data/assets/pdf_file/0011/199532/Health2020-Long.pdf</w:t>
        </w:r>
      </w:hyperlink>
      <w:r w:rsidRPr="002B1A08">
        <w:rPr>
          <w:rFonts w:ascii="Arial" w:eastAsiaTheme="majorEastAsia" w:hAnsi="Arial" w:cs="Arial"/>
        </w:rPr>
        <w:t xml:space="preserve">. (Accessed: 17 March 2024). </w:t>
      </w:r>
    </w:p>
    <w:p w14:paraId="3B4FAF4F" w14:textId="3F5FE05E" w:rsidR="008C027C" w:rsidRPr="002B1A08" w:rsidRDefault="008C027C" w:rsidP="002B1A08">
      <w:pPr>
        <w:spacing w:line="360" w:lineRule="auto"/>
        <w:jc w:val="both"/>
        <w:rPr>
          <w:rFonts w:ascii="Arial" w:hAnsi="Arial" w:cs="Arial"/>
        </w:rPr>
      </w:pPr>
    </w:p>
    <w:sectPr w:rsidR="008C027C" w:rsidRPr="002B1A08">
      <w:footerReference w:type="default" r:id="rId3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280C34" w14:textId="77777777" w:rsidR="008C2745" w:rsidRDefault="008C2745" w:rsidP="002B1A08">
      <w:pPr>
        <w:spacing w:after="0" w:line="240" w:lineRule="auto"/>
      </w:pPr>
      <w:r>
        <w:separator/>
      </w:r>
    </w:p>
  </w:endnote>
  <w:endnote w:type="continuationSeparator" w:id="0">
    <w:p w14:paraId="5105FAD6" w14:textId="77777777" w:rsidR="008C2745" w:rsidRDefault="008C2745" w:rsidP="002B1A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67812"/>
      <w:docPartObj>
        <w:docPartGallery w:val="Page Numbers (Bottom of Page)"/>
        <w:docPartUnique/>
      </w:docPartObj>
    </w:sdtPr>
    <w:sdtEndPr>
      <w:rPr>
        <w:noProof/>
      </w:rPr>
    </w:sdtEndPr>
    <w:sdtContent>
      <w:p w14:paraId="4108AEAB" w14:textId="78F23BD4" w:rsidR="002B1A08" w:rsidRDefault="002B1A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CE2940" w14:textId="77777777" w:rsidR="002B1A08" w:rsidRDefault="002B1A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512010" w14:textId="77777777" w:rsidR="008C2745" w:rsidRDefault="008C2745" w:rsidP="002B1A08">
      <w:pPr>
        <w:spacing w:after="0" w:line="240" w:lineRule="auto"/>
      </w:pPr>
      <w:r>
        <w:separator/>
      </w:r>
    </w:p>
  </w:footnote>
  <w:footnote w:type="continuationSeparator" w:id="0">
    <w:p w14:paraId="52EE74BE" w14:textId="77777777" w:rsidR="008C2745" w:rsidRDefault="008C2745" w:rsidP="002B1A0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178"/>
    <w:rsid w:val="00041178"/>
    <w:rsid w:val="002B1A08"/>
    <w:rsid w:val="003A3D93"/>
    <w:rsid w:val="007D28D2"/>
    <w:rsid w:val="008C027C"/>
    <w:rsid w:val="008C2745"/>
    <w:rsid w:val="00954BCC"/>
    <w:rsid w:val="00993D7D"/>
    <w:rsid w:val="00A505DE"/>
    <w:rsid w:val="00AA4F2D"/>
    <w:rsid w:val="00B94632"/>
    <w:rsid w:val="00B96524"/>
    <w:rsid w:val="00BE69CF"/>
    <w:rsid w:val="00E4461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0D9F53"/>
  <w15:chartTrackingRefBased/>
  <w15:docId w15:val="{4A3246E2-E66E-4058-85CD-1E0A15FD3B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11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11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11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11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11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11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11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11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11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11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11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11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11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11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11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11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11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1178"/>
    <w:rPr>
      <w:rFonts w:eastAsiaTheme="majorEastAsia" w:cstheme="majorBidi"/>
      <w:color w:val="272727" w:themeColor="text1" w:themeTint="D8"/>
    </w:rPr>
  </w:style>
  <w:style w:type="paragraph" w:styleId="Title">
    <w:name w:val="Title"/>
    <w:basedOn w:val="Normal"/>
    <w:next w:val="Normal"/>
    <w:link w:val="TitleChar"/>
    <w:uiPriority w:val="10"/>
    <w:qFormat/>
    <w:rsid w:val="000411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11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11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11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1178"/>
    <w:pPr>
      <w:spacing w:before="160"/>
      <w:jc w:val="center"/>
    </w:pPr>
    <w:rPr>
      <w:i/>
      <w:iCs/>
      <w:color w:val="404040" w:themeColor="text1" w:themeTint="BF"/>
    </w:rPr>
  </w:style>
  <w:style w:type="character" w:customStyle="1" w:styleId="QuoteChar">
    <w:name w:val="Quote Char"/>
    <w:basedOn w:val="DefaultParagraphFont"/>
    <w:link w:val="Quote"/>
    <w:uiPriority w:val="29"/>
    <w:rsid w:val="00041178"/>
    <w:rPr>
      <w:i/>
      <w:iCs/>
      <w:color w:val="404040" w:themeColor="text1" w:themeTint="BF"/>
    </w:rPr>
  </w:style>
  <w:style w:type="paragraph" w:styleId="ListParagraph">
    <w:name w:val="List Paragraph"/>
    <w:basedOn w:val="Normal"/>
    <w:uiPriority w:val="34"/>
    <w:qFormat/>
    <w:rsid w:val="00041178"/>
    <w:pPr>
      <w:ind w:left="720"/>
      <w:contextualSpacing/>
    </w:pPr>
  </w:style>
  <w:style w:type="character" w:styleId="IntenseEmphasis">
    <w:name w:val="Intense Emphasis"/>
    <w:basedOn w:val="DefaultParagraphFont"/>
    <w:uiPriority w:val="21"/>
    <w:qFormat/>
    <w:rsid w:val="00041178"/>
    <w:rPr>
      <w:i/>
      <w:iCs/>
      <w:color w:val="0F4761" w:themeColor="accent1" w:themeShade="BF"/>
    </w:rPr>
  </w:style>
  <w:style w:type="paragraph" w:styleId="IntenseQuote">
    <w:name w:val="Intense Quote"/>
    <w:basedOn w:val="Normal"/>
    <w:next w:val="Normal"/>
    <w:link w:val="IntenseQuoteChar"/>
    <w:uiPriority w:val="30"/>
    <w:qFormat/>
    <w:rsid w:val="000411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1178"/>
    <w:rPr>
      <w:i/>
      <w:iCs/>
      <w:color w:val="0F4761" w:themeColor="accent1" w:themeShade="BF"/>
    </w:rPr>
  </w:style>
  <w:style w:type="character" w:styleId="IntenseReference">
    <w:name w:val="Intense Reference"/>
    <w:basedOn w:val="DefaultParagraphFont"/>
    <w:uiPriority w:val="32"/>
    <w:qFormat/>
    <w:rsid w:val="00041178"/>
    <w:rPr>
      <w:b/>
      <w:bCs/>
      <w:smallCaps/>
      <w:color w:val="0F4761" w:themeColor="accent1" w:themeShade="BF"/>
      <w:spacing w:val="5"/>
    </w:rPr>
  </w:style>
  <w:style w:type="paragraph" w:styleId="Header">
    <w:name w:val="header"/>
    <w:basedOn w:val="Normal"/>
    <w:link w:val="HeaderChar"/>
    <w:uiPriority w:val="99"/>
    <w:unhideWhenUsed/>
    <w:rsid w:val="002B1A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1A08"/>
  </w:style>
  <w:style w:type="paragraph" w:styleId="Footer">
    <w:name w:val="footer"/>
    <w:basedOn w:val="Normal"/>
    <w:link w:val="FooterChar"/>
    <w:uiPriority w:val="99"/>
    <w:unhideWhenUsed/>
    <w:rsid w:val="002B1A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1A08"/>
  </w:style>
  <w:style w:type="character" w:styleId="Hyperlink">
    <w:name w:val="Hyperlink"/>
    <w:basedOn w:val="DefaultParagraphFont"/>
    <w:uiPriority w:val="99"/>
    <w:unhideWhenUsed/>
    <w:rsid w:val="002B1A08"/>
    <w:rPr>
      <w:color w:val="467886" w:themeColor="hyperlink"/>
      <w:u w:val="single"/>
    </w:rPr>
  </w:style>
  <w:style w:type="character" w:styleId="CommentReference">
    <w:name w:val="annotation reference"/>
    <w:basedOn w:val="DefaultParagraphFont"/>
    <w:uiPriority w:val="99"/>
    <w:semiHidden/>
    <w:unhideWhenUsed/>
    <w:rsid w:val="002B1A08"/>
    <w:rPr>
      <w:sz w:val="16"/>
      <w:szCs w:val="16"/>
    </w:rPr>
  </w:style>
  <w:style w:type="paragraph" w:styleId="CommentText">
    <w:name w:val="annotation text"/>
    <w:basedOn w:val="Normal"/>
    <w:link w:val="CommentTextChar"/>
    <w:uiPriority w:val="99"/>
    <w:unhideWhenUsed/>
    <w:rsid w:val="002B1A08"/>
    <w:pPr>
      <w:spacing w:line="240" w:lineRule="auto"/>
    </w:pPr>
    <w:rPr>
      <w:sz w:val="20"/>
      <w:szCs w:val="20"/>
    </w:rPr>
  </w:style>
  <w:style w:type="character" w:customStyle="1" w:styleId="CommentTextChar">
    <w:name w:val="Comment Text Char"/>
    <w:basedOn w:val="DefaultParagraphFont"/>
    <w:link w:val="CommentText"/>
    <w:uiPriority w:val="99"/>
    <w:rsid w:val="002B1A08"/>
    <w:rPr>
      <w:sz w:val="20"/>
      <w:szCs w:val="20"/>
    </w:rPr>
  </w:style>
  <w:style w:type="paragraph" w:styleId="TOCHeading">
    <w:name w:val="TOC Heading"/>
    <w:basedOn w:val="Heading1"/>
    <w:next w:val="Normal"/>
    <w:uiPriority w:val="39"/>
    <w:unhideWhenUsed/>
    <w:qFormat/>
    <w:rsid w:val="003A3D93"/>
    <w:pPr>
      <w:spacing w:before="240" w:after="0" w:line="259" w:lineRule="auto"/>
      <w:outlineLvl w:val="9"/>
    </w:pPr>
    <w:rPr>
      <w:kern w:val="0"/>
      <w:sz w:val="32"/>
      <w:szCs w:val="32"/>
      <w:lang w:eastAsia="en-US"/>
      <w14:ligatures w14:val="none"/>
    </w:rPr>
  </w:style>
  <w:style w:type="paragraph" w:styleId="TOC1">
    <w:name w:val="toc 1"/>
    <w:basedOn w:val="Normal"/>
    <w:next w:val="Normal"/>
    <w:autoRedefine/>
    <w:uiPriority w:val="39"/>
    <w:unhideWhenUsed/>
    <w:rsid w:val="003A3D93"/>
    <w:pPr>
      <w:spacing w:after="100"/>
    </w:pPr>
  </w:style>
  <w:style w:type="paragraph" w:styleId="TOC2">
    <w:name w:val="toc 2"/>
    <w:basedOn w:val="Normal"/>
    <w:next w:val="Normal"/>
    <w:autoRedefine/>
    <w:uiPriority w:val="39"/>
    <w:unhideWhenUsed/>
    <w:rsid w:val="003A3D93"/>
    <w:pPr>
      <w:spacing w:after="100"/>
      <w:ind w:left="240"/>
    </w:pPr>
  </w:style>
  <w:style w:type="paragraph" w:styleId="TOC3">
    <w:name w:val="toc 3"/>
    <w:basedOn w:val="Normal"/>
    <w:next w:val="Normal"/>
    <w:autoRedefine/>
    <w:uiPriority w:val="39"/>
    <w:unhideWhenUsed/>
    <w:rsid w:val="003A3D93"/>
    <w:pPr>
      <w:spacing w:after="100"/>
      <w:ind w:left="480"/>
    </w:pPr>
  </w:style>
  <w:style w:type="paragraph" w:styleId="TOC4">
    <w:name w:val="toc 4"/>
    <w:basedOn w:val="Normal"/>
    <w:next w:val="Normal"/>
    <w:autoRedefine/>
    <w:uiPriority w:val="39"/>
    <w:unhideWhenUsed/>
    <w:rsid w:val="003A3D93"/>
    <w:pPr>
      <w:spacing w:after="100"/>
      <w:ind w:left="720"/>
    </w:pPr>
  </w:style>
  <w:style w:type="paragraph" w:styleId="TOC5">
    <w:name w:val="toc 5"/>
    <w:basedOn w:val="Normal"/>
    <w:next w:val="Normal"/>
    <w:autoRedefine/>
    <w:uiPriority w:val="39"/>
    <w:unhideWhenUsed/>
    <w:rsid w:val="003A3D93"/>
    <w:pPr>
      <w:spacing w:after="100"/>
      <w:ind w:left="960"/>
    </w:pPr>
  </w:style>
  <w:style w:type="paragraph" w:styleId="TOC6">
    <w:name w:val="toc 6"/>
    <w:basedOn w:val="Normal"/>
    <w:next w:val="Normal"/>
    <w:autoRedefine/>
    <w:uiPriority w:val="39"/>
    <w:unhideWhenUsed/>
    <w:rsid w:val="003A3D93"/>
    <w:pPr>
      <w:spacing w:after="100"/>
      <w:ind w:left="1200"/>
    </w:pPr>
  </w:style>
  <w:style w:type="paragraph" w:styleId="TOC7">
    <w:name w:val="toc 7"/>
    <w:basedOn w:val="Normal"/>
    <w:next w:val="Normal"/>
    <w:autoRedefine/>
    <w:uiPriority w:val="39"/>
    <w:unhideWhenUsed/>
    <w:rsid w:val="003A3D93"/>
    <w:pPr>
      <w:spacing w:after="100"/>
      <w:ind w:left="1440"/>
    </w:pPr>
  </w:style>
  <w:style w:type="paragraph" w:styleId="TOC8">
    <w:name w:val="toc 8"/>
    <w:basedOn w:val="Normal"/>
    <w:next w:val="Normal"/>
    <w:autoRedefine/>
    <w:uiPriority w:val="39"/>
    <w:unhideWhenUsed/>
    <w:rsid w:val="003A3D93"/>
    <w:pPr>
      <w:spacing w:after="100"/>
      <w:ind w:left="1680"/>
    </w:pPr>
  </w:style>
  <w:style w:type="paragraph" w:styleId="TOC9">
    <w:name w:val="toc 9"/>
    <w:basedOn w:val="Normal"/>
    <w:next w:val="Normal"/>
    <w:autoRedefine/>
    <w:uiPriority w:val="39"/>
    <w:unhideWhenUsed/>
    <w:rsid w:val="003A3D93"/>
    <w:pPr>
      <w:spacing w:after="100"/>
      <w:ind w:left="1920"/>
    </w:pPr>
  </w:style>
  <w:style w:type="character" w:styleId="UnresolvedMention">
    <w:name w:val="Unresolved Mention"/>
    <w:basedOn w:val="DefaultParagraphFont"/>
    <w:uiPriority w:val="99"/>
    <w:semiHidden/>
    <w:unhideWhenUsed/>
    <w:rsid w:val="003A3D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10/15/contents" TargetMode="External"/><Relationship Id="rId18" Type="http://schemas.openxmlformats.org/officeDocument/2006/relationships/hyperlink" Target="https://www.england.nhs.uk/about/equality/equality-hub/health-inequalities/" TargetMode="External"/><Relationship Id="rId26" Type="http://schemas.openxmlformats.org/officeDocument/2006/relationships/hyperlink" Target="https://sdgs.un.org/goals/goal10" TargetMode="External"/><Relationship Id="rId39" Type="http://schemas.openxmlformats.org/officeDocument/2006/relationships/footer" Target="footer1.xml"/><Relationship Id="rId21" Type="http://schemas.openxmlformats.org/officeDocument/2006/relationships/hyperlink" Target="https://sdgindex.org/reports/sdg-index-and-dashboards-2019/" TargetMode="External"/><Relationship Id="rId34" Type="http://schemas.openxmlformats.org/officeDocument/2006/relationships/hyperlink" Target="https://www.who.int/about/who-we-are/constitution" TargetMode="External"/><Relationship Id="rId7" Type="http://schemas.openxmlformats.org/officeDocument/2006/relationships/hyperlink" Target="https://30percentclub.org/about-us/(NO" TargetMode="External"/><Relationship Id="rId2" Type="http://schemas.openxmlformats.org/officeDocument/2006/relationships/styles" Target="styles.xml"/><Relationship Id="rId16" Type="http://schemas.openxmlformats.org/officeDocument/2006/relationships/hyperlink" Target="https://www.thelancet.com/journals/lanplh/article/PIIS2542-5196(21)00118-8/fulltext" TargetMode="External"/><Relationship Id="rId20" Type="http://schemas.openxmlformats.org/officeDocument/2006/relationships/hyperlink" Target="https://www.oecd-ilibrary.org/sites/a4fcf6d0-en/index.html?itemId=/content/publication/a4fcf6d0-en" TargetMode="External"/><Relationship Id="rId29" Type="http://schemas.openxmlformats.org/officeDocument/2006/relationships/hyperlink" Target="https://sdgs.un.org/goals/goal17"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uidance/equality-act-2010-guidance" TargetMode="External"/><Relationship Id="rId24" Type="http://schemas.openxmlformats.org/officeDocument/2006/relationships/hyperlink" Target="https://www.gov.uk/government/publications/state-of-the-nation-report-2021" TargetMode="External"/><Relationship Id="rId32" Type="http://schemas.openxmlformats.org/officeDocument/2006/relationships/hyperlink" Target="https://www.un.org/ga/search/view_doc.asp?symbol=A/RES/70/1&amp;Lang=E" TargetMode="External"/><Relationship Id="rId37" Type="http://schemas.openxmlformats.org/officeDocument/2006/relationships/hyperlink" Target="https://www.who.int/healthpromotion/conferences/previous/ottawa/en/"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qualityhumanrights.com/en/publication-download/gender-pay-gap-reporting-gender-pay-gap-and-equal-pay-report" TargetMode="External"/><Relationship Id="rId23" Type="http://schemas.openxmlformats.org/officeDocument/2006/relationships/hyperlink" Target="https://www.gov.uk/government/publications/state-of-the-nation-2021-social-mobility-and-the-pandemic" TargetMode="External"/><Relationship Id="rId28" Type="http://schemas.openxmlformats.org/officeDocument/2006/relationships/hyperlink" Target="https://sdgs.un.org/goals/goal13" TargetMode="External"/><Relationship Id="rId36" Type="http://schemas.openxmlformats.org/officeDocument/2006/relationships/hyperlink" Target="https://www.who.int/about/who-we-are/constitution" TargetMode="External"/><Relationship Id="rId10" Type="http://schemas.openxmlformats.org/officeDocument/2006/relationships/hyperlink" Target="https://www.equalityhumanrights.com/en/publication-download/britain-fairer-state-equality-and-human-rights-2020" TargetMode="External"/><Relationship Id="rId19" Type="http://schemas.openxmlformats.org/officeDocument/2006/relationships/hyperlink" Target="https://www.england.nhs.uk/wp-content/uploads/2020/11/reducing-health-inequalities-call-to-action.pdf" TargetMode="External"/><Relationship Id="rId31" Type="http://schemas.openxmlformats.org/officeDocument/2006/relationships/hyperlink" Target="https://sdgs.un.org/publications/transforming-our-world-2030-agenda-sustainable-development-17941EN.pdf" TargetMode="External"/><Relationship Id="rId4" Type="http://schemas.openxmlformats.org/officeDocument/2006/relationships/webSettings" Target="webSettings.xml"/><Relationship Id="rId9" Type="http://schemas.openxmlformats.org/officeDocument/2006/relationships/hyperlink" Target="https://www.equalityhumanrights.com/en/advice-and-guidance/gender-pay-gap-reporting-employers-250-or-more-employees" TargetMode="External"/><Relationship Id="rId14" Type="http://schemas.openxmlformats.org/officeDocument/2006/relationships/hyperlink" Target="https://www.equalityhumanrights.com/en/publication-download/equality-act-2010-guidance-matters-be-taken-account-determining-questions-relating-definition-disability" TargetMode="External"/><Relationship Id="rId22" Type="http://schemas.openxmlformats.org/officeDocument/2006/relationships/hyperlink" Target="https://www.gov.uk/government/publications/state-of-the-nation-2020" TargetMode="External"/><Relationship Id="rId27" Type="http://schemas.openxmlformats.org/officeDocument/2006/relationships/hyperlink" Target="https://sdgs.un.org/goals/goal11" TargetMode="External"/><Relationship Id="rId30" Type="http://schemas.openxmlformats.org/officeDocument/2006/relationships/hyperlink" Target="https://sdgs.un.org/2030agenda" TargetMode="External"/><Relationship Id="rId35" Type="http://schemas.openxmlformats.org/officeDocument/2006/relationships/hyperlink" Target="https://www.who.int/about/who-we-are/constitution" TargetMode="External"/><Relationship Id="rId8" Type="http://schemas.openxmlformats.org/officeDocument/2006/relationships/hyperlink" Target="https://www.catalyst.org/research/bottom-line-corporate-performance-and-womens-representation-boards-20042008/%20(Accesed" TargetMode="External"/><Relationship Id="rId3" Type="http://schemas.openxmlformats.org/officeDocument/2006/relationships/settings" Target="settings.xml"/><Relationship Id="rId12" Type="http://schemas.openxmlformats.org/officeDocument/2006/relationships/hyperlink" Target="https://assets.publishing.service.gov.uk/government/uploads/system/uploads/attachment_data/file/31423/10-1233-think-act-report-one-year-on.pdf" TargetMode="External"/><Relationship Id="rId17" Type="http://schemas.openxmlformats.org/officeDocument/2006/relationships/hyperlink" Target="https://www.techinsights.com/future-tech" TargetMode="External"/><Relationship Id="rId25" Type="http://schemas.openxmlformats.org/officeDocument/2006/relationships/hyperlink" Target="https://www.gov.uk/government/publications/gender-pay-gap-and-pay-gap-reporting" TargetMode="External"/><Relationship Id="rId33" Type="http://schemas.openxmlformats.org/officeDocument/2006/relationships/hyperlink" Target="https://www.who.int/publications/i/item/WHO-2019-nCoV-MentalHealth-2020.1" TargetMode="External"/><Relationship Id="rId38" Type="http://schemas.openxmlformats.org/officeDocument/2006/relationships/hyperlink" Target="http://www.euro.who.int/__data/assets/pdf_file/0011/199532/Health2020-Lo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D3C102-EC6C-4592-8DE0-2013D09F7B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6254</Words>
  <Characters>35651</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Nicolae</dc:creator>
  <cp:keywords/>
  <dc:description/>
  <cp:lastModifiedBy>Alexandru Nicolae</cp:lastModifiedBy>
  <cp:revision>12</cp:revision>
  <dcterms:created xsi:type="dcterms:W3CDTF">2024-03-21T21:49:00Z</dcterms:created>
  <dcterms:modified xsi:type="dcterms:W3CDTF">2024-03-21T22:18:00Z</dcterms:modified>
</cp:coreProperties>
</file>