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E82F" w14:textId="77777777" w:rsidR="00383D9E" w:rsidRDefault="00383D9E">
      <w:pPr>
        <w:spacing w:before="100" w:beforeAutospacing="1" w:after="100" w:afterAutospacing="1"/>
        <w:jc w:val="center"/>
        <w:rPr>
          <w:rFonts w:cs="Arial"/>
          <w:b/>
          <w:bCs/>
          <w:lang w:val="en-IN"/>
        </w:rPr>
      </w:pPr>
    </w:p>
    <w:p w14:paraId="20C53349" w14:textId="77777777" w:rsidR="00383D9E" w:rsidRDefault="00383D9E">
      <w:pPr>
        <w:spacing w:before="100" w:beforeAutospacing="1" w:after="100" w:afterAutospacing="1"/>
        <w:jc w:val="center"/>
        <w:rPr>
          <w:rFonts w:cs="Arial"/>
          <w:b/>
          <w:bCs/>
          <w:lang w:val="en-IN"/>
        </w:rPr>
      </w:pPr>
    </w:p>
    <w:p w14:paraId="484D33B0" w14:textId="77777777" w:rsidR="00383D9E" w:rsidRDefault="00383D9E">
      <w:pPr>
        <w:spacing w:before="100" w:beforeAutospacing="1" w:after="100" w:afterAutospacing="1"/>
        <w:jc w:val="center"/>
        <w:rPr>
          <w:rFonts w:cs="Arial"/>
          <w:b/>
          <w:bCs/>
          <w:lang w:val="en-IN"/>
        </w:rPr>
      </w:pPr>
    </w:p>
    <w:p w14:paraId="54C4BB4E" w14:textId="77777777" w:rsidR="00383D9E" w:rsidRDefault="00383D9E">
      <w:pPr>
        <w:spacing w:before="100" w:beforeAutospacing="1" w:after="100" w:afterAutospacing="1"/>
        <w:jc w:val="center"/>
        <w:rPr>
          <w:rFonts w:cs="Arial"/>
          <w:b/>
          <w:bCs/>
          <w:lang w:val="en-IN"/>
        </w:rPr>
      </w:pPr>
    </w:p>
    <w:p w14:paraId="1A528D69" w14:textId="77777777" w:rsidR="00383D9E" w:rsidRDefault="00383D9E">
      <w:pPr>
        <w:spacing w:before="100" w:beforeAutospacing="1" w:after="100" w:afterAutospacing="1"/>
        <w:rPr>
          <w:rFonts w:cs="Arial"/>
          <w:b/>
          <w:bCs/>
          <w:lang w:val="en-IN"/>
        </w:rPr>
      </w:pPr>
    </w:p>
    <w:p w14:paraId="6C07A219" w14:textId="77777777" w:rsidR="00383D9E" w:rsidRDefault="00000000">
      <w:pPr>
        <w:spacing w:before="100" w:beforeAutospacing="1" w:after="100" w:afterAutospacing="1"/>
        <w:jc w:val="center"/>
        <w:rPr>
          <w:rFonts w:cs="Arial"/>
          <w:b/>
          <w:bCs/>
          <w:lang w:val="en-IN"/>
        </w:rPr>
      </w:pPr>
      <w:r>
        <w:rPr>
          <w:rFonts w:cs="Arial"/>
          <w:b/>
          <w:bCs/>
        </w:rPr>
        <w:t>BSc Health and Social Care</w:t>
      </w:r>
    </w:p>
    <w:p w14:paraId="7BE298AE" w14:textId="77777777" w:rsidR="00383D9E" w:rsidRDefault="00000000">
      <w:pPr>
        <w:spacing w:before="100" w:beforeAutospacing="1" w:after="100" w:afterAutospacing="1"/>
        <w:jc w:val="center"/>
        <w:rPr>
          <w:rFonts w:cs="Arial"/>
          <w:b/>
          <w:bCs/>
          <w:lang w:val="en-IN"/>
        </w:rPr>
      </w:pPr>
      <w:r>
        <w:rPr>
          <w:rFonts w:cs="Arial"/>
          <w:b/>
          <w:bCs/>
          <w:lang w:val="en-IN"/>
        </w:rPr>
        <w:t>Module: Principles of Health and Social Care Practice</w:t>
      </w:r>
    </w:p>
    <w:p w14:paraId="3F08584D" w14:textId="77777777" w:rsidR="00383D9E" w:rsidRDefault="00000000">
      <w:pPr>
        <w:spacing w:before="100" w:beforeAutospacing="1" w:after="100" w:afterAutospacing="1"/>
        <w:jc w:val="center"/>
        <w:rPr>
          <w:rFonts w:cs="Arial"/>
          <w:b/>
          <w:bCs/>
          <w:lang w:val="en-IN"/>
        </w:rPr>
      </w:pPr>
      <w:r>
        <w:rPr>
          <w:rFonts w:cs="Arial"/>
          <w:b/>
          <w:bCs/>
          <w:lang w:val="en-IN"/>
        </w:rPr>
        <w:t>Module code: BMHP5016</w:t>
      </w:r>
    </w:p>
    <w:p w14:paraId="3E305D03" w14:textId="77777777" w:rsidR="00383D9E" w:rsidRDefault="00000000">
      <w:pPr>
        <w:spacing w:before="100" w:beforeAutospacing="1" w:after="100" w:afterAutospacing="1"/>
        <w:jc w:val="center"/>
        <w:rPr>
          <w:rFonts w:cs="Arial"/>
          <w:b/>
          <w:bCs/>
          <w:lang w:val="en-IN"/>
        </w:rPr>
      </w:pPr>
      <w:r>
        <w:rPr>
          <w:rFonts w:cs="Arial"/>
          <w:b/>
          <w:bCs/>
          <w:lang w:val="en-IN"/>
        </w:rPr>
        <w:t>Assignment Title: Component 2: Written Assignment (Report)</w:t>
      </w:r>
    </w:p>
    <w:p w14:paraId="606D0A2A" w14:textId="6112D40D" w:rsidR="00383D9E" w:rsidRDefault="00000000">
      <w:pPr>
        <w:spacing w:before="100" w:beforeAutospacing="1" w:after="100" w:afterAutospacing="1"/>
        <w:jc w:val="center"/>
        <w:rPr>
          <w:rFonts w:cs="Arial"/>
          <w:b/>
          <w:bCs/>
          <w:lang w:val="en-IN"/>
        </w:rPr>
      </w:pPr>
      <w:r>
        <w:rPr>
          <w:rFonts w:cs="Arial"/>
          <w:b/>
          <w:bCs/>
          <w:lang w:val="en-IN"/>
        </w:rPr>
        <w:t>Student ID:</w:t>
      </w:r>
      <w:r w:rsidR="003633D5">
        <w:rPr>
          <w:rFonts w:cs="Arial"/>
          <w:b/>
          <w:bCs/>
          <w:lang w:val="en-IN"/>
        </w:rPr>
        <w:t xml:space="preserve">2008331             </w:t>
      </w:r>
    </w:p>
    <w:p w14:paraId="6D7E45D1" w14:textId="5D858915" w:rsidR="003633D5" w:rsidRDefault="003633D5">
      <w:pPr>
        <w:spacing w:before="100" w:beforeAutospacing="1" w:after="100" w:afterAutospacing="1"/>
        <w:jc w:val="center"/>
        <w:rPr>
          <w:rFonts w:cs="Arial"/>
          <w:b/>
          <w:bCs/>
          <w:lang w:val="en-IN"/>
        </w:rPr>
      </w:pPr>
      <w:r>
        <w:rPr>
          <w:rFonts w:cs="Arial"/>
          <w:b/>
          <w:bCs/>
          <w:lang w:val="en-IN"/>
        </w:rPr>
        <w:t>Student Name</w:t>
      </w:r>
      <w:r w:rsidR="00667B44">
        <w:rPr>
          <w:rFonts w:cs="Arial"/>
          <w:b/>
          <w:bCs/>
          <w:lang w:val="en-IN"/>
        </w:rPr>
        <w:t xml:space="preserve">: Liliana </w:t>
      </w:r>
      <w:proofErr w:type="spellStart"/>
      <w:r w:rsidR="00667B44">
        <w:rPr>
          <w:rFonts w:cs="Arial"/>
          <w:b/>
          <w:bCs/>
          <w:lang w:val="en-IN"/>
        </w:rPr>
        <w:t>Tofan</w:t>
      </w:r>
      <w:proofErr w:type="spellEnd"/>
      <w:r w:rsidR="00667B44">
        <w:rPr>
          <w:rFonts w:cs="Arial"/>
          <w:b/>
          <w:bCs/>
          <w:lang w:val="en-IN"/>
        </w:rPr>
        <w:t xml:space="preserve"> </w:t>
      </w:r>
    </w:p>
    <w:p w14:paraId="0CFF27AA" w14:textId="5AB783F2" w:rsidR="00667B44" w:rsidRDefault="00667B44">
      <w:pPr>
        <w:spacing w:before="100" w:beforeAutospacing="1" w:after="100" w:afterAutospacing="1"/>
        <w:jc w:val="center"/>
        <w:rPr>
          <w:rFonts w:cs="Arial"/>
          <w:b/>
          <w:bCs/>
          <w:lang w:val="en-IN"/>
        </w:rPr>
      </w:pPr>
      <w:r>
        <w:rPr>
          <w:rFonts w:cs="Arial"/>
          <w:b/>
          <w:bCs/>
          <w:lang w:val="en-IN"/>
        </w:rPr>
        <w:t xml:space="preserve">Lecturer’s Name: </w:t>
      </w:r>
      <w:proofErr w:type="spellStart"/>
      <w:r w:rsidR="00A6137F">
        <w:rPr>
          <w:rFonts w:cs="Arial"/>
          <w:b/>
          <w:bCs/>
          <w:lang w:val="en-IN"/>
        </w:rPr>
        <w:t>Aishat</w:t>
      </w:r>
      <w:proofErr w:type="spellEnd"/>
      <w:r w:rsidR="00A6137F">
        <w:rPr>
          <w:rFonts w:cs="Arial"/>
          <w:b/>
          <w:bCs/>
          <w:lang w:val="en-IN"/>
        </w:rPr>
        <w:t xml:space="preserve"> </w:t>
      </w:r>
      <w:proofErr w:type="spellStart"/>
      <w:r w:rsidR="00B60665">
        <w:rPr>
          <w:rFonts w:cs="Arial"/>
          <w:b/>
          <w:bCs/>
          <w:lang w:val="en-IN"/>
        </w:rPr>
        <w:t>Bakre</w:t>
      </w:r>
      <w:proofErr w:type="spellEnd"/>
      <w:r w:rsidR="00B60665">
        <w:rPr>
          <w:rFonts w:cs="Arial"/>
          <w:b/>
          <w:bCs/>
          <w:lang w:val="en-IN"/>
        </w:rPr>
        <w:t xml:space="preserve"> </w:t>
      </w:r>
    </w:p>
    <w:p w14:paraId="522BD170" w14:textId="77777777" w:rsidR="00383D9E" w:rsidRDefault="00000000">
      <w:pPr>
        <w:spacing w:before="100" w:beforeAutospacing="1" w:after="100" w:afterAutospacing="1"/>
        <w:jc w:val="left"/>
        <w:rPr>
          <w:rFonts w:cs="Arial"/>
          <w:b/>
          <w:bCs/>
          <w:lang w:val="en-IN"/>
        </w:rPr>
      </w:pPr>
      <w:r>
        <w:rPr>
          <w:rFonts w:cs="Arial"/>
          <w:b/>
          <w:bCs/>
          <w:lang w:val="en-IN"/>
        </w:rPr>
        <w:br w:type="page"/>
      </w:r>
    </w:p>
    <w:sdt>
      <w:sdtPr>
        <w:rPr>
          <w:rFonts w:ascii="Arial" w:eastAsiaTheme="minorHAnsi" w:hAnsi="Arial" w:cs="Arial"/>
          <w:color w:val="auto"/>
          <w:sz w:val="22"/>
          <w:szCs w:val="22"/>
          <w:lang w:val="en-GB"/>
        </w:rPr>
        <w:id w:val="-1498797423"/>
        <w:docPartObj>
          <w:docPartGallery w:val="Table of Contents"/>
          <w:docPartUnique/>
        </w:docPartObj>
      </w:sdtPr>
      <w:sdtEndPr>
        <w:rPr>
          <w:b/>
          <w:bCs/>
        </w:rPr>
      </w:sdtEndPr>
      <w:sdtContent>
        <w:p w14:paraId="760E89E7" w14:textId="77777777" w:rsidR="00383D9E" w:rsidRDefault="00000000">
          <w:pPr>
            <w:pStyle w:val="TOCHeading1"/>
            <w:spacing w:before="100" w:beforeAutospacing="1" w:after="100" w:afterAutospacing="1" w:line="360" w:lineRule="auto"/>
            <w:jc w:val="center"/>
            <w:rPr>
              <w:rFonts w:ascii="Arial" w:hAnsi="Arial" w:cs="Arial"/>
              <w:b/>
              <w:bCs/>
              <w:color w:val="000000" w:themeColor="text1"/>
              <w:sz w:val="22"/>
              <w:szCs w:val="22"/>
            </w:rPr>
          </w:pPr>
          <w:r>
            <w:rPr>
              <w:rFonts w:ascii="Arial" w:hAnsi="Arial" w:cs="Arial"/>
              <w:b/>
              <w:bCs/>
              <w:color w:val="000000" w:themeColor="text1"/>
              <w:sz w:val="22"/>
              <w:szCs w:val="22"/>
            </w:rPr>
            <w:t>Contents</w:t>
          </w:r>
        </w:p>
        <w:p w14:paraId="26CD696B"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222598284" w:history="1">
            <w:r>
              <w:rPr>
                <w:rStyle w:val="Hyperlink"/>
                <w:rFonts w:cs="Arial"/>
              </w:rPr>
              <w:t>Introduction</w:t>
            </w:r>
            <w:r>
              <w:tab/>
            </w:r>
            <w:r>
              <w:fldChar w:fldCharType="begin"/>
            </w:r>
            <w:r>
              <w:instrText xml:space="preserve"> PAGEREF _Toc222598284 \h </w:instrText>
            </w:r>
            <w:r>
              <w:fldChar w:fldCharType="separate"/>
            </w:r>
            <w:r>
              <w:t>3</w:t>
            </w:r>
            <w:r>
              <w:fldChar w:fldCharType="end"/>
            </w:r>
          </w:hyperlink>
        </w:p>
        <w:p w14:paraId="3151E325"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85" w:history="1">
            <w:r>
              <w:rPr>
                <w:rStyle w:val="Hyperlink"/>
                <w:rFonts w:cs="Arial"/>
              </w:rPr>
              <w:t>Person-centred care and the main benefits and limitations of this practice</w:t>
            </w:r>
            <w:r>
              <w:tab/>
            </w:r>
            <w:r>
              <w:fldChar w:fldCharType="begin"/>
            </w:r>
            <w:r>
              <w:instrText xml:space="preserve"> PAGEREF _Toc222598285 \h </w:instrText>
            </w:r>
            <w:r>
              <w:fldChar w:fldCharType="separate"/>
            </w:r>
            <w:r>
              <w:t>3</w:t>
            </w:r>
            <w:r>
              <w:fldChar w:fldCharType="end"/>
            </w:r>
          </w:hyperlink>
        </w:p>
        <w:p w14:paraId="2D83E1E7"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86" w:history="1">
            <w:r>
              <w:rPr>
                <w:rStyle w:val="Hyperlink"/>
                <w:rFonts w:cs="Arial"/>
              </w:rPr>
              <w:t>A relevant theory or model of care which underpins PCC</w:t>
            </w:r>
            <w:r>
              <w:tab/>
            </w:r>
            <w:r>
              <w:fldChar w:fldCharType="begin"/>
            </w:r>
            <w:r>
              <w:instrText xml:space="preserve"> PAGEREF _Toc222598286 \h </w:instrText>
            </w:r>
            <w:r>
              <w:fldChar w:fldCharType="separate"/>
            </w:r>
            <w:r>
              <w:t>4</w:t>
            </w:r>
            <w:r>
              <w:fldChar w:fldCharType="end"/>
            </w:r>
          </w:hyperlink>
        </w:p>
        <w:p w14:paraId="377E1E21"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87" w:history="1">
            <w:r>
              <w:rPr>
                <w:rStyle w:val="Hyperlink"/>
                <w:rFonts w:cs="Arial"/>
              </w:rPr>
              <w:t>The ethical fundamentals of health and social care</w:t>
            </w:r>
            <w:r>
              <w:tab/>
            </w:r>
            <w:r>
              <w:fldChar w:fldCharType="begin"/>
            </w:r>
            <w:r>
              <w:instrText xml:space="preserve"> PAGEREF _Toc222598287 \h </w:instrText>
            </w:r>
            <w:r>
              <w:fldChar w:fldCharType="separate"/>
            </w:r>
            <w:r>
              <w:t>5</w:t>
            </w:r>
            <w:r>
              <w:fldChar w:fldCharType="end"/>
            </w:r>
          </w:hyperlink>
        </w:p>
        <w:p w14:paraId="7C56AF34"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88" w:history="1">
            <w:r>
              <w:rPr>
                <w:rStyle w:val="Hyperlink"/>
                <w:rFonts w:cs="Arial"/>
              </w:rPr>
              <w:t>An evaluation of partnership working in health and social care</w:t>
            </w:r>
            <w:r>
              <w:tab/>
            </w:r>
            <w:r>
              <w:fldChar w:fldCharType="begin"/>
            </w:r>
            <w:r>
              <w:instrText xml:space="preserve"> PAGEREF _Toc222598288 \h </w:instrText>
            </w:r>
            <w:r>
              <w:fldChar w:fldCharType="separate"/>
            </w:r>
            <w:r>
              <w:t>6</w:t>
            </w:r>
            <w:r>
              <w:fldChar w:fldCharType="end"/>
            </w:r>
          </w:hyperlink>
        </w:p>
        <w:p w14:paraId="248C4837"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89" w:history="1">
            <w:r>
              <w:rPr>
                <w:rStyle w:val="Hyperlink"/>
                <w:rFonts w:cs="Arial"/>
              </w:rPr>
              <w:t>The application of partnership working in a practical health and social care setting</w:t>
            </w:r>
            <w:r>
              <w:tab/>
            </w:r>
            <w:r>
              <w:fldChar w:fldCharType="begin"/>
            </w:r>
            <w:r>
              <w:instrText xml:space="preserve"> PAGEREF _Toc222598289 \h </w:instrText>
            </w:r>
            <w:r>
              <w:fldChar w:fldCharType="separate"/>
            </w:r>
            <w:r>
              <w:t>7</w:t>
            </w:r>
            <w:r>
              <w:fldChar w:fldCharType="end"/>
            </w:r>
          </w:hyperlink>
        </w:p>
        <w:p w14:paraId="34BB363B"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90" w:history="1">
            <w:r>
              <w:rPr>
                <w:rStyle w:val="Hyperlink"/>
                <w:rFonts w:cs="Arial"/>
              </w:rPr>
              <w:t>A discussion of relevant policy and legislation in relation to PCC and PW</w:t>
            </w:r>
            <w:r>
              <w:tab/>
            </w:r>
            <w:r>
              <w:fldChar w:fldCharType="begin"/>
            </w:r>
            <w:r>
              <w:instrText xml:space="preserve"> PAGEREF _Toc222598290 \h </w:instrText>
            </w:r>
            <w:r>
              <w:fldChar w:fldCharType="separate"/>
            </w:r>
            <w:r>
              <w:t>7</w:t>
            </w:r>
            <w:r>
              <w:fldChar w:fldCharType="end"/>
            </w:r>
          </w:hyperlink>
        </w:p>
        <w:p w14:paraId="0D1C3D85"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91" w:history="1">
            <w:r>
              <w:rPr>
                <w:rStyle w:val="Hyperlink"/>
                <w:rFonts w:cs="Arial"/>
              </w:rPr>
              <w:t>Recommendations for future development of PCC and partnership working in the UK</w:t>
            </w:r>
            <w:r>
              <w:tab/>
            </w:r>
            <w:r>
              <w:fldChar w:fldCharType="begin"/>
            </w:r>
            <w:r>
              <w:instrText xml:space="preserve"> PAGEREF _Toc222598291 \h </w:instrText>
            </w:r>
            <w:r>
              <w:fldChar w:fldCharType="separate"/>
            </w:r>
            <w:r>
              <w:t>8</w:t>
            </w:r>
            <w:r>
              <w:fldChar w:fldCharType="end"/>
            </w:r>
          </w:hyperlink>
        </w:p>
        <w:p w14:paraId="0F70C0C1"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92" w:history="1">
            <w:r>
              <w:rPr>
                <w:rStyle w:val="Hyperlink"/>
                <w:rFonts w:cs="Arial"/>
              </w:rPr>
              <w:t>Conclusion</w:t>
            </w:r>
            <w:r>
              <w:tab/>
            </w:r>
            <w:r>
              <w:fldChar w:fldCharType="begin"/>
            </w:r>
            <w:r>
              <w:instrText xml:space="preserve"> PAGEREF _Toc222598292 \h </w:instrText>
            </w:r>
            <w:r>
              <w:fldChar w:fldCharType="separate"/>
            </w:r>
            <w:r>
              <w:t>8</w:t>
            </w:r>
            <w:r>
              <w:fldChar w:fldCharType="end"/>
            </w:r>
          </w:hyperlink>
        </w:p>
        <w:p w14:paraId="739F70BF" w14:textId="77777777" w:rsidR="00383D9E" w:rsidRDefault="00000000">
          <w:pPr>
            <w:pStyle w:val="TOC1"/>
            <w:tabs>
              <w:tab w:val="right" w:leader="dot" w:pos="9016"/>
            </w:tabs>
            <w:spacing w:before="100" w:beforeAutospacing="1" w:afterAutospacing="1"/>
            <w:rPr>
              <w:rFonts w:asciiTheme="minorHAnsi" w:eastAsiaTheme="minorEastAsia" w:hAnsiTheme="minorHAnsi"/>
              <w:kern w:val="2"/>
              <w:sz w:val="24"/>
              <w:szCs w:val="24"/>
              <w:lang w:val="en-IN" w:eastAsia="en-IN"/>
              <w14:ligatures w14:val="standardContextual"/>
            </w:rPr>
          </w:pPr>
          <w:hyperlink w:anchor="_Toc222598293" w:history="1">
            <w:r>
              <w:rPr>
                <w:rStyle w:val="Hyperlink"/>
                <w:rFonts w:cs="Arial"/>
              </w:rPr>
              <w:t>References</w:t>
            </w:r>
            <w:r>
              <w:tab/>
            </w:r>
            <w:r>
              <w:fldChar w:fldCharType="begin"/>
            </w:r>
            <w:r>
              <w:instrText xml:space="preserve"> PAGEREF _Toc222598293 \h </w:instrText>
            </w:r>
            <w:r>
              <w:fldChar w:fldCharType="separate"/>
            </w:r>
            <w:r>
              <w:t>9</w:t>
            </w:r>
            <w:r>
              <w:fldChar w:fldCharType="end"/>
            </w:r>
          </w:hyperlink>
        </w:p>
        <w:p w14:paraId="46B537E9" w14:textId="77777777" w:rsidR="00383D9E" w:rsidRDefault="00000000">
          <w:pPr>
            <w:spacing w:before="100" w:beforeAutospacing="1" w:after="100" w:afterAutospacing="1"/>
            <w:rPr>
              <w:rFonts w:cs="Arial"/>
            </w:rPr>
          </w:pPr>
          <w:r>
            <w:rPr>
              <w:rFonts w:cs="Arial"/>
              <w:b/>
              <w:bCs/>
            </w:rPr>
            <w:fldChar w:fldCharType="end"/>
          </w:r>
        </w:p>
      </w:sdtContent>
    </w:sdt>
    <w:p w14:paraId="312ECE78" w14:textId="77777777" w:rsidR="00383D9E" w:rsidRDefault="00383D9E">
      <w:pPr>
        <w:spacing w:before="100" w:beforeAutospacing="1" w:after="100" w:afterAutospacing="1"/>
        <w:rPr>
          <w:rFonts w:cs="Arial"/>
          <w:lang w:val="en-IN"/>
        </w:rPr>
      </w:pPr>
    </w:p>
    <w:p w14:paraId="6BB3AFDA" w14:textId="77777777" w:rsidR="00383D9E" w:rsidRDefault="00383D9E">
      <w:pPr>
        <w:spacing w:before="100" w:beforeAutospacing="1" w:after="100" w:afterAutospacing="1"/>
        <w:jc w:val="left"/>
        <w:rPr>
          <w:rFonts w:cs="Arial"/>
        </w:rPr>
      </w:pPr>
    </w:p>
    <w:p w14:paraId="676E2B5D" w14:textId="77777777" w:rsidR="00383D9E" w:rsidRDefault="00000000">
      <w:pPr>
        <w:spacing w:before="100" w:beforeAutospacing="1" w:after="100" w:afterAutospacing="1"/>
        <w:jc w:val="left"/>
        <w:rPr>
          <w:rFonts w:eastAsiaTheme="majorEastAsia" w:cs="Arial"/>
          <w:b/>
          <w:color w:val="000000" w:themeColor="text1"/>
        </w:rPr>
      </w:pPr>
      <w:r>
        <w:rPr>
          <w:rFonts w:cs="Arial"/>
        </w:rPr>
        <w:br w:type="page"/>
      </w:r>
    </w:p>
    <w:p w14:paraId="088281A7" w14:textId="77777777" w:rsidR="00383D9E" w:rsidRDefault="00000000">
      <w:pPr>
        <w:pStyle w:val="Heading1"/>
        <w:spacing w:before="100" w:beforeAutospacing="1" w:after="100" w:afterAutospacing="1"/>
        <w:rPr>
          <w:rFonts w:cs="Arial"/>
          <w:szCs w:val="22"/>
          <w:lang w:val="en-GB"/>
        </w:rPr>
      </w:pPr>
      <w:bookmarkStart w:id="0" w:name="_Toc222598284"/>
      <w:r>
        <w:rPr>
          <w:rFonts w:cs="Arial"/>
          <w:szCs w:val="22"/>
          <w:lang w:val="en-GB"/>
        </w:rPr>
        <w:t>Introduction</w:t>
      </w:r>
      <w:bookmarkEnd w:id="0"/>
    </w:p>
    <w:p w14:paraId="11B4A89B" w14:textId="77777777" w:rsidR="00383D9E" w:rsidRDefault="00000000">
      <w:pPr>
        <w:spacing w:before="100" w:beforeAutospacing="1" w:after="100" w:afterAutospacing="1"/>
        <w:rPr>
          <w:rFonts w:cs="Arial"/>
        </w:rPr>
      </w:pPr>
      <w:r>
        <w:rPr>
          <w:rFonts w:cs="Arial"/>
        </w:rPr>
        <w:t xml:space="preserve">The report outlines the fundamental and core concepts which are used in health and social care, and the way Person-centred care creates effectiveness in the delivery of the services. With the critical evaluation of the model of care, this report underpins the effectiveness of the PCC and elaborates on the partnership approach and how it works in the care setting of the chosen service. Further tailored to the understanding of the PCC, recommendations are suggested for future development to be obtained through the working of the approach in the health and social care setting. </w:t>
      </w:r>
    </w:p>
    <w:p w14:paraId="5AB4F9FB" w14:textId="77777777" w:rsidR="00383D9E" w:rsidRDefault="00000000">
      <w:pPr>
        <w:pStyle w:val="Heading1"/>
        <w:spacing w:before="100" w:beforeAutospacing="1" w:after="100" w:afterAutospacing="1"/>
        <w:rPr>
          <w:rFonts w:cs="Arial"/>
          <w:szCs w:val="22"/>
          <w:lang w:val="en-GB"/>
        </w:rPr>
      </w:pPr>
      <w:bookmarkStart w:id="1" w:name="_Toc222598285"/>
      <w:r>
        <w:rPr>
          <w:rFonts w:cs="Arial"/>
          <w:szCs w:val="22"/>
          <w:lang w:val="en-GB"/>
        </w:rPr>
        <w:t>Person-centred care and the main benefits and limitations of this practice</w:t>
      </w:r>
      <w:bookmarkEnd w:id="1"/>
    </w:p>
    <w:p w14:paraId="6BE6EA72" w14:textId="77777777" w:rsidR="00383D9E" w:rsidRDefault="00000000">
      <w:pPr>
        <w:spacing w:before="100" w:beforeAutospacing="1" w:after="100" w:afterAutospacing="1"/>
        <w:rPr>
          <w:rFonts w:cs="Arial"/>
        </w:rPr>
      </w:pPr>
      <w:r>
        <w:rPr>
          <w:rFonts w:cs="Arial"/>
        </w:rPr>
        <w:t xml:space="preserve">According to the National Health Service (NHS) England, Person-centred care (PCC) discusses the approaches which are involved in developing skills for offering better integrated services to the communities, care, wellbeing and support to the communities (NHS England, </w:t>
      </w:r>
      <w:proofErr w:type="spellStart"/>
      <w:r>
        <w:rPr>
          <w:rFonts w:cs="Arial"/>
        </w:rPr>
        <w:t>n.d.</w:t>
      </w:r>
      <w:proofErr w:type="spellEnd"/>
      <w:r>
        <w:rPr>
          <w:rFonts w:cs="Arial"/>
        </w:rPr>
        <w:t xml:space="preserve">). Mainly with the PCC, an individual trained with the necessary skills caters to the care of the needs of individuals like the aged population or patients suffering from illness. However, in this approach, the preferences, the needs and the values guiding the individual's beliefs are respected and given dignity. From the views of Moore </w:t>
      </w:r>
      <w:r>
        <w:rPr>
          <w:rFonts w:cs="Arial"/>
          <w:i/>
          <w:iCs/>
        </w:rPr>
        <w:t>et al.</w:t>
      </w:r>
      <w:r>
        <w:rPr>
          <w:rFonts w:cs="Arial"/>
        </w:rPr>
        <w:t xml:space="preserve"> (2023), Person-centred care (PCC) actually delves into placing the individuals at the centre of the healthcare services, decision-making process and ensures meeting the needs with standard quality. Today, the healthcare policies and the guidelines are increasingly valuing the inclusion of PCC as a core element to promote better care and prevention in the community with a skilled workforce. Adhering to the Health and Social Care Act 2008, this regulation was designed to ensure that people who are using the services receive care and treatment which is personalised for them (Care Quality Commission, 2025). If needed, the providers are asked to make any kind of reasonable adjustments and ensure informed decisions are made for and from the individuals requiring care. Therefore, PCC is known to be one of the crucial concepts in the health and social care services that has gained attention highly. </w:t>
      </w:r>
    </w:p>
    <w:p w14:paraId="14BD1692" w14:textId="77777777" w:rsidR="00383D9E" w:rsidRDefault="00000000">
      <w:pPr>
        <w:spacing w:before="100" w:beforeAutospacing="1" w:after="100" w:afterAutospacing="1"/>
        <w:jc w:val="center"/>
        <w:rPr>
          <w:rFonts w:cs="Arial"/>
        </w:rPr>
      </w:pPr>
      <w:r>
        <w:rPr>
          <w:rFonts w:cs="Arial"/>
          <w:noProof/>
          <w14:ligatures w14:val="standardContextual"/>
        </w:rPr>
        <w:drawing>
          <wp:inline distT="0" distB="0" distL="0" distR="0" wp14:anchorId="0FC6A3E1" wp14:editId="5289B445">
            <wp:extent cx="5486400" cy="3200400"/>
            <wp:effectExtent l="0" t="0" r="0" b="0"/>
            <wp:docPr id="44381107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5179BF5" w14:textId="77777777" w:rsidR="00383D9E" w:rsidRDefault="00000000">
      <w:pPr>
        <w:spacing w:before="100" w:beforeAutospacing="1" w:after="100" w:afterAutospacing="1"/>
        <w:jc w:val="center"/>
        <w:rPr>
          <w:rFonts w:cs="Arial"/>
          <w:b/>
          <w:bCs/>
          <w:i/>
          <w:iCs/>
        </w:rPr>
      </w:pPr>
      <w:r>
        <w:rPr>
          <w:rFonts w:cs="Arial"/>
          <w:b/>
          <w:bCs/>
          <w:i/>
          <w:iCs/>
        </w:rPr>
        <w:t>Figure 1: The Person-Centred Care core elements</w:t>
      </w:r>
    </w:p>
    <w:p w14:paraId="65C6D354" w14:textId="77777777" w:rsidR="00383D9E" w:rsidRDefault="00000000">
      <w:pPr>
        <w:spacing w:before="100" w:beforeAutospacing="1" w:after="100" w:afterAutospacing="1"/>
        <w:rPr>
          <w:rFonts w:cs="Arial"/>
        </w:rPr>
      </w:pPr>
      <w:r>
        <w:rPr>
          <w:rFonts w:cs="Arial"/>
        </w:rPr>
        <w:t xml:space="preserve">Every approach has its benefits and limitations associated with it that impact the delivery of the services and access to the services. As laid down in Guidance 9(2) of the Act 2008, providers are trained to ensure that they offer appropriate care and treatment by knowing the preferences, values and needs of the users (Care Quality Commission, 2025). This is advantageous as the liability does not even rest on the individuals requiring the care, where the providers are not alone considered to be guilty. Personalised care is offered, which adds to the benefits of the PCC approach. Collaboration is highly integrated in the offering of the PCC services, which leads individuals to have better care-oriented services and gain higher satisfaction. However, as argued by Summer </w:t>
      </w:r>
      <w:proofErr w:type="spellStart"/>
      <w:r>
        <w:rPr>
          <w:rFonts w:cs="Arial"/>
        </w:rPr>
        <w:t>Meranius</w:t>
      </w:r>
      <w:proofErr w:type="spellEnd"/>
      <w:r>
        <w:rPr>
          <w:rFonts w:cs="Arial"/>
        </w:rPr>
        <w:t xml:space="preserve"> et al. (2020), personalised care do leads to an increase in the financial costs and personal costs as well. Sometimes, to respect the preferences of the individuals, staffs do faces exclusion that creates demotivation to the professional offering care.</w:t>
      </w:r>
    </w:p>
    <w:p w14:paraId="17A628BE" w14:textId="77777777" w:rsidR="00383D9E" w:rsidRDefault="00000000">
      <w:pPr>
        <w:pStyle w:val="Heading1"/>
        <w:spacing w:before="100" w:beforeAutospacing="1" w:after="100" w:afterAutospacing="1"/>
        <w:rPr>
          <w:rFonts w:cs="Arial"/>
          <w:szCs w:val="22"/>
          <w:lang w:val="en-GB"/>
        </w:rPr>
      </w:pPr>
      <w:bookmarkStart w:id="2" w:name="_Toc222598286"/>
      <w:r>
        <w:rPr>
          <w:rFonts w:cs="Arial"/>
          <w:szCs w:val="22"/>
          <w:lang w:val="en-GB"/>
        </w:rPr>
        <w:t>A relevant theory or model of care which underpins PCC</w:t>
      </w:r>
      <w:bookmarkEnd w:id="2"/>
      <w:r>
        <w:rPr>
          <w:rFonts w:cs="Arial"/>
          <w:szCs w:val="22"/>
          <w:lang w:val="en-GB"/>
        </w:rPr>
        <w:t xml:space="preserve"> </w:t>
      </w:r>
    </w:p>
    <w:p w14:paraId="5C75B1BA" w14:textId="77777777" w:rsidR="00383D9E" w:rsidRDefault="00000000">
      <w:pPr>
        <w:spacing w:before="100" w:beforeAutospacing="1" w:after="100" w:afterAutospacing="1"/>
        <w:rPr>
          <w:rFonts w:cs="Arial"/>
        </w:rPr>
      </w:pPr>
      <w:r>
        <w:rPr>
          <w:rFonts w:cs="Arial"/>
        </w:rPr>
        <w:t xml:space="preserve">In the application of PCC, the </w:t>
      </w:r>
      <w:r>
        <w:rPr>
          <w:rFonts w:cs="Arial"/>
          <w:b/>
          <w:bCs/>
        </w:rPr>
        <w:t xml:space="preserve">Person-centred Nursing Framework (PCNF) </w:t>
      </w:r>
      <w:r>
        <w:rPr>
          <w:rFonts w:cs="Arial"/>
        </w:rPr>
        <w:t xml:space="preserve">do play a vital role in carrying forward a cyclic approach which covers various dimensions, enhancing the services and the quality. As studied by </w:t>
      </w:r>
      <w:proofErr w:type="spellStart"/>
      <w:r>
        <w:rPr>
          <w:rFonts w:cs="Arial"/>
        </w:rPr>
        <w:t>McCance</w:t>
      </w:r>
      <w:proofErr w:type="spellEnd"/>
      <w:r>
        <w:rPr>
          <w:rFonts w:cs="Arial"/>
        </w:rPr>
        <w:t xml:space="preserve"> and McCormack (2025), the framework evolved from the study conducted by McCormack exploring the meaning of autonomy, especially in the case of aged people in the healthcare setting. This framework also included the approach developed by </w:t>
      </w:r>
      <w:proofErr w:type="spellStart"/>
      <w:r>
        <w:rPr>
          <w:rFonts w:cs="Arial"/>
        </w:rPr>
        <w:t>McCance’s</w:t>
      </w:r>
      <w:proofErr w:type="spellEnd"/>
      <w:r>
        <w:rPr>
          <w:rFonts w:cs="Arial"/>
        </w:rPr>
        <w:t xml:space="preserve"> study that explores how the patient's experiences could be boosted with qualified professionals. The centrality of the framework lies in how the nursing practices could be improved to ensure that the key constructs involved in caring are being implemented to generate a positive patient outcome. </w:t>
      </w:r>
      <w:proofErr w:type="spellStart"/>
      <w:r>
        <w:rPr>
          <w:rFonts w:cs="Arial"/>
        </w:rPr>
        <w:t>Tyagi</w:t>
      </w:r>
      <w:proofErr w:type="spellEnd"/>
      <w:r>
        <w:rPr>
          <w:rFonts w:cs="Arial"/>
        </w:rPr>
        <w:t xml:space="preserve"> </w:t>
      </w:r>
      <w:r>
        <w:rPr>
          <w:rFonts w:cs="Arial"/>
          <w:i/>
          <w:iCs/>
        </w:rPr>
        <w:t>et al</w:t>
      </w:r>
      <w:r>
        <w:rPr>
          <w:rFonts w:cs="Arial"/>
        </w:rPr>
        <w:t>. (2025), though, argued that in offering PCC, the main difficulty lies with the care of the aged population, which requires the nurses to be updated on the day-to-day activities being carried out, considering various factors like mental condition, financial burden, lack of infrastructure and others.</w:t>
      </w:r>
    </w:p>
    <w:p w14:paraId="2A3008F5" w14:textId="77777777" w:rsidR="00383D9E" w:rsidRDefault="00000000">
      <w:pPr>
        <w:spacing w:before="100" w:beforeAutospacing="1" w:after="100" w:afterAutospacing="1"/>
        <w:jc w:val="center"/>
        <w:rPr>
          <w:rFonts w:cs="Arial"/>
        </w:rPr>
      </w:pPr>
      <w:r>
        <w:rPr>
          <w:rFonts w:cs="Arial"/>
          <w:noProof/>
        </w:rPr>
        <w:drawing>
          <wp:inline distT="0" distB="0" distL="0" distR="0" wp14:anchorId="07D5AA7D" wp14:editId="2AFA34B5">
            <wp:extent cx="4150995" cy="4061460"/>
            <wp:effectExtent l="0" t="0" r="1905" b="0"/>
            <wp:docPr id="154515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56803" name="Picture 1"/>
                    <pic:cNvPicPr>
                      <a:picLocks noChangeAspect="1"/>
                    </pic:cNvPicPr>
                  </pic:nvPicPr>
                  <pic:blipFill>
                    <a:blip r:embed="rId12"/>
                    <a:stretch>
                      <a:fillRect/>
                    </a:stretch>
                  </pic:blipFill>
                  <pic:spPr>
                    <a:xfrm>
                      <a:off x="0" y="0"/>
                      <a:ext cx="4152663" cy="4063037"/>
                    </a:xfrm>
                    <a:prstGeom prst="rect">
                      <a:avLst/>
                    </a:prstGeom>
                  </pic:spPr>
                </pic:pic>
              </a:graphicData>
            </a:graphic>
          </wp:inline>
        </w:drawing>
      </w:r>
    </w:p>
    <w:p w14:paraId="0FD4776C" w14:textId="77777777" w:rsidR="00383D9E" w:rsidRDefault="00000000">
      <w:pPr>
        <w:spacing w:before="100" w:beforeAutospacing="1" w:after="100" w:afterAutospacing="1"/>
        <w:jc w:val="center"/>
        <w:rPr>
          <w:rFonts w:cs="Arial"/>
          <w:b/>
          <w:bCs/>
          <w:i/>
          <w:iCs/>
        </w:rPr>
      </w:pPr>
      <w:r>
        <w:rPr>
          <w:rFonts w:cs="Arial"/>
          <w:b/>
          <w:bCs/>
          <w:i/>
          <w:iCs/>
        </w:rPr>
        <w:t>Figure 2: Person-centred Nursing Framework (PCNF)</w:t>
      </w:r>
    </w:p>
    <w:p w14:paraId="64F62A99" w14:textId="77777777" w:rsidR="00383D9E" w:rsidRDefault="00000000">
      <w:pPr>
        <w:spacing w:before="100" w:beforeAutospacing="1" w:after="100" w:afterAutospacing="1"/>
        <w:jc w:val="center"/>
        <w:rPr>
          <w:rFonts w:cs="Arial"/>
        </w:rPr>
      </w:pPr>
      <w:r>
        <w:rPr>
          <w:rFonts w:cs="Arial"/>
        </w:rPr>
        <w:t xml:space="preserve">(Source: </w:t>
      </w:r>
      <w:proofErr w:type="spellStart"/>
      <w:r>
        <w:rPr>
          <w:rFonts w:cs="Arial"/>
        </w:rPr>
        <w:t>Radbron</w:t>
      </w:r>
      <w:proofErr w:type="spellEnd"/>
      <w:r>
        <w:rPr>
          <w:rFonts w:cs="Arial"/>
        </w:rPr>
        <w:t xml:space="preserve"> </w:t>
      </w:r>
      <w:r>
        <w:rPr>
          <w:rFonts w:cs="Arial"/>
          <w:i/>
          <w:iCs/>
        </w:rPr>
        <w:t>et al</w:t>
      </w:r>
      <w:r>
        <w:rPr>
          <w:rFonts w:cs="Arial"/>
        </w:rPr>
        <w:t>., 2022)</w:t>
      </w:r>
    </w:p>
    <w:p w14:paraId="52CD0A8B" w14:textId="77777777" w:rsidR="00383D9E" w:rsidRDefault="00000000">
      <w:pPr>
        <w:pStyle w:val="Heading1"/>
        <w:spacing w:before="100" w:beforeAutospacing="1" w:after="100" w:afterAutospacing="1"/>
        <w:rPr>
          <w:rFonts w:cs="Arial"/>
          <w:szCs w:val="22"/>
          <w:lang w:val="en-GB"/>
        </w:rPr>
      </w:pPr>
      <w:bookmarkStart w:id="3" w:name="_Toc222598287"/>
      <w:r>
        <w:rPr>
          <w:rFonts w:cs="Arial"/>
          <w:szCs w:val="22"/>
          <w:lang w:val="en-GB"/>
        </w:rPr>
        <w:t>The ethical fundamentals of health and social care</w:t>
      </w:r>
      <w:bookmarkEnd w:id="3"/>
    </w:p>
    <w:p w14:paraId="1F1A63F8" w14:textId="77777777" w:rsidR="00383D9E" w:rsidRDefault="00000000">
      <w:pPr>
        <w:spacing w:before="100" w:beforeAutospacing="1" w:after="100" w:afterAutospacing="1"/>
        <w:rPr>
          <w:rFonts w:cs="Arial"/>
        </w:rPr>
      </w:pPr>
      <w:r>
        <w:rPr>
          <w:rFonts w:cs="Arial"/>
        </w:rPr>
        <w:t>In the UK, the ethical foundations govern better care for the users and for the caregivers, as well as ensuring strategic services are delivered. There are mainly four core principles which govern the ethical foundations, namely Beneficence, Justice, Non-maleficence and Autonomy (</w:t>
      </w:r>
      <w:proofErr w:type="spellStart"/>
      <w:r>
        <w:rPr>
          <w:rFonts w:cs="Arial"/>
        </w:rPr>
        <w:t>Varkey</w:t>
      </w:r>
      <w:proofErr w:type="spellEnd"/>
      <w:r>
        <w:rPr>
          <w:rFonts w:cs="Arial"/>
        </w:rPr>
        <w:t xml:space="preserve">, 2021). </w:t>
      </w:r>
    </w:p>
    <w:p w14:paraId="5279E308" w14:textId="77777777" w:rsidR="00383D9E" w:rsidRDefault="00000000">
      <w:pPr>
        <w:spacing w:before="100" w:beforeAutospacing="1" w:after="100" w:afterAutospacing="1"/>
        <w:rPr>
          <w:rFonts w:cs="Arial"/>
        </w:rPr>
      </w:pPr>
      <w:r>
        <w:rPr>
          <w:rFonts w:cs="Arial"/>
          <w:b/>
          <w:bCs/>
          <w:i/>
          <w:iCs/>
        </w:rPr>
        <w:t>Beneficence:</w:t>
      </w:r>
      <w:r>
        <w:rPr>
          <w:rFonts w:cs="Arial"/>
        </w:rPr>
        <w:t xml:space="preserve"> This principle leads the physician to act on behalf of the patients and regard the benefits to the core by supporting the moral rules. It ensures defending and even protecting the rights of the users and eliminating those conditions that can cause harm to the users.</w:t>
      </w:r>
    </w:p>
    <w:p w14:paraId="29077DC1" w14:textId="77777777" w:rsidR="00383D9E" w:rsidRDefault="00000000">
      <w:pPr>
        <w:spacing w:before="100" w:beforeAutospacing="1" w:after="100" w:afterAutospacing="1"/>
        <w:rPr>
          <w:rFonts w:cs="Arial"/>
        </w:rPr>
      </w:pPr>
      <w:r>
        <w:rPr>
          <w:rFonts w:cs="Arial"/>
          <w:b/>
          <w:bCs/>
          <w:i/>
          <w:iCs/>
        </w:rPr>
        <w:t>Justice:</w:t>
      </w:r>
      <w:r>
        <w:rPr>
          <w:rFonts w:cs="Arial"/>
        </w:rPr>
        <w:t xml:space="preserve"> This interprets as being fair and equitable for offering the right treatment to the users that narrows down to the principle laid down in the Distributive Justice.</w:t>
      </w:r>
    </w:p>
    <w:p w14:paraId="1F701268" w14:textId="77777777" w:rsidR="00383D9E" w:rsidRDefault="00000000">
      <w:pPr>
        <w:spacing w:before="100" w:beforeAutospacing="1" w:after="100" w:afterAutospacing="1"/>
        <w:rPr>
          <w:rFonts w:cs="Arial"/>
        </w:rPr>
      </w:pPr>
      <w:r>
        <w:rPr>
          <w:rFonts w:cs="Arial"/>
          <w:b/>
          <w:bCs/>
          <w:i/>
          <w:iCs/>
        </w:rPr>
        <w:t>Non-maleficence</w:t>
      </w:r>
      <w:r>
        <w:rPr>
          <w:rFonts w:cs="Arial"/>
        </w:rPr>
        <w:t>: It points to the obligation of the physician not to harm the patients, which supports the moral rules of not causing harm, pain and suffering to the users for the good of life (</w:t>
      </w:r>
      <w:proofErr w:type="spellStart"/>
      <w:r>
        <w:rPr>
          <w:rFonts w:cs="Arial"/>
        </w:rPr>
        <w:t>Varkey</w:t>
      </w:r>
      <w:proofErr w:type="spellEnd"/>
      <w:r>
        <w:rPr>
          <w:rFonts w:cs="Arial"/>
        </w:rPr>
        <w:t>, 2021).</w:t>
      </w:r>
    </w:p>
    <w:p w14:paraId="297EE996" w14:textId="77777777" w:rsidR="00383D9E" w:rsidRDefault="00000000">
      <w:pPr>
        <w:spacing w:before="100" w:beforeAutospacing="1" w:after="100" w:afterAutospacing="1"/>
        <w:rPr>
          <w:rFonts w:cs="Arial"/>
        </w:rPr>
      </w:pPr>
      <w:r>
        <w:rPr>
          <w:rFonts w:cs="Arial"/>
          <w:b/>
          <w:bCs/>
          <w:i/>
          <w:iCs/>
        </w:rPr>
        <w:t xml:space="preserve">Autonomy: </w:t>
      </w:r>
      <w:r>
        <w:rPr>
          <w:rFonts w:cs="Arial"/>
        </w:rPr>
        <w:t>It regards every user as persons do have intrinsic and unconditional worth, which allows for making rational decisions and moral choices. Therefore, with autonomy, the ethical foundation states that every user should be allowed to exercise their own capacity for self-determination.</w:t>
      </w:r>
    </w:p>
    <w:p w14:paraId="04D3F61D" w14:textId="77777777" w:rsidR="00383D9E" w:rsidRDefault="00000000">
      <w:pPr>
        <w:spacing w:before="100" w:beforeAutospacing="1" w:after="100" w:afterAutospacing="1"/>
        <w:rPr>
          <w:rFonts w:cs="Arial"/>
        </w:rPr>
      </w:pPr>
      <w:r>
        <w:rPr>
          <w:rFonts w:cs="Arial"/>
        </w:rPr>
        <w:t xml:space="preserve">Therefore, the ethical foundations guide the individuals in offering better care services to the users and enhance their own performances aligned with ethics and justified approaches. </w:t>
      </w:r>
    </w:p>
    <w:p w14:paraId="5295691C" w14:textId="77777777" w:rsidR="00383D9E" w:rsidRDefault="00000000">
      <w:pPr>
        <w:pStyle w:val="Heading1"/>
        <w:spacing w:before="100" w:beforeAutospacing="1" w:after="100" w:afterAutospacing="1"/>
        <w:rPr>
          <w:rFonts w:cs="Arial"/>
          <w:szCs w:val="22"/>
          <w:lang w:val="en-GB"/>
        </w:rPr>
      </w:pPr>
      <w:bookmarkStart w:id="4" w:name="_Toc222598288"/>
      <w:r>
        <w:rPr>
          <w:rFonts w:cs="Arial"/>
          <w:szCs w:val="22"/>
          <w:lang w:val="en-GB"/>
        </w:rPr>
        <w:t>An evaluation of partnership working in health and social care</w:t>
      </w:r>
      <w:bookmarkEnd w:id="4"/>
    </w:p>
    <w:p w14:paraId="48EE4850" w14:textId="77777777" w:rsidR="00383D9E" w:rsidRDefault="00000000">
      <w:pPr>
        <w:spacing w:before="100" w:beforeAutospacing="1" w:after="100" w:afterAutospacing="1"/>
        <w:rPr>
          <w:rFonts w:cs="Arial"/>
        </w:rPr>
      </w:pPr>
      <w:r>
        <w:rPr>
          <w:rFonts w:cs="Arial"/>
        </w:rPr>
        <w:t xml:space="preserve">In the health and social care setting, partnerships act as the key figure in uplifting the services and catering to the needs of the users. For example, NHS partners with the local authorities in the UK for offering a joined services to the users and gain shared outcomes for the users. PCC additionally involves the concept of partnership, where family members, the users requiring care, are integrated for planning care and having an informed decision-making process (Moore </w:t>
      </w:r>
      <w:r>
        <w:rPr>
          <w:rFonts w:cs="Arial"/>
          <w:i/>
          <w:iCs/>
        </w:rPr>
        <w:t>et al.,</w:t>
      </w:r>
      <w:r>
        <w:rPr>
          <w:rFonts w:cs="Arial"/>
        </w:rPr>
        <w:t xml:space="preserve"> 2021). This study, with the use of interviews, reveals that inclusion in curricula does help professionals to foster partnerships and enhance the treatment of users with wider knowledge and treatment. O’Rourke </w:t>
      </w:r>
      <w:r>
        <w:rPr>
          <w:rFonts w:cs="Arial"/>
          <w:i/>
          <w:iCs/>
        </w:rPr>
        <w:t>et al</w:t>
      </w:r>
      <w:r>
        <w:rPr>
          <w:rFonts w:cs="Arial"/>
        </w:rPr>
        <w:t xml:space="preserve">. (2021) conducted research which finds that, according to the Care Act 2014, legislation lays down involvement of the authorities, and even family members do fall under the legal domain to provide better services to the users. Performances of healthcare providers improve with the increased partnership and collaboration with various agents, third-party involvement and family members as well. It enhances the decision-making process to be rational and effective, too. Therefore, partnership promotes care and services to be uplifted, which again helps in aligning with ethical practices. </w:t>
      </w:r>
    </w:p>
    <w:p w14:paraId="7859098A" w14:textId="77777777" w:rsidR="00383D9E" w:rsidRDefault="00000000">
      <w:pPr>
        <w:pStyle w:val="Heading1"/>
        <w:spacing w:before="100" w:beforeAutospacing="1" w:after="100" w:afterAutospacing="1"/>
        <w:rPr>
          <w:rFonts w:cs="Arial"/>
          <w:szCs w:val="22"/>
          <w:lang w:val="en-GB"/>
        </w:rPr>
      </w:pPr>
      <w:bookmarkStart w:id="5" w:name="_Toc222598289"/>
      <w:r>
        <w:rPr>
          <w:rFonts w:cs="Arial"/>
          <w:szCs w:val="22"/>
          <w:lang w:val="en-GB"/>
        </w:rPr>
        <w:t>The application of partnership working in a practical health and social care setting</w:t>
      </w:r>
      <w:bookmarkEnd w:id="5"/>
    </w:p>
    <w:p w14:paraId="0ACFE33B" w14:textId="77777777" w:rsidR="00383D9E" w:rsidRDefault="00000000">
      <w:pPr>
        <w:spacing w:before="100" w:beforeAutospacing="1" w:after="100" w:afterAutospacing="1"/>
        <w:rPr>
          <w:rFonts w:cs="Arial"/>
        </w:rPr>
      </w:pPr>
      <w:r>
        <w:rPr>
          <w:rFonts w:cs="Arial"/>
        </w:rPr>
        <w:t xml:space="preserve">In practical health and social care settings, collaboration serves as a pivotal tool in offering advanced and good performances in the treatment of service users. </w:t>
      </w:r>
      <w:proofErr w:type="spellStart"/>
      <w:r>
        <w:rPr>
          <w:rFonts w:cs="Arial"/>
        </w:rPr>
        <w:t>Bethlem</w:t>
      </w:r>
      <w:proofErr w:type="spellEnd"/>
      <w:r>
        <w:rPr>
          <w:rFonts w:cs="Arial"/>
        </w:rPr>
        <w:t xml:space="preserve"> Royal Hospital is known to be one of the organisations that occupies around 200 acres of the green space located in the London Borough of Bromley, South East London (NHS, </w:t>
      </w:r>
      <w:proofErr w:type="spellStart"/>
      <w:r>
        <w:rPr>
          <w:rFonts w:cs="Arial"/>
        </w:rPr>
        <w:t>n.d.a</w:t>
      </w:r>
      <w:proofErr w:type="spellEnd"/>
      <w:r>
        <w:rPr>
          <w:rFonts w:cs="Arial"/>
        </w:rPr>
        <w:t xml:space="preserve">.). For several specialist services, the organisation has today earned a good reputation and is helping to treat psychiatric needs like mental disorders or anxiety. In total, there are more than 240 services which are offered to the people residing in the local communities, and it has created its position as the UK's leading provider for the national and specialist services (NHS, </w:t>
      </w:r>
      <w:proofErr w:type="spellStart"/>
      <w:r>
        <w:rPr>
          <w:rFonts w:cs="Arial"/>
        </w:rPr>
        <w:t>n.d.b</w:t>
      </w:r>
      <w:proofErr w:type="spellEnd"/>
      <w:r>
        <w:rPr>
          <w:rFonts w:cs="Arial"/>
        </w:rPr>
        <w:t xml:space="preserve">.). However, alone it is not possible to cater to the diverse needs of the users or bring creativity for the patients as designed. With one of the third-party named The Great Outdoor Gym Company (TGO Gyms), </w:t>
      </w:r>
      <w:proofErr w:type="spellStart"/>
      <w:r>
        <w:rPr>
          <w:rFonts w:cs="Arial"/>
        </w:rPr>
        <w:t>Bethlem</w:t>
      </w:r>
      <w:proofErr w:type="spellEnd"/>
      <w:r>
        <w:rPr>
          <w:rFonts w:cs="Arial"/>
        </w:rPr>
        <w:t xml:space="preserve"> Royal Hospital has developed a partnership offering a connection of the mind and body through activities (TGO, 2020). These gym services are being used for managing emotions, bringing huge benefits to both their mental and physical health. The inclusion of the TGO Hand Bike or the Cross Trainer, this partnership enabled the users to carry on with cardiovascular activities that serve to be the key in dealing with heart disease. Alongside, another collaboration took place in 2026 that was planned near the </w:t>
      </w:r>
      <w:proofErr w:type="spellStart"/>
      <w:r>
        <w:rPr>
          <w:rFonts w:cs="Arial"/>
        </w:rPr>
        <w:t>Bethlem</w:t>
      </w:r>
      <w:proofErr w:type="spellEnd"/>
      <w:r>
        <w:rPr>
          <w:rFonts w:cs="Arial"/>
        </w:rPr>
        <w:t xml:space="preserve"> Royal Hospital, where the service would help people suffering from complex needs to live an independent life in the community. The partnership of </w:t>
      </w:r>
      <w:proofErr w:type="spellStart"/>
      <w:r>
        <w:rPr>
          <w:rFonts w:cs="Arial"/>
        </w:rPr>
        <w:t>Everyturn</w:t>
      </w:r>
      <w:proofErr w:type="spellEnd"/>
      <w:r>
        <w:rPr>
          <w:rFonts w:cs="Arial"/>
        </w:rPr>
        <w:t xml:space="preserve"> with </w:t>
      </w:r>
      <w:proofErr w:type="spellStart"/>
      <w:r>
        <w:rPr>
          <w:rFonts w:cs="Arial"/>
        </w:rPr>
        <w:t>Bethlem</w:t>
      </w:r>
      <w:proofErr w:type="spellEnd"/>
      <w:r>
        <w:rPr>
          <w:rFonts w:cs="Arial"/>
        </w:rPr>
        <w:t xml:space="preserve"> Royal Hospital was driven by the purpose of offering person-centred rehabilitation with the presence of the multidisciplinary clinical team, including local agencies and the local partners in London (</w:t>
      </w:r>
      <w:proofErr w:type="spellStart"/>
      <w:r>
        <w:rPr>
          <w:rFonts w:cs="Arial"/>
        </w:rPr>
        <w:t>Everyturn</w:t>
      </w:r>
      <w:proofErr w:type="spellEnd"/>
      <w:r>
        <w:rPr>
          <w:rFonts w:cs="Arial"/>
        </w:rPr>
        <w:t xml:space="preserve">, 2025). Therefore, effective participation and partnership are designed for offering high quality services and meet the requirements of PCC. </w:t>
      </w:r>
    </w:p>
    <w:p w14:paraId="644CF7B8" w14:textId="77777777" w:rsidR="00383D9E" w:rsidRDefault="00000000">
      <w:pPr>
        <w:pStyle w:val="Heading1"/>
        <w:spacing w:before="100" w:beforeAutospacing="1" w:after="100" w:afterAutospacing="1"/>
        <w:rPr>
          <w:rFonts w:cs="Arial"/>
          <w:szCs w:val="22"/>
          <w:lang w:val="en-GB"/>
        </w:rPr>
      </w:pPr>
      <w:bookmarkStart w:id="6" w:name="_Toc222598290"/>
      <w:r>
        <w:rPr>
          <w:rFonts w:cs="Arial"/>
          <w:szCs w:val="22"/>
          <w:lang w:val="en-GB"/>
        </w:rPr>
        <w:t>A discussion of relevant policy and legislation in relation to PCC and PW</w:t>
      </w:r>
      <w:bookmarkEnd w:id="6"/>
      <w:r>
        <w:rPr>
          <w:rFonts w:cs="Arial"/>
          <w:szCs w:val="22"/>
          <w:lang w:val="en-GB"/>
        </w:rPr>
        <w:t xml:space="preserve"> </w:t>
      </w:r>
    </w:p>
    <w:p w14:paraId="77C82AE7" w14:textId="77777777" w:rsidR="00383D9E" w:rsidRDefault="00000000">
      <w:pPr>
        <w:spacing w:before="100" w:beforeAutospacing="1" w:after="100" w:afterAutospacing="1"/>
        <w:rPr>
          <w:rFonts w:cs="Arial"/>
        </w:rPr>
      </w:pPr>
      <w:r>
        <w:rPr>
          <w:rFonts w:cs="Arial"/>
          <w:b/>
          <w:bCs/>
          <w:i/>
          <w:iCs/>
        </w:rPr>
        <w:t>Care Act 2014</w:t>
      </w:r>
      <w:r>
        <w:rPr>
          <w:rFonts w:cs="Arial"/>
        </w:rPr>
        <w:t xml:space="preserve"> firstly serves as one of the key pieces of legislation designed to consider the well-being of the people and making it a mandate of involvement of the users. As studied by </w:t>
      </w:r>
      <w:proofErr w:type="spellStart"/>
      <w:r>
        <w:rPr>
          <w:rFonts w:cs="Arial"/>
        </w:rPr>
        <w:t>Leidner</w:t>
      </w:r>
      <w:proofErr w:type="spellEnd"/>
      <w:r>
        <w:rPr>
          <w:rFonts w:cs="Arial"/>
        </w:rPr>
        <w:t xml:space="preserve"> </w:t>
      </w:r>
      <w:r>
        <w:rPr>
          <w:rFonts w:cs="Arial"/>
          <w:i/>
          <w:iCs/>
        </w:rPr>
        <w:t>et al.</w:t>
      </w:r>
      <w:r>
        <w:rPr>
          <w:rFonts w:cs="Arial"/>
        </w:rPr>
        <w:t xml:space="preserve"> (2021), policies are designed for the transparency and well-being of the individuals to be protected at any cost. It is true that the healthcare system is complex and does require the involvement of various actors at different institutional levels, which is emphasised through the regulations and provisions. Through the development of the quality statement according to the Act 2014, it is ensured that people are kept at the centre of attention for their care and treatment choices. Partnership with the users is emphasised through this act, which helps the decision-making process to be informed and adds relevance in the provision of the services (Care Quality Commission, 2025). </w:t>
      </w:r>
      <w:r>
        <w:rPr>
          <w:rFonts w:cs="Arial"/>
          <w:b/>
          <w:bCs/>
          <w:i/>
          <w:iCs/>
        </w:rPr>
        <w:t>NHS England Guidance</w:t>
      </w:r>
      <w:r>
        <w:rPr>
          <w:rFonts w:cs="Arial"/>
        </w:rPr>
        <w:t xml:space="preserve">, in contrast, promotes the welfare of the patients and the participation of the public in crafting the services and designing them as preferred by the users. </w:t>
      </w:r>
      <w:r>
        <w:rPr>
          <w:rFonts w:cs="Arial"/>
          <w:b/>
          <w:bCs/>
          <w:i/>
          <w:iCs/>
        </w:rPr>
        <w:t>Mental Capacity Act 2005</w:t>
      </w:r>
      <w:r>
        <w:rPr>
          <w:rFonts w:cs="Arial"/>
        </w:rPr>
        <w:t xml:space="preserve"> further details and mandates that the capacity of the individual is to be taken into consideration and decisions involving their consent, preferences and needs are to be valued (SCIE, 2022). Hence, the acts and policies always pave the way for health care services to be rational, ethical and effective for the users, including the caregivers, too. </w:t>
      </w:r>
    </w:p>
    <w:p w14:paraId="5522D0AF" w14:textId="77777777" w:rsidR="00383D9E" w:rsidRDefault="00000000">
      <w:pPr>
        <w:pStyle w:val="Heading1"/>
        <w:spacing w:before="100" w:beforeAutospacing="1" w:after="100" w:afterAutospacing="1"/>
        <w:rPr>
          <w:rFonts w:cs="Arial"/>
          <w:szCs w:val="22"/>
          <w:lang w:val="en-GB"/>
        </w:rPr>
      </w:pPr>
      <w:bookmarkStart w:id="7" w:name="_Toc222598291"/>
      <w:r>
        <w:rPr>
          <w:rFonts w:cs="Arial"/>
          <w:szCs w:val="22"/>
          <w:lang w:val="en-GB"/>
        </w:rPr>
        <w:t>Recommendations for future development of PCC and partnership working in the UK</w:t>
      </w:r>
      <w:bookmarkEnd w:id="7"/>
      <w:r>
        <w:rPr>
          <w:rFonts w:cs="Arial"/>
          <w:szCs w:val="22"/>
          <w:lang w:val="en-GB"/>
        </w:rPr>
        <w:t xml:space="preserve"> </w:t>
      </w:r>
    </w:p>
    <w:p w14:paraId="33ACB1A7" w14:textId="77777777" w:rsidR="00383D9E" w:rsidRDefault="00000000">
      <w:pPr>
        <w:spacing w:before="100" w:beforeAutospacing="1" w:after="100" w:afterAutospacing="1"/>
        <w:rPr>
          <w:rFonts w:cs="Arial"/>
        </w:rPr>
      </w:pPr>
      <w:r>
        <w:rPr>
          <w:rFonts w:cs="Arial"/>
          <w:b/>
          <w:bCs/>
          <w:i/>
          <w:iCs/>
        </w:rPr>
        <w:t>Inclusion of Integrated Care Systems (ICS</w:t>
      </w:r>
      <w:r>
        <w:rPr>
          <w:rFonts w:cs="Arial"/>
        </w:rPr>
        <w:t xml:space="preserve">): It is evidenced that ICS has been implemented in offering better person-centred services to the users, yet there are loopholes. Here, the Police could be involved in a much better approach where they have the ability to exercise force across the area and take care of all custody suites through voluntary interviews in matters of PCC if needed (Home Office, </w:t>
      </w:r>
      <w:proofErr w:type="spellStart"/>
      <w:r>
        <w:rPr>
          <w:rFonts w:cs="Arial"/>
        </w:rPr>
        <w:t>n.d.</w:t>
      </w:r>
      <w:proofErr w:type="spellEnd"/>
      <w:r>
        <w:rPr>
          <w:rFonts w:cs="Arial"/>
        </w:rPr>
        <w:t xml:space="preserve">). This will help to collaborate with the Local Authority and offer PCCs to be best placed where adequate adult provision could be carried forward. </w:t>
      </w:r>
    </w:p>
    <w:p w14:paraId="0328129D" w14:textId="77777777" w:rsidR="00383D9E" w:rsidRDefault="00000000">
      <w:pPr>
        <w:spacing w:before="100" w:beforeAutospacing="1" w:after="100" w:afterAutospacing="1"/>
        <w:rPr>
          <w:rFonts w:cs="Arial"/>
        </w:rPr>
      </w:pPr>
      <w:r>
        <w:rPr>
          <w:rFonts w:cs="Arial"/>
          <w:b/>
          <w:bCs/>
          <w:i/>
          <w:iCs/>
        </w:rPr>
        <w:t>An additional partnership to be developed for the funding of the services</w:t>
      </w:r>
      <w:r>
        <w:rPr>
          <w:rFonts w:cs="Arial"/>
        </w:rPr>
        <w:t>: A partnership is also required for the funding of the services to be generated, which will build in effective infrastructure and resources to be developed (</w:t>
      </w:r>
      <w:r>
        <w:rPr>
          <w:rFonts w:cs="Arial"/>
          <w:lang w:val="en-IN"/>
        </w:rPr>
        <w:t xml:space="preserve">Ahmed </w:t>
      </w:r>
      <w:r>
        <w:rPr>
          <w:rFonts w:cs="Arial"/>
          <w:i/>
          <w:iCs/>
          <w:lang w:val="en-IN"/>
        </w:rPr>
        <w:t>et al</w:t>
      </w:r>
      <w:r>
        <w:rPr>
          <w:rFonts w:cs="Arial"/>
          <w:lang w:val="en-IN"/>
        </w:rPr>
        <w:t>., 2022</w:t>
      </w:r>
      <w:r>
        <w:rPr>
          <w:rFonts w:cs="Arial"/>
        </w:rPr>
        <w:t xml:space="preserve">). In the context of the funding, it can offer organisations to think better and consider how further resources can be strengthened, such as manpower hiring, sourcing of assets for utilising them in the services and enhancing the service quality. </w:t>
      </w:r>
    </w:p>
    <w:p w14:paraId="335EB454" w14:textId="77777777" w:rsidR="00383D9E" w:rsidRDefault="00000000">
      <w:pPr>
        <w:pStyle w:val="Heading1"/>
        <w:spacing w:before="100" w:beforeAutospacing="1" w:after="100" w:afterAutospacing="1"/>
        <w:rPr>
          <w:rFonts w:cs="Arial"/>
          <w:szCs w:val="22"/>
          <w:lang w:val="en-GB"/>
        </w:rPr>
      </w:pPr>
      <w:bookmarkStart w:id="8" w:name="_Toc222598292"/>
      <w:r>
        <w:rPr>
          <w:rFonts w:cs="Arial"/>
          <w:szCs w:val="22"/>
          <w:lang w:val="en-GB"/>
        </w:rPr>
        <w:t>Conclusion</w:t>
      </w:r>
      <w:bookmarkEnd w:id="8"/>
    </w:p>
    <w:p w14:paraId="5338C333" w14:textId="77777777" w:rsidR="00383D9E" w:rsidRDefault="00000000">
      <w:pPr>
        <w:spacing w:before="100" w:beforeAutospacing="1" w:after="100" w:afterAutospacing="1"/>
        <w:rPr>
          <w:rFonts w:cs="Arial"/>
        </w:rPr>
      </w:pPr>
      <w:r>
        <w:rPr>
          <w:rFonts w:cs="Arial"/>
        </w:rPr>
        <w:t xml:space="preserve">Person-Centred Care (PCC) is classified as one of the most demanded services, which helps in protecting the users and community with skilled professionals. However, the professionals alone cannot meet the demands of the service users; it requires partnership and collaboration with other agents that foster better services and the ability to meet the requirements. At the same time, PCCs are required to abide by the legislation, such as the Mental Capacity Act 2005 or the Care Act 2014, which sets out the guidelines for improved outcomes and ethical foundations to be followed. Thus, PCCs can cater to an integrated care system to be fostered in, and additional partnerships could be developed for increased effectiveness for the future. </w:t>
      </w:r>
    </w:p>
    <w:p w14:paraId="43A54D59" w14:textId="77777777" w:rsidR="00383D9E" w:rsidRDefault="00000000">
      <w:pPr>
        <w:pStyle w:val="Heading1"/>
        <w:spacing w:before="100" w:beforeAutospacing="1" w:after="100" w:afterAutospacing="1"/>
        <w:rPr>
          <w:rFonts w:cs="Arial"/>
          <w:szCs w:val="22"/>
          <w:lang w:val="en-GB"/>
        </w:rPr>
      </w:pPr>
      <w:bookmarkStart w:id="9" w:name="_Toc222598293"/>
      <w:r>
        <w:rPr>
          <w:rFonts w:cs="Arial"/>
          <w:szCs w:val="22"/>
          <w:lang w:val="en-GB"/>
        </w:rPr>
        <w:t>References</w:t>
      </w:r>
      <w:bookmarkEnd w:id="9"/>
    </w:p>
    <w:p w14:paraId="379536A9" w14:textId="77777777" w:rsidR="00383D9E" w:rsidRDefault="00000000">
      <w:pPr>
        <w:spacing w:before="100" w:beforeAutospacing="1" w:after="100" w:afterAutospacing="1"/>
        <w:jc w:val="left"/>
        <w:rPr>
          <w:rFonts w:cs="Arial"/>
          <w:lang w:val="en-IN"/>
        </w:rPr>
      </w:pPr>
      <w:r>
        <w:rPr>
          <w:rFonts w:cs="Arial"/>
          <w:lang w:val="en-IN"/>
        </w:rPr>
        <w:t xml:space="preserve">Ahmed, A., van den </w:t>
      </w:r>
      <w:proofErr w:type="spellStart"/>
      <w:r>
        <w:rPr>
          <w:rFonts w:cs="Arial"/>
          <w:lang w:val="en-IN"/>
        </w:rPr>
        <w:t>Muijsenbergh</w:t>
      </w:r>
      <w:proofErr w:type="spellEnd"/>
      <w:r>
        <w:rPr>
          <w:rFonts w:cs="Arial"/>
          <w:lang w:val="en-IN"/>
        </w:rPr>
        <w:t xml:space="preserve">, M.E. and </w:t>
      </w:r>
      <w:proofErr w:type="spellStart"/>
      <w:r>
        <w:rPr>
          <w:rFonts w:cs="Arial"/>
          <w:lang w:val="en-IN"/>
        </w:rPr>
        <w:t>Vrijhoef</w:t>
      </w:r>
      <w:proofErr w:type="spellEnd"/>
      <w:r>
        <w:rPr>
          <w:rFonts w:cs="Arial"/>
          <w:lang w:val="en-IN"/>
        </w:rPr>
        <w:t>, H.J. (2022) ‘Person</w:t>
      </w:r>
      <w:r>
        <w:rPr>
          <w:rFonts w:ascii="Cambria Math" w:hAnsi="Cambria Math" w:cs="Cambria Math"/>
          <w:lang w:val="en-IN"/>
        </w:rPr>
        <w:t>‐</w:t>
      </w:r>
      <w:r>
        <w:rPr>
          <w:rFonts w:cs="Arial"/>
          <w:lang w:val="en-IN"/>
        </w:rPr>
        <w:t xml:space="preserve">centred care in primary care: what works for whom, how and in what circumstances?’. Health &amp; social care in the community, 30(6), </w:t>
      </w:r>
      <w:proofErr w:type="spellStart"/>
      <w:r>
        <w:rPr>
          <w:rFonts w:cs="Arial"/>
          <w:lang w:val="en-IN"/>
        </w:rPr>
        <w:t>pp.e</w:t>
      </w:r>
      <w:proofErr w:type="spellEnd"/>
      <w:r>
        <w:rPr>
          <w:rFonts w:cs="Arial"/>
          <w:lang w:val="en-IN"/>
        </w:rPr>
        <w:t xml:space="preserve"> 3328-e3341.</w:t>
      </w:r>
    </w:p>
    <w:p w14:paraId="725EB760" w14:textId="77777777" w:rsidR="00383D9E" w:rsidRDefault="00000000">
      <w:pPr>
        <w:spacing w:before="100" w:beforeAutospacing="1" w:after="100" w:afterAutospacing="1"/>
        <w:jc w:val="left"/>
        <w:rPr>
          <w:rFonts w:cs="Arial"/>
          <w:lang w:val="en-IN"/>
        </w:rPr>
      </w:pPr>
      <w:r>
        <w:rPr>
          <w:rFonts w:cs="Arial"/>
          <w:lang w:val="en-IN"/>
        </w:rPr>
        <w:t xml:space="preserve">Care Quality Commission. (2025) </w:t>
      </w:r>
      <w:r>
        <w:rPr>
          <w:rFonts w:cs="Arial"/>
          <w:i/>
          <w:iCs/>
          <w:lang w:val="en-IN"/>
        </w:rPr>
        <w:t>Regulations for service providers and managers</w:t>
      </w:r>
      <w:r>
        <w:rPr>
          <w:rFonts w:cs="Arial"/>
          <w:lang w:val="en-IN"/>
        </w:rPr>
        <w:t> (no date) </w:t>
      </w:r>
      <w:r>
        <w:rPr>
          <w:rFonts w:cs="Arial"/>
          <w:i/>
          <w:iCs/>
          <w:lang w:val="en-IN"/>
        </w:rPr>
        <w:t>Regulation 9: Person-centred care</w:t>
      </w:r>
      <w:r>
        <w:rPr>
          <w:rFonts w:cs="Arial"/>
          <w:lang w:val="en-IN"/>
        </w:rPr>
        <w:t xml:space="preserve">. Available at: </w:t>
      </w:r>
      <w:hyperlink r:id="rId13" w:history="1">
        <w:r>
          <w:rPr>
            <w:rStyle w:val="Hyperlink"/>
            <w:rFonts w:cs="Arial"/>
            <w:lang w:val="en-IN"/>
          </w:rPr>
          <w:t>https://www.cqc.org.uk/guidance-regulation/providers/regulations-service-providers-and-managers/health-social-care-act/regulation-9</w:t>
        </w:r>
      </w:hyperlink>
      <w:r>
        <w:rPr>
          <w:rFonts w:cs="Arial"/>
          <w:lang w:val="en-IN"/>
        </w:rPr>
        <w:t xml:space="preserve"> (Accessed: 19 February 2026).</w:t>
      </w:r>
    </w:p>
    <w:p w14:paraId="36ADD0BE" w14:textId="77777777" w:rsidR="00383D9E" w:rsidRDefault="00000000">
      <w:pPr>
        <w:spacing w:before="100" w:beforeAutospacing="1" w:after="100" w:afterAutospacing="1"/>
        <w:jc w:val="left"/>
        <w:rPr>
          <w:rFonts w:cs="Arial"/>
          <w:lang w:val="en-IN"/>
        </w:rPr>
      </w:pPr>
      <w:proofErr w:type="spellStart"/>
      <w:r>
        <w:rPr>
          <w:rFonts w:cs="Arial"/>
          <w:lang w:val="en-IN"/>
        </w:rPr>
        <w:t>Everyturn</w:t>
      </w:r>
      <w:proofErr w:type="spellEnd"/>
      <w:r>
        <w:rPr>
          <w:rFonts w:cs="Arial"/>
          <w:lang w:val="en-IN"/>
        </w:rPr>
        <w:t>. (2025) </w:t>
      </w:r>
      <w:proofErr w:type="spellStart"/>
      <w:r>
        <w:rPr>
          <w:rFonts w:cs="Arial"/>
          <w:i/>
          <w:iCs/>
          <w:lang w:val="en-IN"/>
        </w:rPr>
        <w:t>Everyturn</w:t>
      </w:r>
      <w:proofErr w:type="spellEnd"/>
      <w:r>
        <w:rPr>
          <w:rFonts w:cs="Arial"/>
          <w:i/>
          <w:iCs/>
          <w:lang w:val="en-IN"/>
        </w:rPr>
        <w:t xml:space="preserve"> appointed to provide new community rehabilitation service for south London</w:t>
      </w:r>
      <w:r>
        <w:rPr>
          <w:rFonts w:cs="Arial"/>
          <w:lang w:val="en-IN"/>
        </w:rPr>
        <w:t xml:space="preserve">. Available at: </w:t>
      </w:r>
      <w:hyperlink r:id="rId14" w:history="1">
        <w:r>
          <w:rPr>
            <w:rStyle w:val="Hyperlink"/>
            <w:rFonts w:cs="Arial"/>
            <w:lang w:val="en-IN"/>
          </w:rPr>
          <w:t>https://www.everyturn.org/latest-news/community-care/everyturn-appointed-to-provide-new-community-rehabilitation-service-for-south-london/</w:t>
        </w:r>
      </w:hyperlink>
      <w:r>
        <w:rPr>
          <w:rFonts w:cs="Arial"/>
          <w:lang w:val="en-IN"/>
        </w:rPr>
        <w:t xml:space="preserve"> (Accessed: 21 February 2026).</w:t>
      </w:r>
    </w:p>
    <w:p w14:paraId="452DCE08" w14:textId="77777777" w:rsidR="00383D9E" w:rsidRDefault="00000000">
      <w:pPr>
        <w:spacing w:before="100" w:beforeAutospacing="1" w:after="100" w:afterAutospacing="1"/>
        <w:jc w:val="left"/>
        <w:rPr>
          <w:rFonts w:cs="Arial"/>
          <w:i/>
          <w:iCs/>
          <w:lang w:val="en-IN"/>
        </w:rPr>
      </w:pPr>
      <w:r>
        <w:rPr>
          <w:rFonts w:cs="Arial"/>
          <w:lang w:val="en-IN"/>
        </w:rPr>
        <w:t>Home Office. (</w:t>
      </w:r>
      <w:proofErr w:type="spellStart"/>
      <w:r>
        <w:rPr>
          <w:rFonts w:cs="Arial"/>
          <w:lang w:val="en-IN"/>
        </w:rPr>
        <w:t>n.d.</w:t>
      </w:r>
      <w:proofErr w:type="spellEnd"/>
      <w:r>
        <w:rPr>
          <w:rFonts w:cs="Arial"/>
          <w:lang w:val="en-IN"/>
        </w:rPr>
        <w:t xml:space="preserve">) </w:t>
      </w:r>
      <w:r>
        <w:rPr>
          <w:rFonts w:cs="Arial"/>
          <w:i/>
          <w:iCs/>
          <w:lang w:val="en-IN"/>
        </w:rPr>
        <w:t>Appropriate Adult PCC-Local Authority Partnership Agreement England</w:t>
      </w:r>
      <w:r>
        <w:rPr>
          <w:rFonts w:cs="Arial"/>
          <w:lang w:val="en-IN"/>
        </w:rPr>
        <w:t xml:space="preserve">. Available at: </w:t>
      </w:r>
      <w:hyperlink r:id="rId15" w:history="1">
        <w:r>
          <w:rPr>
            <w:rStyle w:val="Hyperlink"/>
            <w:rFonts w:cs="Arial"/>
            <w:lang w:val="en-IN"/>
          </w:rPr>
          <w:t>https://assets.publishing.service.gov.uk/media/5b5f1e1d40f0b6338b116e1c/6.4526_CPFG_Appropriate_Adult_Partnership_Programme_v8_web.pdf</w:t>
        </w:r>
      </w:hyperlink>
      <w:r>
        <w:rPr>
          <w:rFonts w:cs="Arial"/>
          <w:lang w:val="en-IN"/>
        </w:rPr>
        <w:t xml:space="preserve"> (Accessed: 21 February 2026).</w:t>
      </w:r>
    </w:p>
    <w:p w14:paraId="0945EDEA" w14:textId="77777777" w:rsidR="00383D9E" w:rsidRDefault="00000000">
      <w:pPr>
        <w:spacing w:before="100" w:beforeAutospacing="1" w:after="100" w:afterAutospacing="1"/>
        <w:jc w:val="left"/>
        <w:rPr>
          <w:rFonts w:cs="Arial"/>
        </w:rPr>
      </w:pPr>
      <w:proofErr w:type="spellStart"/>
      <w:r>
        <w:rPr>
          <w:rFonts w:cs="Arial"/>
        </w:rPr>
        <w:t>Leidner</w:t>
      </w:r>
      <w:proofErr w:type="spellEnd"/>
      <w:r>
        <w:rPr>
          <w:rFonts w:cs="Arial"/>
        </w:rPr>
        <w:t xml:space="preserve">, C., </w:t>
      </w:r>
      <w:proofErr w:type="spellStart"/>
      <w:r>
        <w:rPr>
          <w:rFonts w:cs="Arial"/>
        </w:rPr>
        <w:t>Vennedey</w:t>
      </w:r>
      <w:proofErr w:type="spellEnd"/>
      <w:r>
        <w:rPr>
          <w:rFonts w:cs="Arial"/>
        </w:rPr>
        <w:t xml:space="preserve">, V., </w:t>
      </w:r>
      <w:proofErr w:type="spellStart"/>
      <w:r>
        <w:rPr>
          <w:rFonts w:cs="Arial"/>
        </w:rPr>
        <w:t>Hillen</w:t>
      </w:r>
      <w:proofErr w:type="spellEnd"/>
      <w:r>
        <w:rPr>
          <w:rFonts w:cs="Arial"/>
        </w:rPr>
        <w:t xml:space="preserve">, H., </w:t>
      </w:r>
      <w:proofErr w:type="spellStart"/>
      <w:r>
        <w:rPr>
          <w:rFonts w:cs="Arial"/>
        </w:rPr>
        <w:t>Ansmann</w:t>
      </w:r>
      <w:proofErr w:type="spellEnd"/>
      <w:r>
        <w:rPr>
          <w:rFonts w:cs="Arial"/>
        </w:rPr>
        <w:t xml:space="preserve">, L., Stock, S., Kuntz, L., Pfaff, H. and </w:t>
      </w:r>
      <w:proofErr w:type="spellStart"/>
      <w:r>
        <w:rPr>
          <w:rFonts w:cs="Arial"/>
        </w:rPr>
        <w:t>Hower</w:t>
      </w:r>
      <w:proofErr w:type="spellEnd"/>
      <w:r>
        <w:rPr>
          <w:rFonts w:cs="Arial"/>
        </w:rPr>
        <w:t xml:space="preserve">, K.I. (2021) ‘Implementation of patient-centred care: which system-level determinants matter from a decision maker’s perspective? Results from a qualitative interview study across various health and social care </w:t>
      </w:r>
      <w:proofErr w:type="gramStart"/>
      <w:r>
        <w:rPr>
          <w:rFonts w:cs="Arial"/>
        </w:rPr>
        <w:t>organisations’</w:t>
      </w:r>
      <w:proofErr w:type="gramEnd"/>
      <w:r>
        <w:rPr>
          <w:rFonts w:cs="Arial"/>
        </w:rPr>
        <w:t>. </w:t>
      </w:r>
      <w:proofErr w:type="spellStart"/>
      <w:r>
        <w:rPr>
          <w:rFonts w:cs="Arial"/>
          <w:i/>
          <w:iCs/>
        </w:rPr>
        <w:t>Bmj</w:t>
      </w:r>
      <w:proofErr w:type="spellEnd"/>
      <w:r>
        <w:rPr>
          <w:rFonts w:cs="Arial"/>
          <w:i/>
          <w:iCs/>
        </w:rPr>
        <w:t xml:space="preserve"> Open</w:t>
      </w:r>
      <w:r>
        <w:rPr>
          <w:rFonts w:cs="Arial"/>
        </w:rPr>
        <w:t xml:space="preserve">, 11(9), </w:t>
      </w:r>
      <w:proofErr w:type="spellStart"/>
      <w:r>
        <w:rPr>
          <w:rFonts w:cs="Arial"/>
        </w:rPr>
        <w:t>p.e</w:t>
      </w:r>
      <w:proofErr w:type="spellEnd"/>
      <w:r>
        <w:rPr>
          <w:rFonts w:cs="Arial"/>
        </w:rPr>
        <w:t xml:space="preserve"> 050054.</w:t>
      </w:r>
    </w:p>
    <w:p w14:paraId="5AC4D7CA" w14:textId="77777777" w:rsidR="00383D9E" w:rsidRDefault="00000000">
      <w:pPr>
        <w:spacing w:before="100" w:beforeAutospacing="1" w:after="100" w:afterAutospacing="1"/>
        <w:jc w:val="left"/>
        <w:rPr>
          <w:rFonts w:cs="Arial"/>
        </w:rPr>
      </w:pPr>
      <w:proofErr w:type="spellStart"/>
      <w:r>
        <w:rPr>
          <w:rFonts w:cs="Arial"/>
        </w:rPr>
        <w:t>McCance</w:t>
      </w:r>
      <w:proofErr w:type="spellEnd"/>
      <w:r>
        <w:rPr>
          <w:rFonts w:cs="Arial"/>
        </w:rPr>
        <w:t>, T. and McCormack, B. (2025) ‘The Person-centred Nursing Framework: a mid-range theory for nursing practice’. </w:t>
      </w:r>
      <w:r>
        <w:rPr>
          <w:rFonts w:cs="Arial"/>
          <w:i/>
          <w:iCs/>
        </w:rPr>
        <w:t>Journal of Research in Nursing</w:t>
      </w:r>
      <w:r>
        <w:rPr>
          <w:rFonts w:cs="Arial"/>
        </w:rPr>
        <w:t>, 30(1), pp. 47-60.</w:t>
      </w:r>
    </w:p>
    <w:p w14:paraId="4C97398C" w14:textId="77777777" w:rsidR="00383D9E" w:rsidRDefault="00000000">
      <w:pPr>
        <w:spacing w:before="100" w:beforeAutospacing="1" w:after="100" w:afterAutospacing="1"/>
        <w:jc w:val="left"/>
        <w:rPr>
          <w:rFonts w:cs="Arial"/>
        </w:rPr>
      </w:pPr>
      <w:r>
        <w:rPr>
          <w:rFonts w:cs="Arial"/>
        </w:rPr>
        <w:t>Moore, H.L., Farnworth, A., Watson, R., Giles, K., Tomson, D. and Thomson, R.G. (2021) ‘Inclusion of person-centred care in medical and nursing undergraduate curricula in the UK: interviews and documentary analysis’. </w:t>
      </w:r>
      <w:r>
        <w:rPr>
          <w:rFonts w:cs="Arial"/>
          <w:i/>
          <w:iCs/>
        </w:rPr>
        <w:t xml:space="preserve">Patient Education and </w:t>
      </w:r>
      <w:proofErr w:type="spellStart"/>
      <w:r>
        <w:rPr>
          <w:rFonts w:cs="Arial"/>
          <w:i/>
          <w:iCs/>
        </w:rPr>
        <w:t>Counseling</w:t>
      </w:r>
      <w:proofErr w:type="spellEnd"/>
      <w:r>
        <w:rPr>
          <w:rFonts w:cs="Arial"/>
        </w:rPr>
        <w:t>, 104(4), pp .877-886.</w:t>
      </w:r>
    </w:p>
    <w:p w14:paraId="60878F8B" w14:textId="77777777" w:rsidR="00383D9E" w:rsidRDefault="00000000">
      <w:pPr>
        <w:spacing w:before="100" w:beforeAutospacing="1" w:after="100" w:afterAutospacing="1"/>
        <w:jc w:val="left"/>
        <w:rPr>
          <w:rFonts w:cs="Arial"/>
        </w:rPr>
      </w:pPr>
      <w:r>
        <w:rPr>
          <w:rFonts w:cs="Arial"/>
        </w:rPr>
        <w:t>Moore, H.L., Watson, R., Farnworth, A., Giles, K., Tomson, D. and Thomson, R.G. (2023) ‘Inclusion of person-centred care in UK postgraduate medical education curricula: Interviews and documentary analysis’. </w:t>
      </w:r>
      <w:r>
        <w:rPr>
          <w:rFonts w:cs="Arial"/>
          <w:i/>
          <w:iCs/>
        </w:rPr>
        <w:t>BMC Medical Education</w:t>
      </w:r>
      <w:r>
        <w:rPr>
          <w:rFonts w:cs="Arial"/>
        </w:rPr>
        <w:t>, 23(1), p. 757.</w:t>
      </w:r>
    </w:p>
    <w:p w14:paraId="4B9A9F9D" w14:textId="77777777" w:rsidR="00383D9E" w:rsidRDefault="00000000">
      <w:pPr>
        <w:spacing w:before="100" w:beforeAutospacing="1" w:after="100" w:afterAutospacing="1"/>
        <w:jc w:val="left"/>
        <w:rPr>
          <w:rFonts w:cs="Arial"/>
          <w:lang w:val="en-IN"/>
        </w:rPr>
      </w:pPr>
      <w:r>
        <w:rPr>
          <w:rFonts w:cs="Arial"/>
          <w:lang w:val="en-IN"/>
        </w:rPr>
        <w:t>NHS England. (</w:t>
      </w:r>
      <w:proofErr w:type="spellStart"/>
      <w:r>
        <w:rPr>
          <w:rFonts w:cs="Arial"/>
          <w:lang w:val="en-IN"/>
        </w:rPr>
        <w:t>n.d.</w:t>
      </w:r>
      <w:proofErr w:type="spellEnd"/>
      <w:r>
        <w:rPr>
          <w:rFonts w:cs="Arial"/>
          <w:lang w:val="en-IN"/>
        </w:rPr>
        <w:t>) </w:t>
      </w:r>
      <w:r>
        <w:rPr>
          <w:rFonts w:cs="Arial"/>
          <w:i/>
          <w:iCs/>
          <w:lang w:val="en-IN"/>
        </w:rPr>
        <w:t>NHS Choices</w:t>
      </w:r>
      <w:r>
        <w:rPr>
          <w:rFonts w:cs="Arial"/>
          <w:lang w:val="en-IN"/>
        </w:rPr>
        <w:t xml:space="preserve">. Available at: </w:t>
      </w:r>
      <w:hyperlink r:id="rId16" w:history="1">
        <w:r>
          <w:rPr>
            <w:rStyle w:val="Hyperlink"/>
            <w:rFonts w:cs="Arial"/>
            <w:lang w:val="en-IN"/>
          </w:rPr>
          <w:t>https://www.hee.nhs.uk/our-work/person-centred-care</w:t>
        </w:r>
      </w:hyperlink>
      <w:r>
        <w:rPr>
          <w:rFonts w:cs="Arial"/>
          <w:lang w:val="en-IN"/>
        </w:rPr>
        <w:t xml:space="preserve"> (Accessed: 20 February 2026).</w:t>
      </w:r>
    </w:p>
    <w:p w14:paraId="05EA14E4" w14:textId="77777777" w:rsidR="00383D9E" w:rsidRDefault="00000000">
      <w:pPr>
        <w:spacing w:before="100" w:beforeAutospacing="1" w:after="100" w:afterAutospacing="1"/>
        <w:jc w:val="left"/>
        <w:rPr>
          <w:rFonts w:cs="Arial"/>
          <w:lang w:val="en-IN"/>
        </w:rPr>
      </w:pPr>
      <w:r>
        <w:rPr>
          <w:rFonts w:cs="Arial"/>
          <w:lang w:val="en-IN"/>
        </w:rPr>
        <w:t>NHS. (</w:t>
      </w:r>
      <w:proofErr w:type="spellStart"/>
      <w:r>
        <w:rPr>
          <w:rFonts w:cs="Arial"/>
          <w:lang w:val="en-IN"/>
        </w:rPr>
        <w:t>n.d.a</w:t>
      </w:r>
      <w:proofErr w:type="spellEnd"/>
      <w:r>
        <w:rPr>
          <w:rFonts w:cs="Arial"/>
          <w:lang w:val="en-IN"/>
        </w:rPr>
        <w:t>.) </w:t>
      </w:r>
      <w:proofErr w:type="spellStart"/>
      <w:r>
        <w:rPr>
          <w:rFonts w:cs="Arial"/>
          <w:i/>
          <w:iCs/>
          <w:lang w:val="en-IN"/>
        </w:rPr>
        <w:t>Bethlem</w:t>
      </w:r>
      <w:proofErr w:type="spellEnd"/>
      <w:r>
        <w:rPr>
          <w:rFonts w:cs="Arial"/>
          <w:i/>
          <w:iCs/>
          <w:lang w:val="en-IN"/>
        </w:rPr>
        <w:t xml:space="preserve"> Royal Hospital</w:t>
      </w:r>
      <w:r>
        <w:rPr>
          <w:rFonts w:cs="Arial"/>
          <w:lang w:val="en-IN"/>
        </w:rPr>
        <w:t xml:space="preserve">. Available at: </w:t>
      </w:r>
      <w:hyperlink r:id="rId17" w:history="1">
        <w:r>
          <w:rPr>
            <w:rStyle w:val="Hyperlink"/>
            <w:rFonts w:cs="Arial"/>
            <w:lang w:val="en-IN"/>
          </w:rPr>
          <w:t>https://slam.nhs.uk/bethlem-royal-hospital</w:t>
        </w:r>
      </w:hyperlink>
      <w:r>
        <w:rPr>
          <w:rFonts w:cs="Arial"/>
          <w:lang w:val="en-IN"/>
        </w:rPr>
        <w:t xml:space="preserve"> (Accessed: 21 February 2026).</w:t>
      </w:r>
    </w:p>
    <w:p w14:paraId="003033EB" w14:textId="77777777" w:rsidR="00383D9E" w:rsidRDefault="00000000">
      <w:pPr>
        <w:spacing w:before="100" w:beforeAutospacing="1" w:after="100" w:afterAutospacing="1"/>
        <w:jc w:val="left"/>
        <w:rPr>
          <w:rFonts w:cs="Arial"/>
          <w:lang w:val="en-IN"/>
        </w:rPr>
      </w:pPr>
      <w:r>
        <w:rPr>
          <w:rFonts w:cs="Arial"/>
          <w:lang w:val="en-IN"/>
        </w:rPr>
        <w:t>NHS. (</w:t>
      </w:r>
      <w:proofErr w:type="spellStart"/>
      <w:r>
        <w:rPr>
          <w:rFonts w:cs="Arial"/>
          <w:lang w:val="en-IN"/>
        </w:rPr>
        <w:t>n.d.b</w:t>
      </w:r>
      <w:proofErr w:type="spellEnd"/>
      <w:r>
        <w:rPr>
          <w:rFonts w:cs="Arial"/>
          <w:lang w:val="en-IN"/>
        </w:rPr>
        <w:t xml:space="preserve">.) </w:t>
      </w:r>
      <w:r>
        <w:rPr>
          <w:rFonts w:cs="Arial"/>
          <w:i/>
          <w:iCs/>
          <w:lang w:val="en-IN"/>
        </w:rPr>
        <w:t>View services A-Z or search by category</w:t>
      </w:r>
      <w:r>
        <w:rPr>
          <w:rFonts w:cs="Arial"/>
          <w:lang w:val="en-IN"/>
        </w:rPr>
        <w:t xml:space="preserve">. Available at: </w:t>
      </w:r>
      <w:hyperlink r:id="rId18" w:history="1">
        <w:r>
          <w:rPr>
            <w:rStyle w:val="Hyperlink"/>
            <w:rFonts w:cs="Arial"/>
            <w:lang w:val="en-IN"/>
          </w:rPr>
          <w:t>https://slam.nhs.uk/services?ser_search_text=Bethlem&amp;ser_search_location=&amp;ser_search_borough=&amp;ser_submit=&amp;ser_page_type=list</w:t>
        </w:r>
      </w:hyperlink>
      <w:r>
        <w:rPr>
          <w:rFonts w:cs="Arial"/>
          <w:lang w:val="en-IN"/>
        </w:rPr>
        <w:t xml:space="preserve"> (Accessed: 21 February 2026).</w:t>
      </w:r>
    </w:p>
    <w:p w14:paraId="54445D9E" w14:textId="77777777" w:rsidR="00383D9E" w:rsidRDefault="00000000">
      <w:pPr>
        <w:spacing w:before="100" w:beforeAutospacing="1" w:after="100" w:afterAutospacing="1"/>
        <w:jc w:val="left"/>
        <w:rPr>
          <w:rFonts w:cs="Arial"/>
        </w:rPr>
      </w:pPr>
      <w:r>
        <w:rPr>
          <w:rFonts w:cs="Arial"/>
        </w:rPr>
        <w:t xml:space="preserve">O’Rourke, G., Lloyd, L., </w:t>
      </w:r>
      <w:proofErr w:type="spellStart"/>
      <w:r>
        <w:rPr>
          <w:rFonts w:cs="Arial"/>
        </w:rPr>
        <w:t>Bezzina</w:t>
      </w:r>
      <w:proofErr w:type="spellEnd"/>
      <w:r>
        <w:rPr>
          <w:rFonts w:cs="Arial"/>
        </w:rPr>
        <w:t xml:space="preserve">, A., Cameron, A., </w:t>
      </w:r>
      <w:proofErr w:type="spellStart"/>
      <w:r>
        <w:rPr>
          <w:rFonts w:cs="Arial"/>
        </w:rPr>
        <w:t>Jessiman</w:t>
      </w:r>
      <w:proofErr w:type="spellEnd"/>
      <w:r>
        <w:rPr>
          <w:rFonts w:cs="Arial"/>
        </w:rPr>
        <w:t>, T. and Smith, R. (2021) ‘Supporting older co-resident carers of older people–the impact of care act implementation in four local authorities in England’. </w:t>
      </w:r>
      <w:r>
        <w:rPr>
          <w:rFonts w:cs="Arial"/>
          <w:i/>
          <w:iCs/>
        </w:rPr>
        <w:t>Social Policy and Society</w:t>
      </w:r>
      <w:r>
        <w:rPr>
          <w:rFonts w:cs="Arial"/>
        </w:rPr>
        <w:t>, 20(3), pp. 371-384.</w:t>
      </w:r>
    </w:p>
    <w:p w14:paraId="5DC8466C" w14:textId="77777777" w:rsidR="00383D9E" w:rsidRDefault="00000000">
      <w:pPr>
        <w:spacing w:before="100" w:beforeAutospacing="1" w:after="100" w:afterAutospacing="1"/>
        <w:jc w:val="left"/>
        <w:rPr>
          <w:rFonts w:cs="Arial"/>
        </w:rPr>
      </w:pPr>
      <w:proofErr w:type="spellStart"/>
      <w:r>
        <w:rPr>
          <w:rFonts w:cs="Arial"/>
        </w:rPr>
        <w:t>Radbron</w:t>
      </w:r>
      <w:proofErr w:type="spellEnd"/>
      <w:r>
        <w:rPr>
          <w:rFonts w:cs="Arial"/>
        </w:rPr>
        <w:t xml:space="preserve">, E., Wilson, V., </w:t>
      </w:r>
      <w:proofErr w:type="spellStart"/>
      <w:r>
        <w:rPr>
          <w:rFonts w:cs="Arial"/>
        </w:rPr>
        <w:t>McCance</w:t>
      </w:r>
      <w:proofErr w:type="spellEnd"/>
      <w:r>
        <w:rPr>
          <w:rFonts w:cs="Arial"/>
        </w:rPr>
        <w:t>, T. and Middleton, R. (2022) ‘The experience of staff utilizing data to evaluate and improve person</w:t>
      </w:r>
      <w:r>
        <w:rPr>
          <w:rFonts w:ascii="Cambria Math" w:hAnsi="Cambria Math" w:cs="Cambria Math"/>
        </w:rPr>
        <w:t>‐</w:t>
      </w:r>
      <w:r>
        <w:rPr>
          <w:rFonts w:cs="Arial"/>
        </w:rPr>
        <w:t>centred practice: An action research study’. </w:t>
      </w:r>
      <w:r>
        <w:rPr>
          <w:rFonts w:cs="Arial"/>
          <w:i/>
          <w:iCs/>
        </w:rPr>
        <w:t>Journal of Advanced Nursing, 78(10),</w:t>
      </w:r>
      <w:r>
        <w:rPr>
          <w:rFonts w:cs="Arial"/>
        </w:rPr>
        <w:t xml:space="preserve"> pp. 3457-3469</w:t>
      </w:r>
    </w:p>
    <w:p w14:paraId="67428528" w14:textId="77777777" w:rsidR="00383D9E" w:rsidRDefault="00000000">
      <w:pPr>
        <w:spacing w:before="100" w:beforeAutospacing="1" w:after="100" w:afterAutospacing="1"/>
        <w:jc w:val="left"/>
        <w:rPr>
          <w:rFonts w:cs="Arial"/>
          <w:lang w:val="en-IN"/>
        </w:rPr>
      </w:pPr>
      <w:r>
        <w:rPr>
          <w:rFonts w:cs="Arial"/>
          <w:lang w:val="en-IN"/>
        </w:rPr>
        <w:t xml:space="preserve">SCIE. (2022) </w:t>
      </w:r>
      <w:r>
        <w:rPr>
          <w:rFonts w:cs="Arial"/>
          <w:i/>
          <w:iCs/>
          <w:lang w:val="en-IN"/>
        </w:rPr>
        <w:t>Mental Capacity Act 2005 at a glance</w:t>
      </w:r>
      <w:r>
        <w:rPr>
          <w:rFonts w:cs="Arial"/>
          <w:lang w:val="en-IN"/>
        </w:rPr>
        <w:t xml:space="preserve">. Available at: </w:t>
      </w:r>
      <w:hyperlink r:id="rId19" w:history="1">
        <w:r>
          <w:rPr>
            <w:rStyle w:val="Hyperlink"/>
            <w:rFonts w:cs="Arial"/>
            <w:lang w:val="en-IN"/>
          </w:rPr>
          <w:t>https://www.scie.org.uk/mca/introduction/mental-capacity-act-2005-at-a-glance/</w:t>
        </w:r>
      </w:hyperlink>
      <w:r>
        <w:rPr>
          <w:rFonts w:cs="Arial"/>
          <w:lang w:val="en-IN"/>
        </w:rPr>
        <w:t xml:space="preserve"> (Accessed: 19 February 2026).</w:t>
      </w:r>
    </w:p>
    <w:p w14:paraId="7DFB4D42" w14:textId="77777777" w:rsidR="00383D9E" w:rsidRDefault="00000000">
      <w:pPr>
        <w:spacing w:before="100" w:beforeAutospacing="1" w:after="100" w:afterAutospacing="1"/>
        <w:jc w:val="left"/>
        <w:rPr>
          <w:rFonts w:cs="Arial"/>
        </w:rPr>
      </w:pPr>
      <w:r>
        <w:rPr>
          <w:rFonts w:cs="Arial"/>
        </w:rPr>
        <w:t xml:space="preserve">Summer </w:t>
      </w:r>
      <w:proofErr w:type="spellStart"/>
      <w:r>
        <w:rPr>
          <w:rFonts w:cs="Arial"/>
        </w:rPr>
        <w:t>Meranius</w:t>
      </w:r>
      <w:proofErr w:type="spellEnd"/>
      <w:r>
        <w:rPr>
          <w:rFonts w:cs="Arial"/>
        </w:rPr>
        <w:t xml:space="preserve">, M., </w:t>
      </w:r>
      <w:proofErr w:type="spellStart"/>
      <w:r>
        <w:rPr>
          <w:rFonts w:cs="Arial"/>
        </w:rPr>
        <w:t>Holmström</w:t>
      </w:r>
      <w:proofErr w:type="spellEnd"/>
      <w:r>
        <w:rPr>
          <w:rFonts w:cs="Arial"/>
        </w:rPr>
        <w:t xml:space="preserve">, I.K., </w:t>
      </w:r>
      <w:proofErr w:type="spellStart"/>
      <w:r>
        <w:rPr>
          <w:rFonts w:cs="Arial"/>
        </w:rPr>
        <w:t>Håkansson</w:t>
      </w:r>
      <w:proofErr w:type="spellEnd"/>
      <w:r>
        <w:rPr>
          <w:rFonts w:cs="Arial"/>
        </w:rPr>
        <w:t xml:space="preserve">, J., </w:t>
      </w:r>
      <w:proofErr w:type="spellStart"/>
      <w:r>
        <w:rPr>
          <w:rFonts w:cs="Arial"/>
        </w:rPr>
        <w:t>Breitholtz</w:t>
      </w:r>
      <w:proofErr w:type="spellEnd"/>
      <w:r>
        <w:rPr>
          <w:rFonts w:cs="Arial"/>
        </w:rPr>
        <w:t xml:space="preserve">, A., </w:t>
      </w:r>
      <w:proofErr w:type="spellStart"/>
      <w:r>
        <w:rPr>
          <w:rFonts w:cs="Arial"/>
        </w:rPr>
        <w:t>Moniri</w:t>
      </w:r>
      <w:proofErr w:type="spellEnd"/>
      <w:r>
        <w:rPr>
          <w:rFonts w:cs="Arial"/>
        </w:rPr>
        <w:t xml:space="preserve">, F., </w:t>
      </w:r>
      <w:proofErr w:type="spellStart"/>
      <w:r>
        <w:rPr>
          <w:rFonts w:cs="Arial"/>
        </w:rPr>
        <w:t>Skogevall</w:t>
      </w:r>
      <w:proofErr w:type="spellEnd"/>
      <w:r>
        <w:rPr>
          <w:rFonts w:cs="Arial"/>
        </w:rPr>
        <w:t xml:space="preserve">, S., </w:t>
      </w:r>
      <w:proofErr w:type="spellStart"/>
      <w:r>
        <w:rPr>
          <w:rFonts w:cs="Arial"/>
        </w:rPr>
        <w:t>Skoglund</w:t>
      </w:r>
      <w:proofErr w:type="spellEnd"/>
      <w:r>
        <w:rPr>
          <w:rFonts w:cs="Arial"/>
        </w:rPr>
        <w:t xml:space="preserve">, K. and </w:t>
      </w:r>
      <w:proofErr w:type="spellStart"/>
      <w:r>
        <w:rPr>
          <w:rFonts w:cs="Arial"/>
        </w:rPr>
        <w:t>Rasoal</w:t>
      </w:r>
      <w:proofErr w:type="spellEnd"/>
      <w:r>
        <w:rPr>
          <w:rFonts w:cs="Arial"/>
        </w:rPr>
        <w:t>, D. (2020) ‘Paradoxes of person</w:t>
      </w:r>
      <w:r>
        <w:rPr>
          <w:rFonts w:ascii="Cambria Math" w:hAnsi="Cambria Math" w:cs="Cambria Math"/>
        </w:rPr>
        <w:t>‐</w:t>
      </w:r>
      <w:r>
        <w:rPr>
          <w:rFonts w:cs="Arial"/>
        </w:rPr>
        <w:t>centred care: A discussion paper’. </w:t>
      </w:r>
      <w:r>
        <w:rPr>
          <w:rFonts w:cs="Arial"/>
          <w:i/>
          <w:iCs/>
        </w:rPr>
        <w:t>Nursing open</w:t>
      </w:r>
      <w:r>
        <w:rPr>
          <w:rFonts w:cs="Arial"/>
        </w:rPr>
        <w:t>, 7(5), pp. 1321-1329.</w:t>
      </w:r>
    </w:p>
    <w:p w14:paraId="2CCFD53D" w14:textId="77777777" w:rsidR="00383D9E" w:rsidRDefault="00000000">
      <w:pPr>
        <w:spacing w:before="100" w:beforeAutospacing="1" w:after="100" w:afterAutospacing="1"/>
        <w:jc w:val="left"/>
        <w:rPr>
          <w:rFonts w:cs="Arial"/>
          <w:lang w:val="en-IN"/>
        </w:rPr>
      </w:pPr>
      <w:r>
        <w:rPr>
          <w:rFonts w:cs="Arial"/>
          <w:lang w:val="en-IN"/>
        </w:rPr>
        <w:t xml:space="preserve">TGO. (2020) </w:t>
      </w:r>
      <w:r>
        <w:rPr>
          <w:rFonts w:cs="Arial"/>
          <w:i/>
          <w:iCs/>
          <w:lang w:val="en-IN"/>
        </w:rPr>
        <w:t xml:space="preserve">TGO Gyms and mental health: </w:t>
      </w:r>
      <w:proofErr w:type="spellStart"/>
      <w:r>
        <w:rPr>
          <w:rFonts w:cs="Arial"/>
          <w:i/>
          <w:iCs/>
          <w:lang w:val="en-IN"/>
        </w:rPr>
        <w:t>Bethlem</w:t>
      </w:r>
      <w:proofErr w:type="spellEnd"/>
      <w:r>
        <w:rPr>
          <w:rFonts w:cs="Arial"/>
          <w:i/>
          <w:iCs/>
          <w:lang w:val="en-IN"/>
        </w:rPr>
        <w:t xml:space="preserve"> Royal Hospital</w:t>
      </w:r>
      <w:r>
        <w:rPr>
          <w:rFonts w:cs="Arial"/>
          <w:lang w:val="en-IN"/>
        </w:rPr>
        <w:t xml:space="preserve">. Available at: </w:t>
      </w:r>
      <w:hyperlink r:id="rId20" w:history="1">
        <w:r>
          <w:rPr>
            <w:rStyle w:val="Hyperlink"/>
            <w:rFonts w:cs="Arial"/>
            <w:lang w:val="en-IN"/>
          </w:rPr>
          <w:t>https://www.tgogc.com/news-article/tgo-gyms-mental-health-bethlem-royal-hospital</w:t>
        </w:r>
      </w:hyperlink>
      <w:r>
        <w:rPr>
          <w:rFonts w:cs="Arial"/>
          <w:lang w:val="en-IN"/>
        </w:rPr>
        <w:t xml:space="preserve"> (Accessed: 21 February 2026).</w:t>
      </w:r>
    </w:p>
    <w:p w14:paraId="3C344D2B" w14:textId="77777777" w:rsidR="00383D9E" w:rsidRDefault="00000000">
      <w:pPr>
        <w:spacing w:before="100" w:beforeAutospacing="1" w:after="100" w:afterAutospacing="1"/>
        <w:jc w:val="left"/>
        <w:rPr>
          <w:rFonts w:cs="Arial"/>
        </w:rPr>
      </w:pPr>
      <w:proofErr w:type="spellStart"/>
      <w:r>
        <w:rPr>
          <w:rFonts w:cs="Arial"/>
        </w:rPr>
        <w:t>Tyagi</w:t>
      </w:r>
      <w:proofErr w:type="spellEnd"/>
      <w:r>
        <w:rPr>
          <w:rFonts w:cs="Arial"/>
        </w:rPr>
        <w:t xml:space="preserve">, V., </w:t>
      </w:r>
      <w:proofErr w:type="spellStart"/>
      <w:r>
        <w:rPr>
          <w:rFonts w:cs="Arial"/>
        </w:rPr>
        <w:t>McCance</w:t>
      </w:r>
      <w:proofErr w:type="spellEnd"/>
      <w:r>
        <w:rPr>
          <w:rFonts w:cs="Arial"/>
        </w:rPr>
        <w:t>, T., Rutherford, C. and McCormack, B. (2025) The state of the art of person-</w:t>
      </w:r>
      <w:proofErr w:type="spellStart"/>
      <w:r>
        <w:rPr>
          <w:rFonts w:cs="Arial"/>
        </w:rPr>
        <w:t>centered</w:t>
      </w:r>
      <w:proofErr w:type="spellEnd"/>
      <w:r>
        <w:rPr>
          <w:rFonts w:cs="Arial"/>
        </w:rPr>
        <w:t xml:space="preserve"> healthcare: global perspectives. </w:t>
      </w:r>
      <w:r>
        <w:rPr>
          <w:rFonts w:cs="Arial"/>
          <w:i/>
          <w:iCs/>
        </w:rPr>
        <w:t>Frontiers in Health Services</w:t>
      </w:r>
      <w:r>
        <w:rPr>
          <w:rFonts w:cs="Arial"/>
        </w:rPr>
        <w:t>, 5, p. 1736241.</w:t>
      </w:r>
    </w:p>
    <w:p w14:paraId="3D813374" w14:textId="77777777" w:rsidR="00383D9E" w:rsidRDefault="00000000">
      <w:pPr>
        <w:spacing w:before="100" w:beforeAutospacing="1" w:after="100" w:afterAutospacing="1"/>
        <w:jc w:val="left"/>
        <w:rPr>
          <w:rFonts w:cs="Arial"/>
        </w:rPr>
      </w:pPr>
      <w:proofErr w:type="spellStart"/>
      <w:r>
        <w:rPr>
          <w:rFonts w:cs="Arial"/>
        </w:rPr>
        <w:t>Varkey</w:t>
      </w:r>
      <w:proofErr w:type="spellEnd"/>
      <w:r>
        <w:rPr>
          <w:rFonts w:cs="Arial"/>
        </w:rPr>
        <w:t>, B. (2021) ‘Principles of clinical ethics and their application to practice’. </w:t>
      </w:r>
      <w:r>
        <w:rPr>
          <w:rFonts w:cs="Arial"/>
          <w:i/>
          <w:iCs/>
        </w:rPr>
        <w:t>Medical principles and practice</w:t>
      </w:r>
      <w:r>
        <w:rPr>
          <w:rFonts w:cs="Arial"/>
        </w:rPr>
        <w:t>, 30(1), pp. 17-28.</w:t>
      </w:r>
    </w:p>
    <w:p w14:paraId="209FB1E6" w14:textId="77777777" w:rsidR="00383D9E" w:rsidRDefault="00383D9E">
      <w:pPr>
        <w:spacing w:before="100" w:beforeAutospacing="1" w:after="100" w:afterAutospacing="1"/>
        <w:jc w:val="left"/>
        <w:rPr>
          <w:rFonts w:cs="Arial"/>
        </w:rPr>
      </w:pPr>
    </w:p>
    <w:p w14:paraId="29788658" w14:textId="77777777" w:rsidR="00383D9E" w:rsidRDefault="00383D9E">
      <w:pPr>
        <w:spacing w:before="100" w:beforeAutospacing="1" w:after="100" w:afterAutospacing="1"/>
        <w:jc w:val="left"/>
        <w:rPr>
          <w:rFonts w:cs="Arial"/>
        </w:rPr>
      </w:pPr>
    </w:p>
    <w:sectPr w:rsidR="00383D9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2746A" w14:textId="77777777" w:rsidR="00F24405" w:rsidRDefault="00F24405">
      <w:pPr>
        <w:spacing w:line="240" w:lineRule="auto"/>
      </w:pPr>
      <w:r>
        <w:separator/>
      </w:r>
    </w:p>
  </w:endnote>
  <w:endnote w:type="continuationSeparator" w:id="0">
    <w:p w14:paraId="42DBF1B4" w14:textId="77777777" w:rsidR="00F24405" w:rsidRDefault="00F244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等线 Light">
    <w:altName w:val="Segoe Print"/>
    <w:panose1 w:val="02010600030101010101"/>
    <w:charset w:val="00"/>
    <w:family w:val="auto"/>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779673"/>
      <w:docPartObj>
        <w:docPartGallery w:val="AutoText"/>
      </w:docPartObj>
    </w:sdtPr>
    <w:sdtContent>
      <w:p w14:paraId="177CD08C" w14:textId="77777777" w:rsidR="00383D9E" w:rsidRDefault="00000000">
        <w:pPr>
          <w:pStyle w:val="Footer"/>
          <w:jc w:val="right"/>
        </w:pPr>
        <w:r>
          <w:fldChar w:fldCharType="begin"/>
        </w:r>
        <w:r>
          <w:instrText xml:space="preserve"> PAGE   \* MERGEFORMAT </w:instrText>
        </w:r>
        <w:r>
          <w:fldChar w:fldCharType="separate"/>
        </w:r>
        <w:r>
          <w:t>2</w:t>
        </w:r>
        <w:r>
          <w:fldChar w:fldCharType="end"/>
        </w:r>
      </w:p>
    </w:sdtContent>
  </w:sdt>
  <w:p w14:paraId="2A593BF1" w14:textId="77777777" w:rsidR="00383D9E" w:rsidRDefault="00383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2B496" w14:textId="77777777" w:rsidR="00F24405" w:rsidRDefault="00F24405">
      <w:pPr>
        <w:spacing w:after="0"/>
      </w:pPr>
      <w:r>
        <w:separator/>
      </w:r>
    </w:p>
  </w:footnote>
  <w:footnote w:type="continuationSeparator" w:id="0">
    <w:p w14:paraId="75CBEC3D" w14:textId="77777777" w:rsidR="00F24405" w:rsidRDefault="00F2440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493"/>
    <w:rsid w:val="00001042"/>
    <w:rsid w:val="000079EF"/>
    <w:rsid w:val="000302E2"/>
    <w:rsid w:val="000307C4"/>
    <w:rsid w:val="000364A8"/>
    <w:rsid w:val="00037090"/>
    <w:rsid w:val="00037217"/>
    <w:rsid w:val="00037CE9"/>
    <w:rsid w:val="00046641"/>
    <w:rsid w:val="000638AB"/>
    <w:rsid w:val="00077FDD"/>
    <w:rsid w:val="00082AF7"/>
    <w:rsid w:val="00085CBB"/>
    <w:rsid w:val="00090B0C"/>
    <w:rsid w:val="00092BC7"/>
    <w:rsid w:val="00097021"/>
    <w:rsid w:val="000B7F2F"/>
    <w:rsid w:val="000D0177"/>
    <w:rsid w:val="000D0D4A"/>
    <w:rsid w:val="000F04DC"/>
    <w:rsid w:val="000F2C1E"/>
    <w:rsid w:val="00105D3C"/>
    <w:rsid w:val="00114D9C"/>
    <w:rsid w:val="00132190"/>
    <w:rsid w:val="00136237"/>
    <w:rsid w:val="00136AFE"/>
    <w:rsid w:val="001417D3"/>
    <w:rsid w:val="00141942"/>
    <w:rsid w:val="00163787"/>
    <w:rsid w:val="00176E55"/>
    <w:rsid w:val="00190A5F"/>
    <w:rsid w:val="001C34A0"/>
    <w:rsid w:val="001D00A5"/>
    <w:rsid w:val="001D2708"/>
    <w:rsid w:val="001D2DE0"/>
    <w:rsid w:val="001E37FF"/>
    <w:rsid w:val="001E5200"/>
    <w:rsid w:val="002027C3"/>
    <w:rsid w:val="002060B8"/>
    <w:rsid w:val="002134DB"/>
    <w:rsid w:val="00224A8F"/>
    <w:rsid w:val="00225EF8"/>
    <w:rsid w:val="002276F4"/>
    <w:rsid w:val="00242950"/>
    <w:rsid w:val="002441A0"/>
    <w:rsid w:val="002541AF"/>
    <w:rsid w:val="0028238C"/>
    <w:rsid w:val="00284976"/>
    <w:rsid w:val="00293370"/>
    <w:rsid w:val="00294F52"/>
    <w:rsid w:val="002A37B7"/>
    <w:rsid w:val="002B6702"/>
    <w:rsid w:val="002C11C1"/>
    <w:rsid w:val="002E6D4E"/>
    <w:rsid w:val="002E6E1C"/>
    <w:rsid w:val="00304BB6"/>
    <w:rsid w:val="00310ACF"/>
    <w:rsid w:val="00320408"/>
    <w:rsid w:val="003317B9"/>
    <w:rsid w:val="00331F12"/>
    <w:rsid w:val="00347119"/>
    <w:rsid w:val="00347DF3"/>
    <w:rsid w:val="0035354F"/>
    <w:rsid w:val="00361865"/>
    <w:rsid w:val="003622BE"/>
    <w:rsid w:val="003633D5"/>
    <w:rsid w:val="00372164"/>
    <w:rsid w:val="003822C8"/>
    <w:rsid w:val="00383D9E"/>
    <w:rsid w:val="0039280B"/>
    <w:rsid w:val="00395618"/>
    <w:rsid w:val="003B08FC"/>
    <w:rsid w:val="003B146C"/>
    <w:rsid w:val="003B4FAC"/>
    <w:rsid w:val="003C2C1E"/>
    <w:rsid w:val="003C6FA3"/>
    <w:rsid w:val="003D7C12"/>
    <w:rsid w:val="003E5BEB"/>
    <w:rsid w:val="003E6DED"/>
    <w:rsid w:val="00401EEF"/>
    <w:rsid w:val="0040280C"/>
    <w:rsid w:val="004170C5"/>
    <w:rsid w:val="0042250E"/>
    <w:rsid w:val="00423005"/>
    <w:rsid w:val="004333C0"/>
    <w:rsid w:val="004360A1"/>
    <w:rsid w:val="00450915"/>
    <w:rsid w:val="00456EF0"/>
    <w:rsid w:val="00460A6A"/>
    <w:rsid w:val="004660C7"/>
    <w:rsid w:val="0047535F"/>
    <w:rsid w:val="00475518"/>
    <w:rsid w:val="00477C1A"/>
    <w:rsid w:val="004850B3"/>
    <w:rsid w:val="00485631"/>
    <w:rsid w:val="004873ED"/>
    <w:rsid w:val="004940A2"/>
    <w:rsid w:val="004A5779"/>
    <w:rsid w:val="004B54A3"/>
    <w:rsid w:val="004C2538"/>
    <w:rsid w:val="004C3D1F"/>
    <w:rsid w:val="004D047D"/>
    <w:rsid w:val="004D06E1"/>
    <w:rsid w:val="004D1060"/>
    <w:rsid w:val="004D1C16"/>
    <w:rsid w:val="004E689D"/>
    <w:rsid w:val="004F588B"/>
    <w:rsid w:val="004F77F5"/>
    <w:rsid w:val="00524009"/>
    <w:rsid w:val="00533344"/>
    <w:rsid w:val="00542C46"/>
    <w:rsid w:val="005809D7"/>
    <w:rsid w:val="00581830"/>
    <w:rsid w:val="005878C5"/>
    <w:rsid w:val="00593B28"/>
    <w:rsid w:val="00596D48"/>
    <w:rsid w:val="005A06CF"/>
    <w:rsid w:val="005B09C0"/>
    <w:rsid w:val="005B5179"/>
    <w:rsid w:val="005D16DC"/>
    <w:rsid w:val="005D3DDD"/>
    <w:rsid w:val="005F45F5"/>
    <w:rsid w:val="005F4FE7"/>
    <w:rsid w:val="006060AB"/>
    <w:rsid w:val="00613CDA"/>
    <w:rsid w:val="006217BB"/>
    <w:rsid w:val="006226B7"/>
    <w:rsid w:val="00625229"/>
    <w:rsid w:val="00656FED"/>
    <w:rsid w:val="00667B44"/>
    <w:rsid w:val="00670111"/>
    <w:rsid w:val="0068638B"/>
    <w:rsid w:val="00690992"/>
    <w:rsid w:val="006C4482"/>
    <w:rsid w:val="006D4A29"/>
    <w:rsid w:val="006E6C6D"/>
    <w:rsid w:val="00702BA6"/>
    <w:rsid w:val="00705A24"/>
    <w:rsid w:val="00712802"/>
    <w:rsid w:val="007133BB"/>
    <w:rsid w:val="00721027"/>
    <w:rsid w:val="0072553F"/>
    <w:rsid w:val="00734DE2"/>
    <w:rsid w:val="0074442F"/>
    <w:rsid w:val="00753E14"/>
    <w:rsid w:val="00754522"/>
    <w:rsid w:val="00755E8E"/>
    <w:rsid w:val="00762E01"/>
    <w:rsid w:val="00775881"/>
    <w:rsid w:val="007768C1"/>
    <w:rsid w:val="00787C73"/>
    <w:rsid w:val="0079322A"/>
    <w:rsid w:val="007978D4"/>
    <w:rsid w:val="007A0ED9"/>
    <w:rsid w:val="007A226D"/>
    <w:rsid w:val="007A5B39"/>
    <w:rsid w:val="007B1C49"/>
    <w:rsid w:val="007C359F"/>
    <w:rsid w:val="007C7832"/>
    <w:rsid w:val="007D51B7"/>
    <w:rsid w:val="007D676B"/>
    <w:rsid w:val="007F0C3D"/>
    <w:rsid w:val="007F3416"/>
    <w:rsid w:val="00801D36"/>
    <w:rsid w:val="008226D2"/>
    <w:rsid w:val="008301DD"/>
    <w:rsid w:val="00834FC2"/>
    <w:rsid w:val="008370A3"/>
    <w:rsid w:val="008511AA"/>
    <w:rsid w:val="00851C77"/>
    <w:rsid w:val="00857DB1"/>
    <w:rsid w:val="00861F16"/>
    <w:rsid w:val="0086489D"/>
    <w:rsid w:val="00867D79"/>
    <w:rsid w:val="00877230"/>
    <w:rsid w:val="00882584"/>
    <w:rsid w:val="008865C7"/>
    <w:rsid w:val="008C4BAC"/>
    <w:rsid w:val="008D2719"/>
    <w:rsid w:val="008D3DB7"/>
    <w:rsid w:val="008E025C"/>
    <w:rsid w:val="008E5A28"/>
    <w:rsid w:val="008F047A"/>
    <w:rsid w:val="008F418B"/>
    <w:rsid w:val="008F719F"/>
    <w:rsid w:val="009003AD"/>
    <w:rsid w:val="00912487"/>
    <w:rsid w:val="00920BA9"/>
    <w:rsid w:val="009217ED"/>
    <w:rsid w:val="0092381C"/>
    <w:rsid w:val="00926DE5"/>
    <w:rsid w:val="00940831"/>
    <w:rsid w:val="00941D78"/>
    <w:rsid w:val="00942591"/>
    <w:rsid w:val="009465C8"/>
    <w:rsid w:val="0096497C"/>
    <w:rsid w:val="0097198A"/>
    <w:rsid w:val="00974572"/>
    <w:rsid w:val="00977279"/>
    <w:rsid w:val="009810A7"/>
    <w:rsid w:val="00982A43"/>
    <w:rsid w:val="00990E0E"/>
    <w:rsid w:val="009964DB"/>
    <w:rsid w:val="0099794E"/>
    <w:rsid w:val="009A5E48"/>
    <w:rsid w:val="009A7BBA"/>
    <w:rsid w:val="009B027A"/>
    <w:rsid w:val="009B09B8"/>
    <w:rsid w:val="009B298F"/>
    <w:rsid w:val="009B48A7"/>
    <w:rsid w:val="009B5224"/>
    <w:rsid w:val="009C05F4"/>
    <w:rsid w:val="009D330D"/>
    <w:rsid w:val="009D40FC"/>
    <w:rsid w:val="009D41AE"/>
    <w:rsid w:val="009E0D9E"/>
    <w:rsid w:val="009E25FE"/>
    <w:rsid w:val="009F64C1"/>
    <w:rsid w:val="009F7A8E"/>
    <w:rsid w:val="00A0197F"/>
    <w:rsid w:val="00A034E8"/>
    <w:rsid w:val="00A108EC"/>
    <w:rsid w:val="00A1377B"/>
    <w:rsid w:val="00A14B26"/>
    <w:rsid w:val="00A229DB"/>
    <w:rsid w:val="00A24591"/>
    <w:rsid w:val="00A26D64"/>
    <w:rsid w:val="00A41E08"/>
    <w:rsid w:val="00A425BB"/>
    <w:rsid w:val="00A54234"/>
    <w:rsid w:val="00A6137F"/>
    <w:rsid w:val="00A6180F"/>
    <w:rsid w:val="00A70EB2"/>
    <w:rsid w:val="00A76405"/>
    <w:rsid w:val="00A76B67"/>
    <w:rsid w:val="00A92AAD"/>
    <w:rsid w:val="00A97D12"/>
    <w:rsid w:val="00AA41A9"/>
    <w:rsid w:val="00AA582B"/>
    <w:rsid w:val="00AB77A3"/>
    <w:rsid w:val="00AC1D3A"/>
    <w:rsid w:val="00AC4A1C"/>
    <w:rsid w:val="00AC7170"/>
    <w:rsid w:val="00AD0E7C"/>
    <w:rsid w:val="00AF3662"/>
    <w:rsid w:val="00AF73CA"/>
    <w:rsid w:val="00B0036E"/>
    <w:rsid w:val="00B21EB3"/>
    <w:rsid w:val="00B30D46"/>
    <w:rsid w:val="00B36DFA"/>
    <w:rsid w:val="00B37A26"/>
    <w:rsid w:val="00B44714"/>
    <w:rsid w:val="00B60665"/>
    <w:rsid w:val="00B63B26"/>
    <w:rsid w:val="00B7117D"/>
    <w:rsid w:val="00B742E6"/>
    <w:rsid w:val="00B81473"/>
    <w:rsid w:val="00B83ECA"/>
    <w:rsid w:val="00BA051E"/>
    <w:rsid w:val="00BA2408"/>
    <w:rsid w:val="00BA5DFE"/>
    <w:rsid w:val="00BB0257"/>
    <w:rsid w:val="00BB4636"/>
    <w:rsid w:val="00BC2C90"/>
    <w:rsid w:val="00BC4C25"/>
    <w:rsid w:val="00BE7258"/>
    <w:rsid w:val="00BF2061"/>
    <w:rsid w:val="00C012B5"/>
    <w:rsid w:val="00C11941"/>
    <w:rsid w:val="00C12069"/>
    <w:rsid w:val="00C14BE6"/>
    <w:rsid w:val="00C16254"/>
    <w:rsid w:val="00C20042"/>
    <w:rsid w:val="00C237E5"/>
    <w:rsid w:val="00C24A15"/>
    <w:rsid w:val="00C321EF"/>
    <w:rsid w:val="00C40A85"/>
    <w:rsid w:val="00C6673C"/>
    <w:rsid w:val="00C66EE7"/>
    <w:rsid w:val="00C73246"/>
    <w:rsid w:val="00C75C4E"/>
    <w:rsid w:val="00C85D6E"/>
    <w:rsid w:val="00C97EC0"/>
    <w:rsid w:val="00CA4CAB"/>
    <w:rsid w:val="00CB3704"/>
    <w:rsid w:val="00CC02D1"/>
    <w:rsid w:val="00CD236A"/>
    <w:rsid w:val="00CD51A7"/>
    <w:rsid w:val="00CD6166"/>
    <w:rsid w:val="00CD789C"/>
    <w:rsid w:val="00CE180E"/>
    <w:rsid w:val="00CF2D2B"/>
    <w:rsid w:val="00CF46AC"/>
    <w:rsid w:val="00D04FE9"/>
    <w:rsid w:val="00D05F7B"/>
    <w:rsid w:val="00D23357"/>
    <w:rsid w:val="00D363CE"/>
    <w:rsid w:val="00D375D0"/>
    <w:rsid w:val="00D4285C"/>
    <w:rsid w:val="00D50727"/>
    <w:rsid w:val="00D52D1F"/>
    <w:rsid w:val="00D82407"/>
    <w:rsid w:val="00D96B50"/>
    <w:rsid w:val="00DA7725"/>
    <w:rsid w:val="00DA789B"/>
    <w:rsid w:val="00DA7F31"/>
    <w:rsid w:val="00DB0635"/>
    <w:rsid w:val="00DB22B0"/>
    <w:rsid w:val="00DB4114"/>
    <w:rsid w:val="00DF712D"/>
    <w:rsid w:val="00E17E5F"/>
    <w:rsid w:val="00E25276"/>
    <w:rsid w:val="00E279A4"/>
    <w:rsid w:val="00E32610"/>
    <w:rsid w:val="00E32915"/>
    <w:rsid w:val="00E4736E"/>
    <w:rsid w:val="00E76C83"/>
    <w:rsid w:val="00E85D96"/>
    <w:rsid w:val="00E919B9"/>
    <w:rsid w:val="00E97EE6"/>
    <w:rsid w:val="00EA7F48"/>
    <w:rsid w:val="00EB61B8"/>
    <w:rsid w:val="00ED5DB6"/>
    <w:rsid w:val="00ED64C8"/>
    <w:rsid w:val="00EE53D8"/>
    <w:rsid w:val="00EF68DA"/>
    <w:rsid w:val="00F011EF"/>
    <w:rsid w:val="00F06492"/>
    <w:rsid w:val="00F166C9"/>
    <w:rsid w:val="00F177A8"/>
    <w:rsid w:val="00F24405"/>
    <w:rsid w:val="00F245BD"/>
    <w:rsid w:val="00F26E16"/>
    <w:rsid w:val="00F33A1F"/>
    <w:rsid w:val="00F47493"/>
    <w:rsid w:val="00F476A3"/>
    <w:rsid w:val="00F507BB"/>
    <w:rsid w:val="00F70CE2"/>
    <w:rsid w:val="00F83E36"/>
    <w:rsid w:val="00F859BF"/>
    <w:rsid w:val="00F94201"/>
    <w:rsid w:val="00F94516"/>
    <w:rsid w:val="00FA403F"/>
    <w:rsid w:val="00FB5631"/>
    <w:rsid w:val="00FC4903"/>
    <w:rsid w:val="00FD038D"/>
    <w:rsid w:val="00FD0BBF"/>
    <w:rsid w:val="00FD37D8"/>
    <w:rsid w:val="00FD5ABF"/>
    <w:rsid w:val="00FD6C11"/>
    <w:rsid w:val="00FF2EE3"/>
    <w:rsid w:val="0194707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BE83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sz w:val="22"/>
      <w:szCs w:val="22"/>
      <w:lang w:val="en-GB"/>
    </w:rPr>
  </w:style>
  <w:style w:type="paragraph" w:styleId="Heading1">
    <w:name w:val="heading 1"/>
    <w:basedOn w:val="Normal"/>
    <w:next w:val="Normal"/>
    <w:link w:val="Heading1Char"/>
    <w:uiPriority w:val="9"/>
    <w:qFormat/>
    <w:pPr>
      <w:keepNext/>
      <w:keepLines/>
      <w:spacing w:before="360" w:after="80"/>
      <w:outlineLvl w:val="0"/>
    </w:pPr>
    <w:rPr>
      <w:rFonts w:eastAsiaTheme="majorEastAsia" w:cstheme="majorBidi"/>
      <w:b/>
      <w:color w:val="000000" w:themeColor="text1"/>
      <w:szCs w:val="40"/>
      <w:lang w:val="en-IN"/>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color w:val="000000" w:themeColor="text1"/>
      <w:szCs w:val="32"/>
      <w:lang w:val="en-IN"/>
    </w:rPr>
  </w:style>
  <w:style w:type="paragraph" w:styleId="Heading3">
    <w:name w:val="heading 3"/>
    <w:basedOn w:val="Normal"/>
    <w:next w:val="Normal"/>
    <w:link w:val="Heading3Char"/>
    <w:uiPriority w:val="9"/>
    <w:unhideWhenUsed/>
    <w:qFormat/>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kern w:val="0"/>
      <w:sz w:val="24"/>
      <w:szCs w:val="40"/>
      <w:lang w:eastAsia="en-IN"/>
      <w14:ligatures w14:val="none"/>
    </w:rPr>
  </w:style>
  <w:style w:type="character" w:customStyle="1" w:styleId="Heading2Char">
    <w:name w:val="Heading 2 Char"/>
    <w:basedOn w:val="DefaultParagraphFont"/>
    <w:link w:val="Heading2"/>
    <w:uiPriority w:val="9"/>
    <w:rPr>
      <w:rFonts w:ascii="Times New Roman" w:eastAsiaTheme="majorEastAsia" w:hAnsi="Times New Roman" w:cstheme="majorBidi"/>
      <w:b/>
      <w:color w:val="000000" w:themeColor="text1"/>
      <w:kern w:val="0"/>
      <w:sz w:val="24"/>
      <w:szCs w:val="32"/>
      <w:lang w:eastAsia="en-IN"/>
      <w14:ligatures w14:val="none"/>
    </w:rPr>
  </w:style>
  <w:style w:type="character" w:customStyle="1" w:styleId="Heading3Char">
    <w:name w:val="Heading 3 Char"/>
    <w:basedOn w:val="DefaultParagraphFont"/>
    <w:link w:val="Heading3"/>
    <w:uiPriority w:val="9"/>
    <w:rPr>
      <w:rFonts w:ascii="Arial" w:eastAsiaTheme="majorEastAsia" w:hAnsi="Arial" w:cstheme="majorBidi"/>
      <w:b/>
      <w:color w:val="000000" w:themeColor="text1"/>
      <w:sz w:val="24"/>
      <w:szCs w:val="24"/>
      <w:lang w:val="en-GB"/>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kern w:val="0"/>
      <w:lang w:val="en-GB"/>
      <w14:ligatures w14:val="none"/>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kern w:val="0"/>
      <w:lang w:val="en-GB"/>
      <w14:ligatures w14:val="none"/>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kern w:val="0"/>
      <w:lang w:val="en-GB"/>
      <w14:ligatures w14:val="none"/>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kern w:val="0"/>
      <w:lang w:val="en-GB"/>
      <w14:ligatures w14:val="none"/>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kern w:val="0"/>
      <w:lang w:val="en-GB"/>
      <w14:ligatures w14:val="non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14:ligatures w14:val="none"/>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rFonts w:ascii="Arial" w:hAnsi="Arial"/>
      <w:i/>
      <w:iCs/>
      <w:color w:val="404040" w:themeColor="text1" w:themeTint="BF"/>
      <w:kern w:val="0"/>
      <w:lang w:val="en-GB"/>
      <w14:ligatures w14:val="none"/>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rFonts w:ascii="Arial" w:hAnsi="Arial"/>
      <w:i/>
      <w:iCs/>
      <w:color w:val="2F5496" w:themeColor="accent1" w:themeShade="BF"/>
      <w:kern w:val="0"/>
      <w:lang w:val="en-GB"/>
      <w14:ligatures w14:val="none"/>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rPr>
      <w:rFonts w:ascii="Arial" w:hAnsi="Arial"/>
      <w:kern w:val="0"/>
      <w:lang w:val="en-GB"/>
      <w14:ligatures w14:val="none"/>
    </w:rPr>
  </w:style>
  <w:style w:type="character" w:customStyle="1" w:styleId="FooterChar">
    <w:name w:val="Footer Char"/>
    <w:basedOn w:val="DefaultParagraphFont"/>
    <w:link w:val="Footer"/>
    <w:uiPriority w:val="99"/>
    <w:rPr>
      <w:rFonts w:ascii="Arial" w:hAnsi="Arial"/>
      <w:kern w:val="0"/>
      <w:lang w:val="en-GB"/>
      <w14:ligatures w14:val="none"/>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b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hyperlink" Target="https://www.cqc.org.uk/guidance-regulation/providers/regulations-service-providers-and-managers/health-social-care-act/regulation-9" TargetMode="External" /><Relationship Id="rId18" Type="http://schemas.openxmlformats.org/officeDocument/2006/relationships/hyperlink" Target="https://slam.nhs.uk/services?ser_search_text=Bethlem&amp;ser_search_location=&amp;ser_search_borough=&amp;ser_submit=&amp;ser_page_type=list"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diagramData" Target="diagrams/data1.xml" /><Relationship Id="rId12" Type="http://schemas.openxmlformats.org/officeDocument/2006/relationships/image" Target="media/image1.png" /><Relationship Id="rId17" Type="http://schemas.openxmlformats.org/officeDocument/2006/relationships/hyperlink" Target="https://slam.nhs.uk/bethlem-royal-hospital" TargetMode="External" /><Relationship Id="rId2" Type="http://schemas.openxmlformats.org/officeDocument/2006/relationships/styles" Target="styles.xml" /><Relationship Id="rId16" Type="http://schemas.openxmlformats.org/officeDocument/2006/relationships/hyperlink" Target="https://www.hee.nhs.uk/our-work/person-centred-care" TargetMode="External" /><Relationship Id="rId20" Type="http://schemas.openxmlformats.org/officeDocument/2006/relationships/hyperlink" Target="https://www.tgogc.com/news-article/tgo-gyms-mental-health-bethlem-royal-hospital"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hyperlink" Target="https://assets.publishing.service.gov.uk/media/5b5f1e1d40f0b6338b116e1c/6.4526_CPFG_Appropriate_Adult_Partnership_Programme_v8_web.pdf" TargetMode="External" /><Relationship Id="rId23" Type="http://schemas.openxmlformats.org/officeDocument/2006/relationships/theme" Target="theme/theme1.xml" /><Relationship Id="rId10" Type="http://schemas.openxmlformats.org/officeDocument/2006/relationships/diagramColors" Target="diagrams/colors1.xml" /><Relationship Id="rId19" Type="http://schemas.openxmlformats.org/officeDocument/2006/relationships/hyperlink" Target="https://www.scie.org.uk/mca/introduction/mental-capacity-act-2005-at-a-glance/" TargetMode="Externa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hyperlink" Target="https://www.everyturn.org/latest-news/community-care/everyturn-appointed-to-provide-new-community-rehabilitation-service-for-south-london/" TargetMode="External" /><Relationship Id="rId22"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204476EA-169D-45F6-ADE8-C01ED88E2382}" type="doc">
      <dgm:prSet loTypeId="urn:microsoft.com/office/officeart/2005/8/layout/cycle8" loCatId="cycle" qsTypeId="urn:microsoft.com/office/officeart/2005/8/quickstyle/simple1#1" qsCatId="simple" csTypeId="urn:microsoft.com/office/officeart/2005/8/colors/accent2_1" csCatId="accent2" phldr="1"/>
      <dgm:spPr/>
    </dgm:pt>
    <dgm:pt modelId="{7C55EC4C-37D6-4118-9B2A-C7DADFDEBD12}">
      <dgm:prSet phldrT="[Text]"/>
      <dgm:spPr/>
      <dgm:t>
        <a:bodyPr/>
        <a:lstStyle/>
        <a:p>
          <a:r>
            <a:rPr lang="en-IN"/>
            <a:t>Personalised care</a:t>
          </a:r>
        </a:p>
      </dgm:t>
    </dgm:pt>
    <dgm:pt modelId="{9D7DA37D-5304-40C3-98A1-E523EA414860}" type="parTrans" cxnId="{40B20CE7-691F-4D36-ABF6-9F3591E67B2E}">
      <dgm:prSet/>
      <dgm:spPr/>
      <dgm:t>
        <a:bodyPr/>
        <a:lstStyle/>
        <a:p>
          <a:endParaRPr lang="en-IN"/>
        </a:p>
      </dgm:t>
    </dgm:pt>
    <dgm:pt modelId="{9B4FF076-B13A-485C-BF13-5470F1F35BC2}" type="sibTrans" cxnId="{40B20CE7-691F-4D36-ABF6-9F3591E67B2E}">
      <dgm:prSet/>
      <dgm:spPr/>
      <dgm:t>
        <a:bodyPr/>
        <a:lstStyle/>
        <a:p>
          <a:endParaRPr lang="en-IN"/>
        </a:p>
      </dgm:t>
    </dgm:pt>
    <dgm:pt modelId="{2F61BA7D-AE54-499B-88EE-E04509F04C08}">
      <dgm:prSet phldrT="[Text]"/>
      <dgm:spPr/>
      <dgm:t>
        <a:bodyPr/>
        <a:lstStyle/>
        <a:p>
          <a:r>
            <a:rPr lang="en-IN"/>
            <a:t>Enabling care</a:t>
          </a:r>
        </a:p>
      </dgm:t>
    </dgm:pt>
    <dgm:pt modelId="{6DE14DC0-4E98-4022-ACA4-8BE9008FB6B5}" type="parTrans" cxnId="{9B322959-A337-484F-9450-CB1B7674D427}">
      <dgm:prSet/>
      <dgm:spPr/>
      <dgm:t>
        <a:bodyPr/>
        <a:lstStyle/>
        <a:p>
          <a:endParaRPr lang="en-IN"/>
        </a:p>
      </dgm:t>
    </dgm:pt>
    <dgm:pt modelId="{72CD7E37-54B4-4EA9-B414-B118718E5DFC}" type="sibTrans" cxnId="{9B322959-A337-484F-9450-CB1B7674D427}">
      <dgm:prSet/>
      <dgm:spPr/>
      <dgm:t>
        <a:bodyPr/>
        <a:lstStyle/>
        <a:p>
          <a:endParaRPr lang="en-IN"/>
        </a:p>
      </dgm:t>
    </dgm:pt>
    <dgm:pt modelId="{CBD299CB-C9F6-4DF0-979E-9027F9628113}">
      <dgm:prSet phldrT="[Text]"/>
      <dgm:spPr/>
      <dgm:t>
        <a:bodyPr/>
        <a:lstStyle/>
        <a:p>
          <a:r>
            <a:rPr lang="en-IN"/>
            <a:t>Coordinate for the care</a:t>
          </a:r>
        </a:p>
      </dgm:t>
    </dgm:pt>
    <dgm:pt modelId="{2698314B-6CC4-43FB-B06D-0A98CC06E09E}" type="parTrans" cxnId="{2C04511A-41BC-4DAD-A5DC-95C4A1F758A6}">
      <dgm:prSet/>
      <dgm:spPr/>
      <dgm:t>
        <a:bodyPr/>
        <a:lstStyle/>
        <a:p>
          <a:endParaRPr lang="en-IN"/>
        </a:p>
      </dgm:t>
    </dgm:pt>
    <dgm:pt modelId="{7C26B739-DD55-4573-AC7C-3CC5CC9E3E95}" type="sibTrans" cxnId="{2C04511A-41BC-4DAD-A5DC-95C4A1F758A6}">
      <dgm:prSet/>
      <dgm:spPr/>
      <dgm:t>
        <a:bodyPr/>
        <a:lstStyle/>
        <a:p>
          <a:endParaRPr lang="en-IN"/>
        </a:p>
      </dgm:t>
    </dgm:pt>
    <dgm:pt modelId="{C15F2A8E-95A5-4541-97BC-414F5C022C48}" type="pres">
      <dgm:prSet presAssocID="{204476EA-169D-45F6-ADE8-C01ED88E2382}" presName="compositeShape" presStyleCnt="0">
        <dgm:presLayoutVars>
          <dgm:chMax val="7"/>
          <dgm:dir/>
          <dgm:resizeHandles val="exact"/>
        </dgm:presLayoutVars>
      </dgm:prSet>
      <dgm:spPr/>
    </dgm:pt>
    <dgm:pt modelId="{B2194FA6-432B-48AD-9D65-A37638E27153}" type="pres">
      <dgm:prSet presAssocID="{204476EA-169D-45F6-ADE8-C01ED88E2382}" presName="wedge1" presStyleLbl="node1" presStyleIdx="0" presStyleCnt="3"/>
      <dgm:spPr/>
    </dgm:pt>
    <dgm:pt modelId="{D732F9F5-4D2C-4CB1-A0C9-EB014CE2EE5B}" type="pres">
      <dgm:prSet presAssocID="{204476EA-169D-45F6-ADE8-C01ED88E2382}" presName="dummy1a" presStyleCnt="0"/>
      <dgm:spPr/>
    </dgm:pt>
    <dgm:pt modelId="{192B0258-2AEF-4ABA-91EA-C57853EA9E1B}" type="pres">
      <dgm:prSet presAssocID="{204476EA-169D-45F6-ADE8-C01ED88E2382}" presName="dummy1b" presStyleCnt="0"/>
      <dgm:spPr/>
    </dgm:pt>
    <dgm:pt modelId="{232A3405-5EC6-4A3C-9E93-21069156B296}" type="pres">
      <dgm:prSet presAssocID="{204476EA-169D-45F6-ADE8-C01ED88E2382}" presName="wedge1Tx" presStyleLbl="node1" presStyleIdx="0" presStyleCnt="3">
        <dgm:presLayoutVars>
          <dgm:chMax val="0"/>
          <dgm:chPref val="0"/>
          <dgm:bulletEnabled val="1"/>
        </dgm:presLayoutVars>
      </dgm:prSet>
      <dgm:spPr/>
    </dgm:pt>
    <dgm:pt modelId="{AC3455C5-ED19-4D47-B568-CC66F725DE7F}" type="pres">
      <dgm:prSet presAssocID="{204476EA-169D-45F6-ADE8-C01ED88E2382}" presName="wedge2" presStyleLbl="node1" presStyleIdx="1" presStyleCnt="3"/>
      <dgm:spPr/>
    </dgm:pt>
    <dgm:pt modelId="{340A84AB-3CC1-406D-8D07-9D674FD4A51E}" type="pres">
      <dgm:prSet presAssocID="{204476EA-169D-45F6-ADE8-C01ED88E2382}" presName="dummy2a" presStyleCnt="0"/>
      <dgm:spPr/>
    </dgm:pt>
    <dgm:pt modelId="{2BACD001-9477-4694-AC09-EA98627DA709}" type="pres">
      <dgm:prSet presAssocID="{204476EA-169D-45F6-ADE8-C01ED88E2382}" presName="dummy2b" presStyleCnt="0"/>
      <dgm:spPr/>
    </dgm:pt>
    <dgm:pt modelId="{A5066ACD-7F87-48D7-B9D5-536B374045A1}" type="pres">
      <dgm:prSet presAssocID="{204476EA-169D-45F6-ADE8-C01ED88E2382}" presName="wedge2Tx" presStyleLbl="node1" presStyleIdx="1" presStyleCnt="3">
        <dgm:presLayoutVars>
          <dgm:chMax val="0"/>
          <dgm:chPref val="0"/>
          <dgm:bulletEnabled val="1"/>
        </dgm:presLayoutVars>
      </dgm:prSet>
      <dgm:spPr/>
    </dgm:pt>
    <dgm:pt modelId="{5A037A8D-6A3D-4901-AC91-73908F20E41F}" type="pres">
      <dgm:prSet presAssocID="{204476EA-169D-45F6-ADE8-C01ED88E2382}" presName="wedge3" presStyleLbl="node1" presStyleIdx="2" presStyleCnt="3"/>
      <dgm:spPr/>
    </dgm:pt>
    <dgm:pt modelId="{C6E88277-0F6E-4B61-A0F8-5022FEDAC620}" type="pres">
      <dgm:prSet presAssocID="{204476EA-169D-45F6-ADE8-C01ED88E2382}" presName="dummy3a" presStyleCnt="0"/>
      <dgm:spPr/>
    </dgm:pt>
    <dgm:pt modelId="{40E1FDEF-EB17-41C5-A24A-6D6F069BFE01}" type="pres">
      <dgm:prSet presAssocID="{204476EA-169D-45F6-ADE8-C01ED88E2382}" presName="dummy3b" presStyleCnt="0"/>
      <dgm:spPr/>
    </dgm:pt>
    <dgm:pt modelId="{D43627B6-F3BE-4785-8280-3F4026925B41}" type="pres">
      <dgm:prSet presAssocID="{204476EA-169D-45F6-ADE8-C01ED88E2382}" presName="wedge3Tx" presStyleLbl="node1" presStyleIdx="2" presStyleCnt="3">
        <dgm:presLayoutVars>
          <dgm:chMax val="0"/>
          <dgm:chPref val="0"/>
          <dgm:bulletEnabled val="1"/>
        </dgm:presLayoutVars>
      </dgm:prSet>
      <dgm:spPr/>
    </dgm:pt>
    <dgm:pt modelId="{56DF2039-128E-4304-8854-12ABC8273318}" type="pres">
      <dgm:prSet presAssocID="{9B4FF076-B13A-485C-BF13-5470F1F35BC2}" presName="arrowWedge1" presStyleLbl="fgSibTrans2D1" presStyleIdx="0" presStyleCnt="3"/>
      <dgm:spPr/>
    </dgm:pt>
    <dgm:pt modelId="{0D9E0666-A4DA-4AB0-9C85-3BC8F95435BC}" type="pres">
      <dgm:prSet presAssocID="{72CD7E37-54B4-4EA9-B414-B118718E5DFC}" presName="arrowWedge2" presStyleLbl="fgSibTrans2D1" presStyleIdx="1" presStyleCnt="3"/>
      <dgm:spPr/>
    </dgm:pt>
    <dgm:pt modelId="{6A43CBD9-56AB-42A2-B135-A22246B15879}" type="pres">
      <dgm:prSet presAssocID="{7C26B739-DD55-4573-AC7C-3CC5CC9E3E95}" presName="arrowWedge3" presStyleLbl="fgSibTrans2D1" presStyleIdx="2" presStyleCnt="3"/>
      <dgm:spPr/>
    </dgm:pt>
  </dgm:ptLst>
  <dgm:cxnLst>
    <dgm:cxn modelId="{D8509305-C39F-4B64-8EA5-FEC16CA81AC2}" type="presOf" srcId="{CBD299CB-C9F6-4DF0-979E-9027F9628113}" destId="{D43627B6-F3BE-4785-8280-3F4026925B41}" srcOrd="1" destOrd="0" presId="urn:microsoft.com/office/officeart/2005/8/layout/cycle8"/>
    <dgm:cxn modelId="{2C04511A-41BC-4DAD-A5DC-95C4A1F758A6}" srcId="{204476EA-169D-45F6-ADE8-C01ED88E2382}" destId="{CBD299CB-C9F6-4DF0-979E-9027F9628113}" srcOrd="2" destOrd="0" parTransId="{2698314B-6CC4-43FB-B06D-0A98CC06E09E}" sibTransId="{7C26B739-DD55-4573-AC7C-3CC5CC9E3E95}"/>
    <dgm:cxn modelId="{9B322959-A337-484F-9450-CB1B7674D427}" srcId="{204476EA-169D-45F6-ADE8-C01ED88E2382}" destId="{2F61BA7D-AE54-499B-88EE-E04509F04C08}" srcOrd="1" destOrd="0" parTransId="{6DE14DC0-4E98-4022-ACA4-8BE9008FB6B5}" sibTransId="{72CD7E37-54B4-4EA9-B414-B118718E5DFC}"/>
    <dgm:cxn modelId="{09C34D8A-7AD2-4037-98AB-5662E74560A2}" type="presOf" srcId="{2F61BA7D-AE54-499B-88EE-E04509F04C08}" destId="{AC3455C5-ED19-4D47-B568-CC66F725DE7F}" srcOrd="0" destOrd="0" presId="urn:microsoft.com/office/officeart/2005/8/layout/cycle8"/>
    <dgm:cxn modelId="{71112690-5A83-4CA4-9992-9DAF4FE6665A}" type="presOf" srcId="{7C55EC4C-37D6-4118-9B2A-C7DADFDEBD12}" destId="{232A3405-5EC6-4A3C-9E93-21069156B296}" srcOrd="1" destOrd="0" presId="urn:microsoft.com/office/officeart/2005/8/layout/cycle8"/>
    <dgm:cxn modelId="{AC90A89C-D18E-4614-BE2A-3BD54CD4B0AA}" type="presOf" srcId="{7C55EC4C-37D6-4118-9B2A-C7DADFDEBD12}" destId="{B2194FA6-432B-48AD-9D65-A37638E27153}" srcOrd="0" destOrd="0" presId="urn:microsoft.com/office/officeart/2005/8/layout/cycle8"/>
    <dgm:cxn modelId="{028297A7-3A83-4D32-851F-07781267DFB3}" type="presOf" srcId="{204476EA-169D-45F6-ADE8-C01ED88E2382}" destId="{C15F2A8E-95A5-4541-97BC-414F5C022C48}" srcOrd="0" destOrd="0" presId="urn:microsoft.com/office/officeart/2005/8/layout/cycle8"/>
    <dgm:cxn modelId="{5FFD48C6-A921-452C-8FA9-509D3629010E}" type="presOf" srcId="{CBD299CB-C9F6-4DF0-979E-9027F9628113}" destId="{5A037A8D-6A3D-4901-AC91-73908F20E41F}" srcOrd="0" destOrd="0" presId="urn:microsoft.com/office/officeart/2005/8/layout/cycle8"/>
    <dgm:cxn modelId="{6A020ACB-EA33-4AC1-BAA0-8BA711A0BC25}" type="presOf" srcId="{2F61BA7D-AE54-499B-88EE-E04509F04C08}" destId="{A5066ACD-7F87-48D7-B9D5-536B374045A1}" srcOrd="1" destOrd="0" presId="urn:microsoft.com/office/officeart/2005/8/layout/cycle8"/>
    <dgm:cxn modelId="{40B20CE7-691F-4D36-ABF6-9F3591E67B2E}" srcId="{204476EA-169D-45F6-ADE8-C01ED88E2382}" destId="{7C55EC4C-37D6-4118-9B2A-C7DADFDEBD12}" srcOrd="0" destOrd="0" parTransId="{9D7DA37D-5304-40C3-98A1-E523EA414860}" sibTransId="{9B4FF076-B13A-485C-BF13-5470F1F35BC2}"/>
    <dgm:cxn modelId="{22E95227-C548-4F55-A1CF-1158359629D6}" type="presParOf" srcId="{C15F2A8E-95A5-4541-97BC-414F5C022C48}" destId="{B2194FA6-432B-48AD-9D65-A37638E27153}" srcOrd="0" destOrd="0" presId="urn:microsoft.com/office/officeart/2005/8/layout/cycle8"/>
    <dgm:cxn modelId="{67B9D3D0-E4A2-401E-BBE2-89DF98D0BB84}" type="presParOf" srcId="{C15F2A8E-95A5-4541-97BC-414F5C022C48}" destId="{D732F9F5-4D2C-4CB1-A0C9-EB014CE2EE5B}" srcOrd="1" destOrd="0" presId="urn:microsoft.com/office/officeart/2005/8/layout/cycle8"/>
    <dgm:cxn modelId="{A916037B-C425-4FB8-AC42-EE40BBEA7665}" type="presParOf" srcId="{C15F2A8E-95A5-4541-97BC-414F5C022C48}" destId="{192B0258-2AEF-4ABA-91EA-C57853EA9E1B}" srcOrd="2" destOrd="0" presId="urn:microsoft.com/office/officeart/2005/8/layout/cycle8"/>
    <dgm:cxn modelId="{03B9602D-88CD-43E3-8825-A73B41DA92D6}" type="presParOf" srcId="{C15F2A8E-95A5-4541-97BC-414F5C022C48}" destId="{232A3405-5EC6-4A3C-9E93-21069156B296}" srcOrd="3" destOrd="0" presId="urn:microsoft.com/office/officeart/2005/8/layout/cycle8"/>
    <dgm:cxn modelId="{D8464EA9-CDAB-41F4-B012-9FECEE68F722}" type="presParOf" srcId="{C15F2A8E-95A5-4541-97BC-414F5C022C48}" destId="{AC3455C5-ED19-4D47-B568-CC66F725DE7F}" srcOrd="4" destOrd="0" presId="urn:microsoft.com/office/officeart/2005/8/layout/cycle8"/>
    <dgm:cxn modelId="{E9F59253-EE37-4237-818E-400F4A68F446}" type="presParOf" srcId="{C15F2A8E-95A5-4541-97BC-414F5C022C48}" destId="{340A84AB-3CC1-406D-8D07-9D674FD4A51E}" srcOrd="5" destOrd="0" presId="urn:microsoft.com/office/officeart/2005/8/layout/cycle8"/>
    <dgm:cxn modelId="{A2FF4AFB-D682-4F7E-ABE2-E97C6C759B00}" type="presParOf" srcId="{C15F2A8E-95A5-4541-97BC-414F5C022C48}" destId="{2BACD001-9477-4694-AC09-EA98627DA709}" srcOrd="6" destOrd="0" presId="urn:microsoft.com/office/officeart/2005/8/layout/cycle8"/>
    <dgm:cxn modelId="{F03A353B-F208-4718-A468-20952F7D85B4}" type="presParOf" srcId="{C15F2A8E-95A5-4541-97BC-414F5C022C48}" destId="{A5066ACD-7F87-48D7-B9D5-536B374045A1}" srcOrd="7" destOrd="0" presId="urn:microsoft.com/office/officeart/2005/8/layout/cycle8"/>
    <dgm:cxn modelId="{69CB6CB5-4B2B-4E29-8366-D2C8DDFEDF55}" type="presParOf" srcId="{C15F2A8E-95A5-4541-97BC-414F5C022C48}" destId="{5A037A8D-6A3D-4901-AC91-73908F20E41F}" srcOrd="8" destOrd="0" presId="urn:microsoft.com/office/officeart/2005/8/layout/cycle8"/>
    <dgm:cxn modelId="{24713A8E-4389-4742-B0E6-66CCDD2BE036}" type="presParOf" srcId="{C15F2A8E-95A5-4541-97BC-414F5C022C48}" destId="{C6E88277-0F6E-4B61-A0F8-5022FEDAC620}" srcOrd="9" destOrd="0" presId="urn:microsoft.com/office/officeart/2005/8/layout/cycle8"/>
    <dgm:cxn modelId="{83B26F28-3BE3-4336-8DB5-0900DE2AAFE6}" type="presParOf" srcId="{C15F2A8E-95A5-4541-97BC-414F5C022C48}" destId="{40E1FDEF-EB17-41C5-A24A-6D6F069BFE01}" srcOrd="10" destOrd="0" presId="urn:microsoft.com/office/officeart/2005/8/layout/cycle8"/>
    <dgm:cxn modelId="{699D4308-F566-4A64-9C7D-E67A4F643BBF}" type="presParOf" srcId="{C15F2A8E-95A5-4541-97BC-414F5C022C48}" destId="{D43627B6-F3BE-4785-8280-3F4026925B41}" srcOrd="11" destOrd="0" presId="urn:microsoft.com/office/officeart/2005/8/layout/cycle8"/>
    <dgm:cxn modelId="{F86D0A72-FB4C-4129-8CC1-F5CBFCC7FE0B}" type="presParOf" srcId="{C15F2A8E-95A5-4541-97BC-414F5C022C48}" destId="{56DF2039-128E-4304-8854-12ABC8273318}" srcOrd="12" destOrd="0" presId="urn:microsoft.com/office/officeart/2005/8/layout/cycle8"/>
    <dgm:cxn modelId="{BF1BADDF-1A7D-4DDE-AEDF-AC86200A47F0}" type="presParOf" srcId="{C15F2A8E-95A5-4541-97BC-414F5C022C48}" destId="{0D9E0666-A4DA-4AB0-9C85-3BC8F95435BC}" srcOrd="13" destOrd="0" presId="urn:microsoft.com/office/officeart/2005/8/layout/cycle8"/>
    <dgm:cxn modelId="{F1287A9A-50BB-4704-A536-A2A4442586F3}" type="presParOf" srcId="{C15F2A8E-95A5-4541-97BC-414F5C022C48}" destId="{6A43CBD9-56AB-42A2-B135-A22246B15879}" srcOrd="14" destOrd="0" presId="urn:microsoft.com/office/officeart/2005/8/layout/cycle8"/>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194FA6-432B-48AD-9D65-A37638E27153}">
      <dsp:nvSpPr>
        <dsp:cNvPr id="0" name=""/>
        <dsp:cNvSpPr/>
      </dsp:nvSpPr>
      <dsp:spPr bwMode="white">
        <a:xfrm>
          <a:off x="1454399" y="208026"/>
          <a:ext cx="2688336" cy="2688336"/>
        </a:xfrm>
        <a:prstGeom prst="pie">
          <a:avLst>
            <a:gd name="adj1" fmla="val 16200000"/>
            <a:gd name="adj2" fmla="val 180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hemeClr val="accent2">
            <a:shade val="80000"/>
          </a:schemeClr>
        </a:lnRef>
        <a:fillRef idx="1">
          <a:schemeClr val="lt1"/>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600200">
            <a:lnSpc>
              <a:spcPct val="90000"/>
            </a:lnSpc>
            <a:spcBef>
              <a:spcPct val="0"/>
            </a:spcBef>
            <a:spcAft>
              <a:spcPct val="35000"/>
            </a:spcAft>
            <a:buNone/>
          </a:pPr>
          <a:r>
            <a:rPr lang="en-IN" sz="3600" kern="1200">
              <a:solidFill>
                <a:schemeClr val="dk1"/>
              </a:solidFill>
            </a:rPr>
            <a:t>Personalised care</a:t>
          </a:r>
        </a:p>
      </dsp:txBody>
      <dsp:txXfrm>
        <a:off x="1454399" y="208026"/>
        <a:ext cx="2688336" cy="2688336"/>
      </dsp:txXfrm>
    </dsp:sp>
    <dsp:sp modelId="{AC3455C5-ED19-4D47-B568-CC66F725DE7F}">
      <dsp:nvSpPr>
        <dsp:cNvPr id="0" name=""/>
        <dsp:cNvSpPr/>
      </dsp:nvSpPr>
      <dsp:spPr bwMode="white">
        <a:xfrm>
          <a:off x="1399032" y="304038"/>
          <a:ext cx="2688336" cy="2688336"/>
        </a:xfrm>
        <a:prstGeom prst="pie">
          <a:avLst>
            <a:gd name="adj1" fmla="val 1800000"/>
            <a:gd name="adj2" fmla="val 900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hemeClr val="accent2">
            <a:shade val="80000"/>
          </a:schemeClr>
        </a:lnRef>
        <a:fillRef idx="1">
          <a:schemeClr val="lt1"/>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600200">
            <a:lnSpc>
              <a:spcPct val="90000"/>
            </a:lnSpc>
            <a:spcBef>
              <a:spcPct val="0"/>
            </a:spcBef>
            <a:spcAft>
              <a:spcPct val="35000"/>
            </a:spcAft>
            <a:buNone/>
          </a:pPr>
          <a:r>
            <a:rPr lang="en-IN" sz="3600" kern="1200">
              <a:solidFill>
                <a:schemeClr val="dk1"/>
              </a:solidFill>
            </a:rPr>
            <a:t>Enabling care</a:t>
          </a:r>
        </a:p>
      </dsp:txBody>
      <dsp:txXfrm>
        <a:off x="1399032" y="304038"/>
        <a:ext cx="2688336" cy="2688336"/>
      </dsp:txXfrm>
    </dsp:sp>
    <dsp:sp modelId="{5A037A8D-6A3D-4901-AC91-73908F20E41F}">
      <dsp:nvSpPr>
        <dsp:cNvPr id="0" name=""/>
        <dsp:cNvSpPr/>
      </dsp:nvSpPr>
      <dsp:spPr bwMode="white">
        <a:xfrm>
          <a:off x="1343665" y="208026"/>
          <a:ext cx="2688336" cy="2688336"/>
        </a:xfrm>
        <a:prstGeom prst="pie">
          <a:avLst>
            <a:gd name="adj1" fmla="val 9000000"/>
            <a:gd name="adj2" fmla="val 1620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hemeClr val="accent2">
            <a:shade val="80000"/>
          </a:schemeClr>
        </a:lnRef>
        <a:fillRef idx="1">
          <a:schemeClr val="lt1"/>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600200">
            <a:lnSpc>
              <a:spcPct val="90000"/>
            </a:lnSpc>
            <a:spcBef>
              <a:spcPct val="0"/>
            </a:spcBef>
            <a:spcAft>
              <a:spcPct val="35000"/>
            </a:spcAft>
            <a:buNone/>
          </a:pPr>
          <a:r>
            <a:rPr lang="en-IN" sz="3600" kern="1200">
              <a:solidFill>
                <a:schemeClr val="dk1"/>
              </a:solidFill>
            </a:rPr>
            <a:t>Coordinate for the care</a:t>
          </a:r>
        </a:p>
      </dsp:txBody>
      <dsp:txXfrm>
        <a:off x="1343665" y="208026"/>
        <a:ext cx="2688336" cy="2688336"/>
      </dsp:txXfrm>
    </dsp:sp>
    <dsp:sp modelId="{56DF2039-128E-4304-8854-12ABC8273318}">
      <dsp:nvSpPr>
        <dsp:cNvPr id="0" name=""/>
        <dsp:cNvSpPr/>
      </dsp:nvSpPr>
      <dsp:spPr bwMode="white">
        <a:xfrm>
          <a:off x="1306762" y="60168"/>
          <a:ext cx="2984053" cy="2984053"/>
        </a:xfrm>
        <a:prstGeom prst="circularArrow">
          <a:avLst>
            <a:gd name="adj1" fmla="val 5000"/>
            <a:gd name="adj2" fmla="val 360000"/>
            <a:gd name="adj3" fmla="val 1440000"/>
            <a:gd name="adj4" fmla="val 16199432"/>
            <a:gd name="adj5" fmla="val 5500"/>
          </a:avLst>
        </a:prstGeom>
        <a:solidFill>
          <a:schemeClr val="accent2">
            <a:tint val="60000"/>
            <a:hueOff val="0"/>
            <a:satOff val="0"/>
            <a:lumOff val="0"/>
            <a:alphaOff val="0"/>
          </a:schemeClr>
        </a:solidFill>
        <a:ln>
          <a:noFill/>
        </a:ln>
        <a:effectLst/>
      </dsp:spPr>
      <dsp:style>
        <a:lnRef idx="0">
          <a:schemeClr val="accent2">
            <a:tint val="60000"/>
          </a:schemeClr>
        </a:lnRef>
        <a:fillRef idx="1">
          <a:schemeClr val="accent2">
            <a:tint val="60000"/>
          </a:schemeClr>
        </a:fillRef>
        <a:effectRef idx="0">
          <a:scrgbClr r="0" g="0" b="0"/>
        </a:effectRef>
        <a:fontRef idx="minor">
          <a:schemeClr val="lt1"/>
        </a:fontRef>
      </dsp:style>
    </dsp:sp>
    <dsp:sp modelId="{0D9E0666-A4DA-4AB0-9C85-3BC8F95435BC}">
      <dsp:nvSpPr>
        <dsp:cNvPr id="0" name=""/>
        <dsp:cNvSpPr/>
      </dsp:nvSpPr>
      <dsp:spPr bwMode="white">
        <a:xfrm>
          <a:off x="1251174" y="156010"/>
          <a:ext cx="2984053" cy="2984053"/>
        </a:xfrm>
        <a:prstGeom prst="circularArrow">
          <a:avLst>
            <a:gd name="adj1" fmla="val 5000"/>
            <a:gd name="adj2" fmla="val 360000"/>
            <a:gd name="adj3" fmla="val 8639497"/>
            <a:gd name="adj4" fmla="val 1800502"/>
            <a:gd name="adj5" fmla="val 5500"/>
          </a:avLst>
        </a:prstGeom>
        <a:solidFill>
          <a:schemeClr val="accent2">
            <a:tint val="60000"/>
            <a:hueOff val="0"/>
            <a:satOff val="0"/>
            <a:lumOff val="0"/>
            <a:alphaOff val="0"/>
          </a:schemeClr>
        </a:solidFill>
        <a:ln>
          <a:noFill/>
        </a:ln>
        <a:effectLst/>
      </dsp:spPr>
      <dsp:style>
        <a:lnRef idx="0">
          <a:schemeClr val="accent2">
            <a:tint val="60000"/>
          </a:schemeClr>
        </a:lnRef>
        <a:fillRef idx="1">
          <a:schemeClr val="accent2">
            <a:tint val="60000"/>
          </a:schemeClr>
        </a:fillRef>
        <a:effectRef idx="0">
          <a:scrgbClr r="0" g="0" b="0"/>
        </a:effectRef>
        <a:fontRef idx="minor">
          <a:schemeClr val="lt1"/>
        </a:fontRef>
      </dsp:style>
    </dsp:sp>
    <dsp:sp modelId="{6A43CBD9-56AB-42A2-B135-A22246B15879}">
      <dsp:nvSpPr>
        <dsp:cNvPr id="0" name=""/>
        <dsp:cNvSpPr/>
      </dsp:nvSpPr>
      <dsp:spPr bwMode="white">
        <a:xfrm>
          <a:off x="1195585" y="60168"/>
          <a:ext cx="2984053" cy="2984053"/>
        </a:xfrm>
        <a:prstGeom prst="circularArrow">
          <a:avLst>
            <a:gd name="adj1" fmla="val 5000"/>
            <a:gd name="adj2" fmla="val 360000"/>
            <a:gd name="adj3" fmla="val 15840567"/>
            <a:gd name="adj4" fmla="val 8999999"/>
            <a:gd name="adj5" fmla="val 5500"/>
          </a:avLst>
        </a:prstGeom>
        <a:solidFill>
          <a:schemeClr val="accent2">
            <a:tint val="60000"/>
            <a:hueOff val="0"/>
            <a:satOff val="0"/>
            <a:lumOff val="0"/>
            <a:alphaOff val="0"/>
          </a:schemeClr>
        </a:solidFill>
        <a:ln>
          <a:noFill/>
        </a:ln>
        <a:effectLst/>
      </dsp:spPr>
      <dsp:style>
        <a:lnRef idx="0">
          <a:schemeClr val="accent2">
            <a:tint val="60000"/>
          </a:schemeClr>
        </a:lnRef>
        <a:fillRef idx="1">
          <a:schemeClr val="accent2">
            <a:tint val="60000"/>
          </a:schemeClr>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vertAlign" val="mid"/>
      <dgm:param type="horzAlign" val="ctr"/>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srcNode" val="dummy1a"/>
                  <dgm:param type="dstNode" val="dummy1b"/>
                  <dgm:param type="begSty" val="arr"/>
                  <dgm:param type="endSty" val="noArr"/>
                  <dgm:param type="connRout" val="longCurve"/>
                  <dgm:param type="begPts" val="tL"/>
                  <dgm:param type="endPts" val="tR"/>
                </dgm:alg>
              </dgm:if>
              <dgm:else name="Name175">
                <dgm:alg type="conn">
                  <dgm:param type="srcNode" val="dummy1a"/>
                  <dgm:param type="dstNode" val="dummy1b"/>
                  <dgm:param type="begSty" val="noArr"/>
                  <dgm:param type="endSty" val="arr"/>
                  <dgm:param type="connRout" val="longCurve"/>
                  <dgm:param type="begPts" val="tL"/>
                  <dgm:param type="endPts" val="t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srcNode" val="dummy1a"/>
                  <dgm:param type="dstNode" val="dummy1b"/>
                  <dgm:param type="begSty" val="noArr"/>
                  <dgm:param type="endSty" val="arr"/>
                  <dgm:param type="connRout" val="curve"/>
                  <dgm:param type="begPts" val="tL"/>
                  <dgm:param type="endPts" val="tL"/>
                </dgm:alg>
              </dgm:if>
              <dgm:else name="Name180">
                <dgm:alg type="conn">
                  <dgm:param type="srcNode" val="dummy1a"/>
                  <dgm:param type="dstNode" val="dummy1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srcNode" val="dummy2a"/>
              <dgm:param type="dstNode" val="dummy2b"/>
              <dgm:param type="begSty" val="noArr"/>
              <dgm:param type="endSty" val="arr"/>
              <dgm:param type="connRout" val="curve"/>
              <dgm:param type="begPts" val="tL"/>
              <dgm:param type="endPts" val="tL"/>
            </dgm:alg>
          </dgm:if>
          <dgm:else name="Name185">
            <dgm:alg type="conn">
              <dgm:param type="srcNode" val="dummy2a"/>
              <dgm:param type="dstNode" val="dummy2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srcNode" val="dummy3a"/>
              <dgm:param type="dstNode" val="dummy3b"/>
              <dgm:param type="begSty" val="noArr"/>
              <dgm:param type="endSty" val="arr"/>
              <dgm:param type="connRout" val="curve"/>
              <dgm:param type="begPts" val="tL"/>
              <dgm:param type="endPts" val="tL"/>
            </dgm:alg>
          </dgm:if>
          <dgm:else name="Name189">
            <dgm:alg type="conn">
              <dgm:param type="srcNode" val="dummy3a"/>
              <dgm:param type="dstNode" val="dummy3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srcNode" val="dummy4a"/>
              <dgm:param type="dstNode" val="dummy4b"/>
              <dgm:param type="begSty" val="noArr"/>
              <dgm:param type="endSty" val="arr"/>
              <dgm:param type="connRout" val="curve"/>
              <dgm:param type="begPts" val="tL"/>
              <dgm:param type="endPts" val="tL"/>
            </dgm:alg>
          </dgm:if>
          <dgm:else name="Name193">
            <dgm:alg type="conn">
              <dgm:param type="srcNode" val="dummy4a"/>
              <dgm:param type="dstNode" val="dummy4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srcNode" val="dummy5a"/>
              <dgm:param type="dstNode" val="dummy5b"/>
              <dgm:param type="begSty" val="noArr"/>
              <dgm:param type="endSty" val="arr"/>
              <dgm:param type="connRout" val="curve"/>
              <dgm:param type="begPts" val="tL"/>
              <dgm:param type="endPts" val="tL"/>
            </dgm:alg>
          </dgm:if>
          <dgm:else name="Name197">
            <dgm:alg type="conn">
              <dgm:param type="srcNode" val="dummy5a"/>
              <dgm:param type="dstNode" val="dummy5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srcNode" val="dummy6a"/>
              <dgm:param type="dstNode" val="dummy6b"/>
              <dgm:param type="begSty" val="noArr"/>
              <dgm:param type="endSty" val="arr"/>
              <dgm:param type="connRout" val="curve"/>
              <dgm:param type="begPts" val="tL"/>
              <dgm:param type="endPts" val="tL"/>
            </dgm:alg>
          </dgm:if>
          <dgm:else name="Name201">
            <dgm:alg type="conn">
              <dgm:param type="srcNode" val="dummy6a"/>
              <dgm:param type="dstNode" val="dummy6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srcNode" val="dummy7a"/>
              <dgm:param type="dstNode" val="dummy7b"/>
              <dgm:param type="begSty" val="noArr"/>
              <dgm:param type="endSty" val="arr"/>
              <dgm:param type="connRout" val="curve"/>
              <dgm:param type="begPts" val="tL"/>
              <dgm:param type="endPts" val="tL"/>
            </dgm:alg>
          </dgm:if>
          <dgm:else name="Name205">
            <dgm:alg type="conn">
              <dgm:param type="srcNode" val="dummy7a"/>
              <dgm:param type="dstNode" val="dummy7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38C5-E4C0-4A15-B6DD-D739D5B6F8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2867</Words>
  <Characters>16348</Characters>
  <Application>Microsoft Office Word</Application>
  <DocSecurity>0</DocSecurity>
  <Lines>136</Lines>
  <Paragraphs>38</Paragraphs>
  <ScaleCrop>false</ScaleCrop>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2026-03-21T19:02:00Z</dcterms:created>
  <dcterms:modified xsi:type="dcterms:W3CDTF">2026-03-21T19:05:00Z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c27cdd28-e2e2-44b2-bb18-3d4be07f4d78</vt:lpwstr>
  </property>
  <property fmtid="{D5CDD505-2E9C-101B-9397-08002B2CF9AE}" pid="3" name="KSOProductBuildVer">
    <vt:lpwstr>2057-12.2.0.23196</vt:lpwstr>
  </property>
  <property fmtid="{D5CDD505-2E9C-101B-9397-08002B2CF9AE}" pid="4" name="ICV">
    <vt:lpwstr>D0D03BC3792B4274B2C7DDD4B3F56F93_12</vt:lpwstr>
  </property>
</Properties>
</file>