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360" w:lineRule="auto"/>
        <w:jc w:val="center"/>
        <w:rPr>
          <w:rFonts w:ascii="Arial" w:hAnsi="Arial"/>
        </w:rPr>
      </w:pPr>
      <w:r>
        <w:rPr>
          <w:rFonts w:ascii="Arial" w:hAnsi="Arial"/>
        </w:rPr>
        <w:drawing xmlns:a="http://schemas.openxmlformats.org/drawingml/2006/main">
          <wp:inline distT="0" distB="0" distL="0" distR="0">
            <wp:extent cx="1991003" cy="876422"/>
            <wp:effectExtent l="0" t="0" r="0" b="0"/>
            <wp:docPr id="1073741825" name="officeArt object" descr="Picture 2"/>
            <wp:cNvGraphicFramePr/>
            <a:graphic xmlns:a="http://schemas.openxmlformats.org/drawingml/2006/main">
              <a:graphicData uri="http://schemas.openxmlformats.org/drawingml/2006/picture">
                <pic:pic xmlns:pic="http://schemas.openxmlformats.org/drawingml/2006/picture">
                  <pic:nvPicPr>
                    <pic:cNvPr id="1073741825" name="Picture 2" descr="Picture 2"/>
                    <pic:cNvPicPr>
                      <a:picLocks noChangeAspect="1"/>
                    </pic:cNvPicPr>
                  </pic:nvPicPr>
                  <pic:blipFill>
                    <a:blip r:embed="rId4">
                      <a:extLst/>
                    </a:blip>
                    <a:stretch>
                      <a:fillRect/>
                    </a:stretch>
                  </pic:blipFill>
                  <pic:spPr>
                    <a:xfrm>
                      <a:off x="0" y="0"/>
                      <a:ext cx="1991003" cy="876422"/>
                    </a:xfrm>
                    <a:prstGeom prst="rect">
                      <a:avLst/>
                    </a:prstGeom>
                    <a:ln w="12700" cap="flat">
                      <a:noFill/>
                      <a:miter lim="400000"/>
                    </a:ln>
                    <a:effectLst/>
                  </pic:spPr>
                </pic:pic>
              </a:graphicData>
            </a:graphic>
          </wp:inline>
        </w:drawing>
      </w:r>
    </w:p>
    <w:p>
      <w:pPr>
        <w:pStyle w:val="Body"/>
        <w:spacing w:line="360" w:lineRule="auto"/>
        <w:jc w:val="both"/>
        <w:rPr>
          <w:rFonts w:ascii="Arial" w:hAnsi="Arial"/>
        </w:rPr>
      </w:pPr>
    </w:p>
    <w:p>
      <w:pPr>
        <w:pStyle w:val="Body"/>
        <w:spacing w:line="360" w:lineRule="auto"/>
        <w:jc w:val="both"/>
        <w:rPr>
          <w:rFonts w:ascii="Arial" w:hAnsi="Arial"/>
        </w:rPr>
      </w:pPr>
    </w:p>
    <w:p>
      <w:pPr>
        <w:pStyle w:val="Body"/>
        <w:spacing w:line="360" w:lineRule="auto"/>
        <w:jc w:val="both"/>
        <w:rPr>
          <w:rFonts w:ascii="Arial" w:hAnsi="Arial"/>
        </w:rPr>
      </w:pPr>
    </w:p>
    <w:p>
      <w:pPr>
        <w:pStyle w:val="Body"/>
        <w:spacing w:line="360" w:lineRule="auto"/>
        <w:jc w:val="center"/>
        <w:rPr>
          <w:rFonts w:ascii="Arial" w:cs="Arial" w:hAnsi="Arial" w:eastAsia="Arial"/>
          <w:sz w:val="28"/>
          <w:szCs w:val="28"/>
        </w:rPr>
      </w:pPr>
      <w:r>
        <w:rPr>
          <w:rFonts w:ascii="Arial" w:hAnsi="Arial"/>
          <w:sz w:val="28"/>
          <w:szCs w:val="28"/>
          <w:rtl w:val="0"/>
          <w:lang w:val="de-DE"/>
        </w:rPr>
        <w:t>Module Code: LCHS4003</w:t>
      </w:r>
      <w:r>
        <w:rPr>
          <w:rFonts w:ascii="Arial" w:cs="Arial" w:hAnsi="Arial" w:eastAsia="Arial"/>
          <w:sz w:val="28"/>
          <w:szCs w:val="28"/>
        </w:rPr>
        <w:br w:type="textWrapping"/>
      </w:r>
      <w:r>
        <w:rPr>
          <w:rFonts w:ascii="Arial" w:hAnsi="Arial"/>
          <w:sz w:val="28"/>
          <w:szCs w:val="28"/>
          <w:rtl w:val="0"/>
          <w:lang w:val="en-US"/>
        </w:rPr>
        <w:t>Module: Introduction to Health and Social Care</w:t>
      </w:r>
    </w:p>
    <w:p>
      <w:pPr>
        <w:pStyle w:val="Body"/>
        <w:spacing w:line="360" w:lineRule="auto"/>
        <w:jc w:val="center"/>
        <w:rPr>
          <w:rFonts w:ascii="Arial" w:cs="Arial" w:hAnsi="Arial" w:eastAsia="Arial"/>
        </w:rPr>
      </w:pPr>
    </w:p>
    <w:p>
      <w:pPr>
        <w:pStyle w:val="Body"/>
        <w:spacing w:line="360" w:lineRule="auto"/>
        <w:jc w:val="center"/>
        <w:rPr>
          <w:rFonts w:ascii="Arial" w:cs="Arial" w:hAnsi="Arial" w:eastAsia="Arial"/>
          <w:sz w:val="28"/>
          <w:szCs w:val="28"/>
        </w:rPr>
      </w:pPr>
    </w:p>
    <w:p>
      <w:pPr>
        <w:pStyle w:val="Body"/>
        <w:spacing w:line="360" w:lineRule="auto"/>
        <w:jc w:val="center"/>
        <w:rPr>
          <w:rFonts w:ascii="Arial" w:cs="Arial" w:hAnsi="Arial" w:eastAsia="Arial"/>
          <w:sz w:val="28"/>
          <w:szCs w:val="28"/>
        </w:rPr>
      </w:pPr>
      <w:r>
        <w:rPr>
          <w:rFonts w:ascii="Arial" w:hAnsi="Arial"/>
          <w:sz w:val="28"/>
          <w:szCs w:val="28"/>
          <w:rtl w:val="0"/>
          <w:lang w:val="en-US"/>
        </w:rPr>
        <w:t xml:space="preserve">Assignment Title: Portfolio </w:t>
      </w:r>
      <w:r>
        <w:rPr>
          <w:rFonts w:ascii="Arial" w:hAnsi="Arial" w:hint="default"/>
          <w:sz w:val="28"/>
          <w:szCs w:val="28"/>
          <w:rtl w:val="0"/>
          <w:lang w:val="en-US"/>
        </w:rPr>
        <w:t xml:space="preserve">– </w:t>
      </w:r>
      <w:r>
        <w:rPr>
          <w:rFonts w:ascii="Arial" w:hAnsi="Arial"/>
          <w:sz w:val="28"/>
          <w:szCs w:val="28"/>
          <w:rtl w:val="0"/>
        </w:rPr>
        <w:t>Two Tas</w:t>
      </w:r>
      <w:r>
        <w:rPr>
          <w:rFonts w:ascii="Arial" w:hAnsi="Arial"/>
          <w:sz w:val="28"/>
          <w:szCs w:val="28"/>
          <w:rtl w:val="0"/>
          <w:lang w:val="fr-FR"/>
        </w:rPr>
        <w:t>k</w:t>
      </w:r>
    </w:p>
    <w:p>
      <w:pPr>
        <w:pStyle w:val="Body"/>
        <w:spacing w:line="360" w:lineRule="auto"/>
        <w:jc w:val="center"/>
        <w:rPr>
          <w:rFonts w:ascii="Arial" w:cs="Arial" w:hAnsi="Arial" w:eastAsia="Arial"/>
          <w:sz w:val="28"/>
          <w:szCs w:val="28"/>
        </w:rPr>
      </w:pPr>
      <w:r>
        <w:rPr>
          <w:rFonts w:ascii="Arial" w:hAnsi="Arial"/>
          <w:sz w:val="28"/>
          <w:szCs w:val="28"/>
          <w:rtl w:val="0"/>
          <w:lang w:val="fr-FR"/>
        </w:rPr>
        <w:t>Name: Cathy</w:t>
      </w:r>
    </w:p>
    <w:p>
      <w:pPr>
        <w:pStyle w:val="Body"/>
        <w:spacing w:line="360" w:lineRule="auto"/>
        <w:jc w:val="center"/>
        <w:rPr>
          <w:rFonts w:ascii="Arial" w:cs="Arial" w:hAnsi="Arial" w:eastAsia="Arial"/>
          <w:sz w:val="28"/>
          <w:szCs w:val="28"/>
        </w:rPr>
      </w:pPr>
      <w:r>
        <w:rPr>
          <w:rFonts w:ascii="Arial" w:hAnsi="Arial"/>
          <w:sz w:val="28"/>
          <w:szCs w:val="28"/>
          <w:rtl w:val="0"/>
          <w:lang w:val="fr-FR"/>
        </w:rPr>
        <w:t>Surname: Salumu</w:t>
      </w:r>
    </w:p>
    <w:p>
      <w:pPr>
        <w:pStyle w:val="Body"/>
        <w:spacing w:line="360" w:lineRule="auto"/>
        <w:jc w:val="center"/>
        <w:rPr>
          <w:rFonts w:ascii="Arial" w:cs="Arial" w:hAnsi="Arial" w:eastAsia="Arial"/>
          <w:sz w:val="28"/>
          <w:szCs w:val="28"/>
        </w:rPr>
      </w:pPr>
      <w:r>
        <w:rPr>
          <w:rFonts w:ascii="Arial" w:hAnsi="Arial"/>
          <w:sz w:val="28"/>
          <w:szCs w:val="28"/>
          <w:rtl w:val="0"/>
          <w:lang w:val="fr-FR"/>
        </w:rPr>
        <w:t>Student number:2441715</w:t>
      </w:r>
    </w:p>
    <w:p>
      <w:pPr>
        <w:pStyle w:val="Body"/>
        <w:spacing w:line="360" w:lineRule="auto"/>
        <w:jc w:val="center"/>
        <w:rPr>
          <w:rFonts w:ascii="Arial" w:cs="Arial" w:hAnsi="Arial" w:eastAsia="Arial"/>
          <w:sz w:val="28"/>
          <w:szCs w:val="28"/>
        </w:rPr>
      </w:pPr>
      <w:r>
        <w:rPr>
          <w:rFonts w:ascii="Arial" w:hAnsi="Arial"/>
          <w:sz w:val="28"/>
          <w:szCs w:val="28"/>
          <w:rtl w:val="0"/>
          <w:lang w:val="fr-FR"/>
        </w:rPr>
        <w:t>Lecture: Brian Bashumba</w:t>
      </w:r>
    </w:p>
    <w:p>
      <w:pPr>
        <w:pStyle w:val="Body"/>
        <w:spacing w:line="360" w:lineRule="auto"/>
        <w:jc w:val="center"/>
      </w:pPr>
      <w:r>
        <w:rPr>
          <w:rFonts w:ascii="Arial" w:hAnsi="Arial"/>
          <w:sz w:val="28"/>
          <w:szCs w:val="28"/>
          <w:rtl w:val="0"/>
          <w:lang w:val="fr-FR"/>
        </w:rPr>
        <w:t xml:space="preserve"> </w:t>
      </w:r>
      <w:r>
        <w:rPr>
          <w:rFonts w:ascii="Arial Unicode MS" w:cs="Arial Unicode MS" w:hAnsi="Arial Unicode MS" w:eastAsia="Arial Unicode MS"/>
          <w:b w:val="0"/>
          <w:bCs w:val="0"/>
          <w:i w:val="0"/>
          <w:iCs w:val="0"/>
        </w:rPr>
        <w:br w:type="page"/>
      </w:r>
    </w:p>
    <w:p>
      <w:pPr>
        <w:pStyle w:val="TOC Heading"/>
        <w:spacing w:before="120" w:after="120" w:line="360" w:lineRule="auto"/>
        <w:jc w:val="both"/>
        <w:rPr>
          <w:rFonts w:ascii="Arial" w:cs="Arial" w:hAnsi="Arial" w:eastAsia="Arial"/>
        </w:rPr>
      </w:pPr>
      <w:r>
        <w:rPr>
          <w:rFonts w:ascii="Arial" w:hAnsi="Arial"/>
          <w:rtl w:val="0"/>
          <w:lang w:val="en-US"/>
        </w:rPr>
        <w:t>Table of Contents</w:t>
      </w:r>
    </w:p>
    <w:p>
      <w:pPr>
        <w:pStyle w:val="Body"/>
        <w:spacing w:before="120" w:after="120" w:line="360" w:lineRule="auto"/>
        <w:jc w:val="both"/>
      </w:pPr>
      <w:r>
        <w:rPr>
          <w:rFonts w:ascii="Arial" w:cs="Arial" w:hAnsi="Arial" w:eastAsia="Arial"/>
        </w:rPr>
        <w:fldChar w:fldCharType="begin" w:fldLock="0"/>
      </w:r>
      <w:r>
        <w:rPr>
          <w:rFonts w:ascii="Arial" w:cs="Arial" w:hAnsi="Arial" w:eastAsia="Arial"/>
        </w:rPr>
        <w:instrText xml:space="preserve"> TOC \o 1-2 </w:instrText>
      </w:r>
      <w:r>
        <w:rPr>
          <w:rFonts w:ascii="Arial" w:cs="Arial" w:hAnsi="Arial" w:eastAsia="Arial"/>
        </w:rPr>
        <w:fldChar w:fldCharType="separate" w:fldLock="0"/>
      </w:r>
    </w:p>
    <w:p>
      <w:pPr>
        <w:pStyle w:val="TOC 1"/>
      </w:pPr>
      <w:r>
        <w:rPr>
          <w:rFonts w:cs="Arial Unicode MS" w:eastAsia="Arial Unicode MS"/>
          <w:rtl w:val="0"/>
        </w:rPr>
        <w:t>Task 1: Poster Presentation</w:t>
        <w:tab/>
      </w:r>
      <w:r>
        <w:rPr/>
        <w:fldChar w:fldCharType="begin" w:fldLock="0"/>
      </w:r>
      <w:r>
        <w:instrText xml:space="preserve"> PAGEREF _Toc \h </w:instrText>
      </w:r>
      <w:r>
        <w:rPr/>
        <w:fldChar w:fldCharType="separate" w:fldLock="0"/>
      </w:r>
      <w:r>
        <w:rPr>
          <w:rFonts w:cs="Arial Unicode MS" w:eastAsia="Arial Unicode MS"/>
          <w:rtl w:val="0"/>
        </w:rPr>
        <w:t>2</w:t>
      </w:r>
      <w:r>
        <w:rPr/>
        <w:fldChar w:fldCharType="end" w:fldLock="0"/>
      </w:r>
    </w:p>
    <w:p>
      <w:pPr>
        <w:pStyle w:val="TOC 2"/>
      </w:pPr>
      <w:r>
        <w:rPr>
          <w:rFonts w:cs="Arial Unicode MS" w:eastAsia="Arial Unicode MS"/>
          <w:rtl w:val="0"/>
        </w:rPr>
        <w:t>Introduction</w:t>
        <w:tab/>
      </w:r>
      <w:r>
        <w:rPr/>
        <w:fldChar w:fldCharType="begin" w:fldLock="0"/>
      </w:r>
      <w:r>
        <w:instrText xml:space="preserve"> PAGEREF _Toc1 \h </w:instrText>
      </w:r>
      <w:r>
        <w:rPr/>
        <w:fldChar w:fldCharType="separate" w:fldLock="0"/>
      </w:r>
      <w:r>
        <w:rPr>
          <w:rFonts w:cs="Arial Unicode MS" w:eastAsia="Arial Unicode MS"/>
          <w:rtl w:val="0"/>
        </w:rPr>
        <w:t>3</w:t>
      </w:r>
      <w:r>
        <w:rPr/>
        <w:fldChar w:fldCharType="end" w:fldLock="0"/>
      </w:r>
    </w:p>
    <w:p>
      <w:pPr>
        <w:pStyle w:val="TOC 2"/>
      </w:pPr>
      <w:r>
        <w:rPr>
          <w:rFonts w:cs="Arial Unicode MS" w:eastAsia="Arial Unicode MS"/>
          <w:rtl w:val="0"/>
        </w:rPr>
        <w:t>History of Ambulance Services</w:t>
        <w:tab/>
      </w:r>
      <w:r>
        <w:rPr/>
        <w:fldChar w:fldCharType="begin" w:fldLock="0"/>
      </w:r>
      <w:r>
        <w:instrText xml:space="preserve"> PAGEREF _Toc2 \h </w:instrText>
      </w:r>
      <w:r>
        <w:rPr/>
        <w:fldChar w:fldCharType="separate" w:fldLock="0"/>
      </w:r>
      <w:r>
        <w:rPr>
          <w:rFonts w:cs="Arial Unicode MS" w:eastAsia="Arial Unicode MS"/>
          <w:rtl w:val="0"/>
        </w:rPr>
        <w:t>3</w:t>
      </w:r>
      <w:r>
        <w:rPr/>
        <w:fldChar w:fldCharType="end" w:fldLock="0"/>
      </w:r>
    </w:p>
    <w:p>
      <w:pPr>
        <w:pStyle w:val="TOC 2"/>
      </w:pPr>
      <w:r>
        <w:rPr>
          <w:rFonts w:cs="Arial Unicode MS" w:eastAsia="Arial Unicode MS"/>
          <w:rtl w:val="0"/>
        </w:rPr>
        <w:t>Present Functioning of the Ambulance Services</w:t>
        <w:tab/>
      </w:r>
      <w:r>
        <w:rPr/>
        <w:fldChar w:fldCharType="begin" w:fldLock="0"/>
      </w:r>
      <w:r>
        <w:instrText xml:space="preserve"> PAGEREF _Toc3 \h </w:instrText>
      </w:r>
      <w:r>
        <w:rPr/>
        <w:fldChar w:fldCharType="separate" w:fldLock="0"/>
      </w:r>
      <w:r>
        <w:rPr>
          <w:rFonts w:cs="Arial Unicode MS" w:eastAsia="Arial Unicode MS"/>
          <w:rtl w:val="0"/>
        </w:rPr>
        <w:t>3</w:t>
      </w:r>
      <w:r>
        <w:rPr/>
        <w:fldChar w:fldCharType="end" w:fldLock="0"/>
      </w:r>
    </w:p>
    <w:p>
      <w:pPr>
        <w:pStyle w:val="TOC 2"/>
      </w:pPr>
      <w:r>
        <w:rPr>
          <w:rFonts w:cs="Arial Unicode MS" w:eastAsia="Arial Unicode MS"/>
          <w:rtl w:val="0"/>
        </w:rPr>
        <w:t>Onsite Clinical Assessment and Treatment</w:t>
        <w:tab/>
      </w:r>
      <w:r>
        <w:rPr/>
        <w:fldChar w:fldCharType="begin" w:fldLock="0"/>
      </w:r>
      <w:r>
        <w:instrText xml:space="preserve"> PAGEREF _Toc4 \h </w:instrText>
      </w:r>
      <w:r>
        <w:rPr/>
        <w:fldChar w:fldCharType="separate" w:fldLock="0"/>
      </w:r>
      <w:r>
        <w:rPr>
          <w:rFonts w:cs="Arial Unicode MS" w:eastAsia="Arial Unicode MS"/>
          <w:rtl w:val="0"/>
        </w:rPr>
        <w:t>4</w:t>
      </w:r>
      <w:r>
        <w:rPr/>
        <w:fldChar w:fldCharType="end" w:fldLock="0"/>
      </w:r>
    </w:p>
    <w:p>
      <w:pPr>
        <w:pStyle w:val="TOC 2"/>
      </w:pPr>
      <w:r>
        <w:rPr>
          <w:rFonts w:cs="Arial Unicode MS" w:eastAsia="Arial Unicode MS"/>
          <w:rtl w:val="0"/>
        </w:rPr>
        <w:t>Digital Integration and Technology</w:t>
        <w:tab/>
      </w:r>
      <w:r>
        <w:rPr/>
        <w:fldChar w:fldCharType="begin" w:fldLock="0"/>
      </w:r>
      <w:r>
        <w:instrText xml:space="preserve"> PAGEREF _Toc5 \h </w:instrText>
      </w:r>
      <w:r>
        <w:rPr/>
        <w:fldChar w:fldCharType="separate" w:fldLock="0"/>
      </w:r>
      <w:r>
        <w:rPr>
          <w:rFonts w:cs="Arial Unicode MS" w:eastAsia="Arial Unicode MS"/>
          <w:rtl w:val="0"/>
        </w:rPr>
        <w:t>4</w:t>
      </w:r>
      <w:r>
        <w:rPr/>
        <w:fldChar w:fldCharType="end" w:fldLock="0"/>
      </w:r>
    </w:p>
    <w:p>
      <w:pPr>
        <w:pStyle w:val="TOC 2"/>
      </w:pPr>
      <w:r>
        <w:rPr>
          <w:rFonts w:cs="Arial Unicode MS" w:eastAsia="Arial Unicode MS"/>
          <w:rtl w:val="0"/>
        </w:rPr>
        <w:t>Existing Challenges Affecting Ambulance Services</w:t>
        <w:tab/>
      </w:r>
      <w:r>
        <w:rPr/>
        <w:fldChar w:fldCharType="begin" w:fldLock="0"/>
      </w:r>
      <w:r>
        <w:instrText xml:space="preserve"> PAGEREF _Toc6 \h </w:instrText>
      </w:r>
      <w:r>
        <w:rPr/>
        <w:fldChar w:fldCharType="separate" w:fldLock="0"/>
      </w:r>
      <w:r>
        <w:rPr>
          <w:rFonts w:cs="Arial Unicode MS" w:eastAsia="Arial Unicode MS"/>
          <w:rtl w:val="0"/>
        </w:rPr>
        <w:t>4</w:t>
      </w:r>
      <w:r>
        <w:rPr/>
        <w:fldChar w:fldCharType="end" w:fldLock="0"/>
      </w:r>
    </w:p>
    <w:p>
      <w:pPr>
        <w:pStyle w:val="TOC 2"/>
      </w:pPr>
      <w:r>
        <w:rPr>
          <w:rFonts w:cs="Arial Unicode MS" w:eastAsia="Arial Unicode MS"/>
          <w:rtl w:val="0"/>
        </w:rPr>
        <w:t>Conclusion</w:t>
        <w:tab/>
      </w:r>
      <w:r>
        <w:rPr/>
        <w:fldChar w:fldCharType="begin" w:fldLock="0"/>
      </w:r>
      <w:r>
        <w:instrText xml:space="preserve"> PAGEREF _Toc7 \h </w:instrText>
      </w:r>
      <w:r>
        <w:rPr/>
        <w:fldChar w:fldCharType="separate" w:fldLock="0"/>
      </w:r>
      <w:r>
        <w:rPr>
          <w:rFonts w:cs="Arial Unicode MS" w:eastAsia="Arial Unicode MS"/>
          <w:rtl w:val="0"/>
        </w:rPr>
        <w:t>5</w:t>
      </w:r>
      <w:r>
        <w:rPr/>
        <w:fldChar w:fldCharType="end" w:fldLock="0"/>
      </w:r>
    </w:p>
    <w:p>
      <w:pPr>
        <w:pStyle w:val="TOC 1"/>
      </w:pPr>
      <w:r>
        <w:rPr>
          <w:rFonts w:cs="Arial Unicode MS" w:eastAsia="Arial Unicode MS"/>
          <w:rtl w:val="0"/>
        </w:rPr>
        <w:t>Task 2: Essay on the origins of the National Health Service (NHS), exploring the historical context and key principles that led to its establishment</w:t>
        <w:tab/>
      </w:r>
      <w:r>
        <w:rPr/>
        <w:fldChar w:fldCharType="begin" w:fldLock="0"/>
      </w:r>
      <w:r>
        <w:instrText xml:space="preserve"> PAGEREF _Toc8 \h </w:instrText>
      </w:r>
      <w:r>
        <w:rPr/>
        <w:fldChar w:fldCharType="separate" w:fldLock="0"/>
      </w:r>
      <w:r>
        <w:rPr>
          <w:rFonts w:cs="Arial Unicode MS" w:eastAsia="Arial Unicode MS"/>
          <w:rtl w:val="0"/>
        </w:rPr>
        <w:t>6</w:t>
      </w:r>
      <w:r>
        <w:rPr/>
        <w:fldChar w:fldCharType="end" w:fldLock="0"/>
      </w:r>
    </w:p>
    <w:p>
      <w:pPr>
        <w:pStyle w:val="TOC 1"/>
      </w:pPr>
      <w:r>
        <w:rPr>
          <w:rFonts w:cs="Arial Unicode MS" w:eastAsia="Arial Unicode MS"/>
          <w:rtl w:val="0"/>
        </w:rPr>
        <w:t>References</w:t>
        <w:tab/>
      </w:r>
      <w:r>
        <w:rPr/>
        <w:fldChar w:fldCharType="begin" w:fldLock="0"/>
      </w:r>
      <w:r>
        <w:instrText xml:space="preserve"> PAGEREF _Toc9 \h </w:instrText>
      </w:r>
      <w:r>
        <w:rPr/>
        <w:fldChar w:fldCharType="separate" w:fldLock="0"/>
      </w:r>
      <w:r>
        <w:rPr>
          <w:rFonts w:cs="Arial Unicode MS" w:eastAsia="Arial Unicode MS"/>
          <w:rtl w:val="0"/>
        </w:rPr>
        <w:t>8</w:t>
      </w:r>
      <w:r>
        <w:rPr/>
        <w:fldChar w:fldCharType="end" w:fldLock="0"/>
      </w:r>
    </w:p>
    <w:p>
      <w:pPr>
        <w:spacing w:before="120" w:after="120" w:line="360" w:lineRule="auto"/>
        <w:jc w:val="both"/>
        <w:rPr>
          <w:rFonts w:ascii="Arial" w:cs="Arial" w:hAnsi="Arial" w:eastAsia="Arial"/>
        </w:rPr>
      </w:pPr>
      <w:r>
        <w:rPr>
          <w:rFonts w:ascii="Arial" w:cs="Arial" w:hAnsi="Arial" w:eastAsia="Arial"/>
        </w:rPr>
        <w:fldChar w:fldCharType="end" w:fldLock="0"/>
      </w:r>
    </w:p>
    <w:p>
      <w:pPr>
        <w:pStyle w:val="Body"/>
        <w:spacing w:before="120" w:after="120" w:line="360" w:lineRule="auto"/>
        <w:jc w:val="both"/>
      </w:pPr>
      <w:r>
        <w:rPr>
          <w:rFonts w:ascii="Arial Unicode MS" w:cs="Arial Unicode MS" w:hAnsi="Arial Unicode MS" w:eastAsia="Arial Unicode MS"/>
          <w:b w:val="0"/>
          <w:bCs w:val="0"/>
          <w:i w:val="0"/>
          <w:iCs w:val="0"/>
        </w:rPr>
        <w:br w:type="page"/>
      </w:r>
    </w:p>
    <w:p>
      <w:pPr>
        <w:pStyle w:val="Heading"/>
        <w:spacing w:before="120" w:after="120" w:line="360" w:lineRule="auto"/>
        <w:jc w:val="center"/>
        <w:rPr>
          <w:rFonts w:ascii="Arial" w:cs="Arial" w:hAnsi="Arial" w:eastAsia="Arial"/>
        </w:rPr>
      </w:pPr>
      <w:bookmarkStart w:name="_Toc" w:id="0"/>
      <w:r>
        <w:rPr>
          <w:rFonts w:ascii="Arial" w:hAnsi="Arial"/>
          <w:rtl w:val="0"/>
          <w:lang w:val="de-DE"/>
        </w:rPr>
        <w:t>Task 1: Poster Presentation</w:t>
      </w:r>
      <w:r>
        <w:rPr>
          <w:rFonts w:ascii="Arial" w:cs="Arial" w:hAnsi="Arial" w:eastAsia="Arial"/>
          <w:outline w:val="0"/>
          <w:color w:val="000000"/>
          <w:u w:color="000000"/>
          <w14:textFill>
            <w14:solidFill>
              <w14:srgbClr w14:val="000000"/>
            </w14:solidFill>
          </w14:textFill>
        </w:rPr>
        <w:drawing xmlns:a="http://schemas.openxmlformats.org/drawingml/2006/main">
          <wp:inline distT="0" distB="0" distL="0" distR="0">
            <wp:extent cx="5382260" cy="7772400"/>
            <wp:effectExtent l="0" t="0" r="0" b="0"/>
            <wp:docPr id="1073741826" name="officeArt object" descr="Picture 1"/>
            <wp:cNvGraphicFramePr/>
            <a:graphic xmlns:a="http://schemas.openxmlformats.org/drawingml/2006/main">
              <a:graphicData uri="http://schemas.openxmlformats.org/drawingml/2006/picture">
                <pic:pic xmlns:pic="http://schemas.openxmlformats.org/drawingml/2006/picture">
                  <pic:nvPicPr>
                    <pic:cNvPr id="1073741826" name="Picture 1" descr="Picture 1"/>
                    <pic:cNvPicPr>
                      <a:picLocks noChangeAspect="1"/>
                    </pic:cNvPicPr>
                  </pic:nvPicPr>
                  <pic:blipFill>
                    <a:blip r:embed="rId5">
                      <a:extLst/>
                    </a:blip>
                    <a:stretch>
                      <a:fillRect/>
                    </a:stretch>
                  </pic:blipFill>
                  <pic:spPr>
                    <a:xfrm>
                      <a:off x="0" y="0"/>
                      <a:ext cx="5382260" cy="7772400"/>
                    </a:xfrm>
                    <a:prstGeom prst="rect">
                      <a:avLst/>
                    </a:prstGeom>
                    <a:ln w="12700" cap="flat">
                      <a:noFill/>
                      <a:miter lim="400000"/>
                    </a:ln>
                    <a:effectLst/>
                  </pic:spPr>
                </pic:pic>
              </a:graphicData>
            </a:graphic>
          </wp:inline>
        </w:drawing>
      </w:r>
      <w:bookmarkEnd w:id="0"/>
    </w:p>
    <w:p>
      <w:pPr>
        <w:pStyle w:val="Body"/>
        <w:spacing w:before="120" w:after="120" w:line="360" w:lineRule="auto"/>
      </w:pPr>
      <w:r>
        <w:rPr>
          <w:rFonts w:ascii="Arial Unicode MS" w:cs="Arial Unicode MS" w:hAnsi="Arial Unicode MS" w:eastAsia="Arial Unicode MS"/>
          <w:b w:val="0"/>
          <w:bCs w:val="0"/>
          <w:i w:val="0"/>
          <w:iCs w:val="0"/>
        </w:rPr>
        <w:br w:type="page"/>
      </w:r>
    </w:p>
    <w:p>
      <w:pPr>
        <w:pStyle w:val="Heading 2"/>
        <w:spacing w:before="120" w:after="120" w:line="360" w:lineRule="auto"/>
        <w:rPr>
          <w:rFonts w:ascii="Arial" w:cs="Arial" w:hAnsi="Arial" w:eastAsia="Arial"/>
        </w:rPr>
      </w:pPr>
      <w:bookmarkStart w:name="_Toc1" w:id="1"/>
      <w:r>
        <w:rPr>
          <w:rFonts w:ascii="Arial" w:hAnsi="Arial"/>
          <w:rtl w:val="0"/>
          <w:lang w:val="fr-FR"/>
        </w:rPr>
        <w:t>Introduction</w:t>
      </w:r>
      <w:bookmarkEnd w:id="1"/>
    </w:p>
    <w:p>
      <w:pPr>
        <w:pStyle w:val="Body"/>
        <w:spacing w:before="120" w:after="120" w:line="360" w:lineRule="auto"/>
        <w:jc w:val="both"/>
        <w:rPr>
          <w:rFonts w:ascii="Arial" w:cs="Arial" w:hAnsi="Arial" w:eastAsia="Arial"/>
        </w:rPr>
      </w:pPr>
      <w:r>
        <w:rPr>
          <w:rFonts w:ascii="Arial" w:hAnsi="Arial"/>
          <w:rtl w:val="0"/>
          <w:lang w:val="en-US"/>
        </w:rPr>
        <w:t>Ambulance services in England form an important component of the National Health Service (NHS), and offer emergency medical response, urgent clinical intervention and safe transport of patients. Operating across eleven regional ambulance trusts, the service provides 999 emergency care, NHS 111 urgent triage, non-emergency transport of patients, as well as specialist clinical support (NHS England, 2023). As demand for Urgent and Emergency care has continued to increase, the role of ambulance services in ensuring timely, effective and patient-centred care across England has grown in importance. Their scope has expanded greatly, and Path Paramedics are highly trained, skilled paramedics who would be able to perform advanced decision-making, integrated care coordination, and rapid response in complex clinical environments (College of Paramedics, 2021).</w:t>
      </w:r>
    </w:p>
    <w:p>
      <w:pPr>
        <w:pStyle w:val="Heading 2"/>
        <w:spacing w:before="120" w:after="120" w:line="360" w:lineRule="auto"/>
        <w:rPr>
          <w:rFonts w:ascii="Arial" w:cs="Arial" w:hAnsi="Arial" w:eastAsia="Arial"/>
        </w:rPr>
      </w:pPr>
      <w:bookmarkStart w:name="_Toc2" w:id="2"/>
      <w:r>
        <w:rPr>
          <w:rFonts w:ascii="Arial" w:hAnsi="Arial"/>
          <w:rtl w:val="0"/>
          <w:lang w:val="en-US"/>
        </w:rPr>
        <w:t>History of Ambulance Services</w:t>
      </w:r>
      <w:bookmarkEnd w:id="2"/>
    </w:p>
    <w:p>
      <w:pPr>
        <w:pStyle w:val="Body"/>
        <w:spacing w:before="120" w:after="120" w:line="360" w:lineRule="auto"/>
        <w:jc w:val="both"/>
        <w:rPr>
          <w:rFonts w:ascii="Arial" w:cs="Arial" w:hAnsi="Arial" w:eastAsia="Arial"/>
        </w:rPr>
      </w:pPr>
      <w:r>
        <w:rPr>
          <w:rFonts w:ascii="Arial" w:hAnsi="Arial"/>
          <w:rtl w:val="0"/>
          <w:lang w:val="en-US"/>
        </w:rPr>
        <w:t>Historically, ambulance services in England began as simple patient transport systems managed by voluntary organisations such as the St John Ambulance, which was founded in 1887 to transport first aid and transport for injured people (Pollock, 2015). Before the policies of the NHS, access to emergency care was all over the place and had a lot to do with local resources. With the introduction of the NHS in 1948, ambulance services became a national responsibility, and therefore, the quality of standardisation and access was increased (Webster, 2019).</w:t>
      </w:r>
    </w:p>
    <w:p>
      <w:pPr>
        <w:pStyle w:val="Body"/>
        <w:spacing w:before="120" w:after="120" w:line="360" w:lineRule="auto"/>
        <w:jc w:val="both"/>
        <w:rPr>
          <w:rFonts w:ascii="Arial" w:cs="Arial" w:hAnsi="Arial" w:eastAsia="Arial"/>
        </w:rPr>
      </w:pPr>
      <w:r>
        <w:rPr>
          <w:rFonts w:ascii="Arial" w:hAnsi="Arial"/>
          <w:rtl w:val="0"/>
          <w:lang w:val="en-US"/>
        </w:rPr>
        <w:t xml:space="preserve">There has been significant progress in the 1970s and 1980s with the development of the paramedic profession, which allows ambulance personnel to perform more advanced clinical interventions prior to the patient arriving at the hospital. There has been significant progress made in the 1970s and 1980s, with the introduction of the paramedic profession that allows ambulance personnel to perform more advanced clinical intervention prior to the arrival at the hospital (Turner </w:t>
      </w:r>
      <w:r>
        <w:rPr>
          <w:rFonts w:ascii="Arial" w:hAnsi="Arial"/>
          <w:i w:val="1"/>
          <w:iCs w:val="1"/>
          <w:rtl w:val="0"/>
        </w:rPr>
        <w:t>et a</w:t>
      </w:r>
      <w:r>
        <w:rPr>
          <w:rFonts w:ascii="Arial" w:hAnsi="Arial"/>
          <w:rtl w:val="0"/>
          <w:lang w:val="en-US"/>
        </w:rPr>
        <w:t>l., 2019). Between the hit of the 2000s through the decade of the 2010s, investments were made in training, digital technology and national targets on response continued to enhance the quality of care in the clinic and emergency response (NHS Improvement, 2018). This historical development changed ambulance services from a basic form of transportation service into a complex pre-hospital emergency care system.</w:t>
      </w:r>
    </w:p>
    <w:p>
      <w:pPr>
        <w:pStyle w:val="Heading 2"/>
        <w:spacing w:before="120" w:after="120" w:line="360" w:lineRule="auto"/>
        <w:rPr>
          <w:rFonts w:ascii="Arial" w:cs="Arial" w:hAnsi="Arial" w:eastAsia="Arial"/>
        </w:rPr>
      </w:pPr>
      <w:bookmarkStart w:name="_Toc3" w:id="3"/>
      <w:r>
        <w:rPr>
          <w:rFonts w:ascii="Arial" w:hAnsi="Arial"/>
          <w:rtl w:val="0"/>
          <w:lang w:val="en-US"/>
        </w:rPr>
        <w:t>Present Functioning of the Ambulance Services</w:t>
      </w:r>
      <w:bookmarkEnd w:id="3"/>
    </w:p>
    <w:p>
      <w:pPr>
        <w:pStyle w:val="Body"/>
        <w:spacing w:before="120" w:after="120" w:line="360" w:lineRule="auto"/>
        <w:jc w:val="both"/>
        <w:rPr>
          <w:rFonts w:ascii="Arial" w:cs="Arial" w:hAnsi="Arial" w:eastAsia="Arial"/>
          <w:b w:val="1"/>
          <w:bCs w:val="1"/>
        </w:rPr>
      </w:pPr>
      <w:r>
        <w:rPr>
          <w:rFonts w:ascii="Arial" w:hAnsi="Arial"/>
          <w:b w:val="1"/>
          <w:bCs w:val="1"/>
          <w:rtl w:val="0"/>
          <w:lang w:val="en-US"/>
        </w:rPr>
        <w:t>999 Emergency Call Handling</w:t>
      </w:r>
    </w:p>
    <w:p>
      <w:pPr>
        <w:pStyle w:val="Body"/>
        <w:spacing w:before="120" w:after="120" w:line="360" w:lineRule="auto"/>
        <w:jc w:val="both"/>
        <w:rPr>
          <w:rFonts w:ascii="Arial" w:cs="Arial" w:hAnsi="Arial" w:eastAsia="Arial"/>
        </w:rPr>
      </w:pPr>
      <w:r>
        <w:rPr>
          <w:rFonts w:ascii="Arial" w:hAnsi="Arial"/>
          <w:rtl w:val="0"/>
          <w:lang w:val="en-US"/>
        </w:rPr>
        <w:t>The emergency care pathway is the process through which call handlers receive calls to 999 and use the NHS Pathways triage system to classify the urgency of the incident (NHS England, 2022). This structured approach to the assessment ensures that the most life-threatening cases are prioritised.</w:t>
      </w:r>
    </w:p>
    <w:p>
      <w:pPr>
        <w:pStyle w:val="List Paragraph"/>
        <w:numPr>
          <w:ilvl w:val="0"/>
          <w:numId w:val="2"/>
        </w:numPr>
        <w:bidi w:val="0"/>
        <w:spacing w:before="120" w:after="120" w:line="360" w:lineRule="auto"/>
        <w:ind w:right="0"/>
        <w:jc w:val="both"/>
        <w:rPr>
          <w:rFonts w:ascii="Arial" w:hAnsi="Arial"/>
          <w:rtl w:val="0"/>
          <w:lang w:val="en-US"/>
        </w:rPr>
      </w:pPr>
      <w:r>
        <w:rPr>
          <w:rFonts w:ascii="Arial" w:hAnsi="Arial"/>
          <w:rtl w:val="0"/>
          <w:lang w:val="en-US"/>
        </w:rPr>
        <w:t>Category 1: Immediately life-threatening emergency, e.g cardiac arrest, severe respiratory distress.</w:t>
      </w:r>
    </w:p>
    <w:p>
      <w:pPr>
        <w:pStyle w:val="List Paragraph"/>
        <w:numPr>
          <w:ilvl w:val="0"/>
          <w:numId w:val="2"/>
        </w:numPr>
        <w:bidi w:val="0"/>
        <w:spacing w:before="120" w:after="120" w:line="360" w:lineRule="auto"/>
        <w:ind w:right="0"/>
        <w:jc w:val="both"/>
        <w:rPr>
          <w:rFonts w:ascii="Arial" w:hAnsi="Arial"/>
          <w:rtl w:val="0"/>
          <w:lang w:val="en-US"/>
        </w:rPr>
      </w:pPr>
      <w:r>
        <w:rPr>
          <w:rFonts w:ascii="Arial" w:hAnsi="Arial"/>
          <w:rtl w:val="0"/>
          <w:lang w:val="en-US"/>
        </w:rPr>
        <w:t>Category 2: Grave cases such as suspected stroke of the heart or chest pain that needs to be assessed immediately.</w:t>
      </w:r>
    </w:p>
    <w:p>
      <w:pPr>
        <w:pStyle w:val="List Paragraph"/>
        <w:numPr>
          <w:ilvl w:val="0"/>
          <w:numId w:val="2"/>
        </w:numPr>
        <w:bidi w:val="0"/>
        <w:spacing w:before="120" w:after="120" w:line="360" w:lineRule="auto"/>
        <w:ind w:right="0"/>
        <w:jc w:val="both"/>
        <w:rPr>
          <w:rFonts w:ascii="Arial" w:hAnsi="Arial"/>
          <w:rtl w:val="0"/>
          <w:lang w:val="en-US"/>
        </w:rPr>
      </w:pPr>
      <w:r>
        <w:rPr>
          <w:rFonts w:ascii="Arial" w:hAnsi="Arial"/>
          <w:rtl w:val="0"/>
          <w:lang w:val="en-US"/>
        </w:rPr>
        <w:t>Categories 3-4: Less urgent requirements which require non-emergency response or remote advice</w:t>
      </w:r>
    </w:p>
    <w:p>
      <w:pPr>
        <w:pStyle w:val="Body"/>
        <w:spacing w:before="120" w:after="120" w:line="360" w:lineRule="auto"/>
        <w:jc w:val="both"/>
        <w:rPr>
          <w:rFonts w:ascii="Arial" w:cs="Arial" w:hAnsi="Arial" w:eastAsia="Arial"/>
        </w:rPr>
      </w:pPr>
      <w:r>
        <w:rPr>
          <w:rFonts w:ascii="Arial" w:hAnsi="Arial"/>
          <w:rtl w:val="0"/>
          <w:lang w:val="en-US"/>
        </w:rPr>
        <w:t xml:space="preserve">These categories provide an aim for prompt, equitable, and safe emergency care (Turner </w:t>
      </w:r>
      <w:r>
        <w:rPr>
          <w:rFonts w:ascii="Arial" w:hAnsi="Arial"/>
          <w:i w:val="1"/>
          <w:iCs w:val="1"/>
          <w:rtl w:val="0"/>
          <w:lang w:val="nl-NL"/>
        </w:rPr>
        <w:t>et al</w:t>
      </w:r>
      <w:r>
        <w:rPr>
          <w:rFonts w:ascii="Arial" w:hAnsi="Arial"/>
          <w:rtl w:val="0"/>
        </w:rPr>
        <w:t>., 2019).</w:t>
      </w:r>
    </w:p>
    <w:p>
      <w:pPr>
        <w:pStyle w:val="Heading 2"/>
        <w:spacing w:before="120" w:after="120" w:line="360" w:lineRule="auto"/>
        <w:rPr>
          <w:rFonts w:ascii="Arial" w:cs="Arial" w:hAnsi="Arial" w:eastAsia="Arial"/>
        </w:rPr>
      </w:pPr>
      <w:bookmarkStart w:name="_Toc4" w:id="4"/>
      <w:r>
        <w:rPr>
          <w:rFonts w:ascii="Arial" w:hAnsi="Arial"/>
          <w:rtl w:val="0"/>
          <w:lang w:val="en-US"/>
        </w:rPr>
        <w:t>Onsite Clinical Assessment and Treatment</w:t>
      </w:r>
      <w:bookmarkEnd w:id="4"/>
    </w:p>
    <w:p>
      <w:pPr>
        <w:pStyle w:val="Body"/>
        <w:spacing w:before="120" w:after="120" w:line="360" w:lineRule="auto"/>
        <w:jc w:val="both"/>
        <w:rPr>
          <w:rFonts w:ascii="Arial" w:cs="Arial" w:hAnsi="Arial" w:eastAsia="Arial"/>
        </w:rPr>
      </w:pPr>
      <w:r>
        <w:rPr>
          <w:rFonts w:ascii="Arial" w:hAnsi="Arial"/>
          <w:rtl w:val="0"/>
          <w:lang w:val="en-US"/>
        </w:rPr>
        <w:t>Ambulance clinicians once provided advanced medical interventions such as ECG monitoring, treating life-threatening arrhythmias, oxygen therapy, airway management, glucose testing, wound care, pain management, and safeguarding (NHS England, 2023). Specialist response teams, such as critical care paramedics, mental health response teams and trauma specialists, provide additional support when dealing with complex emergencies (AACE, 2021).</w:t>
      </w:r>
    </w:p>
    <w:p>
      <w:pPr>
        <w:pStyle w:val="Body"/>
        <w:spacing w:before="120" w:after="120" w:line="360" w:lineRule="auto"/>
        <w:jc w:val="both"/>
        <w:rPr>
          <w:rFonts w:ascii="Arial" w:cs="Arial" w:hAnsi="Arial" w:eastAsia="Arial"/>
        </w:rPr>
      </w:pPr>
      <w:r>
        <w:rPr>
          <w:rFonts w:ascii="Arial" w:hAnsi="Arial"/>
          <w:rtl w:val="0"/>
          <w:lang w:val="en-US"/>
        </w:rPr>
        <w:t>Increasingly, the ambulance services are using clinical decision-making pathways, which allow the paramedics to treat patients at the site, refer to community services, or call for referral to Urgent Treatment Centres. This therefore reduces unnecessary admissions into hospitals and helps ensure the capacity in hospitals is maintained (King's Fund, 2023).</w:t>
      </w:r>
    </w:p>
    <w:p>
      <w:pPr>
        <w:pStyle w:val="Heading 2"/>
        <w:spacing w:before="120" w:after="120" w:line="360" w:lineRule="auto"/>
        <w:rPr>
          <w:rFonts w:ascii="Arial" w:cs="Arial" w:hAnsi="Arial" w:eastAsia="Arial"/>
        </w:rPr>
      </w:pPr>
      <w:bookmarkStart w:name="_Toc5" w:id="5"/>
      <w:r>
        <w:rPr>
          <w:rFonts w:ascii="Arial" w:hAnsi="Arial"/>
          <w:rtl w:val="0"/>
          <w:lang w:val="en-US"/>
        </w:rPr>
        <w:t>Digital Integration and Technology</w:t>
      </w:r>
      <w:bookmarkEnd w:id="5"/>
    </w:p>
    <w:p>
      <w:pPr>
        <w:pStyle w:val="Body"/>
        <w:spacing w:before="120" w:after="120" w:line="360" w:lineRule="auto"/>
        <w:jc w:val="both"/>
        <w:rPr>
          <w:rFonts w:ascii="Arial" w:cs="Arial" w:hAnsi="Arial" w:eastAsia="Arial"/>
        </w:rPr>
      </w:pPr>
      <w:r>
        <w:rPr>
          <w:rFonts w:ascii="Arial" w:hAnsi="Arial"/>
          <w:rtl w:val="0"/>
          <w:lang w:val="en-US"/>
        </w:rPr>
        <w:t>Digital systems have become part of modern ambulance care.</w:t>
      </w:r>
    </w:p>
    <w:p>
      <w:pPr>
        <w:pStyle w:val="List Paragraph"/>
        <w:numPr>
          <w:ilvl w:val="0"/>
          <w:numId w:val="4"/>
        </w:numPr>
        <w:bidi w:val="0"/>
        <w:spacing w:before="120" w:after="120" w:line="360" w:lineRule="auto"/>
        <w:ind w:right="0"/>
        <w:jc w:val="both"/>
        <w:rPr>
          <w:rFonts w:ascii="Arial" w:hAnsi="Arial"/>
          <w:rtl w:val="0"/>
          <w:lang w:val="en-US"/>
        </w:rPr>
      </w:pPr>
      <w:r>
        <w:rPr>
          <w:rFonts w:ascii="Arial" w:hAnsi="Arial"/>
          <w:rtl w:val="0"/>
          <w:lang w:val="en-US"/>
        </w:rPr>
        <w:t xml:space="preserve">Electronic Patient Care Records (ePCRs) </w:t>
      </w:r>
    </w:p>
    <w:p>
      <w:pPr>
        <w:pStyle w:val="List Paragraph"/>
        <w:numPr>
          <w:ilvl w:val="0"/>
          <w:numId w:val="4"/>
        </w:numPr>
        <w:bidi w:val="0"/>
        <w:spacing w:before="120" w:after="120" w:line="360" w:lineRule="auto"/>
        <w:ind w:right="0"/>
        <w:jc w:val="both"/>
        <w:rPr>
          <w:rFonts w:ascii="Arial" w:hAnsi="Arial"/>
          <w:rtl w:val="0"/>
          <w:lang w:val="en-US"/>
        </w:rPr>
      </w:pPr>
      <w:r>
        <w:rPr>
          <w:rFonts w:ascii="Arial" w:hAnsi="Arial"/>
          <w:rtl w:val="0"/>
          <w:lang w:val="en-US"/>
        </w:rPr>
        <w:t>Real-time documentation and clinical decision support.</w:t>
      </w:r>
    </w:p>
    <w:p>
      <w:pPr>
        <w:pStyle w:val="List Paragraph"/>
        <w:numPr>
          <w:ilvl w:val="0"/>
          <w:numId w:val="4"/>
        </w:numPr>
        <w:bidi w:val="0"/>
        <w:spacing w:before="120" w:after="120" w:line="360" w:lineRule="auto"/>
        <w:ind w:right="0"/>
        <w:jc w:val="both"/>
        <w:rPr>
          <w:rFonts w:ascii="Arial" w:hAnsi="Arial"/>
          <w:rtl w:val="0"/>
          <w:lang w:val="en-US"/>
        </w:rPr>
      </w:pPr>
      <w:r>
        <w:rPr>
          <w:rFonts w:ascii="Arial" w:hAnsi="Arial"/>
          <w:rtl w:val="0"/>
          <w:lang w:val="en-US"/>
        </w:rPr>
        <w:t>GPS-enabled fleet management has improved the speed and resource allocation of dispatch workers and vehicles.</w:t>
      </w:r>
    </w:p>
    <w:p>
      <w:pPr>
        <w:pStyle w:val="List Paragraph"/>
        <w:numPr>
          <w:ilvl w:val="0"/>
          <w:numId w:val="4"/>
        </w:numPr>
        <w:bidi w:val="0"/>
        <w:spacing w:before="120" w:after="120" w:line="360" w:lineRule="auto"/>
        <w:ind w:right="0"/>
        <w:jc w:val="both"/>
        <w:rPr>
          <w:rFonts w:ascii="Arial" w:hAnsi="Arial"/>
          <w:rtl w:val="0"/>
          <w:lang w:val="en-US"/>
        </w:rPr>
      </w:pPr>
      <w:r>
        <w:rPr>
          <w:rFonts w:ascii="Arial" w:hAnsi="Arial"/>
          <w:rtl w:val="0"/>
          <w:lang w:val="en-US"/>
        </w:rPr>
        <w:t>Hospital pre-alerts in case of trauma, stroke, and cardiac situations allow specialist teams to make arrangements before the arrival of the patient (NHS England, 2023).</w:t>
      </w:r>
    </w:p>
    <w:p>
      <w:pPr>
        <w:pStyle w:val="Body"/>
        <w:spacing w:before="120" w:after="120" w:line="360" w:lineRule="auto"/>
        <w:jc w:val="both"/>
        <w:rPr>
          <w:rFonts w:ascii="Arial" w:cs="Arial" w:hAnsi="Arial" w:eastAsia="Arial"/>
        </w:rPr>
      </w:pPr>
    </w:p>
    <w:p>
      <w:pPr>
        <w:pStyle w:val="Body"/>
        <w:spacing w:before="120" w:after="120" w:line="360" w:lineRule="auto"/>
        <w:jc w:val="both"/>
        <w:rPr>
          <w:rFonts w:ascii="Arial" w:cs="Arial" w:hAnsi="Arial" w:eastAsia="Arial"/>
        </w:rPr>
      </w:pPr>
      <w:r>
        <w:rPr>
          <w:rFonts w:ascii="Arial" w:hAnsi="Arial"/>
          <w:rtl w:val="0"/>
          <w:lang w:val="en-US"/>
        </w:rPr>
        <w:t>These advancements help improve communication, minimise delay and improve patient outcomes.</w:t>
      </w:r>
    </w:p>
    <w:p>
      <w:pPr>
        <w:pStyle w:val="Heading 2"/>
        <w:spacing w:before="120" w:after="120" w:line="360" w:lineRule="auto"/>
        <w:rPr>
          <w:rFonts w:ascii="Arial" w:cs="Arial" w:hAnsi="Arial" w:eastAsia="Arial"/>
        </w:rPr>
      </w:pPr>
      <w:bookmarkStart w:name="_Toc6" w:id="6"/>
      <w:r>
        <w:rPr>
          <w:rFonts w:ascii="Arial" w:hAnsi="Arial"/>
          <w:rtl w:val="0"/>
          <w:lang w:val="en-US"/>
        </w:rPr>
        <w:t>Existing Challenges Affecting Ambulance Services</w:t>
      </w:r>
      <w:bookmarkEnd w:id="6"/>
    </w:p>
    <w:p>
      <w:pPr>
        <w:pStyle w:val="Body"/>
        <w:spacing w:before="120" w:after="120" w:line="360" w:lineRule="auto"/>
        <w:rPr>
          <w:rFonts w:ascii="Arial" w:cs="Arial" w:hAnsi="Arial" w:eastAsia="Arial"/>
          <w:b w:val="1"/>
          <w:bCs w:val="1"/>
        </w:rPr>
      </w:pPr>
      <w:r>
        <w:rPr>
          <w:rFonts w:ascii="Arial" w:hAnsi="Arial"/>
          <w:b w:val="1"/>
          <w:bCs w:val="1"/>
          <w:rtl w:val="0"/>
          <w:lang w:val="en-US"/>
        </w:rPr>
        <w:t>Increasing Demand for Emergency and Urgent Care</w:t>
      </w:r>
    </w:p>
    <w:p>
      <w:pPr>
        <w:pStyle w:val="Body"/>
        <w:spacing w:before="120" w:after="120" w:line="360" w:lineRule="auto"/>
        <w:jc w:val="both"/>
        <w:rPr>
          <w:rFonts w:ascii="Arial" w:cs="Arial" w:hAnsi="Arial" w:eastAsia="Arial"/>
        </w:rPr>
      </w:pPr>
      <w:r>
        <w:rPr>
          <w:rFonts w:ascii="Arial" w:hAnsi="Arial"/>
          <w:rtl w:val="0"/>
          <w:lang w:val="en-US"/>
        </w:rPr>
        <w:t>Ambulance call volumes have been steadily rising because of population ageing, increased rates of chronic disease and more mental health crisis presentations (AACE, 2021). The British Medical Association (2022) also reports that there has been a higher demand for urgent care than the workforce expansion, which has caused longer response times and increased pressure on frontline clinicians.</w:t>
      </w:r>
    </w:p>
    <w:p>
      <w:pPr>
        <w:pStyle w:val="Body"/>
        <w:spacing w:before="120" w:after="120" w:line="360" w:lineRule="auto"/>
        <w:rPr>
          <w:rFonts w:ascii="Arial" w:cs="Arial" w:hAnsi="Arial" w:eastAsia="Arial"/>
          <w:b w:val="1"/>
          <w:bCs w:val="1"/>
        </w:rPr>
      </w:pPr>
      <w:r>
        <w:rPr>
          <w:rFonts w:ascii="Arial" w:hAnsi="Arial"/>
          <w:b w:val="1"/>
          <w:bCs w:val="1"/>
          <w:rtl w:val="0"/>
          <w:lang w:val="en-US"/>
        </w:rPr>
        <w:t>Hospital Handover Delays</w:t>
      </w:r>
    </w:p>
    <w:p>
      <w:pPr>
        <w:pStyle w:val="Body"/>
        <w:spacing w:before="120" w:after="120" w:line="360" w:lineRule="auto"/>
        <w:jc w:val="both"/>
        <w:rPr>
          <w:rFonts w:ascii="Arial" w:cs="Arial" w:hAnsi="Arial" w:eastAsia="Arial"/>
        </w:rPr>
      </w:pPr>
      <w:r>
        <w:rPr>
          <w:rFonts w:ascii="Arial" w:hAnsi="Arial"/>
          <w:rtl w:val="0"/>
          <w:lang w:val="en-US"/>
        </w:rPr>
        <w:t>One of the most important challenges is handovers at emergency departments that take an excessive amount of time. When hospitals are not adequately equipped, ambulance crews cannot help with new emergencies because the crews are waiting outside the emergency department. The National Audit Office (2017) found that delays in handovers have significant consequences for greater response times, increased risk to patients and a general lack of resilience in the system as a whole. The Health and Social Care Committee (2022) also concluded that the delays in handover are symptomatic of broader pressures on the NHS due to factors such as bed shortages, staffing issues and increased admissions.</w:t>
      </w:r>
    </w:p>
    <w:p>
      <w:pPr>
        <w:pStyle w:val="Heading 2"/>
        <w:spacing w:before="120" w:after="120" w:line="360" w:lineRule="auto"/>
        <w:rPr>
          <w:rFonts w:ascii="Arial" w:cs="Arial" w:hAnsi="Arial" w:eastAsia="Arial"/>
          <w:sz w:val="28"/>
          <w:szCs w:val="28"/>
        </w:rPr>
      </w:pPr>
      <w:bookmarkStart w:name="_Toc7" w:id="7"/>
      <w:r>
        <w:rPr>
          <w:rFonts w:ascii="Arial" w:hAnsi="Arial"/>
          <w:sz w:val="28"/>
          <w:szCs w:val="28"/>
          <w:rtl w:val="0"/>
          <w:lang w:val="it-IT"/>
        </w:rPr>
        <w:t>Conclusion</w:t>
      </w:r>
      <w:bookmarkEnd w:id="7"/>
    </w:p>
    <w:p>
      <w:pPr>
        <w:pStyle w:val="Body"/>
        <w:spacing w:before="120" w:after="120" w:line="360" w:lineRule="auto"/>
        <w:jc w:val="both"/>
      </w:pPr>
      <w:r>
        <w:rPr>
          <w:rFonts w:ascii="Arial" w:hAnsi="Arial"/>
          <w:rtl w:val="0"/>
          <w:lang w:val="en-US"/>
        </w:rPr>
        <w:t>Ambulance service is an important part of England</w:t>
      </w:r>
      <w:r>
        <w:rPr>
          <w:rFonts w:ascii="Arial" w:hAnsi="Arial" w:hint="default"/>
          <w:rtl w:val="0"/>
          <w:lang w:val="en-US"/>
        </w:rPr>
        <w:t>’</w:t>
      </w:r>
      <w:r>
        <w:rPr>
          <w:rFonts w:ascii="Arial" w:hAnsi="Arial"/>
          <w:rtl w:val="0"/>
          <w:lang w:val="en-US"/>
        </w:rPr>
        <w:t>s health and social care service as it helps to save lives and also provides initial healthcare and pre-hospital support. The service has transformed itself with time, and now it is run by volunteers with professional, technical and emergency support that helps to change the NHS priorities and also brings change in the healthcare requirement. Though the service is changing with time, the service evolves with time, which is now running with a special team, digital innovation and also creates clinical services. There are so many challenges that come with the service, by the service providers help to work through all the challenges and sudden limitations that come in the pathway. Addressing these issues requires sustainable investment, improving the ability of our hospitals, expanding our workforce, and the ability to collaborating more extensively across the urgent and emergency care system to ensure the safe and effective delivery of care for everyone.</w:t>
      </w:r>
      <w:r>
        <w:rPr>
          <w:rFonts w:ascii="Arial Unicode MS" w:cs="Arial Unicode MS" w:hAnsi="Arial Unicode MS" w:eastAsia="Arial Unicode MS"/>
          <w:b w:val="0"/>
          <w:bCs w:val="0"/>
          <w:i w:val="0"/>
          <w:iCs w:val="0"/>
        </w:rPr>
        <w:br w:type="page"/>
      </w:r>
    </w:p>
    <w:p>
      <w:pPr>
        <w:pStyle w:val="Heading"/>
        <w:spacing w:before="120" w:after="120" w:line="360" w:lineRule="auto"/>
        <w:jc w:val="both"/>
        <w:rPr>
          <w:rFonts w:ascii="Arial" w:cs="Arial" w:hAnsi="Arial" w:eastAsia="Arial"/>
        </w:rPr>
      </w:pPr>
      <w:bookmarkStart w:name="_Toc8" w:id="8"/>
      <w:r>
        <w:rPr>
          <w:rFonts w:ascii="Arial" w:hAnsi="Arial"/>
          <w:rtl w:val="0"/>
          <w:lang w:val="en-US"/>
        </w:rPr>
        <w:t>Task 2: Essay on the origins of the National Health Service (NHS), exploring the historical context and key principles that led to its establishment</w:t>
      </w:r>
      <w:bookmarkEnd w:id="8"/>
    </w:p>
    <w:p>
      <w:pPr>
        <w:pStyle w:val="Body"/>
        <w:spacing w:before="120" w:after="120" w:line="360" w:lineRule="auto"/>
        <w:jc w:val="both"/>
        <w:rPr>
          <w:rFonts w:ascii="Arial" w:cs="Arial" w:hAnsi="Arial" w:eastAsia="Arial"/>
        </w:rPr>
      </w:pPr>
      <w:r>
        <w:rPr>
          <w:rFonts w:ascii="Arial" w:hAnsi="Arial"/>
          <w:rtl w:val="0"/>
          <w:lang w:val="en-US"/>
        </w:rPr>
        <w:t>The National Health Service (NHS) was created in 1948 in what was one of the most important social reforms in British history. Its earliest roots lie in the economic problems and social inequalities that were highlighted in the early years of the twentieth century, and especially before and during the Second World War. Before 1948, access to healthcare in Britain was not consistent and depended, for the most part, on income or local charity support, with many working-class families not gaining access to essential medical treatment (Snow, 2022). The Beveridge Report of 1942 played a pivotal role in the development of post-war welfare reforms as it identified 'want, disease, ignorance, squalor and idleness' as key social problems. It recommended an extensive welfare state with universal healthcare to foster equality and social security. These recommendations were consistent with the mood of the population, increasingly calling for better health services as a result of experience with wartime, a period when the feasibility of state-led healthcare was demonstrated by emergency medical provision. Led by Aneurin Bevan (Health Minister), the NHS was established on three main principles: it should provide universal, comprehensive and free health services at the point of delivery and should mainly be funded through taxation (Lambert, 2024).</w:t>
      </w:r>
    </w:p>
    <w:p>
      <w:pPr>
        <w:pStyle w:val="Body"/>
        <w:spacing w:before="120" w:after="120" w:line="360" w:lineRule="auto"/>
        <w:jc w:val="both"/>
        <w:rPr>
          <w:rFonts w:ascii="Arial" w:cs="Arial" w:hAnsi="Arial" w:eastAsia="Arial"/>
        </w:rPr>
      </w:pPr>
      <w:r>
        <w:rPr>
          <w:rFonts w:ascii="Arial" w:hAnsi="Arial"/>
          <w:rtl w:val="0"/>
          <w:lang w:val="en-US"/>
        </w:rPr>
        <w:t>Today, the NHS is the UK's largest publicly funded healthcare system, but its structure has changed dramatically. The current NHS in England is based on an organisational framework with multiple layers. At the national level, the Department of Health and Social Care (DHSC) is responsible for setting the policy direction, and NHS England manages the commissioning and strategic planning. Since the Health and Care Act 2022, Integrated Care Systems (ICSs) have replaced Clinical Commissioning Groups and are comprised of local NHS bodies, councils and partner organisations to plan and coordinate services for defined populations (NHS England, 2022). ICSs have a focus on population health rather than on individual service delivery and aim to improve collaboration and reduce fragmentation, and address health inequalities.</w:t>
      </w:r>
    </w:p>
    <w:p>
      <w:pPr>
        <w:pStyle w:val="Body"/>
        <w:spacing w:before="120" w:after="120" w:line="360" w:lineRule="auto"/>
        <w:jc w:val="both"/>
        <w:rPr>
          <w:rFonts w:ascii="Arial" w:cs="Arial" w:hAnsi="Arial" w:eastAsia="Arial"/>
        </w:rPr>
      </w:pPr>
      <w:r>
        <w:rPr>
          <w:rFonts w:ascii="Arial" w:hAnsi="Arial"/>
          <w:rtl w:val="0"/>
          <w:lang w:val="en-US"/>
        </w:rPr>
        <w:t>Within this structure, the provision of services is delivered by NHS Trusts and Foundation Trusts, which include hospitals, mental health services, ambulance services and community healthcare. Primary care--mainly general practice--is the first place of contact for the majority of patients. While the NHS remains true to Bevan's original ideas, there are a number of challenges in its operation. Workforce shortages, higher demand due to an ageing population, and rising levels of chronic conditions are putting pressure on the capacity and waiting times of the service (King's Fund, 2023). Financial constraints have also hindered the system's capacity to modernise infrastructure and also the extension of services. Furthermore, debates that will never end persist on privatisation, efficiency and equitable access.</w:t>
      </w:r>
    </w:p>
    <w:p>
      <w:pPr>
        <w:pStyle w:val="Body"/>
        <w:spacing w:before="120" w:after="120" w:line="360" w:lineRule="auto"/>
        <w:jc w:val="both"/>
      </w:pPr>
      <w:r>
        <w:rPr>
          <w:rFonts w:ascii="Arial" w:hAnsi="Arial"/>
          <w:rtl w:val="0"/>
          <w:lang w:val="en-US"/>
        </w:rPr>
        <w:t>At the end, it can be said that the NHS has been established with a proper mission and vision, and it brought justice in the health and social care service with collective responsibility in the healthcare, out of the socioeconomic challenges of the early twentieth century. Although its core principles still stand, the modern NHS is faced with complex pressures to deliver its longstanding mission and ensure continued sustainability and quality of service delivery through investment in the health system, developing leadership, and integrating care models.</w:t>
      </w:r>
      <w:r>
        <w:rPr>
          <w:rFonts w:ascii="Arial Unicode MS" w:cs="Arial Unicode MS" w:hAnsi="Arial Unicode MS" w:eastAsia="Arial Unicode MS"/>
          <w:b w:val="0"/>
          <w:bCs w:val="0"/>
          <w:i w:val="0"/>
          <w:iCs w:val="0"/>
        </w:rPr>
        <w:br w:type="page"/>
      </w:r>
    </w:p>
    <w:p>
      <w:pPr>
        <w:pStyle w:val="Heading"/>
        <w:spacing w:before="120" w:after="120" w:line="360" w:lineRule="auto"/>
        <w:jc w:val="both"/>
        <w:rPr>
          <w:rFonts w:ascii="Arial" w:cs="Arial" w:hAnsi="Arial" w:eastAsia="Arial"/>
        </w:rPr>
      </w:pPr>
      <w:bookmarkStart w:name="_Toc9" w:id="9"/>
      <w:r>
        <w:rPr>
          <w:rFonts w:ascii="Arial" w:hAnsi="Arial"/>
          <w:rtl w:val="0"/>
          <w:lang w:val="fr-FR"/>
        </w:rPr>
        <w:t>References</w:t>
      </w:r>
      <w:bookmarkEnd w:id="9"/>
    </w:p>
    <w:p>
      <w:pPr>
        <w:pStyle w:val="Body"/>
        <w:spacing w:before="120" w:after="120" w:line="360" w:lineRule="auto"/>
        <w:rPr>
          <w:rFonts w:ascii="Arial" w:cs="Arial" w:hAnsi="Arial" w:eastAsia="Arial"/>
        </w:rPr>
      </w:pPr>
      <w:r>
        <w:rPr>
          <w:rFonts w:ascii="Arial" w:hAnsi="Arial"/>
          <w:rtl w:val="0"/>
          <w:lang w:val="en-US"/>
        </w:rPr>
        <w:t xml:space="preserve">British Medical Association. 2022. </w:t>
      </w:r>
      <w:r>
        <w:rPr>
          <w:rFonts w:ascii="Arial" w:hAnsi="Arial"/>
          <w:i w:val="1"/>
          <w:iCs w:val="1"/>
          <w:rtl w:val="0"/>
          <w:lang w:val="en-US"/>
        </w:rPr>
        <w:t>Pressure on Emergency and Urgent Care Services.</w:t>
      </w:r>
    </w:p>
    <w:p>
      <w:pPr>
        <w:pStyle w:val="Body"/>
        <w:spacing w:before="120" w:after="120" w:line="360" w:lineRule="auto"/>
        <w:rPr>
          <w:rFonts w:ascii="Arial" w:cs="Arial" w:hAnsi="Arial" w:eastAsia="Arial"/>
          <w:i w:val="1"/>
          <w:iCs w:val="1"/>
        </w:rPr>
      </w:pPr>
      <w:r>
        <w:rPr>
          <w:rFonts w:ascii="Arial" w:hAnsi="Arial"/>
          <w:rtl w:val="0"/>
          <w:lang w:val="en-US"/>
        </w:rPr>
        <w:t xml:space="preserve">College of Paramedics. 2021. </w:t>
      </w:r>
      <w:r>
        <w:rPr>
          <w:rFonts w:ascii="Arial" w:hAnsi="Arial"/>
          <w:i w:val="1"/>
          <w:iCs w:val="1"/>
          <w:rtl w:val="0"/>
          <w:lang w:val="en-US"/>
        </w:rPr>
        <w:t>UK Ambulance Service Clinical Guidelines.</w:t>
      </w:r>
    </w:p>
    <w:p>
      <w:pPr>
        <w:pStyle w:val="Body"/>
        <w:spacing w:before="120" w:after="120" w:line="360" w:lineRule="auto"/>
        <w:rPr>
          <w:rFonts w:ascii="Arial" w:cs="Arial" w:hAnsi="Arial" w:eastAsia="Arial"/>
        </w:rPr>
      </w:pPr>
      <w:r>
        <w:rPr>
          <w:rFonts w:ascii="Arial" w:hAnsi="Arial"/>
          <w:rtl w:val="0"/>
          <w:lang w:val="en-US"/>
        </w:rPr>
        <w:t xml:space="preserve">Health and Social Care Committee. 2022. </w:t>
      </w:r>
      <w:r>
        <w:rPr>
          <w:rFonts w:ascii="Arial" w:hAnsi="Arial"/>
          <w:i w:val="1"/>
          <w:iCs w:val="1"/>
          <w:rtl w:val="0"/>
          <w:lang w:val="en-US"/>
        </w:rPr>
        <w:t>Emergency Care: Capacity, Workforce and Delays.</w:t>
      </w:r>
    </w:p>
    <w:p>
      <w:pPr>
        <w:pStyle w:val="Body"/>
        <w:spacing w:before="120" w:after="120" w:line="360" w:lineRule="auto"/>
        <w:rPr>
          <w:rFonts w:ascii="Arial" w:cs="Arial" w:hAnsi="Arial" w:eastAsia="Arial"/>
        </w:rPr>
      </w:pPr>
      <w:r>
        <w:rPr>
          <w:rFonts w:ascii="Arial" w:hAnsi="Arial"/>
          <w:rtl w:val="0"/>
        </w:rPr>
        <w:t>King</w:t>
      </w:r>
      <w:r>
        <w:rPr>
          <w:rFonts w:ascii="Arial" w:hAnsi="Arial" w:hint="default"/>
          <w:rtl w:val="0"/>
          <w:lang w:val="en-US"/>
        </w:rPr>
        <w:t>’</w:t>
      </w:r>
      <w:r>
        <w:rPr>
          <w:rFonts w:ascii="Arial" w:hAnsi="Arial"/>
          <w:rtl w:val="0"/>
        </w:rPr>
        <w:t xml:space="preserve">s Fund. 2023. </w:t>
      </w:r>
      <w:r>
        <w:rPr>
          <w:rFonts w:ascii="Arial" w:hAnsi="Arial"/>
          <w:i w:val="1"/>
          <w:iCs w:val="1"/>
          <w:rtl w:val="0"/>
          <w:lang w:val="en-US"/>
        </w:rPr>
        <w:t>The NHS in 2023: Priorities and Challenges</w:t>
      </w:r>
    </w:p>
    <w:p>
      <w:pPr>
        <w:pStyle w:val="Body"/>
        <w:spacing w:before="120" w:after="120" w:line="360" w:lineRule="auto"/>
        <w:rPr>
          <w:rFonts w:ascii="Arial" w:cs="Arial" w:hAnsi="Arial" w:eastAsia="Arial"/>
        </w:rPr>
      </w:pPr>
      <w:r>
        <w:rPr>
          <w:rFonts w:ascii="Arial" w:hAnsi="Arial"/>
          <w:rtl w:val="0"/>
        </w:rPr>
        <w:t xml:space="preserve">Lambert, M., 2024. </w:t>
      </w:r>
      <w:r>
        <w:rPr>
          <w:rFonts w:ascii="Arial" w:hAnsi="Arial" w:hint="default"/>
          <w:rtl w:val="0"/>
          <w:lang w:val="en-US"/>
        </w:rPr>
        <w:t>“</w:t>
      </w:r>
      <w:r>
        <w:rPr>
          <w:rFonts w:ascii="Arial" w:hAnsi="Arial"/>
          <w:rtl w:val="0"/>
          <w:lang w:val="en-US"/>
        </w:rPr>
        <w:t>Daddy Knows Best</w:t>
      </w:r>
      <w:r>
        <w:rPr>
          <w:rFonts w:ascii="Arial" w:hAnsi="Arial" w:hint="default"/>
          <w:rtl w:val="0"/>
          <w:lang w:val="en-US"/>
        </w:rPr>
        <w:t>”</w:t>
      </w:r>
      <w:r>
        <w:rPr>
          <w:rFonts w:ascii="Arial" w:hAnsi="Arial"/>
          <w:rtl w:val="0"/>
          <w:lang w:val="en-US"/>
        </w:rPr>
        <w:t>: Professionalism, Paternalism and the State in Mid-Twentieth-Century British Child Diswelfare Experiences. In</w:t>
      </w:r>
      <w:r>
        <w:rPr>
          <w:rFonts w:ascii="Arial" w:hAnsi="Arial" w:hint="default"/>
          <w:rtl w:val="0"/>
          <w:lang w:val="en-US"/>
        </w:rPr>
        <w:t> </w:t>
      </w:r>
      <w:r>
        <w:rPr>
          <w:rFonts w:ascii="Arial" w:hAnsi="Arial"/>
          <w:i w:val="1"/>
          <w:iCs w:val="1"/>
          <w:rtl w:val="0"/>
          <w:lang w:val="en-US"/>
        </w:rPr>
        <w:t>Everyday Welfare in Modern British History: Experience, Expertise and Activism</w:t>
      </w:r>
      <w:r>
        <w:rPr>
          <w:rFonts w:ascii="Arial" w:hAnsi="Arial" w:hint="default"/>
          <w:rtl w:val="0"/>
          <w:lang w:val="en-US"/>
        </w:rPr>
        <w:t> </w:t>
      </w:r>
      <w:r>
        <w:rPr>
          <w:rFonts w:ascii="Arial" w:hAnsi="Arial"/>
          <w:rtl w:val="0"/>
          <w:lang w:val="de-DE"/>
        </w:rPr>
        <w:t>(pp. 119-149). Cham: Springer Nature Switzerland.</w:t>
      </w:r>
    </w:p>
    <w:p>
      <w:pPr>
        <w:pStyle w:val="Body"/>
        <w:spacing w:before="120" w:after="120" w:line="360" w:lineRule="auto"/>
        <w:rPr>
          <w:rFonts w:ascii="Arial" w:cs="Arial" w:hAnsi="Arial" w:eastAsia="Arial"/>
          <w:i w:val="1"/>
          <w:iCs w:val="1"/>
        </w:rPr>
      </w:pPr>
      <w:r>
        <w:rPr>
          <w:rFonts w:ascii="Arial" w:hAnsi="Arial"/>
          <w:rtl w:val="0"/>
          <w:lang w:val="en-US"/>
        </w:rPr>
        <w:t xml:space="preserve">NHS England. 2022. </w:t>
      </w:r>
      <w:r>
        <w:rPr>
          <w:rFonts w:ascii="Arial" w:hAnsi="Arial"/>
          <w:i w:val="1"/>
          <w:iCs w:val="1"/>
          <w:rtl w:val="0"/>
          <w:lang w:val="en-US"/>
        </w:rPr>
        <w:t>Health and Care Act: Integrated Care Systems Guidance.</w:t>
      </w:r>
    </w:p>
    <w:p>
      <w:pPr>
        <w:pStyle w:val="Body"/>
        <w:spacing w:before="120" w:after="120" w:line="360" w:lineRule="auto"/>
        <w:rPr>
          <w:rFonts w:ascii="Arial" w:cs="Arial" w:hAnsi="Arial" w:eastAsia="Arial"/>
        </w:rPr>
      </w:pPr>
      <w:r>
        <w:rPr>
          <w:rFonts w:ascii="Arial" w:hAnsi="Arial"/>
          <w:rtl w:val="0"/>
        </w:rPr>
        <w:t xml:space="preserve">NHS Improvement. 2018. </w:t>
      </w:r>
      <w:r>
        <w:rPr>
          <w:rFonts w:ascii="Arial" w:hAnsi="Arial"/>
          <w:i w:val="1"/>
          <w:iCs w:val="1"/>
          <w:rtl w:val="0"/>
          <w:lang w:val="en-US"/>
        </w:rPr>
        <w:t>Operational Performance in Emergency Care.</w:t>
      </w:r>
    </w:p>
    <w:p>
      <w:pPr>
        <w:pStyle w:val="Body"/>
        <w:spacing w:before="120" w:after="120" w:line="360" w:lineRule="auto"/>
        <w:rPr>
          <w:rFonts w:ascii="Arial" w:cs="Arial" w:hAnsi="Arial" w:eastAsia="Arial"/>
        </w:rPr>
      </w:pPr>
      <w:r>
        <w:rPr>
          <w:rFonts w:ascii="Arial" w:hAnsi="Arial"/>
          <w:rtl w:val="0"/>
          <w:lang w:val="en-US"/>
        </w:rPr>
        <w:t>Snow, S.J. and Whitecross, A.F., 2022. Making history together: the UK</w:t>
      </w:r>
      <w:r>
        <w:rPr>
          <w:rFonts w:ascii="Arial" w:hAnsi="Arial" w:hint="default"/>
          <w:rtl w:val="0"/>
          <w:lang w:val="en-US"/>
        </w:rPr>
        <w:t>’</w:t>
      </w:r>
      <w:r>
        <w:rPr>
          <w:rFonts w:ascii="Arial" w:hAnsi="Arial"/>
          <w:rtl w:val="0"/>
          <w:lang w:val="en-US"/>
        </w:rPr>
        <w:t>s National Health Service and the story of our lives since 1948.</w:t>
      </w:r>
      <w:r>
        <w:rPr>
          <w:rFonts w:ascii="Arial" w:hAnsi="Arial" w:hint="default"/>
          <w:rtl w:val="0"/>
          <w:lang w:val="en-US"/>
        </w:rPr>
        <w:t> </w:t>
      </w:r>
      <w:r>
        <w:rPr>
          <w:rFonts w:ascii="Arial" w:hAnsi="Arial"/>
          <w:i w:val="1"/>
          <w:iCs w:val="1"/>
          <w:rtl w:val="0"/>
          <w:lang w:val="en-US"/>
        </w:rPr>
        <w:t>Contemporary British History</w:t>
      </w:r>
      <w:r>
        <w:rPr>
          <w:rFonts w:ascii="Arial" w:hAnsi="Arial"/>
          <w:rtl w:val="0"/>
        </w:rPr>
        <w:t>,</w:t>
      </w:r>
      <w:r>
        <w:rPr>
          <w:rFonts w:ascii="Arial" w:hAnsi="Arial" w:hint="default"/>
          <w:rtl w:val="0"/>
          <w:lang w:val="en-US"/>
        </w:rPr>
        <w:t> </w:t>
      </w:r>
      <w:r>
        <w:rPr>
          <w:rFonts w:ascii="Arial" w:hAnsi="Arial"/>
          <w:i w:val="1"/>
          <w:iCs w:val="1"/>
          <w:rtl w:val="0"/>
        </w:rPr>
        <w:t>36</w:t>
      </w:r>
      <w:r>
        <w:rPr>
          <w:rFonts w:ascii="Arial" w:hAnsi="Arial"/>
          <w:rtl w:val="0"/>
        </w:rPr>
        <w:t>(3), pp.403-429.</w:t>
      </w:r>
    </w:p>
    <w:p>
      <w:pPr>
        <w:pStyle w:val="Body"/>
        <w:spacing w:before="120" w:after="120" w:line="360" w:lineRule="auto"/>
      </w:pPr>
      <w:r>
        <w:rPr>
          <w:rFonts w:ascii="Arial" w:cs="Arial" w:hAnsi="Arial" w:eastAsia="Arial"/>
        </w:rPr>
      </w:r>
    </w:p>
    <w:sectPr>
      <w:headerReference w:type="default" r:id="rId6"/>
      <w:headerReference w:type="first" r:id="rId7"/>
      <w:footerReference w:type="default" r:id="rId8"/>
      <w:footerReference w:type="first" r:id="rId9"/>
      <w:pgSz w:w="11900" w:h="16840" w:orient="portrait"/>
      <w:pgMar w:top="1440" w:right="1440" w:bottom="1440" w:left="1440" w:header="720" w:footer="720"/>
      <w:pgNumType w:start="0"/>
      <w:titlePg w:val="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Calibri Light">
    <w:charset w:val="00"/>
    <w:family w:val="roman"/>
    <w:pitch w:val="default"/>
  </w:font>
  <w:font w:name="Wingding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000"/>
        <w:tab w:val="clear" w:pos="9360"/>
      </w:tabs>
      <w:jc w:val="center"/>
    </w:pP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000"/>
        <w:tab w:val="clear" w:pos="9360"/>
      </w:tabs>
      <w:jc w:val="right"/>
    </w:pP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Imported Style 2"/>
  </w:abstractNum>
  <w:abstractNum w:abstractNumId="3">
    <w:multiLevelType w:val="hybridMultilevel"/>
    <w:styleLink w:val="Imported Style 2"/>
    <w:lvl w:ilvl="0">
      <w:start w:val="1"/>
      <w:numFmt w:val="bullet"/>
      <w:suff w:val="tab"/>
      <w:lvlText w:val="▪"/>
      <w:lvlJc w:val="left"/>
      <w:pPr>
        <w:ind w:left="7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Wingdings" w:cs="Wingdings" w:hAnsi="Wingdings" w:eastAsia="Wingding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Wingdings" w:cs="Wingdings" w:hAnsi="Wingdings" w:eastAsia="Wingding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Wingdings" w:cs="Wingdings" w:hAnsi="Wingdings" w:eastAsia="Wingding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680"/>
        <w:tab w:val="right" w:pos="9360"/>
      </w:tabs>
      <w:suppressAutoHyphens w:val="0"/>
      <w:bidi w:val="0"/>
      <w:spacing w:before="0" w:after="0" w:line="240"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paragraph" w:styleId="TOC Heading">
    <w:name w:val="TOC Heading"/>
    <w:next w:val="Body"/>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libri Light" w:cs="Arial Unicode MS" w:hAnsi="Calibri Light" w:eastAsia="Arial Unicode MS"/>
      <w:b w:val="0"/>
      <w:bCs w:val="0"/>
      <w:i w:val="0"/>
      <w:iCs w:val="0"/>
      <w:caps w:val="0"/>
      <w:smallCaps w:val="0"/>
      <w:strike w:val="0"/>
      <w:dstrike w:val="0"/>
      <w:outline w:val="0"/>
      <w:color w:val="2f5496"/>
      <w:spacing w:val="0"/>
      <w:kern w:val="0"/>
      <w:position w:val="0"/>
      <w:sz w:val="32"/>
      <w:szCs w:val="32"/>
      <w:u w:val="none" w:color="2f5496"/>
      <w:shd w:val="nil" w:color="auto" w:fill="auto"/>
      <w:vertAlign w:val="baseline"/>
      <w:lang w:val="en-US"/>
      <w14:textFill>
        <w14:solidFill>
          <w14:srgbClr w14:val="2F5496"/>
        </w14:solidFill>
      </w14:textFill>
    </w:rPr>
  </w:style>
  <w:style w:type="paragraph" w:styleId="TOC 1">
    <w:name w:val="TOC 1"/>
    <w:next w:val="TOC 1"/>
    <w:pPr>
      <w:keepNext w:val="0"/>
      <w:keepLines w:val="0"/>
      <w:pageBreakBefore w:val="0"/>
      <w:widowControl w:val="1"/>
      <w:shd w:val="clear" w:color="auto" w:fill="auto"/>
      <w:tabs>
        <w:tab w:val="right" w:pos="9000" w:leader="dot"/>
      </w:tabs>
      <w:suppressAutoHyphens w:val="0"/>
      <w:bidi w:val="0"/>
      <w:spacing w:before="120" w:after="120" w:line="360"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w:name w:val="Heading"/>
    <w:next w:val="Body"/>
    <w:pPr>
      <w:keepNext w:val="1"/>
      <w:keepLines w:val="1"/>
      <w:pageBreakBefore w:val="0"/>
      <w:widowControl w:val="1"/>
      <w:shd w:val="clear" w:color="auto" w:fill="auto"/>
      <w:suppressAutoHyphens w:val="0"/>
      <w:bidi w:val="0"/>
      <w:spacing w:before="240" w:after="0" w:line="259" w:lineRule="auto"/>
      <w:ind w:left="0" w:right="0" w:firstLine="0"/>
      <w:jc w:val="left"/>
      <w:outlineLvl w:val="0"/>
    </w:pPr>
    <w:rPr>
      <w:rFonts w:ascii="Calibri Light" w:cs="Calibri Light" w:hAnsi="Calibri Light" w:eastAsia="Calibri Light"/>
      <w:b w:val="0"/>
      <w:bCs w:val="0"/>
      <w:i w:val="0"/>
      <w:iCs w:val="0"/>
      <w:caps w:val="0"/>
      <w:smallCaps w:val="0"/>
      <w:strike w:val="0"/>
      <w:dstrike w:val="0"/>
      <w:outline w:val="0"/>
      <w:color w:val="2f5496"/>
      <w:spacing w:val="0"/>
      <w:kern w:val="0"/>
      <w:position w:val="0"/>
      <w:sz w:val="32"/>
      <w:szCs w:val="32"/>
      <w:u w:val="none" w:color="2f5496"/>
      <w:shd w:val="nil" w:color="auto" w:fill="auto"/>
      <w:vertAlign w:val="baseline"/>
      <w14:textOutline>
        <w14:noFill/>
      </w14:textOutline>
      <w14:textFill>
        <w14:solidFill>
          <w14:srgbClr w14:val="2F5496"/>
        </w14:solidFill>
      </w14:textFill>
    </w:rPr>
  </w:style>
  <w:style w:type="paragraph" w:styleId="TOC 2">
    <w:name w:val="TOC 2"/>
    <w:next w:val="TOC 2"/>
    <w:pPr>
      <w:keepNext w:val="0"/>
      <w:keepLines w:val="0"/>
      <w:pageBreakBefore w:val="0"/>
      <w:widowControl w:val="1"/>
      <w:shd w:val="clear" w:color="auto" w:fill="auto"/>
      <w:tabs>
        <w:tab w:val="right" w:pos="9000" w:leader="dot"/>
      </w:tabs>
      <w:suppressAutoHyphens w:val="0"/>
      <w:bidi w:val="0"/>
      <w:spacing w:before="120" w:after="120" w:line="360" w:lineRule="auto"/>
      <w:ind w:left="22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2">
    <w:name w:val="Heading 2"/>
    <w:next w:val="Body"/>
    <w:pPr>
      <w:keepNext w:val="1"/>
      <w:keepLines w:val="1"/>
      <w:pageBreakBefore w:val="0"/>
      <w:widowControl w:val="1"/>
      <w:shd w:val="clear" w:color="auto" w:fill="auto"/>
      <w:suppressAutoHyphens w:val="0"/>
      <w:bidi w:val="0"/>
      <w:spacing w:before="40" w:after="0" w:line="259" w:lineRule="auto"/>
      <w:ind w:left="0" w:right="0" w:firstLine="0"/>
      <w:jc w:val="left"/>
      <w:outlineLvl w:val="1"/>
    </w:pPr>
    <w:rPr>
      <w:rFonts w:ascii="Calibri Light" w:cs="Calibri Light" w:hAnsi="Calibri Light" w:eastAsia="Calibri Light"/>
      <w:b w:val="0"/>
      <w:bCs w:val="0"/>
      <w:i w:val="0"/>
      <w:iCs w:val="0"/>
      <w:caps w:val="0"/>
      <w:smallCaps w:val="0"/>
      <w:strike w:val="0"/>
      <w:dstrike w:val="0"/>
      <w:outline w:val="0"/>
      <w:color w:val="2f5496"/>
      <w:spacing w:val="0"/>
      <w:kern w:val="0"/>
      <w:position w:val="0"/>
      <w:sz w:val="26"/>
      <w:szCs w:val="26"/>
      <w:u w:val="none" w:color="2f5496"/>
      <w:shd w:val="nil" w:color="auto" w:fill="auto"/>
      <w:vertAlign w:val="baseline"/>
      <w14:textOutline>
        <w14:noFill/>
      </w14:textOutline>
      <w14:textFill>
        <w14:solidFill>
          <w14:srgbClr w14:val="2F5496"/>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160" w:line="259" w:lineRule="auto"/>
      <w:ind w:left="72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numbering" w:styleId="Imported Style 1">
    <w:name w:val="Imported Style 1"/>
    <w:pPr>
      <w:numPr>
        <w:numId w:val="1"/>
      </w:numPr>
    </w:pPr>
  </w:style>
  <w:style w:type="numbering" w:styleId="Imported Style 2">
    <w:name w:val="Imported Style 2"/>
    <w:pPr>
      <w:numPr>
        <w:numId w:val="3"/>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1.jpeg"/><Relationship Id="rId6" Type="http://schemas.openxmlformats.org/officeDocument/2006/relationships/header" Target="header1.xml"/><Relationship Id="rId7" Type="http://schemas.openxmlformats.org/officeDocument/2006/relationships/header" Target="header2.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numbering" Target="numbering.xml"/><Relationship Id="rId11"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