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95334" w14:textId="6361B301"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Student Name - Natasha Rose-Taylor</w:t>
      </w:r>
    </w:p>
    <w:p w14:paraId="6AD8C896" w14:textId="638A5211"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Student number – 2328696</w:t>
      </w:r>
    </w:p>
    <w:p w14:paraId="4BA035BA" w14:textId="532E1318"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Lecturer – Phillip Jones</w:t>
      </w:r>
    </w:p>
    <w:p w14:paraId="2E2C10D7" w14:textId="6CF1B0A9"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Introduction to Independent research skills – BMHP5019</w:t>
      </w:r>
    </w:p>
    <w:p w14:paraId="4D36486B" w14:textId="4586526A" w:rsidR="00EA5CF1" w:rsidRPr="00C97093" w:rsidRDefault="00EA5CF1" w:rsidP="00931881">
      <w:pPr>
        <w:spacing w:line="360" w:lineRule="auto"/>
        <w:jc w:val="center"/>
        <w:rPr>
          <w:rFonts w:ascii="Arial" w:hAnsi="Arial" w:cs="Arial"/>
          <w:sz w:val="22"/>
          <w:szCs w:val="22"/>
        </w:rPr>
      </w:pPr>
      <w:r w:rsidRPr="00C97093">
        <w:rPr>
          <w:rFonts w:ascii="Arial" w:hAnsi="Arial" w:cs="Arial"/>
          <w:sz w:val="22"/>
          <w:szCs w:val="22"/>
        </w:rPr>
        <w:t xml:space="preserve">Component 2 – </w:t>
      </w:r>
      <w:r w:rsidR="00B8565E">
        <w:rPr>
          <w:rFonts w:ascii="Arial" w:hAnsi="Arial" w:cs="Arial"/>
          <w:sz w:val="22"/>
          <w:szCs w:val="22"/>
        </w:rPr>
        <w:t>Re</w:t>
      </w:r>
      <w:r w:rsidR="00D517A4">
        <w:rPr>
          <w:rFonts w:ascii="Arial" w:hAnsi="Arial" w:cs="Arial"/>
          <w:sz w:val="22"/>
          <w:szCs w:val="22"/>
        </w:rPr>
        <w:t>s</w:t>
      </w:r>
      <w:r w:rsidRPr="00C97093">
        <w:rPr>
          <w:rFonts w:ascii="Arial" w:hAnsi="Arial" w:cs="Arial"/>
          <w:sz w:val="22"/>
          <w:szCs w:val="22"/>
        </w:rPr>
        <w:t>earch Report</w:t>
      </w:r>
    </w:p>
    <w:p w14:paraId="51355A65" w14:textId="77777777" w:rsidR="00EA5CF1" w:rsidRPr="00931881" w:rsidRDefault="00EA5CF1" w:rsidP="00931881">
      <w:pPr>
        <w:spacing w:line="360" w:lineRule="auto"/>
        <w:jc w:val="right"/>
        <w:rPr>
          <w:rFonts w:ascii="Arial" w:hAnsi="Arial" w:cs="Arial"/>
          <w:b/>
          <w:bCs/>
          <w:sz w:val="22"/>
          <w:szCs w:val="22"/>
        </w:rPr>
      </w:pPr>
    </w:p>
    <w:p w14:paraId="038566F6" w14:textId="77777777" w:rsidR="00EA5CF1" w:rsidRPr="00931881" w:rsidRDefault="00EA5CF1" w:rsidP="00931881">
      <w:pPr>
        <w:spacing w:line="360" w:lineRule="auto"/>
        <w:rPr>
          <w:rFonts w:ascii="Arial" w:hAnsi="Arial" w:cs="Arial"/>
          <w:b/>
          <w:bCs/>
          <w:sz w:val="22"/>
          <w:szCs w:val="22"/>
        </w:rPr>
      </w:pPr>
    </w:p>
    <w:p w14:paraId="318B36CA" w14:textId="77777777" w:rsidR="00EA5CF1" w:rsidRPr="00931881" w:rsidRDefault="00EA5CF1" w:rsidP="00931881">
      <w:pPr>
        <w:spacing w:line="360" w:lineRule="auto"/>
        <w:rPr>
          <w:rFonts w:ascii="Arial" w:hAnsi="Arial" w:cs="Arial"/>
          <w:b/>
          <w:bCs/>
          <w:sz w:val="22"/>
          <w:szCs w:val="22"/>
        </w:rPr>
      </w:pPr>
    </w:p>
    <w:p w14:paraId="54CA84CE" w14:textId="77777777" w:rsidR="00EA5CF1" w:rsidRPr="00931881" w:rsidRDefault="00EA5CF1" w:rsidP="00931881">
      <w:pPr>
        <w:spacing w:line="360" w:lineRule="auto"/>
        <w:rPr>
          <w:rFonts w:ascii="Arial" w:hAnsi="Arial" w:cs="Arial"/>
          <w:b/>
          <w:bCs/>
          <w:sz w:val="22"/>
          <w:szCs w:val="22"/>
        </w:rPr>
      </w:pPr>
    </w:p>
    <w:p w14:paraId="0A555472" w14:textId="77777777" w:rsidR="00EA5CF1" w:rsidRPr="00931881" w:rsidRDefault="00EA5CF1" w:rsidP="00931881">
      <w:pPr>
        <w:spacing w:line="360" w:lineRule="auto"/>
        <w:rPr>
          <w:rFonts w:ascii="Arial" w:hAnsi="Arial" w:cs="Arial"/>
          <w:b/>
          <w:bCs/>
          <w:sz w:val="22"/>
          <w:szCs w:val="22"/>
        </w:rPr>
      </w:pPr>
    </w:p>
    <w:p w14:paraId="285D5C62" w14:textId="77777777" w:rsidR="00EA5CF1" w:rsidRPr="00931881" w:rsidRDefault="00EA5CF1" w:rsidP="00931881">
      <w:pPr>
        <w:spacing w:line="360" w:lineRule="auto"/>
        <w:rPr>
          <w:rFonts w:ascii="Arial" w:hAnsi="Arial" w:cs="Arial"/>
          <w:b/>
          <w:bCs/>
          <w:sz w:val="22"/>
          <w:szCs w:val="22"/>
        </w:rPr>
      </w:pPr>
    </w:p>
    <w:p w14:paraId="482475F8" w14:textId="77777777" w:rsidR="00EA5CF1" w:rsidRPr="00931881" w:rsidRDefault="00EA5CF1" w:rsidP="00931881">
      <w:pPr>
        <w:spacing w:line="360" w:lineRule="auto"/>
        <w:rPr>
          <w:rFonts w:ascii="Arial" w:hAnsi="Arial" w:cs="Arial"/>
          <w:b/>
          <w:bCs/>
          <w:sz w:val="22"/>
          <w:szCs w:val="22"/>
        </w:rPr>
      </w:pPr>
    </w:p>
    <w:p w14:paraId="4507BCE4" w14:textId="77777777" w:rsidR="00EA5CF1" w:rsidRPr="00931881" w:rsidRDefault="00EA5CF1" w:rsidP="00931881">
      <w:pPr>
        <w:spacing w:line="360" w:lineRule="auto"/>
        <w:rPr>
          <w:rFonts w:ascii="Arial" w:hAnsi="Arial" w:cs="Arial"/>
          <w:b/>
          <w:bCs/>
          <w:sz w:val="22"/>
          <w:szCs w:val="22"/>
        </w:rPr>
      </w:pPr>
    </w:p>
    <w:p w14:paraId="2113946B" w14:textId="77777777" w:rsidR="00EA5CF1" w:rsidRPr="00931881" w:rsidRDefault="00EA5CF1" w:rsidP="00931881">
      <w:pPr>
        <w:spacing w:line="360" w:lineRule="auto"/>
        <w:rPr>
          <w:rFonts w:ascii="Arial" w:hAnsi="Arial" w:cs="Arial"/>
          <w:b/>
          <w:bCs/>
          <w:sz w:val="22"/>
          <w:szCs w:val="22"/>
        </w:rPr>
      </w:pPr>
    </w:p>
    <w:p w14:paraId="13B649BF" w14:textId="77777777" w:rsidR="00EA5CF1" w:rsidRPr="00931881" w:rsidRDefault="00EA5CF1" w:rsidP="00931881">
      <w:pPr>
        <w:spacing w:line="360" w:lineRule="auto"/>
        <w:rPr>
          <w:rFonts w:ascii="Arial" w:hAnsi="Arial" w:cs="Arial"/>
          <w:b/>
          <w:bCs/>
          <w:sz w:val="22"/>
          <w:szCs w:val="22"/>
        </w:rPr>
      </w:pPr>
    </w:p>
    <w:p w14:paraId="1F8694CA" w14:textId="77777777" w:rsidR="00EA5CF1" w:rsidRPr="00931881" w:rsidRDefault="00EA5CF1" w:rsidP="00931881">
      <w:pPr>
        <w:spacing w:line="360" w:lineRule="auto"/>
        <w:rPr>
          <w:rFonts w:ascii="Arial" w:hAnsi="Arial" w:cs="Arial"/>
          <w:b/>
          <w:bCs/>
          <w:sz w:val="22"/>
          <w:szCs w:val="22"/>
        </w:rPr>
      </w:pPr>
    </w:p>
    <w:p w14:paraId="63684B81" w14:textId="77777777" w:rsidR="00EA5CF1" w:rsidRPr="00931881" w:rsidRDefault="00EA5CF1" w:rsidP="00931881">
      <w:pPr>
        <w:spacing w:line="360" w:lineRule="auto"/>
        <w:rPr>
          <w:rFonts w:ascii="Arial" w:hAnsi="Arial" w:cs="Arial"/>
          <w:b/>
          <w:bCs/>
          <w:sz w:val="22"/>
          <w:szCs w:val="22"/>
        </w:rPr>
      </w:pPr>
    </w:p>
    <w:p w14:paraId="416F3BB7" w14:textId="77777777" w:rsidR="00EA5CF1" w:rsidRPr="00931881" w:rsidRDefault="00EA5CF1" w:rsidP="00931881">
      <w:pPr>
        <w:spacing w:line="360" w:lineRule="auto"/>
        <w:rPr>
          <w:rFonts w:ascii="Arial" w:hAnsi="Arial" w:cs="Arial"/>
          <w:b/>
          <w:bCs/>
          <w:sz w:val="22"/>
          <w:szCs w:val="22"/>
        </w:rPr>
      </w:pPr>
    </w:p>
    <w:p w14:paraId="73FABF60" w14:textId="77777777" w:rsidR="00EA5CF1" w:rsidRPr="00931881" w:rsidRDefault="00EA5CF1" w:rsidP="00931881">
      <w:pPr>
        <w:spacing w:line="360" w:lineRule="auto"/>
        <w:rPr>
          <w:rFonts w:ascii="Arial" w:hAnsi="Arial" w:cs="Arial"/>
          <w:b/>
          <w:bCs/>
          <w:sz w:val="22"/>
          <w:szCs w:val="22"/>
        </w:rPr>
      </w:pPr>
    </w:p>
    <w:p w14:paraId="348C3F88" w14:textId="77777777" w:rsidR="00EA5CF1" w:rsidRPr="00931881" w:rsidRDefault="00EA5CF1" w:rsidP="00931881">
      <w:pPr>
        <w:spacing w:line="360" w:lineRule="auto"/>
        <w:rPr>
          <w:rFonts w:ascii="Arial" w:hAnsi="Arial" w:cs="Arial"/>
          <w:b/>
          <w:bCs/>
          <w:sz w:val="22"/>
          <w:szCs w:val="22"/>
        </w:rPr>
      </w:pPr>
    </w:p>
    <w:p w14:paraId="3040C2F1" w14:textId="77777777" w:rsidR="00EA5CF1" w:rsidRPr="00931881" w:rsidRDefault="00EA5CF1" w:rsidP="00931881">
      <w:pPr>
        <w:spacing w:line="360" w:lineRule="auto"/>
        <w:rPr>
          <w:rFonts w:ascii="Arial" w:hAnsi="Arial" w:cs="Arial"/>
          <w:b/>
          <w:bCs/>
          <w:sz w:val="22"/>
          <w:szCs w:val="22"/>
        </w:rPr>
      </w:pPr>
    </w:p>
    <w:p w14:paraId="30122178" w14:textId="77777777" w:rsidR="00EA5CF1" w:rsidRPr="00931881" w:rsidRDefault="00EA5CF1" w:rsidP="00931881">
      <w:pPr>
        <w:spacing w:line="360" w:lineRule="auto"/>
        <w:rPr>
          <w:rFonts w:ascii="Arial" w:hAnsi="Arial" w:cs="Arial"/>
          <w:b/>
          <w:bCs/>
          <w:sz w:val="22"/>
          <w:szCs w:val="22"/>
        </w:rPr>
      </w:pPr>
    </w:p>
    <w:p w14:paraId="44D8E86A" w14:textId="77777777" w:rsidR="00EA5CF1" w:rsidRPr="00931881" w:rsidRDefault="00EA5CF1" w:rsidP="00931881">
      <w:pPr>
        <w:spacing w:line="360" w:lineRule="auto"/>
        <w:rPr>
          <w:rFonts w:ascii="Arial" w:hAnsi="Arial" w:cs="Arial"/>
          <w:b/>
          <w:bCs/>
          <w:sz w:val="22"/>
          <w:szCs w:val="22"/>
        </w:rPr>
      </w:pPr>
    </w:p>
    <w:p w14:paraId="03504D44" w14:textId="77777777" w:rsidR="00EA5CF1" w:rsidRPr="00931881" w:rsidRDefault="00EA5CF1" w:rsidP="00931881">
      <w:pPr>
        <w:spacing w:line="360" w:lineRule="auto"/>
        <w:rPr>
          <w:rFonts w:ascii="Arial" w:hAnsi="Arial" w:cs="Arial"/>
          <w:b/>
          <w:bCs/>
          <w:sz w:val="22"/>
          <w:szCs w:val="22"/>
        </w:rPr>
      </w:pPr>
    </w:p>
    <w:p w14:paraId="2CA69075" w14:textId="77777777" w:rsidR="00EA5CF1" w:rsidRPr="00931881" w:rsidRDefault="00EA5CF1" w:rsidP="00931881">
      <w:pPr>
        <w:spacing w:line="360" w:lineRule="auto"/>
        <w:rPr>
          <w:rFonts w:ascii="Arial" w:hAnsi="Arial" w:cs="Arial"/>
          <w:b/>
          <w:bCs/>
          <w:sz w:val="22"/>
          <w:szCs w:val="22"/>
        </w:rPr>
      </w:pPr>
    </w:p>
    <w:p w14:paraId="7D93DBA8" w14:textId="77777777" w:rsidR="00323201" w:rsidRDefault="00323201" w:rsidP="00931881">
      <w:pPr>
        <w:spacing w:line="360" w:lineRule="auto"/>
        <w:rPr>
          <w:rFonts w:ascii="Arial" w:hAnsi="Arial" w:cs="Arial"/>
          <w:b/>
          <w:bCs/>
          <w:sz w:val="22"/>
          <w:szCs w:val="22"/>
        </w:rPr>
      </w:pPr>
    </w:p>
    <w:p w14:paraId="4F7DB94C" w14:textId="52365080" w:rsidR="00EA5CF1" w:rsidRPr="00323201" w:rsidRDefault="00EA5CF1" w:rsidP="00931881">
      <w:pPr>
        <w:spacing w:line="360" w:lineRule="auto"/>
        <w:rPr>
          <w:rFonts w:ascii="Arial" w:hAnsi="Arial" w:cs="Arial"/>
          <w:b/>
          <w:bCs/>
          <w:sz w:val="20"/>
          <w:szCs w:val="20"/>
          <w:u w:val="single"/>
        </w:rPr>
      </w:pPr>
      <w:r w:rsidRPr="00323201">
        <w:rPr>
          <w:rFonts w:ascii="Arial" w:hAnsi="Arial" w:cs="Arial"/>
          <w:b/>
          <w:bCs/>
          <w:sz w:val="20"/>
          <w:szCs w:val="20"/>
          <w:u w:val="single"/>
        </w:rPr>
        <w:lastRenderedPageBreak/>
        <w:t xml:space="preserve">Contents page </w:t>
      </w:r>
    </w:p>
    <w:p w14:paraId="67DACA84" w14:textId="246F0808" w:rsidR="00EA5CF1" w:rsidRPr="00323201" w:rsidRDefault="00EA5CF1" w:rsidP="00931881">
      <w:pPr>
        <w:pStyle w:val="ListParagraph"/>
        <w:numPr>
          <w:ilvl w:val="0"/>
          <w:numId w:val="15"/>
        </w:numPr>
        <w:spacing w:line="360" w:lineRule="auto"/>
        <w:rPr>
          <w:rFonts w:ascii="Arial" w:hAnsi="Arial" w:cs="Arial"/>
          <w:sz w:val="20"/>
          <w:szCs w:val="20"/>
        </w:rPr>
      </w:pPr>
      <w:r w:rsidRPr="00323201">
        <w:rPr>
          <w:rFonts w:ascii="Arial" w:hAnsi="Arial" w:cs="Arial"/>
          <w:sz w:val="20"/>
          <w:szCs w:val="20"/>
        </w:rPr>
        <w:t>Introduction ............................................................. 3</w:t>
      </w:r>
    </w:p>
    <w:p w14:paraId="003594EA" w14:textId="0C703837"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2. Background ................................................................ </w:t>
      </w:r>
      <w:r w:rsidR="007F35B2">
        <w:rPr>
          <w:rFonts w:ascii="Arial" w:hAnsi="Arial" w:cs="Arial"/>
          <w:sz w:val="20"/>
          <w:szCs w:val="20"/>
        </w:rPr>
        <w:t>4</w:t>
      </w:r>
    </w:p>
    <w:p w14:paraId="229E8663" w14:textId="3057DE52"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 2.1 Current Policies and Legislation .................................... </w:t>
      </w:r>
      <w:r w:rsidR="0009799E">
        <w:rPr>
          <w:rFonts w:ascii="Arial" w:hAnsi="Arial" w:cs="Arial"/>
          <w:sz w:val="20"/>
          <w:szCs w:val="20"/>
        </w:rPr>
        <w:t>4</w:t>
      </w:r>
    </w:p>
    <w:p w14:paraId="36965258" w14:textId="035398DA"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 2.2 Existing Services and Practice ......................................... </w:t>
      </w:r>
      <w:r w:rsidR="0009799E">
        <w:rPr>
          <w:rFonts w:ascii="Arial" w:hAnsi="Arial" w:cs="Arial"/>
          <w:sz w:val="20"/>
          <w:szCs w:val="20"/>
        </w:rPr>
        <w:t>5</w:t>
      </w:r>
    </w:p>
    <w:p w14:paraId="51E9E783" w14:textId="73D765FD"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 2.3 Key Challenges and Issues ............................................... </w:t>
      </w:r>
      <w:r w:rsidR="0009799E">
        <w:rPr>
          <w:rFonts w:ascii="Arial" w:hAnsi="Arial" w:cs="Arial"/>
          <w:sz w:val="20"/>
          <w:szCs w:val="20"/>
        </w:rPr>
        <w:t>5</w:t>
      </w:r>
    </w:p>
    <w:p w14:paraId="15637C9C" w14:textId="109CE8D6"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3. Methods ....................................................................... </w:t>
      </w:r>
      <w:r w:rsidR="0009799E">
        <w:rPr>
          <w:rFonts w:ascii="Arial" w:hAnsi="Arial" w:cs="Arial"/>
          <w:sz w:val="20"/>
          <w:szCs w:val="20"/>
        </w:rPr>
        <w:t>6</w:t>
      </w:r>
    </w:p>
    <w:p w14:paraId="24B0355B" w14:textId="32780B9D"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 3.1 Search Strategy ............................................................ </w:t>
      </w:r>
      <w:r w:rsidR="00E55696">
        <w:rPr>
          <w:rFonts w:ascii="Arial" w:hAnsi="Arial" w:cs="Arial"/>
          <w:sz w:val="20"/>
          <w:szCs w:val="20"/>
        </w:rPr>
        <w:t>6</w:t>
      </w:r>
    </w:p>
    <w:p w14:paraId="16FB9EE1" w14:textId="54750404"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 3.2 Inclusion and Exclusion Criteria ..................................... </w:t>
      </w:r>
      <w:r w:rsidR="00E55696">
        <w:rPr>
          <w:rFonts w:ascii="Arial" w:hAnsi="Arial" w:cs="Arial"/>
          <w:sz w:val="20"/>
          <w:szCs w:val="20"/>
        </w:rPr>
        <w:t>6</w:t>
      </w:r>
    </w:p>
    <w:p w14:paraId="4E0AE7C4" w14:textId="46A47A0E"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 3.3 Data Extraction and Charting ......................................... </w:t>
      </w:r>
      <w:r w:rsidR="00E55696">
        <w:rPr>
          <w:rFonts w:ascii="Arial" w:hAnsi="Arial" w:cs="Arial"/>
          <w:sz w:val="20"/>
          <w:szCs w:val="20"/>
        </w:rPr>
        <w:t>7</w:t>
      </w:r>
    </w:p>
    <w:p w14:paraId="136A35BA" w14:textId="1BF9F44F"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 3.4 Data Analysis ................................................................ </w:t>
      </w:r>
      <w:r w:rsidR="00E55696">
        <w:rPr>
          <w:rFonts w:ascii="Arial" w:hAnsi="Arial" w:cs="Arial"/>
          <w:sz w:val="20"/>
          <w:szCs w:val="20"/>
        </w:rPr>
        <w:t>7</w:t>
      </w:r>
    </w:p>
    <w:p w14:paraId="34E596B5" w14:textId="7199D3F6"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 3.5 Ethical Considerations .................................................. </w:t>
      </w:r>
      <w:r w:rsidR="00E55696">
        <w:rPr>
          <w:rFonts w:ascii="Arial" w:hAnsi="Arial" w:cs="Arial"/>
          <w:sz w:val="20"/>
          <w:szCs w:val="20"/>
        </w:rPr>
        <w:t>7</w:t>
      </w:r>
    </w:p>
    <w:p w14:paraId="59A593A1" w14:textId="2C19C033"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4. Results .......................................................................... </w:t>
      </w:r>
      <w:r w:rsidR="00E55696">
        <w:rPr>
          <w:rFonts w:ascii="Arial" w:hAnsi="Arial" w:cs="Arial"/>
          <w:sz w:val="20"/>
          <w:szCs w:val="20"/>
        </w:rPr>
        <w:t>7</w:t>
      </w:r>
    </w:p>
    <w:p w14:paraId="469DF1F9" w14:textId="270702B6"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5. Summary of Included Studies ....................................... 8</w:t>
      </w:r>
    </w:p>
    <w:p w14:paraId="3458C888" w14:textId="5DBE44F5"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6. Thematic Analysis ......................................................... </w:t>
      </w:r>
      <w:r w:rsidR="00376FFD">
        <w:rPr>
          <w:rFonts w:ascii="Arial" w:hAnsi="Arial" w:cs="Arial"/>
          <w:sz w:val="20"/>
          <w:szCs w:val="20"/>
        </w:rPr>
        <w:t>9</w:t>
      </w:r>
    </w:p>
    <w:p w14:paraId="4D11D289" w14:textId="36153C58"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 6.1 Cognitive Challenges .................................................... </w:t>
      </w:r>
      <w:r w:rsidR="00376FFD">
        <w:rPr>
          <w:rFonts w:ascii="Arial" w:hAnsi="Arial" w:cs="Arial"/>
          <w:sz w:val="20"/>
          <w:szCs w:val="20"/>
        </w:rPr>
        <w:t>9</w:t>
      </w:r>
    </w:p>
    <w:p w14:paraId="3FC6B666" w14:textId="24A0F3BC"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 6.2 Emotional Regulation Difficulties .................................. </w:t>
      </w:r>
      <w:r w:rsidR="00376FFD">
        <w:rPr>
          <w:rFonts w:ascii="Arial" w:hAnsi="Arial" w:cs="Arial"/>
          <w:sz w:val="20"/>
          <w:szCs w:val="20"/>
        </w:rPr>
        <w:t>9</w:t>
      </w:r>
    </w:p>
    <w:p w14:paraId="45503EB9" w14:textId="5BA72574"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 6.3 Social Challenges .......................................................... </w:t>
      </w:r>
      <w:r w:rsidR="00AB547F">
        <w:rPr>
          <w:rFonts w:ascii="Arial" w:hAnsi="Arial" w:cs="Arial"/>
          <w:sz w:val="20"/>
          <w:szCs w:val="20"/>
        </w:rPr>
        <w:t>10</w:t>
      </w:r>
    </w:p>
    <w:p w14:paraId="3283069D" w14:textId="4CBF4955"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 6.4 Behavioural Challenges and Adult Responses ............... </w:t>
      </w:r>
      <w:r w:rsidR="009E78C2">
        <w:rPr>
          <w:rFonts w:ascii="Arial" w:hAnsi="Arial" w:cs="Arial"/>
          <w:sz w:val="20"/>
          <w:szCs w:val="20"/>
        </w:rPr>
        <w:t>10</w:t>
      </w:r>
    </w:p>
    <w:p w14:paraId="3C8B5231" w14:textId="19DA0F30"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 6.5 Systemic Barriers .......................................................... </w:t>
      </w:r>
      <w:r w:rsidR="009E78C2">
        <w:rPr>
          <w:rFonts w:ascii="Arial" w:hAnsi="Arial" w:cs="Arial"/>
          <w:sz w:val="20"/>
          <w:szCs w:val="20"/>
        </w:rPr>
        <w:t>10</w:t>
      </w:r>
    </w:p>
    <w:p w14:paraId="47DD06F4" w14:textId="39D77599"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7. Discussion ..................................................................... </w:t>
      </w:r>
      <w:r w:rsidR="00416CBD">
        <w:rPr>
          <w:rFonts w:ascii="Arial" w:hAnsi="Arial" w:cs="Arial"/>
          <w:sz w:val="20"/>
          <w:szCs w:val="20"/>
        </w:rPr>
        <w:t>11</w:t>
      </w:r>
    </w:p>
    <w:p w14:paraId="0560A0BA" w14:textId="12095208"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 7.1 Gaps in the Literature .................................................. </w:t>
      </w:r>
      <w:r w:rsidR="00665AA6">
        <w:rPr>
          <w:rFonts w:ascii="Arial" w:hAnsi="Arial" w:cs="Arial"/>
          <w:sz w:val="20"/>
          <w:szCs w:val="20"/>
        </w:rPr>
        <w:t>12</w:t>
      </w:r>
    </w:p>
    <w:p w14:paraId="6C45946B" w14:textId="194F8810"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 7.2 Implications for Policy and Practice ............................. </w:t>
      </w:r>
      <w:r w:rsidR="00665AA6">
        <w:rPr>
          <w:rFonts w:ascii="Arial" w:hAnsi="Arial" w:cs="Arial"/>
          <w:sz w:val="20"/>
          <w:szCs w:val="20"/>
        </w:rPr>
        <w:t>13</w:t>
      </w:r>
    </w:p>
    <w:p w14:paraId="0F86D2DC" w14:textId="5DB62D3F"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8. Conclusion ..................................................................... </w:t>
      </w:r>
      <w:r w:rsidR="00665AA6">
        <w:rPr>
          <w:rFonts w:ascii="Arial" w:hAnsi="Arial" w:cs="Arial"/>
          <w:sz w:val="20"/>
          <w:szCs w:val="20"/>
        </w:rPr>
        <w:t>13</w:t>
      </w:r>
    </w:p>
    <w:p w14:paraId="4253F253" w14:textId="73AD840F"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9. Recommendations .......................................................... </w:t>
      </w:r>
      <w:r w:rsidR="00665AA6">
        <w:rPr>
          <w:rFonts w:ascii="Arial" w:hAnsi="Arial" w:cs="Arial"/>
          <w:sz w:val="20"/>
          <w:szCs w:val="20"/>
        </w:rPr>
        <w:t>14</w:t>
      </w:r>
    </w:p>
    <w:p w14:paraId="29844108" w14:textId="490F3694"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 9.1 Recommendations for Future Research ....................... </w:t>
      </w:r>
      <w:r w:rsidR="00665AA6">
        <w:rPr>
          <w:rFonts w:ascii="Arial" w:hAnsi="Arial" w:cs="Arial"/>
          <w:sz w:val="20"/>
          <w:szCs w:val="20"/>
        </w:rPr>
        <w:t>14</w:t>
      </w:r>
    </w:p>
    <w:p w14:paraId="3D61DE48" w14:textId="3FE3D62C" w:rsidR="00EA5CF1" w:rsidRPr="00323201" w:rsidRDefault="00EA5CF1" w:rsidP="00931881">
      <w:pPr>
        <w:spacing w:line="360" w:lineRule="auto"/>
        <w:rPr>
          <w:rFonts w:ascii="Arial" w:hAnsi="Arial" w:cs="Arial"/>
          <w:sz w:val="20"/>
          <w:szCs w:val="20"/>
        </w:rPr>
      </w:pPr>
      <w:r w:rsidRPr="00323201">
        <w:rPr>
          <w:rFonts w:ascii="Arial" w:hAnsi="Arial" w:cs="Arial"/>
          <w:sz w:val="20"/>
          <w:szCs w:val="20"/>
        </w:rPr>
        <w:t xml:space="preserve"> 9.2 Recommendations for Policy and Practice .................... </w:t>
      </w:r>
      <w:r w:rsidR="00665AA6">
        <w:rPr>
          <w:rFonts w:ascii="Arial" w:hAnsi="Arial" w:cs="Arial"/>
          <w:sz w:val="20"/>
          <w:szCs w:val="20"/>
        </w:rPr>
        <w:t>14</w:t>
      </w:r>
    </w:p>
    <w:p w14:paraId="5DECFC85" w14:textId="71424C6F" w:rsidR="007F35B2" w:rsidRDefault="00EA5CF1" w:rsidP="00931881">
      <w:pPr>
        <w:spacing w:line="360" w:lineRule="auto"/>
        <w:rPr>
          <w:rFonts w:ascii="Arial" w:hAnsi="Arial" w:cs="Arial"/>
          <w:sz w:val="20"/>
          <w:szCs w:val="20"/>
        </w:rPr>
      </w:pPr>
      <w:r w:rsidRPr="00323201">
        <w:rPr>
          <w:rFonts w:ascii="Arial" w:hAnsi="Arial" w:cs="Arial"/>
          <w:sz w:val="20"/>
          <w:szCs w:val="20"/>
        </w:rPr>
        <w:t xml:space="preserve">10. Reference List ............................................................... </w:t>
      </w:r>
      <w:r w:rsidR="00665AA6">
        <w:rPr>
          <w:rFonts w:ascii="Arial" w:hAnsi="Arial" w:cs="Arial"/>
          <w:sz w:val="20"/>
          <w:szCs w:val="20"/>
        </w:rPr>
        <w:t>15</w:t>
      </w:r>
    </w:p>
    <w:p w14:paraId="54B36990" w14:textId="69075879" w:rsidR="00EA5CF1" w:rsidRPr="007F35B2" w:rsidRDefault="00C97093" w:rsidP="00931881">
      <w:pPr>
        <w:spacing w:line="360" w:lineRule="auto"/>
        <w:rPr>
          <w:rFonts w:ascii="Arial" w:hAnsi="Arial" w:cs="Arial"/>
          <w:sz w:val="20"/>
          <w:szCs w:val="20"/>
        </w:rPr>
      </w:pPr>
      <w:r>
        <w:rPr>
          <w:rFonts w:ascii="Arial" w:hAnsi="Arial" w:cs="Arial"/>
          <w:b/>
          <w:bCs/>
          <w:sz w:val="22"/>
          <w:szCs w:val="22"/>
          <w:u w:val="single"/>
        </w:rPr>
        <w:lastRenderedPageBreak/>
        <w:t>1</w:t>
      </w:r>
      <w:r w:rsidR="006504F5">
        <w:rPr>
          <w:rFonts w:ascii="Arial" w:hAnsi="Arial" w:cs="Arial"/>
          <w:b/>
          <w:bCs/>
          <w:sz w:val="22"/>
          <w:szCs w:val="22"/>
          <w:u w:val="single"/>
        </w:rPr>
        <w:t>.</w:t>
      </w:r>
      <w:r w:rsidR="00350C7A">
        <w:rPr>
          <w:rFonts w:ascii="Arial" w:hAnsi="Arial" w:cs="Arial"/>
          <w:b/>
          <w:bCs/>
          <w:sz w:val="22"/>
          <w:szCs w:val="22"/>
          <w:u w:val="single"/>
        </w:rPr>
        <w:t xml:space="preserve"> </w:t>
      </w:r>
      <w:r w:rsidR="00EA5CF1" w:rsidRPr="00931881">
        <w:rPr>
          <w:rFonts w:ascii="Arial" w:hAnsi="Arial" w:cs="Arial"/>
          <w:b/>
          <w:bCs/>
          <w:sz w:val="22"/>
          <w:szCs w:val="22"/>
          <w:u w:val="single"/>
        </w:rPr>
        <w:t xml:space="preserve">Introduction </w:t>
      </w:r>
    </w:p>
    <w:p w14:paraId="6AA400A9" w14:textId="0242B8AD"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Attention Deficit Hyperactivity Disorder (ADHD) is a neurodevelopmental condition characterised by persistent patterns of inattention, hyperactivity and impulsivity that significantly impair functioning across home, school and community environments (Thapar, Cooper and Rutter, 2017). The condition affects approximately five per cent of children globally, with UK prevalence estimates suggesting similar rates, although diagnostic patterns vary across regions and socio</w:t>
      </w:r>
      <w:r w:rsidRPr="00EA5CF1">
        <w:rPr>
          <w:rFonts w:ascii="Arial" w:hAnsi="Arial" w:cs="Arial"/>
          <w:sz w:val="22"/>
          <w:szCs w:val="22"/>
        </w:rPr>
        <w:noBreakHyphen/>
        <w:t>economic groups (Willcutt, 2015). ADHD is increasingly recognised as a condition that affects multiple domains of a child’s life, including cognitive functioning, emotional regulation, social relationships and behavioural responses. These difficulties can have long</w:t>
      </w:r>
      <w:r w:rsidRPr="00EA5CF1">
        <w:rPr>
          <w:rFonts w:ascii="Arial" w:hAnsi="Arial" w:cs="Arial"/>
          <w:sz w:val="22"/>
          <w:szCs w:val="22"/>
        </w:rPr>
        <w:noBreakHyphen/>
        <w:t>term implications for educational attainment, mental health and family wellbeing.</w:t>
      </w:r>
    </w:p>
    <w:p w14:paraId="30BA3C12"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Children with ADHD often experience challenges with executive functioning, including working memory, planning, organisation and sustained attention, which can affect academic performance and daily routines (Holmes et al., 2021). Emotional regulation difficulties are also common, with children experiencing heightened irritability, frustration, anxiety and emotional lability, which can contribute to conflict, social withdrawal and reduced self</w:t>
      </w:r>
      <w:r w:rsidRPr="00EA5CF1">
        <w:rPr>
          <w:rFonts w:ascii="Arial" w:hAnsi="Arial" w:cs="Arial"/>
          <w:sz w:val="22"/>
          <w:szCs w:val="22"/>
        </w:rPr>
        <w:noBreakHyphen/>
        <w:t>esteem (Shaw et al., 2014). Socially, children with ADHD may struggle to maintain friendships, interpret social cues and manage peer conflict, which can lead to isolation and bullying (Owens et al., 2017). Behaviourally, impulsivity and hyperactivity can be misunderstood as deliberate misbehaviour, which may result in punitive responses, exclusion and damaged self</w:t>
      </w:r>
      <w:r w:rsidRPr="00EA5CF1">
        <w:rPr>
          <w:rFonts w:ascii="Arial" w:hAnsi="Arial" w:cs="Arial"/>
          <w:sz w:val="22"/>
          <w:szCs w:val="22"/>
        </w:rPr>
        <w:noBreakHyphen/>
        <w:t>esteem (Parker, Whear and Ukoumunne, 2018).</w:t>
      </w:r>
    </w:p>
    <w:p w14:paraId="739F4EDC"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A scoping review is an appropriate method for exploring the lived experiences of children with ADHD because it allows for the mapping of diverse evidence, identification of key themes and recognition of gaps in the literature (Arksey and O’Malley, 2005). Scoping reviews are particularly useful for complex topics where evidence is varied, emerging or methodologically diverse, as they allow researchers to synthesise findings without the restrictive criteria of systematic reviews (Levac, Colquhoun and O’Brien, 2010). ADHD is a condition that intersects with education, health and social care systems, making a scoping review an effective approach for understanding the challenges experienced by children and young people in the UK.</w:t>
      </w:r>
    </w:p>
    <w:p w14:paraId="41A14356"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Understanding these challenges is essential because they affect educational attainment, social relationships, emotional wellbeing and long</w:t>
      </w:r>
      <w:r w:rsidRPr="00EA5CF1">
        <w:rPr>
          <w:rFonts w:ascii="Arial" w:hAnsi="Arial" w:cs="Arial"/>
          <w:sz w:val="22"/>
          <w:szCs w:val="22"/>
        </w:rPr>
        <w:noBreakHyphen/>
        <w:t xml:space="preserve">term outcomes. UK evidence highlights persistent unmet need, long waiting times and variability in support across services, which can exacerbate the challenges experienced by children and families (Sayal et al., 2018). Teachers often report limited training and uncertainty about how best to support pupils with </w:t>
      </w:r>
      <w:r w:rsidRPr="00EA5CF1">
        <w:rPr>
          <w:rFonts w:ascii="Arial" w:hAnsi="Arial" w:cs="Arial"/>
          <w:sz w:val="22"/>
          <w:szCs w:val="22"/>
        </w:rPr>
        <w:lastRenderedPageBreak/>
        <w:t>ADHD, which can lead to inconsistent practice and misunderstanding (Moore, Russell and Ford, 2017). Families frequently describe fragmented pathways, emotional strain and difficulty accessing appropriate interventions, which can contribute to frustration and disengagement (Eke and Singh, 2020). These issues highlight the need for a comprehensive understanding of the cognitive, emotional, social and behavioural challenges experienced by children and young people with ADHD in the UK.</w:t>
      </w:r>
    </w:p>
    <w:p w14:paraId="62A105F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review therefore seeks to answer the question: What cognitive, emotional, social and behavioural challenges do children and young people with ADHD experience in their daily lives within the UK? The objectives are to map peer</w:t>
      </w:r>
      <w:r w:rsidRPr="00EA5CF1">
        <w:rPr>
          <w:rFonts w:ascii="Arial" w:hAnsi="Arial" w:cs="Arial"/>
          <w:sz w:val="22"/>
          <w:szCs w:val="22"/>
        </w:rPr>
        <w:noBreakHyphen/>
        <w:t>reviewed evidence on the challenges experienced by UK children and young people with ADHD, identify patterns and gaps in the literature, contextualise these challenges within UK health, education and social care systems and inform recommendations for future research, policy and practice.</w:t>
      </w:r>
    </w:p>
    <w:p w14:paraId="566FD39D" w14:textId="59DA0E2B"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2</w:t>
      </w:r>
      <w:r w:rsidR="006504F5">
        <w:rPr>
          <w:rFonts w:ascii="Arial" w:hAnsi="Arial" w:cs="Arial"/>
          <w:b/>
          <w:bCs/>
          <w:sz w:val="22"/>
          <w:szCs w:val="22"/>
        </w:rPr>
        <w:t>.</w:t>
      </w:r>
      <w:r w:rsidRPr="00EA5CF1">
        <w:rPr>
          <w:rFonts w:ascii="Arial" w:hAnsi="Arial" w:cs="Arial"/>
          <w:b/>
          <w:bCs/>
          <w:sz w:val="22"/>
          <w:szCs w:val="22"/>
        </w:rPr>
        <w:t xml:space="preserve"> Background</w:t>
      </w:r>
    </w:p>
    <w:p w14:paraId="1B160EEC"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2.1 Current Policies and Legislation</w:t>
      </w:r>
    </w:p>
    <w:p w14:paraId="384721E4"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ADHD assessment and management in the UK are guided by the National Institute for Health and Care Excellence (NICE) guideline NG87, which emphasises timely assessment, multi</w:t>
      </w:r>
      <w:r w:rsidRPr="00EA5CF1">
        <w:rPr>
          <w:rFonts w:ascii="Arial" w:hAnsi="Arial" w:cs="Arial"/>
          <w:sz w:val="22"/>
          <w:szCs w:val="22"/>
        </w:rPr>
        <w:noBreakHyphen/>
        <w:t>agency collaboration and support across home and school environments (NICE, 2018). The guideline recommends a holistic approach that considers the child’s developmental history, family context and functional impairments. The Children and Families Act 2014 and the SEND Code of Practice require schools to make reasonable adjustments, adopt person</w:t>
      </w:r>
      <w:r w:rsidRPr="00EA5CF1">
        <w:rPr>
          <w:rFonts w:ascii="Arial" w:hAnsi="Arial" w:cs="Arial"/>
          <w:sz w:val="22"/>
          <w:szCs w:val="22"/>
        </w:rPr>
        <w:noBreakHyphen/>
        <w:t>centred planning and ensure that children with ADHD receive appropriate support through SEN Support or an Education, Health and Care Plan (Department for Education, 2015). These frameworks aim to promote inclusion and ensure that children with ADHD can access education on an equal basis with their peers.</w:t>
      </w:r>
    </w:p>
    <w:p w14:paraId="1BEBFD79"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Despite these policy frameworks, neurodevelopmental services face significant pressures, with long waiting times, inconsistent provision and regional disparities in access to assessment and treatment (Ford, Hayes and Byford, 2021). Many families report delays of over a year for initial assessment, which can lead to worsening symptoms, increased family stress and reduced engagement in school. These systemic challenges highlight the gap between policy intentions and lived experiences. The variability in provision means that children with ADHD may receive different levels of support depending on their location, school resources and the knowledge and attitudes of professionals involved in their care.</w:t>
      </w:r>
    </w:p>
    <w:p w14:paraId="2162396F" w14:textId="77777777" w:rsidR="0009799E" w:rsidRDefault="0009799E" w:rsidP="00931881">
      <w:pPr>
        <w:spacing w:line="360" w:lineRule="auto"/>
        <w:rPr>
          <w:rFonts w:ascii="Arial" w:hAnsi="Arial" w:cs="Arial"/>
          <w:b/>
          <w:bCs/>
          <w:sz w:val="22"/>
          <w:szCs w:val="22"/>
        </w:rPr>
      </w:pPr>
    </w:p>
    <w:p w14:paraId="1342EE04" w14:textId="77777777" w:rsidR="0009799E" w:rsidRDefault="0009799E" w:rsidP="00931881">
      <w:pPr>
        <w:spacing w:line="360" w:lineRule="auto"/>
        <w:rPr>
          <w:rFonts w:ascii="Arial" w:hAnsi="Arial" w:cs="Arial"/>
          <w:b/>
          <w:bCs/>
          <w:sz w:val="22"/>
          <w:szCs w:val="22"/>
        </w:rPr>
      </w:pPr>
    </w:p>
    <w:p w14:paraId="4767D609" w14:textId="50421C42"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lastRenderedPageBreak/>
        <w:t>2.2 Existing Services and Practice</w:t>
      </w:r>
    </w:p>
    <w:p w14:paraId="060513B6" w14:textId="754953A6" w:rsidR="009D212C" w:rsidRPr="009D212C" w:rsidRDefault="00EA5CF1" w:rsidP="009D212C">
      <w:pPr>
        <w:spacing w:line="360" w:lineRule="auto"/>
        <w:rPr>
          <w:rFonts w:ascii="Arial" w:hAnsi="Arial" w:cs="Arial"/>
          <w:sz w:val="22"/>
          <w:szCs w:val="22"/>
        </w:rPr>
      </w:pPr>
      <w:r w:rsidRPr="00EA5CF1">
        <w:rPr>
          <w:rFonts w:ascii="Arial" w:hAnsi="Arial" w:cs="Arial"/>
          <w:sz w:val="22"/>
          <w:szCs w:val="22"/>
        </w:rPr>
        <w:t>Children with ADHD may access support through Child and Adolescent Mental Health Services (CAMHS), paediatric services, educational psychology and school</w:t>
      </w:r>
      <w:r w:rsidRPr="00EA5CF1">
        <w:rPr>
          <w:rFonts w:ascii="Arial" w:hAnsi="Arial" w:cs="Arial"/>
          <w:sz w:val="22"/>
          <w:szCs w:val="22"/>
        </w:rPr>
        <w:noBreakHyphen/>
        <w:t>based interventions. Behavioural parent training and classroom strategies show modest benefits, particularly when implemented consistently and collaboratively</w:t>
      </w:r>
      <w:r w:rsidR="009D212C">
        <w:rPr>
          <w:rFonts w:ascii="Arial" w:hAnsi="Arial" w:cs="Arial"/>
          <w:sz w:val="22"/>
          <w:szCs w:val="22"/>
        </w:rPr>
        <w:t xml:space="preserve"> </w:t>
      </w:r>
      <w:r w:rsidR="009D212C" w:rsidRPr="009D212C">
        <w:rPr>
          <w:rFonts w:ascii="Arial" w:hAnsi="Arial" w:cs="Arial"/>
          <w:sz w:val="22"/>
          <w:szCs w:val="22"/>
        </w:rPr>
        <w:t>(Klahr and Burt, 2014)</w:t>
      </w:r>
      <w:r w:rsidR="009D212C">
        <w:rPr>
          <w:rFonts w:ascii="Arial" w:hAnsi="Arial" w:cs="Arial"/>
          <w:sz w:val="22"/>
          <w:szCs w:val="22"/>
        </w:rPr>
        <w:t>.</w:t>
      </w:r>
    </w:p>
    <w:p w14:paraId="758AF141" w14:textId="1AC9C274"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Medication is effective for reducing core symptoms such as inattention and hyperactivity, but it does not fully address emotional or social difficulties, and its effectiveness varies across individuals (Cortese et al., 2018). Teachers often feel under</w:t>
      </w:r>
      <w:r w:rsidRPr="00EA5CF1">
        <w:rPr>
          <w:rFonts w:ascii="Arial" w:hAnsi="Arial" w:cs="Arial"/>
          <w:sz w:val="22"/>
          <w:szCs w:val="22"/>
        </w:rPr>
        <w:noBreakHyphen/>
        <w:t>prepared to support pupils with ADHD and report limited training, inconsistent guidance and challenges balancing individual needs with whole</w:t>
      </w:r>
      <w:r w:rsidRPr="00EA5CF1">
        <w:rPr>
          <w:rFonts w:ascii="Arial" w:hAnsi="Arial" w:cs="Arial"/>
          <w:sz w:val="22"/>
          <w:szCs w:val="22"/>
        </w:rPr>
        <w:noBreakHyphen/>
        <w:t xml:space="preserve">class demands </w:t>
      </w:r>
      <w:r w:rsidR="008F6862" w:rsidRPr="008F6862">
        <w:rPr>
          <w:rFonts w:ascii="Arial" w:hAnsi="Arial" w:cs="Arial"/>
          <w:sz w:val="22"/>
          <w:szCs w:val="22"/>
        </w:rPr>
        <w:t>(Abigail Emma Russell et al., 2023)</w:t>
      </w:r>
      <w:r w:rsidR="003A3E50">
        <w:rPr>
          <w:rFonts w:ascii="Arial" w:hAnsi="Arial" w:cs="Arial"/>
          <w:sz w:val="22"/>
          <w:szCs w:val="22"/>
        </w:rPr>
        <w:t xml:space="preserve">. </w:t>
      </w:r>
      <w:r w:rsidRPr="00EA5CF1">
        <w:rPr>
          <w:rFonts w:ascii="Arial" w:hAnsi="Arial" w:cs="Arial"/>
          <w:sz w:val="22"/>
          <w:szCs w:val="22"/>
        </w:rPr>
        <w:t>Families describe fragmented pathways, emotional strain and difficulty accessing appropriate interventions, which can lead to frustration and disengagement (Carr</w:t>
      </w:r>
      <w:r w:rsidRPr="00EA5CF1">
        <w:rPr>
          <w:rFonts w:ascii="Arial" w:hAnsi="Arial" w:cs="Arial"/>
          <w:sz w:val="22"/>
          <w:szCs w:val="22"/>
        </w:rPr>
        <w:noBreakHyphen/>
        <w:t>Fanning and McGuckin, 2018).</w:t>
      </w:r>
    </w:p>
    <w:p w14:paraId="6E565095"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literature suggests that while evidence</w:t>
      </w:r>
      <w:r w:rsidRPr="00EA5CF1">
        <w:rPr>
          <w:rFonts w:ascii="Arial" w:hAnsi="Arial" w:cs="Arial"/>
          <w:sz w:val="22"/>
          <w:szCs w:val="22"/>
        </w:rPr>
        <w:noBreakHyphen/>
        <w:t>based interventions exist, their implementation is inconsistent. Schools may adopt behaviourist approaches that focus on compliance rather than understanding the underlying cognitive and emotional challenges associated with ADHD. This can lead to punitive responses, exclusion and strained relationships between children, families and professionals. The lack of consistent training and support for teachers contributes to variability in practice and outcomes.</w:t>
      </w:r>
    </w:p>
    <w:p w14:paraId="005E5BA5"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2.3 Key Challenges and Issues</w:t>
      </w:r>
    </w:p>
    <w:p w14:paraId="3EEE71A1" w14:textId="77777777" w:rsidR="00EA5CF1" w:rsidRPr="005A0CB5" w:rsidRDefault="00EA5CF1" w:rsidP="00931881">
      <w:pPr>
        <w:spacing w:line="360" w:lineRule="auto"/>
        <w:rPr>
          <w:rFonts w:ascii="Arial" w:hAnsi="Arial" w:cs="Arial"/>
          <w:sz w:val="22"/>
          <w:szCs w:val="22"/>
        </w:rPr>
      </w:pPr>
      <w:r w:rsidRPr="00EA5CF1">
        <w:rPr>
          <w:rFonts w:ascii="Arial" w:hAnsi="Arial" w:cs="Arial"/>
          <w:sz w:val="22"/>
          <w:szCs w:val="22"/>
        </w:rPr>
        <w:t>Peer</w:t>
      </w:r>
      <w:r w:rsidRPr="00EA5CF1">
        <w:rPr>
          <w:rFonts w:ascii="Arial" w:hAnsi="Arial" w:cs="Arial"/>
          <w:sz w:val="22"/>
          <w:szCs w:val="22"/>
        </w:rPr>
        <w:noBreakHyphen/>
        <w:t xml:space="preserve">reviewed studies highlight several recurring challenges. Cognitively, children with </w:t>
      </w:r>
      <w:r w:rsidRPr="005A0CB5">
        <w:rPr>
          <w:rFonts w:ascii="Arial" w:hAnsi="Arial" w:cs="Arial"/>
          <w:sz w:val="22"/>
          <w:szCs w:val="22"/>
        </w:rPr>
        <w:t>ADHD experience working memory deficits, inattention and organisational difficulties that affect learning, task completion and daily routines (Holmes et al., 2021). These cognitive challenges can lead to difficulties following instructions, completing homework and managing time effectively. Emotionally, children with ADHD are more likely to experience heightened emotional reactivity, frustration and anxiety, which can contribute to conflict, withdrawal and reduced wellbeing (Graziano and Garcia, 2016). Socially, children with ADHD face peer rejection, conflict and bullying, and may struggle to interpret social cues, which can lead to isolation and strained relationships (Owens et al., 2017). Behaviourally, impulsivity and hyperactivity are often misunderstood as deliberate misbehaviour, which can result in punitive responses, exclusion and damaged self</w:t>
      </w:r>
      <w:r w:rsidRPr="005A0CB5">
        <w:rPr>
          <w:rFonts w:ascii="Arial" w:hAnsi="Arial" w:cs="Arial"/>
          <w:sz w:val="22"/>
          <w:szCs w:val="22"/>
        </w:rPr>
        <w:noBreakHyphen/>
        <w:t>esteem (Parker, Whear and Ukoumunne, 2018). Systemic issues such as long waiting times, inconsistent support and fragmented pathways further exacerbate these challenges and contribute to emotional strain for families (Eke and Singh, 2020).</w:t>
      </w:r>
    </w:p>
    <w:p w14:paraId="5F50E795" w14:textId="77777777" w:rsidR="00EA5CF1" w:rsidRPr="005A0CB5" w:rsidRDefault="00EA5CF1" w:rsidP="00931881">
      <w:pPr>
        <w:spacing w:line="360" w:lineRule="auto"/>
        <w:rPr>
          <w:rFonts w:ascii="Arial" w:hAnsi="Arial" w:cs="Arial"/>
          <w:sz w:val="22"/>
          <w:szCs w:val="22"/>
        </w:rPr>
      </w:pPr>
    </w:p>
    <w:p w14:paraId="0929752D" w14:textId="1D5E7D43" w:rsidR="00EA5CF1" w:rsidRPr="005A0CB5" w:rsidRDefault="005A0CB5" w:rsidP="00931881">
      <w:pPr>
        <w:spacing w:line="360" w:lineRule="auto"/>
        <w:rPr>
          <w:rFonts w:ascii="Arial" w:hAnsi="Arial" w:cs="Arial"/>
          <w:b/>
          <w:bCs/>
          <w:sz w:val="22"/>
          <w:szCs w:val="22"/>
        </w:rPr>
      </w:pPr>
      <w:r w:rsidRPr="005A0CB5">
        <w:rPr>
          <w:rFonts w:ascii="Arial" w:hAnsi="Arial" w:cs="Arial"/>
          <w:b/>
          <w:bCs/>
          <w:sz w:val="22"/>
          <w:szCs w:val="22"/>
        </w:rPr>
        <w:lastRenderedPageBreak/>
        <w:t>3</w:t>
      </w:r>
      <w:r w:rsidR="006504F5">
        <w:rPr>
          <w:rFonts w:ascii="Arial" w:hAnsi="Arial" w:cs="Arial"/>
          <w:b/>
          <w:bCs/>
          <w:sz w:val="22"/>
          <w:szCs w:val="22"/>
        </w:rPr>
        <w:t>.</w:t>
      </w:r>
      <w:r w:rsidR="00350C7A">
        <w:rPr>
          <w:rFonts w:ascii="Arial" w:hAnsi="Arial" w:cs="Arial"/>
          <w:b/>
          <w:bCs/>
          <w:sz w:val="22"/>
          <w:szCs w:val="22"/>
        </w:rPr>
        <w:t xml:space="preserve"> </w:t>
      </w:r>
      <w:r w:rsidR="00EA5CF1" w:rsidRPr="005A0CB5">
        <w:rPr>
          <w:rFonts w:ascii="Arial" w:hAnsi="Arial" w:cs="Arial"/>
          <w:b/>
          <w:bCs/>
          <w:sz w:val="22"/>
          <w:szCs w:val="22"/>
        </w:rPr>
        <w:t>Methods</w:t>
      </w:r>
    </w:p>
    <w:p w14:paraId="1680FAC5" w14:textId="77777777" w:rsidR="00EA5CF1" w:rsidRPr="005A0CB5" w:rsidRDefault="00EA5CF1" w:rsidP="00931881">
      <w:pPr>
        <w:spacing w:line="360" w:lineRule="auto"/>
        <w:rPr>
          <w:rFonts w:ascii="Arial" w:hAnsi="Arial" w:cs="Arial"/>
          <w:sz w:val="22"/>
          <w:szCs w:val="22"/>
        </w:rPr>
      </w:pPr>
      <w:r w:rsidRPr="005A0CB5">
        <w:rPr>
          <w:rFonts w:ascii="Arial" w:hAnsi="Arial" w:cs="Arial"/>
          <w:sz w:val="22"/>
          <w:szCs w:val="22"/>
        </w:rPr>
        <w:t>This scoping review followed the methodological framework established by Arksey and O’Malley, which outlines a structured approach for identifying, selecting and synthesising evidence across broad and complex topics (Arksey and O’Malley, 2005). The framework was further refined using guidance from Levac, Colquhoun and O’Brien, who emphasise the importance of clarity of purpose, iterative searching and stakeholder relevance in scoping review methodology (Levac, Colquhoun and O’Brien, 2010). This approach was selected because ADHD research spans multiple disciplines, including psychology, education, health and social care, and therefore requires a method capable of integrating diverse study designs and perspectives.</w:t>
      </w:r>
    </w:p>
    <w:p w14:paraId="6D210C9D"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3.1 Search Strategy</w:t>
      </w:r>
    </w:p>
    <w:p w14:paraId="27EDD3F4" w14:textId="77777777" w:rsidR="00EA5CF1" w:rsidRPr="005A0CB5" w:rsidRDefault="00EA5CF1" w:rsidP="00931881">
      <w:pPr>
        <w:spacing w:line="360" w:lineRule="auto"/>
        <w:rPr>
          <w:rFonts w:ascii="Arial" w:hAnsi="Arial" w:cs="Arial"/>
          <w:sz w:val="22"/>
          <w:szCs w:val="22"/>
        </w:rPr>
      </w:pPr>
      <w:r w:rsidRPr="005A0CB5">
        <w:rPr>
          <w:rFonts w:ascii="Arial" w:hAnsi="Arial" w:cs="Arial"/>
          <w:sz w:val="22"/>
          <w:szCs w:val="22"/>
        </w:rPr>
        <w:t>Searches were conducted across multiple academic databases, including PubMed, PsycINFO, Scopus, Web of Science, and the University of Wales Trinity Saint David library catalogue. Google Scholar was used as a supplementary search tool to capture grey literature and additional peer</w:t>
      </w:r>
      <w:r w:rsidRPr="005A0CB5">
        <w:rPr>
          <w:rFonts w:ascii="Arial" w:hAnsi="Arial" w:cs="Arial"/>
          <w:sz w:val="22"/>
          <w:szCs w:val="22"/>
        </w:rPr>
        <w:noBreakHyphen/>
        <w:t>reviewed studies not indexed in traditional databases. These databases were selected because they provide comprehensive coverage of research relevant to neurodevelopmental conditions, child development, education and mental health.</w:t>
      </w:r>
    </w:p>
    <w:p w14:paraId="69E9074A" w14:textId="587BE609" w:rsidR="00EA5CF1" w:rsidRPr="005A0CB5" w:rsidRDefault="00EA5CF1" w:rsidP="00931881">
      <w:pPr>
        <w:spacing w:line="360" w:lineRule="auto"/>
        <w:rPr>
          <w:rFonts w:ascii="Arial" w:hAnsi="Arial" w:cs="Arial"/>
          <w:sz w:val="22"/>
          <w:szCs w:val="22"/>
        </w:rPr>
      </w:pPr>
      <w:r w:rsidRPr="005A0CB5">
        <w:rPr>
          <w:rFonts w:ascii="Arial" w:hAnsi="Arial" w:cs="Arial"/>
          <w:sz w:val="22"/>
          <w:szCs w:val="22"/>
        </w:rPr>
        <w:t>Search terms were developed iteratively and included combinations of keywords such as “ADHD”, “children”, “United Kingdom”, “lived experience”, “emotional regulation”, “peer relationships”, “school behaviour”, “executive functioning”, and “young people”. The search strategy was refined to ensure that studies were relevant to the UK context or provided transferable insights applicable to UK policy and practice.</w:t>
      </w:r>
    </w:p>
    <w:p w14:paraId="2BC97EF2"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3.2 Inclusion and Exclusion Criteria</w:t>
      </w:r>
    </w:p>
    <w:p w14:paraId="6C17D451"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Inclusion criteria were established to ensure that studies were relevant to the review question. Studies were included if they were peer</w:t>
      </w:r>
      <w:r w:rsidRPr="00EA5CF1">
        <w:rPr>
          <w:rFonts w:ascii="Arial" w:hAnsi="Arial" w:cs="Arial"/>
          <w:sz w:val="22"/>
          <w:szCs w:val="22"/>
        </w:rPr>
        <w:noBreakHyphen/>
        <w:t>reviewed journal articles, published between 2011 and 2026, focused on children or young people aged 0–18, UK</w:t>
      </w:r>
      <w:r w:rsidRPr="00EA5CF1">
        <w:rPr>
          <w:rFonts w:ascii="Arial" w:hAnsi="Arial" w:cs="Arial"/>
          <w:sz w:val="22"/>
          <w:szCs w:val="22"/>
        </w:rPr>
        <w:noBreakHyphen/>
        <w:t>based or UK</w:t>
      </w:r>
      <w:r w:rsidRPr="00EA5CF1">
        <w:rPr>
          <w:rFonts w:ascii="Arial" w:hAnsi="Arial" w:cs="Arial"/>
          <w:sz w:val="22"/>
          <w:szCs w:val="22"/>
        </w:rPr>
        <w:noBreakHyphen/>
        <w:t>relevant, and explored cognitive, emotional, social or behavioural challenges associated with ADHD. Both qualitative and quantitative studies were included to capture a broad range of perspectives and evidence types.</w:t>
      </w:r>
    </w:p>
    <w:p w14:paraId="69390F6D"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Exclusion criteria included non</w:t>
      </w:r>
      <w:r w:rsidRPr="00EA5CF1">
        <w:rPr>
          <w:rFonts w:ascii="Arial" w:hAnsi="Arial" w:cs="Arial"/>
          <w:sz w:val="22"/>
          <w:szCs w:val="22"/>
        </w:rPr>
        <w:noBreakHyphen/>
        <w:t>peer</w:t>
      </w:r>
      <w:r w:rsidRPr="00EA5CF1">
        <w:rPr>
          <w:rFonts w:ascii="Arial" w:hAnsi="Arial" w:cs="Arial"/>
          <w:sz w:val="22"/>
          <w:szCs w:val="22"/>
        </w:rPr>
        <w:noBreakHyphen/>
        <w:t>reviewed sources, dissertations, conference abstracts, opinion pieces, and studies focused solely on adults. Studies that examined ADHD exclusively through a biomedical or pharmacological lens without addressing lived experience or functional challenges were also excluded, as they did not align with the aims of the review.</w:t>
      </w:r>
    </w:p>
    <w:p w14:paraId="4D11A6EF"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lastRenderedPageBreak/>
        <w:t>3.3 Data Extraction and Charting</w:t>
      </w:r>
    </w:p>
    <w:p w14:paraId="393DEC9A" w14:textId="77777777" w:rsidR="00EA5CF1" w:rsidRPr="005A0CB5" w:rsidRDefault="00EA5CF1" w:rsidP="00931881">
      <w:pPr>
        <w:spacing w:line="360" w:lineRule="auto"/>
        <w:rPr>
          <w:rFonts w:ascii="Arial" w:hAnsi="Arial" w:cs="Arial"/>
          <w:sz w:val="22"/>
          <w:szCs w:val="22"/>
        </w:rPr>
      </w:pPr>
      <w:r w:rsidRPr="005A0CB5">
        <w:rPr>
          <w:rFonts w:ascii="Arial" w:hAnsi="Arial" w:cs="Arial"/>
          <w:sz w:val="22"/>
          <w:szCs w:val="22"/>
        </w:rPr>
        <w:t>Data extraction involved systematically recording key information from each study, including author details, publication year, research objectives, methodology, sample characteristics, key findings and relevance to the review question. This information was organised into a data charting table to support comparison across studies and identify patterns and gaps in the literature. The charting process was iterative, allowing for refinement as familiarity with the evidence base increased.</w:t>
      </w:r>
    </w:p>
    <w:p w14:paraId="17AA9841"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3.4 Data Analysis</w:t>
      </w:r>
    </w:p>
    <w:p w14:paraId="069FB3F5"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Thematic analysis was used to synthesise findings across studies because it is a flexible method suitable for integrating diverse research designs and identifying patterns within qualitative and quantitative data (Braun and Clarke, 2006). The analysis involved generating initial codes related to cognitive, emotional, social and behavioural challenges, followed by grouping these codes into broader themes. Themes were refined to ensure they captured the complexity and nuance of children’s experiences. Thematic analysis was selected because it allows for the identification of both explicit and implicit meanings within the data, supporting a deeper understanding of the lived experiences of children with ADHD (Braun and Clarke, 2019).</w:t>
      </w:r>
    </w:p>
    <w:p w14:paraId="37C77647"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3.5 Ethical Considerations</w:t>
      </w:r>
    </w:p>
    <w:p w14:paraId="5B8F6448" w14:textId="77777777" w:rsidR="00A1481D" w:rsidRPr="005A0CB5" w:rsidRDefault="00EA5CF1" w:rsidP="00931881">
      <w:pPr>
        <w:spacing w:line="360" w:lineRule="auto"/>
        <w:rPr>
          <w:rFonts w:ascii="Arial" w:hAnsi="Arial" w:cs="Arial"/>
          <w:sz w:val="22"/>
          <w:szCs w:val="22"/>
        </w:rPr>
      </w:pPr>
      <w:r w:rsidRPr="005A0CB5">
        <w:rPr>
          <w:rFonts w:ascii="Arial" w:hAnsi="Arial" w:cs="Arial"/>
          <w:sz w:val="22"/>
          <w:szCs w:val="22"/>
        </w:rPr>
        <w:t>As this review synthesised existing literature, no ethical approval was required. Ethical considerations included ensuring transparency in reporting, accurately representing study findings and avoiding selective interpretation. Care was taken to ensure that the voices of children and young people were represented respectfully and that conclusions were grounded in evidence rather than assumptions.</w:t>
      </w:r>
    </w:p>
    <w:p w14:paraId="0393EE74" w14:textId="4CF82D8F" w:rsidR="00EA5CF1" w:rsidRPr="005A0CB5" w:rsidRDefault="00EA5CF1" w:rsidP="00931881">
      <w:pPr>
        <w:spacing w:line="360" w:lineRule="auto"/>
        <w:rPr>
          <w:rFonts w:ascii="Arial" w:hAnsi="Arial" w:cs="Arial"/>
          <w:sz w:val="22"/>
          <w:szCs w:val="22"/>
        </w:rPr>
      </w:pPr>
      <w:r w:rsidRPr="005A0CB5">
        <w:rPr>
          <w:rFonts w:ascii="Arial" w:hAnsi="Arial" w:cs="Arial"/>
          <w:b/>
          <w:bCs/>
          <w:sz w:val="22"/>
          <w:szCs w:val="22"/>
        </w:rPr>
        <w:t>4</w:t>
      </w:r>
      <w:r w:rsidR="006504F5">
        <w:rPr>
          <w:rFonts w:ascii="Arial" w:hAnsi="Arial" w:cs="Arial"/>
          <w:b/>
          <w:bCs/>
          <w:sz w:val="22"/>
          <w:szCs w:val="22"/>
        </w:rPr>
        <w:t>.</w:t>
      </w:r>
      <w:r w:rsidRPr="005A0CB5">
        <w:rPr>
          <w:rFonts w:ascii="Arial" w:hAnsi="Arial" w:cs="Arial"/>
          <w:b/>
          <w:bCs/>
          <w:sz w:val="22"/>
          <w:szCs w:val="22"/>
        </w:rPr>
        <w:t xml:space="preserve"> Results</w:t>
      </w:r>
    </w:p>
    <w:p w14:paraId="5D2F980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search process identified a wide range of studies exploring the experiences of children and young people with ADHD. After applying inclusion and exclusion criteria, ten studies were selected for detailed charting and thematic analysis. These studies included qualitative interviews, mixed</w:t>
      </w:r>
      <w:r w:rsidRPr="00EA5CF1">
        <w:rPr>
          <w:rFonts w:ascii="Arial" w:hAnsi="Arial" w:cs="Arial"/>
          <w:sz w:val="22"/>
          <w:szCs w:val="22"/>
        </w:rPr>
        <w:noBreakHyphen/>
        <w:t>methods research, quantitative assessments and meta</w:t>
      </w:r>
      <w:r w:rsidRPr="00EA5CF1">
        <w:rPr>
          <w:rFonts w:ascii="Arial" w:hAnsi="Arial" w:cs="Arial"/>
          <w:sz w:val="22"/>
          <w:szCs w:val="22"/>
        </w:rPr>
        <w:noBreakHyphen/>
        <w:t>syntheses. The selected studies provided rich insights into the cognitive, emotional, social and behavioural challenges experienced by children with ADHD, as well as the systemic barriers that shape their experiences.</w:t>
      </w:r>
    </w:p>
    <w:p w14:paraId="05E9289B"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 xml:space="preserve">The studies varied in focus, with some exploring children’s internal experiences, others examining school environments and teacher perspectives, and several investigating family </w:t>
      </w:r>
      <w:r w:rsidRPr="00EA5CF1">
        <w:rPr>
          <w:rFonts w:ascii="Arial" w:hAnsi="Arial" w:cs="Arial"/>
          <w:sz w:val="22"/>
          <w:szCs w:val="22"/>
        </w:rPr>
        <w:lastRenderedPageBreak/>
        <w:t>experiences and service pathways. Despite this variation, consistent themes emerged across the evidence base, highlighting the interconnected nature of cognitive, emotional, social and behavioural challenges.</w:t>
      </w:r>
    </w:p>
    <w:p w14:paraId="5CC77BC7" w14:textId="67F8A5F5"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5</w:t>
      </w:r>
      <w:r w:rsidR="006504F5">
        <w:rPr>
          <w:rFonts w:ascii="Arial" w:hAnsi="Arial" w:cs="Arial"/>
          <w:b/>
          <w:bCs/>
          <w:sz w:val="22"/>
          <w:szCs w:val="22"/>
        </w:rPr>
        <w:t>.</w:t>
      </w:r>
      <w:r w:rsidRPr="005A0CB5">
        <w:rPr>
          <w:rFonts w:ascii="Arial" w:hAnsi="Arial" w:cs="Arial"/>
          <w:b/>
          <w:bCs/>
          <w:sz w:val="22"/>
          <w:szCs w:val="22"/>
        </w:rPr>
        <w:t xml:space="preserve"> Summary Table of Included Studies</w:t>
      </w:r>
    </w:p>
    <w:tbl>
      <w:tblPr>
        <w:tblW w:w="9248" w:type="dxa"/>
        <w:tblCellSpacing w:w="15" w:type="dxa"/>
        <w:tblInd w:w="-142" w:type="dxa"/>
        <w:tblCellMar>
          <w:top w:w="15" w:type="dxa"/>
          <w:left w:w="15" w:type="dxa"/>
          <w:bottom w:w="15" w:type="dxa"/>
          <w:right w:w="15" w:type="dxa"/>
        </w:tblCellMar>
        <w:tblLook w:val="04A0" w:firstRow="1" w:lastRow="0" w:firstColumn="1" w:lastColumn="0" w:noHBand="0" w:noVBand="1"/>
      </w:tblPr>
      <w:tblGrid>
        <w:gridCol w:w="1825"/>
        <w:gridCol w:w="2139"/>
        <w:gridCol w:w="1360"/>
        <w:gridCol w:w="2439"/>
        <w:gridCol w:w="1485"/>
      </w:tblGrid>
      <w:tr w:rsidR="00D85E6B" w:rsidRPr="00EA5CF1" w14:paraId="22364C70" w14:textId="77777777" w:rsidTr="00D85E6B">
        <w:trPr>
          <w:tblHeade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6BE46758"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Author(s), Year</w:t>
            </w:r>
          </w:p>
        </w:tc>
        <w:tc>
          <w:tcPr>
            <w:tcW w:w="0" w:type="auto"/>
            <w:tcBorders>
              <w:top w:val="single" w:sz="4" w:space="0" w:color="auto"/>
              <w:left w:val="single" w:sz="4" w:space="0" w:color="auto"/>
              <w:bottom w:val="single" w:sz="4" w:space="0" w:color="auto"/>
              <w:right w:val="single" w:sz="4" w:space="0" w:color="auto"/>
            </w:tcBorders>
            <w:vAlign w:val="center"/>
            <w:hideMark/>
          </w:tcPr>
          <w:p w14:paraId="345D83F2"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Research Objectives</w:t>
            </w:r>
          </w:p>
        </w:tc>
        <w:tc>
          <w:tcPr>
            <w:tcW w:w="0" w:type="auto"/>
            <w:tcBorders>
              <w:top w:val="single" w:sz="4" w:space="0" w:color="auto"/>
              <w:left w:val="single" w:sz="4" w:space="0" w:color="auto"/>
              <w:bottom w:val="single" w:sz="4" w:space="0" w:color="auto"/>
              <w:right w:val="single" w:sz="4" w:space="0" w:color="auto"/>
            </w:tcBorders>
            <w:vAlign w:val="center"/>
            <w:hideMark/>
          </w:tcPr>
          <w:p w14:paraId="029BA0D4"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Methods</w:t>
            </w:r>
          </w:p>
        </w:tc>
        <w:tc>
          <w:tcPr>
            <w:tcW w:w="0" w:type="auto"/>
            <w:tcBorders>
              <w:top w:val="single" w:sz="4" w:space="0" w:color="auto"/>
              <w:left w:val="single" w:sz="4" w:space="0" w:color="auto"/>
              <w:bottom w:val="single" w:sz="4" w:space="0" w:color="auto"/>
              <w:right w:val="single" w:sz="4" w:space="0" w:color="auto"/>
            </w:tcBorders>
            <w:vAlign w:val="center"/>
            <w:hideMark/>
          </w:tcPr>
          <w:p w14:paraId="27758430"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Key Findings</w:t>
            </w:r>
          </w:p>
        </w:tc>
        <w:tc>
          <w:tcPr>
            <w:tcW w:w="0" w:type="auto"/>
            <w:tcBorders>
              <w:top w:val="single" w:sz="4" w:space="0" w:color="auto"/>
              <w:left w:val="single" w:sz="4" w:space="0" w:color="auto"/>
              <w:bottom w:val="single" w:sz="4" w:space="0" w:color="auto"/>
              <w:right w:val="single" w:sz="4" w:space="0" w:color="auto"/>
            </w:tcBorders>
            <w:vAlign w:val="center"/>
            <w:hideMark/>
          </w:tcPr>
          <w:p w14:paraId="625CEE7E" w14:textId="77777777" w:rsidR="00EA5CF1" w:rsidRPr="00EA5CF1" w:rsidRDefault="00EA5CF1" w:rsidP="00931881">
            <w:pPr>
              <w:spacing w:line="360" w:lineRule="auto"/>
              <w:rPr>
                <w:rFonts w:ascii="Arial" w:hAnsi="Arial" w:cs="Arial"/>
                <w:b/>
                <w:bCs/>
                <w:sz w:val="22"/>
                <w:szCs w:val="22"/>
                <w:u w:val="single"/>
              </w:rPr>
            </w:pPr>
            <w:r w:rsidRPr="00EA5CF1">
              <w:rPr>
                <w:rFonts w:ascii="Arial" w:hAnsi="Arial" w:cs="Arial"/>
                <w:b/>
                <w:bCs/>
                <w:sz w:val="22"/>
                <w:szCs w:val="22"/>
                <w:u w:val="single"/>
              </w:rPr>
              <w:t>Relevance</w:t>
            </w:r>
          </w:p>
        </w:tc>
      </w:tr>
      <w:tr w:rsidR="00D85E6B" w:rsidRPr="00EA5CF1" w14:paraId="0EBC63FD"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181F376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Russell et al. (2023)</w:t>
            </w:r>
          </w:p>
        </w:tc>
        <w:tc>
          <w:tcPr>
            <w:tcW w:w="0" w:type="auto"/>
            <w:tcBorders>
              <w:top w:val="single" w:sz="4" w:space="0" w:color="auto"/>
              <w:left w:val="single" w:sz="4" w:space="0" w:color="auto"/>
              <w:bottom w:val="single" w:sz="4" w:space="0" w:color="auto"/>
              <w:right w:val="single" w:sz="4" w:space="0" w:color="auto"/>
            </w:tcBorders>
            <w:vAlign w:val="center"/>
            <w:hideMark/>
          </w:tcPr>
          <w:p w14:paraId="009D7F01"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Explore educational experiences of UK adolescents with ADHD</w:t>
            </w:r>
          </w:p>
        </w:tc>
        <w:tc>
          <w:tcPr>
            <w:tcW w:w="0" w:type="auto"/>
            <w:tcBorders>
              <w:top w:val="single" w:sz="4" w:space="0" w:color="auto"/>
              <w:left w:val="single" w:sz="4" w:space="0" w:color="auto"/>
              <w:bottom w:val="single" w:sz="4" w:space="0" w:color="auto"/>
              <w:right w:val="single" w:sz="4" w:space="0" w:color="auto"/>
            </w:tcBorders>
            <w:vAlign w:val="center"/>
            <w:hideMark/>
          </w:tcPr>
          <w:p w14:paraId="351E044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 interviews</w:t>
            </w:r>
          </w:p>
        </w:tc>
        <w:tc>
          <w:tcPr>
            <w:tcW w:w="0" w:type="auto"/>
            <w:tcBorders>
              <w:top w:val="single" w:sz="4" w:space="0" w:color="auto"/>
              <w:left w:val="single" w:sz="4" w:space="0" w:color="auto"/>
              <w:bottom w:val="single" w:sz="4" w:space="0" w:color="auto"/>
              <w:right w:val="single" w:sz="4" w:space="0" w:color="auto"/>
            </w:tcBorders>
            <w:vAlign w:val="center"/>
            <w:hideMark/>
          </w:tcPr>
          <w:p w14:paraId="5B9628F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strain, academic pressure, misunderstanding by teachers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2AAECB5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cognitive, social</w:t>
            </w:r>
          </w:p>
        </w:tc>
      </w:tr>
      <w:tr w:rsidR="00D85E6B" w:rsidRPr="00EA5CF1" w14:paraId="2BBB5458"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6C54930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Ling (2025)</w:t>
            </w:r>
          </w:p>
        </w:tc>
        <w:tc>
          <w:tcPr>
            <w:tcW w:w="0" w:type="auto"/>
            <w:tcBorders>
              <w:top w:val="single" w:sz="4" w:space="0" w:color="auto"/>
              <w:left w:val="single" w:sz="4" w:space="0" w:color="auto"/>
              <w:bottom w:val="single" w:sz="4" w:space="0" w:color="auto"/>
              <w:right w:val="single" w:sz="4" w:space="0" w:color="auto"/>
            </w:tcBorders>
            <w:vAlign w:val="center"/>
            <w:hideMark/>
          </w:tcPr>
          <w:p w14:paraId="0399ADF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Explore lived experiences of children with ADHD</w:t>
            </w:r>
          </w:p>
        </w:tc>
        <w:tc>
          <w:tcPr>
            <w:tcW w:w="0" w:type="auto"/>
            <w:tcBorders>
              <w:top w:val="single" w:sz="4" w:space="0" w:color="auto"/>
              <w:left w:val="single" w:sz="4" w:space="0" w:color="auto"/>
              <w:bottom w:val="single" w:sz="4" w:space="0" w:color="auto"/>
              <w:right w:val="single" w:sz="4" w:space="0" w:color="auto"/>
            </w:tcBorders>
            <w:vAlign w:val="center"/>
            <w:hideMark/>
          </w:tcPr>
          <w:p w14:paraId="39B3B39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3DFCD5E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overwhelm, sensory stress, social conflict</w:t>
            </w:r>
          </w:p>
        </w:tc>
        <w:tc>
          <w:tcPr>
            <w:tcW w:w="0" w:type="auto"/>
            <w:tcBorders>
              <w:top w:val="single" w:sz="4" w:space="0" w:color="auto"/>
              <w:left w:val="single" w:sz="4" w:space="0" w:color="auto"/>
              <w:bottom w:val="single" w:sz="4" w:space="0" w:color="auto"/>
              <w:right w:val="single" w:sz="4" w:space="0" w:color="auto"/>
            </w:tcBorders>
            <w:vAlign w:val="center"/>
            <w:hideMark/>
          </w:tcPr>
          <w:p w14:paraId="27A623E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social</w:t>
            </w:r>
          </w:p>
        </w:tc>
      </w:tr>
      <w:tr w:rsidR="00D85E6B" w:rsidRPr="00EA5CF1" w14:paraId="3CB33706"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4C9F732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Lukito et al.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1C10BDE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Compare thematic analysis and topic modelling in ADHD accounts</w:t>
            </w:r>
          </w:p>
        </w:tc>
        <w:tc>
          <w:tcPr>
            <w:tcW w:w="0" w:type="auto"/>
            <w:tcBorders>
              <w:top w:val="single" w:sz="4" w:space="0" w:color="auto"/>
              <w:left w:val="single" w:sz="4" w:space="0" w:color="auto"/>
              <w:bottom w:val="single" w:sz="4" w:space="0" w:color="auto"/>
              <w:right w:val="single" w:sz="4" w:space="0" w:color="auto"/>
            </w:tcBorders>
            <w:vAlign w:val="center"/>
            <w:hideMark/>
          </w:tcPr>
          <w:p w14:paraId="4952765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Mixed methods</w:t>
            </w:r>
          </w:p>
        </w:tc>
        <w:tc>
          <w:tcPr>
            <w:tcW w:w="0" w:type="auto"/>
            <w:tcBorders>
              <w:top w:val="single" w:sz="4" w:space="0" w:color="auto"/>
              <w:left w:val="single" w:sz="4" w:space="0" w:color="auto"/>
              <w:bottom w:val="single" w:sz="4" w:space="0" w:color="auto"/>
              <w:right w:val="single" w:sz="4" w:space="0" w:color="auto"/>
            </w:tcBorders>
            <w:vAlign w:val="center"/>
            <w:hideMark/>
          </w:tcPr>
          <w:p w14:paraId="7B923074"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complexity, internal experiences</w:t>
            </w:r>
          </w:p>
        </w:tc>
        <w:tc>
          <w:tcPr>
            <w:tcW w:w="0" w:type="auto"/>
            <w:tcBorders>
              <w:top w:val="single" w:sz="4" w:space="0" w:color="auto"/>
              <w:left w:val="single" w:sz="4" w:space="0" w:color="auto"/>
              <w:bottom w:val="single" w:sz="4" w:space="0" w:color="auto"/>
              <w:right w:val="single" w:sz="4" w:space="0" w:color="auto"/>
            </w:tcBorders>
            <w:vAlign w:val="center"/>
            <w:hideMark/>
          </w:tcPr>
          <w:p w14:paraId="3259DE55"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w:t>
            </w:r>
          </w:p>
        </w:tc>
      </w:tr>
      <w:tr w:rsidR="00D85E6B" w:rsidRPr="00EA5CF1" w14:paraId="5C186A79"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4252BA5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Ringer (2019)</w:t>
            </w:r>
          </w:p>
        </w:tc>
        <w:tc>
          <w:tcPr>
            <w:tcW w:w="0" w:type="auto"/>
            <w:tcBorders>
              <w:top w:val="single" w:sz="4" w:space="0" w:color="auto"/>
              <w:left w:val="single" w:sz="4" w:space="0" w:color="auto"/>
              <w:bottom w:val="single" w:sz="4" w:space="0" w:color="auto"/>
              <w:right w:val="single" w:sz="4" w:space="0" w:color="auto"/>
            </w:tcBorders>
            <w:vAlign w:val="center"/>
            <w:hideMark/>
          </w:tcPr>
          <w:p w14:paraId="7AC3A1A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Meta</w:t>
            </w:r>
            <w:r w:rsidRPr="00EA5CF1">
              <w:rPr>
                <w:rFonts w:ascii="Arial" w:hAnsi="Arial" w:cs="Arial"/>
                <w:sz w:val="22"/>
                <w:szCs w:val="22"/>
                <w:u w:val="single"/>
              </w:rPr>
              <w:noBreakHyphen/>
              <w:t>synthesis of children’s ADHD experiences</w:t>
            </w:r>
          </w:p>
        </w:tc>
        <w:tc>
          <w:tcPr>
            <w:tcW w:w="0" w:type="auto"/>
            <w:tcBorders>
              <w:top w:val="single" w:sz="4" w:space="0" w:color="auto"/>
              <w:left w:val="single" w:sz="4" w:space="0" w:color="auto"/>
              <w:bottom w:val="single" w:sz="4" w:space="0" w:color="auto"/>
              <w:right w:val="single" w:sz="4" w:space="0" w:color="auto"/>
            </w:tcBorders>
            <w:vAlign w:val="center"/>
            <w:hideMark/>
          </w:tcPr>
          <w:p w14:paraId="3E1D5BC9"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 synthesis</w:t>
            </w:r>
          </w:p>
        </w:tc>
        <w:tc>
          <w:tcPr>
            <w:tcW w:w="0" w:type="auto"/>
            <w:tcBorders>
              <w:top w:val="single" w:sz="4" w:space="0" w:color="auto"/>
              <w:left w:val="single" w:sz="4" w:space="0" w:color="auto"/>
              <w:bottom w:val="single" w:sz="4" w:space="0" w:color="auto"/>
              <w:right w:val="single" w:sz="4" w:space="0" w:color="auto"/>
            </w:tcBorders>
            <w:vAlign w:val="center"/>
            <w:hideMark/>
          </w:tcPr>
          <w:p w14:paraId="0756F8E0"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Peer rejection, frustration, identity challenges</w:t>
            </w:r>
          </w:p>
        </w:tc>
        <w:tc>
          <w:tcPr>
            <w:tcW w:w="0" w:type="auto"/>
            <w:tcBorders>
              <w:top w:val="single" w:sz="4" w:space="0" w:color="auto"/>
              <w:left w:val="single" w:sz="4" w:space="0" w:color="auto"/>
              <w:bottom w:val="single" w:sz="4" w:space="0" w:color="auto"/>
              <w:right w:val="single" w:sz="4" w:space="0" w:color="auto"/>
            </w:tcBorders>
            <w:vAlign w:val="center"/>
            <w:hideMark/>
          </w:tcPr>
          <w:p w14:paraId="2E966E7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Social, emotional</w:t>
            </w:r>
          </w:p>
        </w:tc>
      </w:tr>
      <w:tr w:rsidR="00D85E6B" w:rsidRPr="00EA5CF1" w14:paraId="2DDDA200"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2FB99A5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Singh (2011)</w:t>
            </w:r>
          </w:p>
        </w:tc>
        <w:tc>
          <w:tcPr>
            <w:tcW w:w="0" w:type="auto"/>
            <w:tcBorders>
              <w:top w:val="single" w:sz="4" w:space="0" w:color="auto"/>
              <w:left w:val="single" w:sz="4" w:space="0" w:color="auto"/>
              <w:bottom w:val="single" w:sz="4" w:space="0" w:color="auto"/>
              <w:right w:val="single" w:sz="4" w:space="0" w:color="auto"/>
            </w:tcBorders>
            <w:vAlign w:val="center"/>
            <w:hideMark/>
          </w:tcPr>
          <w:p w14:paraId="7E62FB81"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Children’s perspectives on ADHD in the UK</w:t>
            </w:r>
          </w:p>
        </w:tc>
        <w:tc>
          <w:tcPr>
            <w:tcW w:w="0" w:type="auto"/>
            <w:tcBorders>
              <w:top w:val="single" w:sz="4" w:space="0" w:color="auto"/>
              <w:left w:val="single" w:sz="4" w:space="0" w:color="auto"/>
              <w:bottom w:val="single" w:sz="4" w:space="0" w:color="auto"/>
              <w:right w:val="single" w:sz="4" w:space="0" w:color="auto"/>
            </w:tcBorders>
            <w:vAlign w:val="center"/>
            <w:hideMark/>
          </w:tcPr>
          <w:p w14:paraId="36578664"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56CB6DFD"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Anger, stigma, misunderstanding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55475D9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Emotional, behavioural</w:t>
            </w:r>
          </w:p>
        </w:tc>
      </w:tr>
      <w:tr w:rsidR="00D85E6B" w:rsidRPr="00EA5CF1" w14:paraId="38167750"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2A9CAC6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Zetterqvist et al. (2025)</w:t>
            </w:r>
          </w:p>
        </w:tc>
        <w:tc>
          <w:tcPr>
            <w:tcW w:w="0" w:type="auto"/>
            <w:tcBorders>
              <w:top w:val="single" w:sz="4" w:space="0" w:color="auto"/>
              <w:left w:val="single" w:sz="4" w:space="0" w:color="auto"/>
              <w:bottom w:val="single" w:sz="4" w:space="0" w:color="auto"/>
              <w:right w:val="single" w:sz="4" w:space="0" w:color="auto"/>
            </w:tcBorders>
            <w:vAlign w:val="center"/>
            <w:hideMark/>
          </w:tcPr>
          <w:p w14:paraId="578F7D94"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Adolescents’ experiences of ADHD</w:t>
            </w:r>
          </w:p>
        </w:tc>
        <w:tc>
          <w:tcPr>
            <w:tcW w:w="0" w:type="auto"/>
            <w:tcBorders>
              <w:top w:val="single" w:sz="4" w:space="0" w:color="auto"/>
              <w:left w:val="single" w:sz="4" w:space="0" w:color="auto"/>
              <w:bottom w:val="single" w:sz="4" w:space="0" w:color="auto"/>
              <w:right w:val="single" w:sz="4" w:space="0" w:color="auto"/>
            </w:tcBorders>
            <w:vAlign w:val="center"/>
            <w:hideMark/>
          </w:tcPr>
          <w:p w14:paraId="36D1888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1F6EB2B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Struggle with focus, emotional exhaustion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74CB58B1"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Cognitive, emotional</w:t>
            </w:r>
          </w:p>
        </w:tc>
      </w:tr>
      <w:tr w:rsidR="00D85E6B" w:rsidRPr="00EA5CF1" w14:paraId="127166ED"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50EBF90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Carr</w:t>
            </w:r>
            <w:r w:rsidRPr="00EA5CF1">
              <w:rPr>
                <w:rFonts w:ascii="Arial" w:hAnsi="Arial" w:cs="Arial"/>
                <w:sz w:val="22"/>
                <w:szCs w:val="22"/>
                <w:u w:val="single"/>
              </w:rPr>
              <w:noBreakHyphen/>
              <w:t>Fanning &amp; McGuckin (2018)</w:t>
            </w:r>
          </w:p>
        </w:tc>
        <w:tc>
          <w:tcPr>
            <w:tcW w:w="0" w:type="auto"/>
            <w:tcBorders>
              <w:top w:val="single" w:sz="4" w:space="0" w:color="auto"/>
              <w:left w:val="single" w:sz="4" w:space="0" w:color="auto"/>
              <w:bottom w:val="single" w:sz="4" w:space="0" w:color="auto"/>
              <w:right w:val="single" w:sz="4" w:space="0" w:color="auto"/>
            </w:tcBorders>
            <w:vAlign w:val="center"/>
            <w:hideMark/>
          </w:tcPr>
          <w:p w14:paraId="07BD478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Stakeholder experiences of ADHD diagnosis</w:t>
            </w:r>
          </w:p>
        </w:tc>
        <w:tc>
          <w:tcPr>
            <w:tcW w:w="0" w:type="auto"/>
            <w:tcBorders>
              <w:top w:val="single" w:sz="4" w:space="0" w:color="auto"/>
              <w:left w:val="single" w:sz="4" w:space="0" w:color="auto"/>
              <w:bottom w:val="single" w:sz="4" w:space="0" w:color="auto"/>
              <w:right w:val="single" w:sz="4" w:space="0" w:color="auto"/>
            </w:tcBorders>
            <w:vAlign w:val="center"/>
            <w:hideMark/>
          </w:tcPr>
          <w:p w14:paraId="036DD28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273309C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Service barriers, emotional strain</w:t>
            </w:r>
          </w:p>
        </w:tc>
        <w:tc>
          <w:tcPr>
            <w:tcW w:w="0" w:type="auto"/>
            <w:tcBorders>
              <w:top w:val="single" w:sz="4" w:space="0" w:color="auto"/>
              <w:left w:val="single" w:sz="4" w:space="0" w:color="auto"/>
              <w:bottom w:val="single" w:sz="4" w:space="0" w:color="auto"/>
              <w:right w:val="single" w:sz="4" w:space="0" w:color="auto"/>
            </w:tcBorders>
            <w:vAlign w:val="center"/>
            <w:hideMark/>
          </w:tcPr>
          <w:p w14:paraId="6C0B8EC7"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Systemic</w:t>
            </w:r>
          </w:p>
        </w:tc>
      </w:tr>
      <w:tr w:rsidR="00D85E6B" w:rsidRPr="00EA5CF1" w14:paraId="022A78FC"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238644AD"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lastRenderedPageBreak/>
              <w:t>Dunne &amp; Moore (2011)</w:t>
            </w:r>
          </w:p>
        </w:tc>
        <w:tc>
          <w:tcPr>
            <w:tcW w:w="0" w:type="auto"/>
            <w:tcBorders>
              <w:top w:val="single" w:sz="4" w:space="0" w:color="auto"/>
              <w:left w:val="single" w:sz="4" w:space="0" w:color="auto"/>
              <w:bottom w:val="single" w:sz="4" w:space="0" w:color="auto"/>
              <w:right w:val="single" w:sz="4" w:space="0" w:color="auto"/>
            </w:tcBorders>
            <w:vAlign w:val="center"/>
            <w:hideMark/>
          </w:tcPr>
          <w:p w14:paraId="71056BA0"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Personal ADHD narrative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77FEBD9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02BCAD1E"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 challenges, identity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1B4A083B"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w:t>
            </w:r>
          </w:p>
        </w:tc>
      </w:tr>
      <w:tr w:rsidR="00D85E6B" w:rsidRPr="00EA5CF1" w14:paraId="771F87C7"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327012D8"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Moore et al. (2017)</w:t>
            </w:r>
          </w:p>
        </w:tc>
        <w:tc>
          <w:tcPr>
            <w:tcW w:w="0" w:type="auto"/>
            <w:tcBorders>
              <w:top w:val="single" w:sz="4" w:space="0" w:color="auto"/>
              <w:left w:val="single" w:sz="4" w:space="0" w:color="auto"/>
              <w:bottom w:val="single" w:sz="4" w:space="0" w:color="auto"/>
              <w:right w:val="single" w:sz="4" w:space="0" w:color="auto"/>
            </w:tcBorders>
            <w:vAlign w:val="center"/>
            <w:hideMark/>
          </w:tcPr>
          <w:p w14:paraId="108FC44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Teachers’ experiences supporting ADHD pupils</w:t>
            </w:r>
          </w:p>
        </w:tc>
        <w:tc>
          <w:tcPr>
            <w:tcW w:w="0" w:type="auto"/>
            <w:tcBorders>
              <w:top w:val="single" w:sz="4" w:space="0" w:color="auto"/>
              <w:left w:val="single" w:sz="4" w:space="0" w:color="auto"/>
              <w:bottom w:val="single" w:sz="4" w:space="0" w:color="auto"/>
              <w:right w:val="single" w:sz="4" w:space="0" w:color="auto"/>
            </w:tcBorders>
            <w:vAlign w:val="center"/>
            <w:hideMark/>
          </w:tcPr>
          <w:p w14:paraId="7668F602"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Qualitative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33B2A95B"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 misunderstanding, exclusion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6817E0FF"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Behavioural, social</w:t>
            </w:r>
          </w:p>
        </w:tc>
      </w:tr>
      <w:tr w:rsidR="00D85E6B" w:rsidRPr="00EA5CF1" w14:paraId="0D806B91" w14:textId="77777777" w:rsidTr="00D85E6B">
        <w:trPr>
          <w:tblCellSpacing w:w="15" w:type="dxa"/>
        </w:trPr>
        <w:tc>
          <w:tcPr>
            <w:tcW w:w="1780" w:type="dxa"/>
            <w:tcBorders>
              <w:top w:val="single" w:sz="4" w:space="0" w:color="auto"/>
              <w:left w:val="single" w:sz="4" w:space="0" w:color="auto"/>
              <w:bottom w:val="single" w:sz="4" w:space="0" w:color="auto"/>
              <w:right w:val="single" w:sz="4" w:space="0" w:color="auto"/>
            </w:tcBorders>
            <w:vAlign w:val="center"/>
            <w:hideMark/>
          </w:tcPr>
          <w:p w14:paraId="0FA8C1C6"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Holmes et al. (2021)</w:t>
            </w:r>
          </w:p>
        </w:tc>
        <w:tc>
          <w:tcPr>
            <w:tcW w:w="0" w:type="auto"/>
            <w:tcBorders>
              <w:top w:val="single" w:sz="4" w:space="0" w:color="auto"/>
              <w:left w:val="single" w:sz="4" w:space="0" w:color="auto"/>
              <w:bottom w:val="single" w:sz="4" w:space="0" w:color="auto"/>
              <w:right w:val="single" w:sz="4" w:space="0" w:color="auto"/>
            </w:tcBorders>
            <w:vAlign w:val="center"/>
            <w:hideMark/>
          </w:tcPr>
          <w:p w14:paraId="581E92BC"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Working memory and academic outcomes</w:t>
            </w:r>
          </w:p>
        </w:tc>
        <w:tc>
          <w:tcPr>
            <w:tcW w:w="0" w:type="auto"/>
            <w:tcBorders>
              <w:top w:val="single" w:sz="4" w:space="0" w:color="auto"/>
              <w:left w:val="single" w:sz="4" w:space="0" w:color="auto"/>
              <w:bottom w:val="single" w:sz="4" w:space="0" w:color="auto"/>
              <w:right w:val="single" w:sz="4" w:space="0" w:color="auto"/>
            </w:tcBorders>
            <w:vAlign w:val="center"/>
            <w:hideMark/>
          </w:tcPr>
          <w:p w14:paraId="27F00CEA"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Quantitative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3F2C45F3"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Cognitive deficits linked to attainment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2084460F" w14:textId="77777777" w:rsidR="00EA5CF1" w:rsidRPr="00EA5CF1" w:rsidRDefault="00EA5CF1" w:rsidP="00931881">
            <w:pPr>
              <w:spacing w:line="360" w:lineRule="auto"/>
              <w:rPr>
                <w:rFonts w:ascii="Arial" w:hAnsi="Arial" w:cs="Arial"/>
                <w:sz w:val="22"/>
                <w:szCs w:val="22"/>
                <w:u w:val="single"/>
              </w:rPr>
            </w:pPr>
            <w:r w:rsidRPr="00EA5CF1">
              <w:rPr>
                <w:rFonts w:ascii="Arial" w:hAnsi="Arial" w:cs="Arial"/>
                <w:sz w:val="22"/>
                <w:szCs w:val="22"/>
                <w:u w:val="single"/>
              </w:rPr>
              <w:t>Cognitive</w:t>
            </w:r>
          </w:p>
        </w:tc>
      </w:tr>
    </w:tbl>
    <w:p w14:paraId="356081A9" w14:textId="77777777" w:rsidR="00376FFD" w:rsidRDefault="00376FFD" w:rsidP="00931881">
      <w:pPr>
        <w:spacing w:line="360" w:lineRule="auto"/>
        <w:rPr>
          <w:rFonts w:ascii="Arial" w:hAnsi="Arial" w:cs="Arial"/>
          <w:b/>
          <w:bCs/>
          <w:sz w:val="22"/>
          <w:szCs w:val="22"/>
          <w:u w:val="single"/>
        </w:rPr>
      </w:pPr>
    </w:p>
    <w:p w14:paraId="12AB6369" w14:textId="11F3145A"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6. Thematic Analysis</w:t>
      </w:r>
    </w:p>
    <w:p w14:paraId="54115C6E"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6.1 Cognitive Challenges</w:t>
      </w:r>
    </w:p>
    <w:p w14:paraId="3913C506"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Cognitive challenges emerged as a central theme across the studies. Children with ADHD consistently reported difficulties with attention, working memory and organisation, which affected their ability to complete tasks, follow instructions and manage academic demands. Quantitative evidence demonstrated that working memory deficits were strongly associated with lower academic attainment, highlighting the impact of cognitive difficulties on educational outcomes (Holmes et al., 2021). Qualitative studies reinforced this, with adolescents describing feelings of mental overload, difficulty concentrating and frustration when unable to keep up with schoolwork (Zetterqvist et al., 2025). These cognitive challenges often contributed to negative self</w:t>
      </w:r>
      <w:r w:rsidRPr="00EA5CF1">
        <w:rPr>
          <w:rFonts w:ascii="Arial" w:hAnsi="Arial" w:cs="Arial"/>
          <w:sz w:val="22"/>
          <w:szCs w:val="22"/>
        </w:rPr>
        <w:noBreakHyphen/>
        <w:t>perceptions, as children compared themselves unfavourably to peers who appeared to complete tasks more easily.</w:t>
      </w:r>
    </w:p>
    <w:p w14:paraId="467A4195"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6.2 Emotional Regulation Difficulties</w:t>
      </w:r>
    </w:p>
    <w:p w14:paraId="5B32D921"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Emotional dysregulation was a prominent theme across the evidence base. Children with ADHD described experiencing intense emotions, including frustration, anxiety and anger, which could escalate quickly and feel overwhelming. Meta</w:t>
      </w:r>
      <w:r w:rsidRPr="00EA5CF1">
        <w:rPr>
          <w:rFonts w:ascii="Arial" w:hAnsi="Arial" w:cs="Arial"/>
          <w:sz w:val="22"/>
          <w:szCs w:val="22"/>
        </w:rPr>
        <w:noBreakHyphen/>
        <w:t xml:space="preserve">analytic evidence highlighted heightened emotional reactivity among children with ADHD, which affected relationships and daily functioning (Graziano and Garcia, 2016). Qualitative studies revealed that children often felt misunderstood by adults who interpreted emotional outbursts as deliberate misbehaviour rather than manifestations of underlying regulation difficulties (Singh, 2011). </w:t>
      </w:r>
      <w:r w:rsidRPr="00EA5CF1">
        <w:rPr>
          <w:rFonts w:ascii="Arial" w:hAnsi="Arial" w:cs="Arial"/>
          <w:sz w:val="22"/>
          <w:szCs w:val="22"/>
        </w:rPr>
        <w:lastRenderedPageBreak/>
        <w:t>Adolescents reported emotional exhaustion from the constant effort required to manage their emotions in school environments with high behavioural expectations (Russell et al., 2023). Emotional challenges were closely linked to cognitive difficulties, as struggles with attention and organisation often triggered frustration and anxiety.</w:t>
      </w:r>
    </w:p>
    <w:p w14:paraId="48C0A553"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6.3 Social Challenges</w:t>
      </w:r>
    </w:p>
    <w:p w14:paraId="21932EE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Social difficulties were consistently reported across studies. Children with ADHD frequently experienced peer rejection, conflict and bullying, which affected their sense of belonging and wellbeing. Qualitative evidence highlighted difficulties interpreting social cues, managing impulsive behaviour and maintaining friendships, which contributed to strained relationships and social isolation (Ringer, 2019). Children described feeling different from their peers and struggling to fit in, which affected their self</w:t>
      </w:r>
      <w:r w:rsidRPr="00EA5CF1">
        <w:rPr>
          <w:rFonts w:ascii="Arial" w:hAnsi="Arial" w:cs="Arial"/>
          <w:sz w:val="22"/>
          <w:szCs w:val="22"/>
        </w:rPr>
        <w:noBreakHyphen/>
        <w:t>esteem and identity. Studies also highlighted the role of stigma, with children reporting that peers and adults often misunderstood their behaviour, leading to negative labels and exclusion (Singh, 2011). Social challenges were closely intertwined with emotional and behavioural difficulties, creating a cycle of misunderstanding and conflict.</w:t>
      </w:r>
    </w:p>
    <w:p w14:paraId="267C28C5"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6.4 Behavioural Challenges and Adult Responses</w:t>
      </w:r>
    </w:p>
    <w:p w14:paraId="0434CBE9"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Behavioural challenges, including impulsivity, restlessness and difficulty remaining seated, were frequently reported across studies. Teachers often interpreted these behaviours as deliberate defiance rather than manifestations of ADHD, which led to punitive responses such as sanctions, detentions and exclusion (Moore, Russell and Ford, 2017). Qualitative evidence revealed that children felt unfairly punished for behaviours they struggled to control, which affected their self</w:t>
      </w:r>
      <w:r w:rsidRPr="00EA5CF1">
        <w:rPr>
          <w:rFonts w:ascii="Arial" w:hAnsi="Arial" w:cs="Arial"/>
          <w:sz w:val="22"/>
          <w:szCs w:val="22"/>
        </w:rPr>
        <w:noBreakHyphen/>
        <w:t>esteem and engagement in school (Dunne and Moore, 2011). Behavioural challenges were often exacerbated by cognitive and emotional difficulties, with children acting impulsively when overwhelmed or frustrated. Studies highlighted the need for ADHD</w:t>
      </w:r>
      <w:r w:rsidRPr="00EA5CF1">
        <w:rPr>
          <w:rFonts w:ascii="Arial" w:hAnsi="Arial" w:cs="Arial"/>
          <w:sz w:val="22"/>
          <w:szCs w:val="22"/>
        </w:rPr>
        <w:noBreakHyphen/>
        <w:t>informed approaches that recognise the underlying causes of behaviour and prioritise support over punishment.</w:t>
      </w:r>
    </w:p>
    <w:p w14:paraId="787F61EA"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6.5 Systemic Barriers</w:t>
      </w:r>
    </w:p>
    <w:p w14:paraId="49DC37A8"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Systemic barriers emerged as a significant theme across the evidence base. Families reported long waiting times for assessment, fragmented pathways and inconsistent support, which exacerbated the challenges experienced by children with ADHD (Eke and Singh, 2020). Stakeholders described emotional strain, frustration and difficulty navigating services, which affected family wellbeing and engagement with support (Carr</w:t>
      </w:r>
      <w:r w:rsidRPr="00EA5CF1">
        <w:rPr>
          <w:rFonts w:ascii="Arial" w:hAnsi="Arial" w:cs="Arial"/>
          <w:sz w:val="22"/>
          <w:szCs w:val="22"/>
        </w:rPr>
        <w:noBreakHyphen/>
        <w:t xml:space="preserve">Fanning and McGuckin, 2018). Systemic barriers often delayed access to effective interventions, contributing to worsening symptoms and increased conflict at home and school. Studies highlighted the </w:t>
      </w:r>
      <w:r w:rsidRPr="00EA5CF1">
        <w:rPr>
          <w:rFonts w:ascii="Arial" w:hAnsi="Arial" w:cs="Arial"/>
          <w:sz w:val="22"/>
          <w:szCs w:val="22"/>
        </w:rPr>
        <w:lastRenderedPageBreak/>
        <w:t>need for improved coordination, timely assessment and consistent support across services to address these systemic challenges.</w:t>
      </w:r>
    </w:p>
    <w:p w14:paraId="7C662935" w14:textId="77777777" w:rsidR="00EA5CF1" w:rsidRPr="00931881" w:rsidRDefault="00EA5CF1" w:rsidP="00931881">
      <w:pPr>
        <w:spacing w:line="360" w:lineRule="auto"/>
        <w:rPr>
          <w:rFonts w:ascii="Arial" w:hAnsi="Arial" w:cs="Arial"/>
          <w:b/>
          <w:bCs/>
          <w:sz w:val="22"/>
          <w:szCs w:val="22"/>
        </w:rPr>
      </w:pPr>
    </w:p>
    <w:p w14:paraId="0E2BF06E" w14:textId="49F152A0"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7.Discussion</w:t>
      </w:r>
    </w:p>
    <w:p w14:paraId="46B36103"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findings of this scoping review demonstrate that children and young people with ADHD in the United Kingdom experience a complex interplay of cognitive, emotional, social and behavioural challenges that significantly affect their daily lives. These challenges are not isolated; rather, they interact in ways that compound difficulties and shape children’s experiences across home, school and community environments. The evidence consistently shows that cognitive difficulties, particularly those related to working memory, attention and executive functioning, underpin many of the struggles children face in educational settings. Quantitative research demonstrates that working memory deficits are strongly associated with lower academic attainment, highlighting the direct impact of cognitive challenges on learning outcomes (Holmes et al., 2021). Qualitative studies reinforce this by illustrating how children experience mental overload, difficulty concentrating and frustration when they cannot meet academic expectations (Zetterqvist et al., 2025).</w:t>
      </w:r>
    </w:p>
    <w:p w14:paraId="6A9D7AA4"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Emotional regulation difficulties emerged as a prominent theme across the evidence base. Children with ADHD frequently experience heightened emotional reactivity, including frustration, anxiety and anger, which can escalate quickly and feel overwhelming (Graziano and Garcia, 2016). These emotional challenges are often misunderstood by adults, who may interpret emotional outbursts as deliberate misbehaviour rather than manifestations of underlying regulation difficulties (Singh, 2011). Adolescents describe emotional exhaustion from the constant effort required to manage their emotions in school environments with high behavioural expectations, which contributes to disengagement and reduced wellbeing (Russell et al., 2023). Emotional challenges are closely linked to cognitive difficulties, as struggles with attention and organisation often trigger frustration and anxiety, creating a cycle of emotional strain.</w:t>
      </w:r>
    </w:p>
    <w:p w14:paraId="3676DB84"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Social challenges were consistently reported across studies. Children with ADHD frequently experience peer rejection, conflict and bullying, which affect their sense of belonging and wellbeing (Owens et al., 2017). Qualitative evidence highlights difficulties interpreting social cues, managing impulsive behaviour and maintaining friendships, which contribute to strained relationships and social isolation (Ringer, 2019). Children describe feeling different from their peers and struggling to fit in, which affects their self</w:t>
      </w:r>
      <w:r w:rsidRPr="00EA5CF1">
        <w:rPr>
          <w:rFonts w:ascii="Arial" w:hAnsi="Arial" w:cs="Arial"/>
          <w:sz w:val="22"/>
          <w:szCs w:val="22"/>
        </w:rPr>
        <w:noBreakHyphen/>
        <w:t xml:space="preserve">esteem and identity. Stigma plays a significant role in shaping social experiences, with children reporting that peers and adults often misunderstand their behaviour, leading to negative labels and exclusion (Singh, </w:t>
      </w:r>
      <w:r w:rsidRPr="00EA5CF1">
        <w:rPr>
          <w:rFonts w:ascii="Arial" w:hAnsi="Arial" w:cs="Arial"/>
          <w:sz w:val="22"/>
          <w:szCs w:val="22"/>
        </w:rPr>
        <w:lastRenderedPageBreak/>
        <w:t>2011). Social challenges are closely intertwined with emotional and behavioural difficulties, creating a cycle of misunderstanding and conflict that affects children’s wellbeing.</w:t>
      </w:r>
    </w:p>
    <w:p w14:paraId="08D02D0D"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Behavioural challenges, including impulsivity, restlessness and difficulty remaining seated, were frequently reported across studies. Teachers often interpret these behaviours as deliberate defiance rather than manifestations of ADHD, which leads to punitive responses such as sanctions, detentions and exclusion (Moore, Russell and Ford, 2017). Qualitative evidence reveals that children feel unfairly punished for behaviours they struggle to control, which affects their self</w:t>
      </w:r>
      <w:r w:rsidRPr="00EA5CF1">
        <w:rPr>
          <w:rFonts w:ascii="Arial" w:hAnsi="Arial" w:cs="Arial"/>
          <w:sz w:val="22"/>
          <w:szCs w:val="22"/>
        </w:rPr>
        <w:noBreakHyphen/>
        <w:t>esteem and engagement in school (Dunne and Moore, 2011). Behavioural challenges are often exacerbated by cognitive and emotional difficulties, with children acting impulsively when overwhelmed or frustrated. Studies highlight the need for ADHD</w:t>
      </w:r>
      <w:r w:rsidRPr="00EA5CF1">
        <w:rPr>
          <w:rFonts w:ascii="Arial" w:hAnsi="Arial" w:cs="Arial"/>
          <w:sz w:val="22"/>
          <w:szCs w:val="22"/>
        </w:rPr>
        <w:noBreakHyphen/>
        <w:t>informed approaches that recognise the underlying causes of behaviour and prioritise support over punishment.</w:t>
      </w:r>
    </w:p>
    <w:p w14:paraId="355CF3E3"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Systemic barriers emerged as a significant theme across the evidence base. Families report long waiting times for assessment, fragmented pathways and inconsistent support, which exacerbate the challenges experienced by children with ADHD (Eke and Singh, 2020). Stakeholders describe emotional strain, frustration and difficulty navigating services, which affect family wellbeing and engagement with support (Carr</w:t>
      </w:r>
      <w:r w:rsidRPr="00EA5CF1">
        <w:rPr>
          <w:rFonts w:ascii="Arial" w:hAnsi="Arial" w:cs="Arial"/>
          <w:sz w:val="22"/>
          <w:szCs w:val="22"/>
        </w:rPr>
        <w:noBreakHyphen/>
        <w:t>Fanning and McGuckin, 2018). Systemic barriers often delay access to effective interventions, contributing to worsening symptoms and increased conflict at home and school. The variability in provision means that children with ADHD may receive different levels of support depending on their location, school resources and the knowledge and attitudes of professionals involved in their care. These findings highlight the need for improved coordination, timely assessment and consistent support across services to address systemic challenges.</w:t>
      </w:r>
    </w:p>
    <w:p w14:paraId="4A050CBA"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findings of this review align with broader conceptualisations of ADHD as a condition that affects multiple domains of functioning, including executive functioning, emotional regulation and social interaction (Thapar, Cooper and Rutter, 2017). The evidence supports the view that ADHD is not solely a behavioural condition but involves complex cognitive and emotional processes that require holistic, multi</w:t>
      </w:r>
      <w:r w:rsidRPr="00EA5CF1">
        <w:rPr>
          <w:rFonts w:ascii="Arial" w:hAnsi="Arial" w:cs="Arial"/>
          <w:sz w:val="22"/>
          <w:szCs w:val="22"/>
        </w:rPr>
        <w:noBreakHyphen/>
        <w:t>agency approaches to support. The findings also highlight the importance of understanding the lived experiences of children and young people with ADHD, as their perspectives provide valuable insights into the challenges they face and the support they need.</w:t>
      </w:r>
    </w:p>
    <w:p w14:paraId="3EC61D6D"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7.1 Gaps in the Literature</w:t>
      </w:r>
    </w:p>
    <w:p w14:paraId="5163C0FA"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Several gaps in the literature were identified. First, there is limited UK</w:t>
      </w:r>
      <w:r w:rsidRPr="00EA5CF1">
        <w:rPr>
          <w:rFonts w:ascii="Arial" w:hAnsi="Arial" w:cs="Arial"/>
          <w:sz w:val="22"/>
          <w:szCs w:val="22"/>
        </w:rPr>
        <w:noBreakHyphen/>
        <w:t xml:space="preserve">based qualitative research that centres the voices of children and young people with ADHD. Much of the existing research focuses on adult perspectives, including parents, teachers and </w:t>
      </w:r>
      <w:r w:rsidRPr="00EA5CF1">
        <w:rPr>
          <w:rFonts w:ascii="Arial" w:hAnsi="Arial" w:cs="Arial"/>
          <w:sz w:val="22"/>
          <w:szCs w:val="22"/>
        </w:rPr>
        <w:lastRenderedPageBreak/>
        <w:t>professionals, which may not fully capture children’s lived experiences. Second, there is a lack of intersectional research exploring how ethnicity, gender and socio</w:t>
      </w:r>
      <w:r w:rsidRPr="00EA5CF1">
        <w:rPr>
          <w:rFonts w:ascii="Arial" w:hAnsi="Arial" w:cs="Arial"/>
          <w:sz w:val="22"/>
          <w:szCs w:val="22"/>
        </w:rPr>
        <w:noBreakHyphen/>
        <w:t>economic status affect experiences of ADHD. This is a significant gap, as evidence suggests that children from minority backgrounds may face additional barriers to diagnosis and support. Third, there is limited longitudinal research tracking developmental changes in cognitive, emotional and social functioning among children with ADHD. Such research is essential for understanding how challenges evolve over time and for informing early intervention strategies. Finally, there is limited research on school culture, relational practice and the impact of teacher training on outcomes for children with ADHD.</w:t>
      </w:r>
    </w:p>
    <w:p w14:paraId="7AEF239D"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7.2 Implications for Policy and Practice</w:t>
      </w:r>
    </w:p>
    <w:p w14:paraId="43363459"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The findings of this review have several implications for policy and practice. First, there is a need for improved teacher training on ADHD to ensure that educators understand the cognitive and emotional challenges associated with the condition and can adopt supportive, inclusive approaches. Second, there is a need for improved coordination between health, education and social care services to ensure timely assessment and consistent support. Third, schools should adopt neurodiversity</w:t>
      </w:r>
      <w:r w:rsidRPr="00EA5CF1">
        <w:rPr>
          <w:rFonts w:ascii="Arial" w:hAnsi="Arial" w:cs="Arial"/>
          <w:sz w:val="22"/>
          <w:szCs w:val="22"/>
        </w:rPr>
        <w:noBreakHyphen/>
        <w:t>affirming approaches that recognise the strengths and challenges associated with ADHD and prioritise relational, inclusive practice. Fourth, emotional regulation support should be integrated into school</w:t>
      </w:r>
      <w:r w:rsidRPr="00EA5CF1">
        <w:rPr>
          <w:rFonts w:ascii="Arial" w:hAnsi="Arial" w:cs="Arial"/>
          <w:sz w:val="22"/>
          <w:szCs w:val="22"/>
        </w:rPr>
        <w:noBreakHyphen/>
        <w:t>based interventions to address the emotional challenges experienced by children with ADHD. Finally, there is a need for policies that address systemic barriers, including long waiting times and regional disparities in service provision.</w:t>
      </w:r>
    </w:p>
    <w:p w14:paraId="11830CFB"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8. Conclusion</w:t>
      </w:r>
    </w:p>
    <w:p w14:paraId="6B95BA12"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This scoping review demonstrates that children and young people with ADHD in the United Kingdom experience significant cognitive, emotional, social and behavioural challenges that affect their daily lives. These challenges are interconnected and shaped by systemic barriers, including long waiting times, fragmented pathways and inconsistent support. Cognitive difficulties underpin academic struggles and contribute to frustration, disengagement and reduced self</w:t>
      </w:r>
      <w:r w:rsidRPr="00EA5CF1">
        <w:rPr>
          <w:rFonts w:ascii="Arial" w:hAnsi="Arial" w:cs="Arial"/>
          <w:sz w:val="22"/>
          <w:szCs w:val="22"/>
        </w:rPr>
        <w:noBreakHyphen/>
        <w:t>esteem. Emotional dysregulation contributes to anxiety, conflict and strained relationships, affecting daily functioning and wellbeing. Social challenges, including peer rejection and stigma, further impact wellbeing and contribute to feelings of isolation and frustration. Behavioural difficulties are often misunderstood, leading to punitive responses rather than supportive interventions. Systemic barriers intensify these challenges and delay access to effective support.</w:t>
      </w:r>
    </w:p>
    <w:p w14:paraId="6A1029EA"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 xml:space="preserve">Understanding these challenges is essential for informing practice, improving support pathways and guiding future research. The findings highlight the need for improved teacher </w:t>
      </w:r>
      <w:r w:rsidRPr="00EA5CF1">
        <w:rPr>
          <w:rFonts w:ascii="Arial" w:hAnsi="Arial" w:cs="Arial"/>
          <w:sz w:val="22"/>
          <w:szCs w:val="22"/>
        </w:rPr>
        <w:lastRenderedPageBreak/>
        <w:t>training, consistent support and neurodiversity</w:t>
      </w:r>
      <w:r w:rsidRPr="00EA5CF1">
        <w:rPr>
          <w:rFonts w:ascii="Arial" w:hAnsi="Arial" w:cs="Arial"/>
          <w:sz w:val="22"/>
          <w:szCs w:val="22"/>
        </w:rPr>
        <w:noBreakHyphen/>
        <w:t>affirming approaches that address emotional and social needs alongside behaviour. Multi</w:t>
      </w:r>
      <w:r w:rsidRPr="00EA5CF1">
        <w:rPr>
          <w:rFonts w:ascii="Arial" w:hAnsi="Arial" w:cs="Arial"/>
          <w:sz w:val="22"/>
          <w:szCs w:val="22"/>
        </w:rPr>
        <w:noBreakHyphen/>
        <w:t>agency collaboration is essential to ensure timely assessment, coordinated support and effective interventions. Schools should adopt relational, inclusive approaches that recognise the impact of cognitive and emotional challenges on behaviour. Future research should prioritise children’s voices, explore intersectionality and examine the impact of school culture and teacher training on outcomes.</w:t>
      </w:r>
    </w:p>
    <w:p w14:paraId="0924ED13" w14:textId="77777777" w:rsidR="00EA5CF1" w:rsidRPr="005A0CB5" w:rsidRDefault="00EA5CF1" w:rsidP="00931881">
      <w:pPr>
        <w:spacing w:line="360" w:lineRule="auto"/>
        <w:rPr>
          <w:rFonts w:ascii="Arial" w:hAnsi="Arial" w:cs="Arial"/>
          <w:b/>
          <w:bCs/>
          <w:sz w:val="22"/>
          <w:szCs w:val="22"/>
        </w:rPr>
      </w:pPr>
      <w:r w:rsidRPr="005A0CB5">
        <w:rPr>
          <w:rFonts w:ascii="Arial" w:hAnsi="Arial" w:cs="Arial"/>
          <w:b/>
          <w:bCs/>
          <w:sz w:val="22"/>
          <w:szCs w:val="22"/>
        </w:rPr>
        <w:t>9. Recommendations</w:t>
      </w:r>
    </w:p>
    <w:p w14:paraId="68A79711"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9.1 Recommendations for Future Research</w:t>
      </w:r>
    </w:p>
    <w:p w14:paraId="005B449E" w14:textId="77777777" w:rsidR="00EA5CF1" w:rsidRPr="00EA5CF1" w:rsidRDefault="00EA5CF1" w:rsidP="00931881">
      <w:pPr>
        <w:spacing w:line="360" w:lineRule="auto"/>
        <w:rPr>
          <w:rFonts w:ascii="Arial" w:hAnsi="Arial" w:cs="Arial"/>
          <w:sz w:val="22"/>
          <w:szCs w:val="22"/>
        </w:rPr>
      </w:pPr>
      <w:r w:rsidRPr="00EA5CF1">
        <w:rPr>
          <w:rFonts w:ascii="Arial" w:hAnsi="Arial" w:cs="Arial"/>
          <w:sz w:val="22"/>
          <w:szCs w:val="22"/>
        </w:rPr>
        <w:t>Future research should prioritise qualitative studies that centre the voices of children and young people with ADHD to ensure that their lived experiences inform policy and practice. Longitudinal research is needed to track developmental changes in cognitive, emotional and social functioning. Intersectional research is essential to understand how ethnicity, gender and socio</w:t>
      </w:r>
      <w:r w:rsidRPr="00EA5CF1">
        <w:rPr>
          <w:rFonts w:ascii="Arial" w:hAnsi="Arial" w:cs="Arial"/>
          <w:sz w:val="22"/>
          <w:szCs w:val="22"/>
        </w:rPr>
        <w:noBreakHyphen/>
        <w:t>economic status affect experiences of ADHD. Research on school culture, relational practice and the impact of teacher training is needed to inform inclusive approaches.</w:t>
      </w:r>
    </w:p>
    <w:p w14:paraId="486401EB" w14:textId="77777777" w:rsidR="00EA5CF1" w:rsidRPr="00EA5CF1" w:rsidRDefault="00EA5CF1" w:rsidP="00931881">
      <w:pPr>
        <w:spacing w:line="360" w:lineRule="auto"/>
        <w:rPr>
          <w:rFonts w:ascii="Arial" w:hAnsi="Arial" w:cs="Arial"/>
          <w:b/>
          <w:bCs/>
          <w:sz w:val="22"/>
          <w:szCs w:val="22"/>
        </w:rPr>
      </w:pPr>
      <w:r w:rsidRPr="00EA5CF1">
        <w:rPr>
          <w:rFonts w:ascii="Arial" w:hAnsi="Arial" w:cs="Arial"/>
          <w:b/>
          <w:bCs/>
          <w:sz w:val="22"/>
          <w:szCs w:val="22"/>
        </w:rPr>
        <w:t>9.2 Recommendations for Policy and Practice</w:t>
      </w:r>
    </w:p>
    <w:p w14:paraId="0DBB59E8" w14:textId="6CBC42BC" w:rsidR="00EA5CF1" w:rsidRPr="00665AA6" w:rsidRDefault="00EA5CF1" w:rsidP="00665AA6">
      <w:pPr>
        <w:spacing w:line="360" w:lineRule="auto"/>
        <w:rPr>
          <w:rFonts w:ascii="Arial" w:hAnsi="Arial" w:cs="Arial"/>
          <w:sz w:val="22"/>
          <w:szCs w:val="22"/>
        </w:rPr>
      </w:pPr>
      <w:r w:rsidRPr="00EA5CF1">
        <w:rPr>
          <w:rFonts w:ascii="Arial" w:hAnsi="Arial" w:cs="Arial"/>
          <w:sz w:val="22"/>
          <w:szCs w:val="22"/>
        </w:rPr>
        <w:t>Policies should address systemic barriers, including long waiting times and regional disparities in service provision. Teacher training should be improved to ensure that educators understand the cognitive and emotional challenges associated with ADHD and can adopt supportive, inclusive approaches. Emotional regulation support should be integrated into school</w:t>
      </w:r>
      <w:r w:rsidRPr="00EA5CF1">
        <w:rPr>
          <w:rFonts w:ascii="Arial" w:hAnsi="Arial" w:cs="Arial"/>
          <w:sz w:val="22"/>
          <w:szCs w:val="22"/>
        </w:rPr>
        <w:noBreakHyphen/>
        <w:t>based interventions. Multi</w:t>
      </w:r>
      <w:r w:rsidRPr="00EA5CF1">
        <w:rPr>
          <w:rFonts w:ascii="Arial" w:hAnsi="Arial" w:cs="Arial"/>
          <w:sz w:val="22"/>
          <w:szCs w:val="22"/>
        </w:rPr>
        <w:noBreakHyphen/>
        <w:t>agency collaboration should be strengthened to ensure timely assessment and coordinated support. Schools should adopt neurodiversity</w:t>
      </w:r>
      <w:r w:rsidRPr="00EA5CF1">
        <w:rPr>
          <w:rFonts w:ascii="Arial" w:hAnsi="Arial" w:cs="Arial"/>
          <w:sz w:val="22"/>
          <w:szCs w:val="22"/>
        </w:rPr>
        <w:noBreakHyphen/>
        <w:t>affirming approaches that recognise the strengths and challenges associated with ADHD and prioritise relational, inclusive practice.</w:t>
      </w:r>
    </w:p>
    <w:p w14:paraId="057B9030" w14:textId="77777777" w:rsidR="00EA5CF1" w:rsidRDefault="00EA5CF1" w:rsidP="00EF1D90">
      <w:pPr>
        <w:rPr>
          <w:b/>
          <w:bCs/>
        </w:rPr>
      </w:pPr>
    </w:p>
    <w:p w14:paraId="0A2F30AA" w14:textId="77777777" w:rsidR="00EA5CF1" w:rsidRDefault="00EA5CF1" w:rsidP="00EF1D90">
      <w:pPr>
        <w:rPr>
          <w:b/>
          <w:bCs/>
        </w:rPr>
      </w:pPr>
    </w:p>
    <w:p w14:paraId="4AC25A14" w14:textId="77777777" w:rsidR="00EA5CF1" w:rsidRDefault="00EA5CF1" w:rsidP="00EF1D90">
      <w:pPr>
        <w:rPr>
          <w:b/>
          <w:bCs/>
        </w:rPr>
      </w:pPr>
    </w:p>
    <w:p w14:paraId="1D9ACD6D" w14:textId="77777777" w:rsidR="00EA5CF1" w:rsidRDefault="00EA5CF1" w:rsidP="00EF1D90">
      <w:pPr>
        <w:rPr>
          <w:b/>
          <w:bCs/>
        </w:rPr>
      </w:pPr>
    </w:p>
    <w:p w14:paraId="3F2F0091" w14:textId="77777777" w:rsidR="00EA5CF1" w:rsidRDefault="00EA5CF1" w:rsidP="00EF1D90">
      <w:pPr>
        <w:rPr>
          <w:b/>
          <w:bCs/>
        </w:rPr>
      </w:pPr>
    </w:p>
    <w:p w14:paraId="65985441" w14:textId="77777777" w:rsidR="00EA5CF1" w:rsidRDefault="00EA5CF1" w:rsidP="00EF1D90">
      <w:pPr>
        <w:rPr>
          <w:b/>
          <w:bCs/>
        </w:rPr>
      </w:pPr>
    </w:p>
    <w:p w14:paraId="37E16EB2" w14:textId="77777777" w:rsidR="00EA5CF1" w:rsidRDefault="00EA5CF1" w:rsidP="00EF1D90">
      <w:pPr>
        <w:rPr>
          <w:b/>
          <w:bCs/>
        </w:rPr>
      </w:pPr>
    </w:p>
    <w:p w14:paraId="35F971F9" w14:textId="77777777" w:rsidR="00665AA6" w:rsidRDefault="00665AA6" w:rsidP="00EF1D90">
      <w:pPr>
        <w:rPr>
          <w:b/>
          <w:bCs/>
        </w:rPr>
      </w:pPr>
    </w:p>
    <w:p w14:paraId="3F6D9058" w14:textId="1FF491EC" w:rsidR="00EF1D90" w:rsidRPr="00EF1D90" w:rsidRDefault="00663FE9" w:rsidP="00EF1D90">
      <w:pPr>
        <w:rPr>
          <w:b/>
          <w:bCs/>
        </w:rPr>
      </w:pPr>
      <w:r>
        <w:rPr>
          <w:b/>
          <w:bCs/>
        </w:rPr>
        <w:lastRenderedPageBreak/>
        <w:t>10.</w:t>
      </w:r>
      <w:r w:rsidR="00EF1D90" w:rsidRPr="00EF1D90">
        <w:rPr>
          <w:b/>
          <w:bCs/>
        </w:rPr>
        <w:t>Reference list</w:t>
      </w:r>
    </w:p>
    <w:p w14:paraId="4A5AD03D" w14:textId="4F294318" w:rsidR="008441FF" w:rsidRPr="008441FF" w:rsidRDefault="008441FF" w:rsidP="008441FF">
      <w:r w:rsidRPr="008441FF">
        <w:t>Abigail Emma Russell, Benham</w:t>
      </w:r>
      <w:r w:rsidRPr="008441FF">
        <w:rPr>
          <w:rFonts w:ascii="Cambria Math" w:hAnsi="Cambria Math" w:cs="Cambria Math"/>
        </w:rPr>
        <w:t>‐</w:t>
      </w:r>
      <w:r w:rsidRPr="008441FF">
        <w:t xml:space="preserve">Clarke, S., Ford, T., Eke, H., Price, A., Mitchell, S.B., Tamsin Newlove-Delgado, Moore, D.A. and Janssens, A. (2023). Educational Experiences of Young People with ADHD in the UK: Secondary Analysis of Qualitative Data from the CATCh-uS mixed-methods Study. </w:t>
      </w:r>
      <w:r w:rsidRPr="008441FF">
        <w:rPr>
          <w:i/>
          <w:iCs/>
        </w:rPr>
        <w:t>British Journal of Educational Psychology</w:t>
      </w:r>
      <w:r w:rsidRPr="008441FF">
        <w:t>, [online] 93(4). doi:https://doi.org/10.1111/bjep.12613.</w:t>
      </w:r>
      <w:r w:rsidR="001D54F9">
        <w:t xml:space="preserve"> </w:t>
      </w:r>
    </w:p>
    <w:p w14:paraId="365ED82C" w14:textId="520B7B4B" w:rsidR="00EA5CF1" w:rsidRPr="00EA5CF1" w:rsidRDefault="00EA5CF1" w:rsidP="00EA5CF1">
      <w:r w:rsidRPr="00EA5CF1">
        <w:t xml:space="preserve">Arksey, H. and O’Malley, L. (2005). Scoping studies: Towards a Methodological Framework. </w:t>
      </w:r>
      <w:r w:rsidRPr="00EA5CF1">
        <w:rPr>
          <w:i/>
          <w:iCs/>
        </w:rPr>
        <w:t>International Journal of Social Research Methodology</w:t>
      </w:r>
      <w:r w:rsidRPr="00EA5CF1">
        <w:t>, [online] 8(1), pp.19–32. doi:https://doi.org/10.1080/1364557032000119616.</w:t>
      </w:r>
      <w:r>
        <w:t xml:space="preserve"> </w:t>
      </w:r>
    </w:p>
    <w:p w14:paraId="419B5748" w14:textId="01F9F628" w:rsidR="002F3A10" w:rsidRPr="002F3A10" w:rsidRDefault="002F3A10" w:rsidP="002F3A10">
      <w:r w:rsidRPr="002F3A10">
        <w:t xml:space="preserve">Braun, V. and Clarke, V. (2006). Using Thematic Analysis in Psychology. </w:t>
      </w:r>
      <w:r w:rsidRPr="002F3A10">
        <w:rPr>
          <w:i/>
          <w:iCs/>
        </w:rPr>
        <w:t>Qualitative Research in Psychology</w:t>
      </w:r>
      <w:r w:rsidRPr="002F3A10">
        <w:t>, 3(2), pp.77</w:t>
      </w:r>
      <w:r w:rsidR="00EC4251">
        <w:t xml:space="preserve"> </w:t>
      </w:r>
      <w:r w:rsidRPr="002F3A10">
        <w:t>101.</w:t>
      </w:r>
      <w:r w:rsidR="00EC4251">
        <w:t xml:space="preserve"> </w:t>
      </w:r>
      <w:r w:rsidRPr="002F3A10">
        <w:t>doi:https://doi.org/10.1191/1478088706qp063oa.</w:t>
      </w:r>
    </w:p>
    <w:p w14:paraId="4332EB98" w14:textId="72289CBD" w:rsidR="000F50F6" w:rsidRPr="000F50F6" w:rsidRDefault="000F50F6" w:rsidP="000F50F6">
      <w:r w:rsidRPr="000F50F6">
        <w:t xml:space="preserve">Braun, V. and Clarke, V. (2019). Reflecting on Reflexive Thematic Analysis. </w:t>
      </w:r>
      <w:r w:rsidRPr="000F50F6">
        <w:rPr>
          <w:i/>
          <w:iCs/>
        </w:rPr>
        <w:t>Qualitative Research in Sport, Exercise and Health</w:t>
      </w:r>
      <w:r w:rsidRPr="000F50F6">
        <w:t>, 11(4), pp.589–597. doi:https://doi.org/10.1080/2159676X.2019.1628806.</w:t>
      </w:r>
      <w:r w:rsidR="001C65A4">
        <w:t xml:space="preserve"> </w:t>
      </w:r>
    </w:p>
    <w:p w14:paraId="08ADD6D9" w14:textId="3375B931" w:rsidR="00EA5CF1" w:rsidRPr="00EA5CF1" w:rsidRDefault="00EA5CF1" w:rsidP="00EA5CF1">
      <w:r w:rsidRPr="00EA5CF1">
        <w:t xml:space="preserve">Carr-Fanning, K. and Mc Guckin, C. (2018). The powerless or the empowered? Stakeholders’ experiences of diagnosis and treatment for attention-deficit hyperactivity disorder in Ireland. </w:t>
      </w:r>
      <w:r w:rsidRPr="00EA5CF1">
        <w:rPr>
          <w:i/>
          <w:iCs/>
        </w:rPr>
        <w:t>Irish Journal of Psychological Medicine</w:t>
      </w:r>
      <w:r w:rsidRPr="00EA5CF1">
        <w:t>, 35(3), pp.203–212.doi:https://doi.org/10.1017/ipm.2018.13.</w:t>
      </w:r>
    </w:p>
    <w:p w14:paraId="0C3B9C98" w14:textId="4E2D4025" w:rsidR="005B0A4E" w:rsidRPr="005B0A4E" w:rsidRDefault="005B0A4E" w:rsidP="005B0A4E">
      <w:r w:rsidRPr="005B0A4E">
        <w:t xml:space="preserve">Cortese, S., Adamo, N., Del Giovane, C., Mohr-Jensen, C., Hayes, A.J., Carucci, S., Atkinson, L.Z., Tessari, L., Banaschewski, T., Coghill, D., Hollis, C., Simonoff, E., Zuddas, A., Barbui, C., Purgato, M., Steinhausen, H.-C., Shokraneh, F., Xia, J. and Cipriani, A. (2018). Comparative efficacy and tolerability of medications for attention-deficit hyperactivity disorder in children, adolescents, and adults: a systematic review and network meta-analysis. </w:t>
      </w:r>
      <w:r w:rsidRPr="005B0A4E">
        <w:rPr>
          <w:i/>
          <w:iCs/>
        </w:rPr>
        <w:t>The Lancet Psychiatry</w:t>
      </w:r>
      <w:r w:rsidRPr="005B0A4E">
        <w:t>, [online] 5(9), pp.727–738. doi:https://doi.org/10.1016/s2215-0366(18)30269-4.</w:t>
      </w:r>
    </w:p>
    <w:p w14:paraId="45A8B8B2" w14:textId="77777777" w:rsidR="0056059C" w:rsidRPr="0056059C" w:rsidRDefault="0056059C" w:rsidP="0056059C">
      <w:r w:rsidRPr="0056059C">
        <w:t xml:space="preserve">Department for Education (2015). </w:t>
      </w:r>
      <w:r w:rsidRPr="0056059C">
        <w:rPr>
          <w:i/>
          <w:iCs/>
        </w:rPr>
        <w:t>Special Educational Needs and Disability Code of Practice: 0 to 25 Years</w:t>
      </w:r>
      <w:r w:rsidRPr="0056059C">
        <w:t xml:space="preserve">. [online] </w:t>
      </w:r>
      <w:r w:rsidRPr="0056059C">
        <w:rPr>
          <w:i/>
          <w:iCs/>
        </w:rPr>
        <w:t>GOV.UK</w:t>
      </w:r>
      <w:r w:rsidRPr="0056059C">
        <w:t>. Available at: https://assets.publishing.service.gov.uk/media/5a7dcb85ed915d2ac884d995/SEND_Code_of_Practice_January_2015.pdf.</w:t>
      </w:r>
    </w:p>
    <w:p w14:paraId="6A4A1D60" w14:textId="068253A6" w:rsidR="00EA5CF1" w:rsidRPr="00EA5CF1" w:rsidRDefault="00EA5CF1" w:rsidP="00EA5CF1">
      <w:r w:rsidRPr="00EA5CF1">
        <w:t xml:space="preserve">Dunne, L. and Moore, A. (2011). From boy to man: a personal story of ADHD. </w:t>
      </w:r>
      <w:r w:rsidRPr="00EA5CF1">
        <w:rPr>
          <w:i/>
          <w:iCs/>
        </w:rPr>
        <w:t>Emotional and Behavioural Difficulties</w:t>
      </w:r>
      <w:r w:rsidRPr="00EA5CF1">
        <w:t>, 16(4), pp.351–364. doi:https://doi.org/10.1080/13632752.2011.616339.</w:t>
      </w:r>
      <w:r>
        <w:t xml:space="preserve"> </w:t>
      </w:r>
    </w:p>
    <w:p w14:paraId="6C6A611F" w14:textId="77777777" w:rsidR="00EA5CF1" w:rsidRPr="00EA5CF1" w:rsidRDefault="00EA5CF1" w:rsidP="00EA5CF1">
      <w:r w:rsidRPr="00EA5CF1">
        <w:t xml:space="preserve">Eke, H. and Singh, I. (2020) ‘Family experiences of ADHD services’, </w:t>
      </w:r>
      <w:r w:rsidRPr="00EA5CF1">
        <w:rPr>
          <w:i/>
          <w:iCs/>
        </w:rPr>
        <w:t>Social Science &amp; Medicine</w:t>
      </w:r>
      <w:r w:rsidRPr="00EA5CF1">
        <w:t>, 260, pp. 113–137.</w:t>
      </w:r>
    </w:p>
    <w:p w14:paraId="481CC76A" w14:textId="77777777" w:rsidR="00EA5CF1" w:rsidRPr="00EA5CF1" w:rsidRDefault="00EA5CF1" w:rsidP="00EA5CF1">
      <w:r w:rsidRPr="00EA5CF1">
        <w:lastRenderedPageBreak/>
        <w:t xml:space="preserve">Ford, T., Hayes, R. and Byford, S. (2021) ‘Service provision for ADHD in the UK’, </w:t>
      </w:r>
      <w:r w:rsidRPr="00EA5CF1">
        <w:rPr>
          <w:i/>
          <w:iCs/>
        </w:rPr>
        <w:t>BJPsych Bulletin</w:t>
      </w:r>
      <w:r w:rsidRPr="00EA5CF1">
        <w:t>, 45(1), pp. 15–24.</w:t>
      </w:r>
    </w:p>
    <w:p w14:paraId="131B0FBE" w14:textId="77777777" w:rsidR="00EA5CF1" w:rsidRPr="00EA5CF1" w:rsidRDefault="00EA5CF1" w:rsidP="00EA5CF1">
      <w:r w:rsidRPr="00EA5CF1">
        <w:t xml:space="preserve">Graziano, P. and Garcia, A. (2016) ‘Emotional regulation in children with ADHD’, </w:t>
      </w:r>
      <w:r w:rsidRPr="00EA5CF1">
        <w:rPr>
          <w:i/>
          <w:iCs/>
        </w:rPr>
        <w:t>Clinical Psychology Review</w:t>
      </w:r>
      <w:r w:rsidRPr="00EA5CF1">
        <w:t>, 43, pp. 106–128.</w:t>
      </w:r>
    </w:p>
    <w:p w14:paraId="1037A486" w14:textId="77777777" w:rsidR="00EA5CF1" w:rsidRDefault="00EA5CF1" w:rsidP="00EA5CF1">
      <w:r w:rsidRPr="00EA5CF1">
        <w:t xml:space="preserve">Holmes, J. et al. (2021) ‘Working memory and academic outcomes in ADHD’, </w:t>
      </w:r>
      <w:r w:rsidRPr="00EA5CF1">
        <w:rPr>
          <w:i/>
          <w:iCs/>
        </w:rPr>
        <w:t>Journal of Abnormal Child Psychology</w:t>
      </w:r>
      <w:r w:rsidRPr="00EA5CF1">
        <w:t>, 49(2), pp. 251–263.</w:t>
      </w:r>
    </w:p>
    <w:p w14:paraId="5A2935CE" w14:textId="3E24854B" w:rsidR="00FC68BB" w:rsidRPr="00EA5CF1" w:rsidRDefault="00FC68BB" w:rsidP="00EA5CF1">
      <w:r w:rsidRPr="00FC68BB">
        <w:t xml:space="preserve">Klahr, A.M. and Burt, S.A. (2014). Practitioner Review: Evaluation of the known behavioral heterogeneity in conduct disorder to improve its assessment and treatment. </w:t>
      </w:r>
      <w:r w:rsidRPr="00FC68BB">
        <w:rPr>
          <w:i/>
          <w:iCs/>
        </w:rPr>
        <w:t>Journal of Child Psychology and Psychiatry</w:t>
      </w:r>
      <w:r w:rsidRPr="00FC68BB">
        <w:t>, 55(12), pp.1300–1310. doi:https://doi.org/10.1111/jcpp.12268.</w:t>
      </w:r>
    </w:p>
    <w:p w14:paraId="2801845D" w14:textId="77777777" w:rsidR="0021604D" w:rsidRPr="0021604D" w:rsidRDefault="0021604D" w:rsidP="0021604D">
      <w:r w:rsidRPr="0021604D">
        <w:t xml:space="preserve">Levac, D., Colquhoun, H. and O’Brien, K.K. (2010). Scoping studies: Advancing the Methodology. </w:t>
      </w:r>
      <w:r w:rsidRPr="0021604D">
        <w:rPr>
          <w:i/>
          <w:iCs/>
        </w:rPr>
        <w:t>Implementation Science</w:t>
      </w:r>
      <w:r w:rsidRPr="0021604D">
        <w:t>, [online] 5(1), pp.1–9. doi:https://doi.org/10.1186/1748-5908-5-69.</w:t>
      </w:r>
    </w:p>
    <w:p w14:paraId="48FB053E" w14:textId="7123E86D" w:rsidR="00EA5CF1" w:rsidRPr="00EA5CF1" w:rsidRDefault="00EA5CF1" w:rsidP="00EA5CF1">
      <w:r w:rsidRPr="00EA5CF1">
        <w:t xml:space="preserve">Ling, D.S. (2025). A Qualitative Study of the Lived Experience of Children with ADHD. </w:t>
      </w:r>
      <w:r w:rsidRPr="00EA5CF1">
        <w:rPr>
          <w:i/>
          <w:iCs/>
        </w:rPr>
        <w:t>Behavioral Sciences</w:t>
      </w:r>
      <w:r w:rsidRPr="00EA5CF1">
        <w:t>, [online] 15(12), pp.1698–1698.</w:t>
      </w:r>
      <w:r>
        <w:t xml:space="preserve"> </w:t>
      </w:r>
      <w:r w:rsidRPr="00EA5CF1">
        <w:t>doi:https://doi.org/10.3390/bs15121698.</w:t>
      </w:r>
      <w:r>
        <w:t xml:space="preserve">  </w:t>
      </w:r>
    </w:p>
    <w:p w14:paraId="6643B035" w14:textId="77777777" w:rsidR="00EA5CF1" w:rsidRPr="00EA5CF1" w:rsidRDefault="00EA5CF1" w:rsidP="00EA5CF1">
      <w:r w:rsidRPr="00EA5CF1">
        <w:t xml:space="preserve">Lukito, S., Li, L., Chandler, S., Kakoulidou, M., Pavlopoulou, G., Matejko, M., Jackson, I., Balwani, B., Boyens, T., Poulton, D., Harvey-Nguyen, L., Johnson, A., Stahl, D., Roberts, A., Sonuga-Barke, E.J.S., Sonuga-Barke, E., Chandler, S., Danese, A., Downs, J. and Funnell, E. (2026). Comparing qualitative thematic analysis and machine-based topic modelling in the analysis of autistic and ADHD young people’s accounts of emotions. </w:t>
      </w:r>
      <w:r w:rsidRPr="00EA5CF1">
        <w:rPr>
          <w:i/>
          <w:iCs/>
        </w:rPr>
        <w:t>Scientific Reports</w:t>
      </w:r>
      <w:r w:rsidRPr="00EA5CF1">
        <w:t>, [online] 16(1). doi:https://doi.org/10.1038/s41598-025-34570-7.</w:t>
      </w:r>
    </w:p>
    <w:p w14:paraId="2B0263FF" w14:textId="77777777" w:rsidR="00EA5CF1" w:rsidRPr="00EA5CF1" w:rsidRDefault="00EA5CF1" w:rsidP="00EA5CF1">
      <w:r w:rsidRPr="00EA5CF1">
        <w:t xml:space="preserve">Moore, D., Russell, A. and Ford, T. (2017) ‘Teachers’ perspectives on ADHD’, </w:t>
      </w:r>
      <w:r w:rsidRPr="00EA5CF1">
        <w:rPr>
          <w:i/>
          <w:iCs/>
        </w:rPr>
        <w:t>Emotional and Behavioural Difficulties</w:t>
      </w:r>
      <w:r w:rsidRPr="00EA5CF1">
        <w:t>, 22(3), pp. 1–15.</w:t>
      </w:r>
    </w:p>
    <w:p w14:paraId="4860A4B9" w14:textId="77777777" w:rsidR="00BC4272" w:rsidRPr="00BC4272" w:rsidRDefault="00BC4272" w:rsidP="00BC4272">
      <w:r w:rsidRPr="00BC4272">
        <w:t xml:space="preserve">NICE (2018). </w:t>
      </w:r>
      <w:r w:rsidRPr="00BC4272">
        <w:rPr>
          <w:i/>
          <w:iCs/>
        </w:rPr>
        <w:t>Attention Deficit Hyperactivity disorder: Diagnosis and Management | Guidance | NICE</w:t>
      </w:r>
      <w:r w:rsidRPr="00BC4272">
        <w:t>. [online] Nice.org.uk. Available at: https://www.nice.org.uk/guidance/ng87.</w:t>
      </w:r>
    </w:p>
    <w:p w14:paraId="75112FDA" w14:textId="77777777" w:rsidR="00EA5CF1" w:rsidRPr="00EA5CF1" w:rsidRDefault="00EA5CF1" w:rsidP="00EA5CF1">
      <w:r w:rsidRPr="00EA5CF1">
        <w:t xml:space="preserve">Owens, J. et al. (2017) ‘Peer relationships in children with ADHD’, </w:t>
      </w:r>
      <w:r w:rsidRPr="00EA5CF1">
        <w:rPr>
          <w:i/>
          <w:iCs/>
        </w:rPr>
        <w:t>Journal of Abnormal Child Psychology</w:t>
      </w:r>
      <w:r w:rsidRPr="00EA5CF1">
        <w:t>, 45(5), pp. 891–905.</w:t>
      </w:r>
    </w:p>
    <w:p w14:paraId="2F65BED9" w14:textId="411A2288" w:rsidR="00EA5CF1" w:rsidRPr="00EA5CF1" w:rsidRDefault="00EA5CF1" w:rsidP="00EA5CF1">
      <w:r w:rsidRPr="00EA5CF1">
        <w:t xml:space="preserve">Parker, C., Whear, R. and Ukoumunne, O. (2018) ‘School exclusion and ADHD’, </w:t>
      </w:r>
      <w:r w:rsidRPr="00EA5CF1">
        <w:rPr>
          <w:i/>
          <w:iCs/>
        </w:rPr>
        <w:t>Child and Adolescent Mental Health</w:t>
      </w:r>
      <w:r w:rsidRPr="00EA5CF1">
        <w:t>, 23(3), pp. 111–118.</w:t>
      </w:r>
      <w:r>
        <w:t xml:space="preserve"> </w:t>
      </w:r>
    </w:p>
    <w:p w14:paraId="3CE93215" w14:textId="0B4C98D6" w:rsidR="00EA5CF1" w:rsidRPr="00EA5CF1" w:rsidRDefault="00EA5CF1" w:rsidP="00EA5CF1">
      <w:r w:rsidRPr="00EA5CF1">
        <w:t xml:space="preserve">Ringer, N. (2019). Living with ADHD: A Meta-Synthesis Review of Qualitative Research on Children’s Experiences and Understanding of Their ADHD. </w:t>
      </w:r>
      <w:r w:rsidRPr="00EA5CF1">
        <w:rPr>
          <w:i/>
          <w:iCs/>
        </w:rPr>
        <w:t>International Journal of Disability, Development and Education</w:t>
      </w:r>
      <w:r w:rsidRPr="00EA5CF1">
        <w:t>, 67(2), pp.208–224. doi:https://doi.org/10.1080/1034912x.2019.1596226.</w:t>
      </w:r>
    </w:p>
    <w:p w14:paraId="4C0BB42D" w14:textId="445C06C1" w:rsidR="00EA5CF1" w:rsidRPr="00EA5CF1" w:rsidRDefault="00EA5CF1" w:rsidP="00EA5CF1">
      <w:r w:rsidRPr="00EA5CF1">
        <w:lastRenderedPageBreak/>
        <w:t xml:space="preserve">Russell, G. et al. (2023) ‘Educational experiences of adolescents with ADHD’, </w:t>
      </w:r>
      <w:r w:rsidRPr="00EA5CF1">
        <w:rPr>
          <w:i/>
          <w:iCs/>
        </w:rPr>
        <w:t>British Journal of Educational Psychology</w:t>
      </w:r>
      <w:r w:rsidRPr="00EA5CF1">
        <w:t>, 93(2), pp. 389–408.</w:t>
      </w:r>
      <w:r>
        <w:t xml:space="preserve"> </w:t>
      </w:r>
    </w:p>
    <w:p w14:paraId="780BEEB2" w14:textId="6A1F0DA9" w:rsidR="00EA5CF1" w:rsidRPr="00EA5CF1" w:rsidRDefault="00EA5CF1" w:rsidP="00EA5CF1">
      <w:r w:rsidRPr="00EA5CF1">
        <w:t xml:space="preserve">Sayal, K. et al. (2018) ‘ADHD in the UK: Prevalence and service use’, </w:t>
      </w:r>
      <w:r w:rsidRPr="00EA5CF1">
        <w:rPr>
          <w:i/>
          <w:iCs/>
        </w:rPr>
        <w:t>Social Psychiatry and Psychiatric Epidemiology</w:t>
      </w:r>
      <w:r w:rsidRPr="00EA5CF1">
        <w:t>, 53(2), pp. 137–147.</w:t>
      </w:r>
      <w:r>
        <w:t xml:space="preserve"> </w:t>
      </w:r>
    </w:p>
    <w:p w14:paraId="0AFC3814" w14:textId="77777777" w:rsidR="00D94872" w:rsidRPr="00D94872" w:rsidRDefault="00D94872" w:rsidP="00D94872">
      <w:r w:rsidRPr="00D94872">
        <w:t xml:space="preserve">Shaw, P., Stringaris, A., Nigg, J. and Leibenluft, E. (2014). Emotion Dysregulation in Attention Deficit Hyperactivity Disorder. </w:t>
      </w:r>
      <w:r w:rsidRPr="00D94872">
        <w:rPr>
          <w:i/>
          <w:iCs/>
        </w:rPr>
        <w:t>American Journal of Psychiatry</w:t>
      </w:r>
      <w:r w:rsidRPr="00D94872">
        <w:t>, [online] 171(3), pp.276–293. doi:https://doi.org/10.1176/appi.ajp.2013.13070966.</w:t>
      </w:r>
    </w:p>
    <w:p w14:paraId="2759EF92" w14:textId="1CA17966" w:rsidR="00EA5CF1" w:rsidRPr="00EA5CF1" w:rsidRDefault="00EA5CF1" w:rsidP="00EA5CF1">
      <w:r w:rsidRPr="00EA5CF1">
        <w:t xml:space="preserve">Singh, I. (2011). A disorder of anger and aggression: Children’s perspectives on attention deficit/hyperactivity disorder in the UK. </w:t>
      </w:r>
      <w:r w:rsidRPr="00EA5CF1">
        <w:rPr>
          <w:i/>
          <w:iCs/>
        </w:rPr>
        <w:t>Social Science &amp; Medicine</w:t>
      </w:r>
      <w:r w:rsidRPr="00EA5CF1">
        <w:t>, [online] 73(6), pp.889–896. doi:https://doi.org/10.1016/j.socscimed.2011.03.049.</w:t>
      </w:r>
      <w:r>
        <w:t xml:space="preserve"> </w:t>
      </w:r>
    </w:p>
    <w:p w14:paraId="3179FF29" w14:textId="77777777" w:rsidR="0068776A" w:rsidRPr="0068776A" w:rsidRDefault="0068776A" w:rsidP="0068776A">
      <w:r w:rsidRPr="0068776A">
        <w:t xml:space="preserve">Thapar, A., Cooper, M. and Rutter, M. (2017). Neurodevelopmental disorders. </w:t>
      </w:r>
      <w:r w:rsidRPr="0068776A">
        <w:rPr>
          <w:i/>
          <w:iCs/>
        </w:rPr>
        <w:t>The Lancet Psychiatry</w:t>
      </w:r>
      <w:r w:rsidRPr="0068776A">
        <w:t>, 4(4), pp.339–346. doi:https://doi.org/10.1016/s2215-0366(16)30376-5.</w:t>
      </w:r>
    </w:p>
    <w:p w14:paraId="460CC731" w14:textId="69674333" w:rsidR="00EA5CF1" w:rsidRPr="00EA5CF1" w:rsidRDefault="00EA5CF1" w:rsidP="00EA5CF1">
      <w:r w:rsidRPr="00EA5CF1">
        <w:t xml:space="preserve">Willcutt, E. (2015) ‘Prevalence of ADHD’, </w:t>
      </w:r>
      <w:r w:rsidRPr="00EA5CF1">
        <w:rPr>
          <w:i/>
          <w:iCs/>
        </w:rPr>
        <w:t>Current Opinion in Psychiatry</w:t>
      </w:r>
      <w:r w:rsidRPr="00EA5CF1">
        <w:t>, 28(2), pp. 109–115.</w:t>
      </w:r>
      <w:r>
        <w:t xml:space="preserve"> </w:t>
      </w:r>
    </w:p>
    <w:p w14:paraId="3E1C49F1" w14:textId="18351727" w:rsidR="00EA5CF1" w:rsidRPr="00EA5CF1" w:rsidRDefault="00EA5CF1" w:rsidP="00EA5CF1">
      <w:r w:rsidRPr="00EA5CF1">
        <w:t xml:space="preserve">Zetterqvist, V., Öster, C., Oremark, A., Myllys, L., Meyer, J., Ramklint, M. and Isaksson, J. (2025). I’ve really struggled but it does not seem to work: adolescents’ experiences of living with ADHD – a thematic analysis. </w:t>
      </w:r>
      <w:r w:rsidRPr="00EA5CF1">
        <w:rPr>
          <w:i/>
          <w:iCs/>
        </w:rPr>
        <w:t>BMC Psychology</w:t>
      </w:r>
      <w:r w:rsidRPr="00EA5CF1">
        <w:t>, 13(1). doi:https://doi.org/10.1186/s40359-025-02350-7.</w:t>
      </w:r>
    </w:p>
    <w:p w14:paraId="430F43D8" w14:textId="1FC7EE44" w:rsidR="00EF1D90" w:rsidRDefault="00EF1D90"/>
    <w:sectPr w:rsidR="00EF1D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E2D07" w14:textId="77777777" w:rsidR="00A530E6" w:rsidRDefault="00A530E6">
      <w:pPr>
        <w:spacing w:after="0" w:line="240" w:lineRule="auto"/>
      </w:pPr>
    </w:p>
  </w:endnote>
  <w:endnote w:type="continuationSeparator" w:id="0">
    <w:p w14:paraId="79DD2D53" w14:textId="77777777" w:rsidR="00A530E6" w:rsidRDefault="00A530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009972"/>
      <w:docPartObj>
        <w:docPartGallery w:val="Page Numbers (Bottom of Page)"/>
        <w:docPartUnique/>
      </w:docPartObj>
    </w:sdtPr>
    <w:sdtContent>
      <w:p w14:paraId="19DF1114" w14:textId="2D96DEB4" w:rsidR="00EA5CF1" w:rsidRDefault="00EA5CF1">
        <w:pPr>
          <w:pStyle w:val="Footer"/>
          <w:jc w:val="center"/>
        </w:pPr>
        <w:r>
          <w:fldChar w:fldCharType="begin"/>
        </w:r>
        <w:r>
          <w:instrText>PAGE   \* MERGEFORMAT</w:instrText>
        </w:r>
        <w:r>
          <w:fldChar w:fldCharType="separate"/>
        </w:r>
        <w:r>
          <w:t>2</w:t>
        </w:r>
        <w:r>
          <w:fldChar w:fldCharType="end"/>
        </w:r>
      </w:p>
    </w:sdtContent>
  </w:sdt>
  <w:p w14:paraId="13C55664" w14:textId="77777777" w:rsidR="00EA5CF1" w:rsidRDefault="00EA5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260D1" w14:textId="77777777" w:rsidR="00A530E6" w:rsidRDefault="00A530E6">
      <w:pPr>
        <w:spacing w:after="0" w:line="240" w:lineRule="auto"/>
      </w:pPr>
    </w:p>
  </w:footnote>
  <w:footnote w:type="continuationSeparator" w:id="0">
    <w:p w14:paraId="48E49EB1" w14:textId="77777777" w:rsidR="00A530E6" w:rsidRDefault="00A530E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B02DB"/>
    <w:multiLevelType w:val="multilevel"/>
    <w:tmpl w:val="5F2A4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170019"/>
    <w:multiLevelType w:val="multilevel"/>
    <w:tmpl w:val="DE4E0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35C86"/>
    <w:multiLevelType w:val="multilevel"/>
    <w:tmpl w:val="ACA23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3A67F0"/>
    <w:multiLevelType w:val="hybridMultilevel"/>
    <w:tmpl w:val="0D364968"/>
    <w:lvl w:ilvl="0" w:tplc="8CC87E9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8B2E12"/>
    <w:multiLevelType w:val="multilevel"/>
    <w:tmpl w:val="3E7C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66E68"/>
    <w:multiLevelType w:val="multilevel"/>
    <w:tmpl w:val="CD026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273E11"/>
    <w:multiLevelType w:val="multilevel"/>
    <w:tmpl w:val="B1A8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784B23"/>
    <w:multiLevelType w:val="multilevel"/>
    <w:tmpl w:val="6680A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261988"/>
    <w:multiLevelType w:val="multilevel"/>
    <w:tmpl w:val="61FEA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B57564"/>
    <w:multiLevelType w:val="multilevel"/>
    <w:tmpl w:val="B1E8B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7F3CB0"/>
    <w:multiLevelType w:val="hybridMultilevel"/>
    <w:tmpl w:val="35E27A9C"/>
    <w:lvl w:ilvl="0" w:tplc="EC88B50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A4598B"/>
    <w:multiLevelType w:val="multilevel"/>
    <w:tmpl w:val="DB96A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7F1ACD"/>
    <w:multiLevelType w:val="multilevel"/>
    <w:tmpl w:val="C19AC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C11308"/>
    <w:multiLevelType w:val="multilevel"/>
    <w:tmpl w:val="A5B4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4E33F0"/>
    <w:multiLevelType w:val="hybridMultilevel"/>
    <w:tmpl w:val="C832DBD0"/>
    <w:lvl w:ilvl="0" w:tplc="8CC87E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1101834">
    <w:abstractNumId w:val="5"/>
  </w:num>
  <w:num w:numId="2" w16cid:durableId="903636353">
    <w:abstractNumId w:val="0"/>
  </w:num>
  <w:num w:numId="3" w16cid:durableId="2083016520">
    <w:abstractNumId w:val="6"/>
  </w:num>
  <w:num w:numId="4" w16cid:durableId="630329929">
    <w:abstractNumId w:val="8"/>
  </w:num>
  <w:num w:numId="5" w16cid:durableId="1675183062">
    <w:abstractNumId w:val="4"/>
  </w:num>
  <w:num w:numId="6" w16cid:durableId="1507398769">
    <w:abstractNumId w:val="1"/>
  </w:num>
  <w:num w:numId="7" w16cid:durableId="182785983">
    <w:abstractNumId w:val="12"/>
  </w:num>
  <w:num w:numId="8" w16cid:durableId="1044014727">
    <w:abstractNumId w:val="2"/>
  </w:num>
  <w:num w:numId="9" w16cid:durableId="1817336475">
    <w:abstractNumId w:val="11"/>
  </w:num>
  <w:num w:numId="10" w16cid:durableId="344866732">
    <w:abstractNumId w:val="7"/>
  </w:num>
  <w:num w:numId="11" w16cid:durableId="234316585">
    <w:abstractNumId w:val="9"/>
  </w:num>
  <w:num w:numId="12" w16cid:durableId="1811088791">
    <w:abstractNumId w:val="13"/>
  </w:num>
  <w:num w:numId="13" w16cid:durableId="469060873">
    <w:abstractNumId w:val="3"/>
  </w:num>
  <w:num w:numId="14" w16cid:durableId="736786145">
    <w:abstractNumId w:val="10"/>
  </w:num>
  <w:num w:numId="15" w16cid:durableId="90140177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D90"/>
    <w:rsid w:val="0009799E"/>
    <w:rsid w:val="000E02C0"/>
    <w:rsid w:val="000F50F6"/>
    <w:rsid w:val="001C65A4"/>
    <w:rsid w:val="001D54F9"/>
    <w:rsid w:val="0021604D"/>
    <w:rsid w:val="002F3A10"/>
    <w:rsid w:val="00323201"/>
    <w:rsid w:val="00350C7A"/>
    <w:rsid w:val="00376FFD"/>
    <w:rsid w:val="003A3E50"/>
    <w:rsid w:val="00413904"/>
    <w:rsid w:val="00416CBD"/>
    <w:rsid w:val="0056059C"/>
    <w:rsid w:val="005A0CB5"/>
    <w:rsid w:val="005B0A4E"/>
    <w:rsid w:val="005D764F"/>
    <w:rsid w:val="00641620"/>
    <w:rsid w:val="006504F5"/>
    <w:rsid w:val="00663FE9"/>
    <w:rsid w:val="00665AA6"/>
    <w:rsid w:val="0068776A"/>
    <w:rsid w:val="006A19BA"/>
    <w:rsid w:val="00735350"/>
    <w:rsid w:val="007D75C7"/>
    <w:rsid w:val="007F35B2"/>
    <w:rsid w:val="008441FF"/>
    <w:rsid w:val="008601C0"/>
    <w:rsid w:val="008F6862"/>
    <w:rsid w:val="00931881"/>
    <w:rsid w:val="009531B6"/>
    <w:rsid w:val="00981755"/>
    <w:rsid w:val="009D212C"/>
    <w:rsid w:val="009E78C2"/>
    <w:rsid w:val="009F0D87"/>
    <w:rsid w:val="00A1481D"/>
    <w:rsid w:val="00A16BE0"/>
    <w:rsid w:val="00A530E6"/>
    <w:rsid w:val="00AB547F"/>
    <w:rsid w:val="00B8565E"/>
    <w:rsid w:val="00BC4272"/>
    <w:rsid w:val="00C53EA6"/>
    <w:rsid w:val="00C97093"/>
    <w:rsid w:val="00CD04F3"/>
    <w:rsid w:val="00D517A4"/>
    <w:rsid w:val="00D85E6B"/>
    <w:rsid w:val="00D90C55"/>
    <w:rsid w:val="00D94872"/>
    <w:rsid w:val="00E55696"/>
    <w:rsid w:val="00EA5CF1"/>
    <w:rsid w:val="00EC4251"/>
    <w:rsid w:val="00EE2C14"/>
    <w:rsid w:val="00EF1D90"/>
    <w:rsid w:val="00FC6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A92AA"/>
  <w15:chartTrackingRefBased/>
  <w15:docId w15:val="{456E6060-9A9E-4676-89E6-51EA731D5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D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D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D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D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D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D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D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D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D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D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D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D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D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D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D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D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D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D90"/>
    <w:rPr>
      <w:rFonts w:eastAsiaTheme="majorEastAsia" w:cstheme="majorBidi"/>
      <w:color w:val="272727" w:themeColor="text1" w:themeTint="D8"/>
    </w:rPr>
  </w:style>
  <w:style w:type="paragraph" w:styleId="Title">
    <w:name w:val="Title"/>
    <w:basedOn w:val="Normal"/>
    <w:next w:val="Normal"/>
    <w:link w:val="TitleChar"/>
    <w:uiPriority w:val="10"/>
    <w:qFormat/>
    <w:rsid w:val="00EF1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D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D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D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D90"/>
    <w:pPr>
      <w:spacing w:before="160"/>
      <w:jc w:val="center"/>
    </w:pPr>
    <w:rPr>
      <w:i/>
      <w:iCs/>
      <w:color w:val="404040" w:themeColor="text1" w:themeTint="BF"/>
    </w:rPr>
  </w:style>
  <w:style w:type="character" w:customStyle="1" w:styleId="QuoteChar">
    <w:name w:val="Quote Char"/>
    <w:basedOn w:val="DefaultParagraphFont"/>
    <w:link w:val="Quote"/>
    <w:uiPriority w:val="29"/>
    <w:rsid w:val="00EF1D90"/>
    <w:rPr>
      <w:i/>
      <w:iCs/>
      <w:color w:val="404040" w:themeColor="text1" w:themeTint="BF"/>
    </w:rPr>
  </w:style>
  <w:style w:type="paragraph" w:styleId="ListParagraph">
    <w:name w:val="List Paragraph"/>
    <w:basedOn w:val="Normal"/>
    <w:uiPriority w:val="34"/>
    <w:qFormat/>
    <w:rsid w:val="00EF1D90"/>
    <w:pPr>
      <w:ind w:left="720"/>
      <w:contextualSpacing/>
    </w:pPr>
  </w:style>
  <w:style w:type="character" w:styleId="IntenseEmphasis">
    <w:name w:val="Intense Emphasis"/>
    <w:basedOn w:val="DefaultParagraphFont"/>
    <w:uiPriority w:val="21"/>
    <w:qFormat/>
    <w:rsid w:val="00EF1D90"/>
    <w:rPr>
      <w:i/>
      <w:iCs/>
      <w:color w:val="0F4761" w:themeColor="accent1" w:themeShade="BF"/>
    </w:rPr>
  </w:style>
  <w:style w:type="paragraph" w:styleId="IntenseQuote">
    <w:name w:val="Intense Quote"/>
    <w:basedOn w:val="Normal"/>
    <w:next w:val="Normal"/>
    <w:link w:val="IntenseQuoteChar"/>
    <w:uiPriority w:val="30"/>
    <w:qFormat/>
    <w:rsid w:val="00EF1D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D90"/>
    <w:rPr>
      <w:i/>
      <w:iCs/>
      <w:color w:val="0F4761" w:themeColor="accent1" w:themeShade="BF"/>
    </w:rPr>
  </w:style>
  <w:style w:type="character" w:styleId="IntenseReference">
    <w:name w:val="Intense Reference"/>
    <w:basedOn w:val="DefaultParagraphFont"/>
    <w:uiPriority w:val="32"/>
    <w:qFormat/>
    <w:rsid w:val="00EF1D90"/>
    <w:rPr>
      <w:b/>
      <w:bCs/>
      <w:smallCaps/>
      <w:color w:val="0F4761" w:themeColor="accent1" w:themeShade="BF"/>
      <w:spacing w:val="5"/>
    </w:rPr>
  </w:style>
  <w:style w:type="paragraph" w:styleId="Header">
    <w:name w:val="header"/>
    <w:basedOn w:val="Normal"/>
    <w:link w:val="HeaderChar"/>
    <w:uiPriority w:val="99"/>
    <w:unhideWhenUsed/>
    <w:rsid w:val="00EA5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CF1"/>
  </w:style>
  <w:style w:type="paragraph" w:styleId="Footer">
    <w:name w:val="footer"/>
    <w:basedOn w:val="Normal"/>
    <w:link w:val="FooterChar"/>
    <w:uiPriority w:val="99"/>
    <w:unhideWhenUsed/>
    <w:rsid w:val="00EA5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C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DEF81-F0B9-4F85-B3D4-CF37736B8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2044</TotalTime>
  <Pages>17</Pages>
  <Words>5700</Words>
  <Characters>32492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 (2328696)</cp:lastModifiedBy>
  <cp:revision>47</cp:revision>
  <dcterms:created xsi:type="dcterms:W3CDTF">2026-03-12T18:03:00Z</dcterms:created>
  <dcterms:modified xsi:type="dcterms:W3CDTF">2026-03-29T01:56:00Z</dcterms:modified>
</cp:coreProperties>
</file>