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BD9A7E" w14:textId="77777777" w:rsidR="00A02EFB" w:rsidRDefault="00A02EFB">
      <w:pPr>
        <w:spacing w:before="600" w:after="100"/>
        <w:jc w:val="center"/>
        <w:rPr>
          <w:noProof/>
        </w:rPr>
      </w:pPr>
    </w:p>
    <w:p w14:paraId="77C086FC" w14:textId="2715ADE9" w:rsidR="00A02EFB" w:rsidRDefault="00A02EFB">
      <w:pPr>
        <w:spacing w:before="600" w:after="100"/>
        <w:jc w:val="center"/>
        <w:rPr>
          <w:b/>
          <w:bCs/>
          <w:color w:val="1B2A4A"/>
          <w:sz w:val="44"/>
          <w:szCs w:val="44"/>
        </w:rPr>
      </w:pPr>
      <w:r>
        <w:rPr>
          <w:noProof/>
        </w:rPr>
        <w:drawing>
          <wp:inline distT="0" distB="0" distL="0" distR="0" wp14:anchorId="2DA7DE3E" wp14:editId="2FFE89D4">
            <wp:extent cx="6036310" cy="91440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t="1585" b="78895"/>
                    <a:stretch/>
                  </pic:blipFill>
                  <pic:spPr bwMode="auto">
                    <a:xfrm>
                      <a:off x="0" y="0"/>
                      <a:ext cx="6036310" cy="914400"/>
                    </a:xfrm>
                    <a:prstGeom prst="rect">
                      <a:avLst/>
                    </a:prstGeom>
                    <a:ln>
                      <a:noFill/>
                    </a:ln>
                    <a:extLst>
                      <a:ext uri="{53640926-AAD7-44D8-BBD7-CCE9431645EC}">
                        <a14:shadowObscured xmlns:a14="http://schemas.microsoft.com/office/drawing/2010/main"/>
                      </a:ext>
                    </a:extLst>
                  </pic:spPr>
                </pic:pic>
              </a:graphicData>
            </a:graphic>
          </wp:inline>
        </w:drawing>
      </w:r>
    </w:p>
    <w:p w14:paraId="6785A061" w14:textId="25073641" w:rsidR="00A02EFB" w:rsidRPr="00B36172" w:rsidRDefault="00B36172" w:rsidP="00B36172">
      <w:pPr>
        <w:spacing w:before="600" w:after="100"/>
        <w:jc w:val="center"/>
        <w:rPr>
          <w:b/>
          <w:bCs/>
          <w:color w:val="1B2A4A"/>
          <w:sz w:val="40"/>
          <w:szCs w:val="40"/>
        </w:rPr>
      </w:pPr>
      <w:r w:rsidRPr="00B36172">
        <w:rPr>
          <w:b/>
          <w:bCs/>
          <w:color w:val="1B2A4A"/>
          <w:sz w:val="40"/>
          <w:szCs w:val="40"/>
        </w:rPr>
        <w:t xml:space="preserve">Programme: MSc </w:t>
      </w:r>
      <w:r w:rsidRPr="00B36172">
        <w:rPr>
          <w:b/>
          <w:bCs/>
          <w:color w:val="1B2A4A"/>
          <w:sz w:val="40"/>
          <w:szCs w:val="40"/>
        </w:rPr>
        <w:t>Public Health and Social Care in Practice</w:t>
      </w:r>
    </w:p>
    <w:p w14:paraId="25FD4305" w14:textId="15885DE4" w:rsidR="00A02EFB" w:rsidRPr="00B36172" w:rsidRDefault="00B36172" w:rsidP="00B36172">
      <w:pPr>
        <w:spacing w:before="600" w:after="100"/>
        <w:jc w:val="center"/>
        <w:rPr>
          <w:b/>
          <w:bCs/>
          <w:color w:val="1B2A4A"/>
          <w:sz w:val="40"/>
          <w:szCs w:val="40"/>
        </w:rPr>
      </w:pPr>
      <w:r>
        <w:rPr>
          <w:b/>
          <w:bCs/>
          <w:color w:val="1B2A4A"/>
          <w:sz w:val="40"/>
          <w:szCs w:val="40"/>
        </w:rPr>
        <w:t xml:space="preserve">Module: </w:t>
      </w:r>
      <w:r w:rsidR="00A02EFB" w:rsidRPr="00B36172">
        <w:rPr>
          <w:b/>
          <w:bCs/>
          <w:color w:val="1B2A4A"/>
          <w:sz w:val="40"/>
          <w:szCs w:val="40"/>
        </w:rPr>
        <w:t>Health Care System Organisation and Leadership</w:t>
      </w:r>
    </w:p>
    <w:p w14:paraId="1B726CCB" w14:textId="106A47FD" w:rsidR="00A02EFB" w:rsidRPr="00B36172" w:rsidRDefault="00B36172" w:rsidP="00B36172">
      <w:pPr>
        <w:spacing w:before="600" w:after="100"/>
        <w:ind w:left="720"/>
        <w:jc w:val="center"/>
        <w:rPr>
          <w:b/>
          <w:bCs/>
          <w:color w:val="1B2A4A"/>
          <w:sz w:val="40"/>
          <w:szCs w:val="40"/>
        </w:rPr>
      </w:pPr>
      <w:r>
        <w:rPr>
          <w:b/>
          <w:bCs/>
          <w:color w:val="1B2A4A"/>
          <w:sz w:val="40"/>
          <w:szCs w:val="40"/>
        </w:rPr>
        <w:t xml:space="preserve">Module </w:t>
      </w:r>
      <w:r w:rsidRPr="00B36172">
        <w:rPr>
          <w:b/>
          <w:bCs/>
          <w:color w:val="1B2A4A"/>
          <w:sz w:val="40"/>
          <w:szCs w:val="40"/>
        </w:rPr>
        <w:t>Code</w:t>
      </w:r>
      <w:r w:rsidR="00A02EFB" w:rsidRPr="00B36172">
        <w:rPr>
          <w:b/>
          <w:bCs/>
          <w:color w:val="1B2A4A"/>
          <w:sz w:val="40"/>
          <w:szCs w:val="40"/>
        </w:rPr>
        <w:t>:</w:t>
      </w:r>
      <w:r>
        <w:rPr>
          <w:b/>
          <w:bCs/>
          <w:color w:val="1B2A4A"/>
          <w:sz w:val="40"/>
          <w:szCs w:val="40"/>
        </w:rPr>
        <w:t xml:space="preserve"> </w:t>
      </w:r>
      <w:r w:rsidR="00A02EFB" w:rsidRPr="00B36172">
        <w:rPr>
          <w:b/>
          <w:bCs/>
          <w:color w:val="1B2A4A"/>
          <w:sz w:val="40"/>
          <w:szCs w:val="40"/>
        </w:rPr>
        <w:t>LCHS7002</w:t>
      </w:r>
    </w:p>
    <w:p w14:paraId="3DFA2FBE" w14:textId="0A05B15C" w:rsidR="00A02EFB" w:rsidRPr="00B36172" w:rsidRDefault="00B36172" w:rsidP="00B36172">
      <w:pPr>
        <w:spacing w:before="600" w:after="100"/>
        <w:jc w:val="center"/>
        <w:rPr>
          <w:b/>
          <w:bCs/>
          <w:color w:val="1B2A4A"/>
          <w:sz w:val="40"/>
          <w:szCs w:val="40"/>
        </w:rPr>
      </w:pPr>
      <w:r>
        <w:rPr>
          <w:b/>
          <w:bCs/>
          <w:color w:val="1B2A4A"/>
          <w:sz w:val="40"/>
          <w:szCs w:val="40"/>
        </w:rPr>
        <w:t xml:space="preserve">     </w:t>
      </w:r>
      <w:r w:rsidR="00A02EFB" w:rsidRPr="00A02EFB">
        <w:rPr>
          <w:b/>
          <w:bCs/>
          <w:color w:val="1B2A4A"/>
          <w:sz w:val="40"/>
          <w:szCs w:val="40"/>
        </w:rPr>
        <w:t>Lecturer:</w:t>
      </w:r>
      <w:r w:rsidR="00A02EFB" w:rsidRPr="00B36172">
        <w:rPr>
          <w:b/>
          <w:bCs/>
          <w:color w:val="1B2A4A"/>
          <w:sz w:val="40"/>
          <w:szCs w:val="40"/>
        </w:rPr>
        <w:t xml:space="preserve"> </w:t>
      </w:r>
      <w:r w:rsidR="00A02EFB" w:rsidRPr="00B36172">
        <w:rPr>
          <w:b/>
          <w:bCs/>
          <w:color w:val="1B2A4A"/>
          <w:sz w:val="40"/>
          <w:szCs w:val="40"/>
        </w:rPr>
        <w:t>Dr Pascal Navelle</w:t>
      </w:r>
    </w:p>
    <w:p w14:paraId="1EE9CA8D" w14:textId="77777777" w:rsidR="00A02EFB" w:rsidRPr="00A02EFB" w:rsidRDefault="00A02EFB" w:rsidP="00A02EFB">
      <w:pPr>
        <w:spacing w:before="600" w:after="100"/>
        <w:jc w:val="center"/>
        <w:rPr>
          <w:b/>
          <w:bCs/>
          <w:color w:val="1B2A4A"/>
          <w:sz w:val="44"/>
          <w:szCs w:val="44"/>
        </w:rPr>
      </w:pPr>
    </w:p>
    <w:p w14:paraId="1C82215A" w14:textId="05FED26B" w:rsidR="00A02EFB" w:rsidRPr="00B36172" w:rsidRDefault="00A02EFB" w:rsidP="00A02EFB">
      <w:pPr>
        <w:jc w:val="center"/>
        <w:rPr>
          <w:b/>
          <w:bCs/>
          <w:color w:val="0E2841" w:themeColor="text2"/>
          <w:sz w:val="32"/>
          <w:szCs w:val="32"/>
        </w:rPr>
      </w:pPr>
      <w:r w:rsidRPr="00B36172">
        <w:rPr>
          <w:b/>
          <w:bCs/>
          <w:color w:val="0E2841" w:themeColor="text2"/>
          <w:sz w:val="32"/>
          <w:szCs w:val="32"/>
        </w:rPr>
        <w:t>STUDENT NAME: SIMRAN VEDKUMAR YADAV</w:t>
      </w:r>
    </w:p>
    <w:p w14:paraId="47464B11" w14:textId="1BDB072C" w:rsidR="00A02EFB" w:rsidRPr="00B36172" w:rsidRDefault="00A02EFB" w:rsidP="00A02EFB">
      <w:pPr>
        <w:jc w:val="center"/>
        <w:rPr>
          <w:b/>
          <w:bCs/>
          <w:color w:val="0E2841" w:themeColor="text2"/>
          <w:sz w:val="32"/>
          <w:szCs w:val="32"/>
        </w:rPr>
      </w:pPr>
      <w:r w:rsidRPr="00B36172">
        <w:rPr>
          <w:b/>
          <w:bCs/>
          <w:color w:val="0E2841" w:themeColor="text2"/>
          <w:sz w:val="32"/>
          <w:szCs w:val="32"/>
        </w:rPr>
        <w:t>STUDENT ID:2534012</w:t>
      </w:r>
    </w:p>
    <w:p w14:paraId="2BFB27F1" w14:textId="77777777" w:rsidR="00A02EFB" w:rsidRDefault="00A02EFB" w:rsidP="00A02EFB">
      <w:pPr>
        <w:spacing w:before="600" w:after="100"/>
        <w:jc w:val="center"/>
        <w:rPr>
          <w:b/>
          <w:bCs/>
          <w:color w:val="1B2A4A"/>
          <w:sz w:val="44"/>
          <w:szCs w:val="44"/>
        </w:rPr>
      </w:pPr>
    </w:p>
    <w:p w14:paraId="3C5CEE63" w14:textId="77777777" w:rsidR="00A02EFB" w:rsidRDefault="00A02EFB">
      <w:pPr>
        <w:spacing w:before="600" w:after="100"/>
        <w:jc w:val="center"/>
        <w:rPr>
          <w:b/>
          <w:bCs/>
          <w:color w:val="1B2A4A"/>
          <w:sz w:val="44"/>
          <w:szCs w:val="44"/>
        </w:rPr>
      </w:pPr>
    </w:p>
    <w:p w14:paraId="24A47AFE" w14:textId="77777777" w:rsidR="00A02EFB" w:rsidRDefault="00A02EFB">
      <w:pPr>
        <w:spacing w:before="600" w:after="100"/>
        <w:jc w:val="center"/>
        <w:rPr>
          <w:b/>
          <w:bCs/>
          <w:color w:val="1B2A4A"/>
          <w:sz w:val="44"/>
          <w:szCs w:val="44"/>
        </w:rPr>
      </w:pPr>
    </w:p>
    <w:p w14:paraId="41E43457" w14:textId="77777777" w:rsidR="00A02EFB" w:rsidRDefault="00A02EFB">
      <w:pPr>
        <w:spacing w:before="600" w:after="100"/>
        <w:jc w:val="center"/>
        <w:rPr>
          <w:b/>
          <w:bCs/>
          <w:color w:val="1B2A4A"/>
          <w:sz w:val="44"/>
          <w:szCs w:val="44"/>
        </w:rPr>
      </w:pPr>
    </w:p>
    <w:p w14:paraId="04720A05" w14:textId="187DF375" w:rsidR="004E70F1" w:rsidRDefault="00B36172" w:rsidP="00B36172">
      <w:pPr>
        <w:spacing w:before="600" w:after="100"/>
      </w:pPr>
      <w:r>
        <w:rPr>
          <w:b/>
          <w:bCs/>
          <w:color w:val="1B2A4A"/>
          <w:sz w:val="44"/>
          <w:szCs w:val="44"/>
        </w:rPr>
        <w:lastRenderedPageBreak/>
        <w:t xml:space="preserve">                                    </w:t>
      </w:r>
      <w:r w:rsidR="00000000">
        <w:rPr>
          <w:b/>
          <w:bCs/>
          <w:color w:val="1B2A4A"/>
          <w:sz w:val="44"/>
          <w:szCs w:val="44"/>
        </w:rPr>
        <w:t>Case Report</w:t>
      </w:r>
    </w:p>
    <w:p w14:paraId="25F71D76" w14:textId="77777777" w:rsidR="004E70F1" w:rsidRDefault="00000000">
      <w:pPr>
        <w:spacing w:after="100"/>
        <w:jc w:val="center"/>
      </w:pPr>
      <w:r>
        <w:rPr>
          <w:b/>
          <w:bCs/>
          <w:color w:val="1B2A4A"/>
          <w:sz w:val="30"/>
          <w:szCs w:val="30"/>
        </w:rPr>
        <w:t>Leadership, Governance and Systems Failure in Health and Social Care:</w:t>
      </w:r>
    </w:p>
    <w:p w14:paraId="143201D3" w14:textId="77777777" w:rsidR="004E70F1" w:rsidRDefault="00000000">
      <w:pPr>
        <w:spacing w:after="400"/>
        <w:jc w:val="center"/>
      </w:pPr>
      <w:r>
        <w:rPr>
          <w:b/>
          <w:bCs/>
          <w:i/>
          <w:iCs/>
          <w:color w:val="E07A2C"/>
          <w:sz w:val="28"/>
          <w:szCs w:val="28"/>
        </w:rPr>
        <w:t>Winterbourne View Hospital, 2008–2011</w:t>
      </w:r>
    </w:p>
    <w:p w14:paraId="14F2642B" w14:textId="77777777" w:rsidR="004E70F1" w:rsidRDefault="00000000">
      <w:pPr>
        <w:pStyle w:val="Heading1"/>
        <w:spacing w:before="300" w:after="180"/>
      </w:pPr>
      <w:r>
        <w:rPr>
          <w:b/>
          <w:bCs/>
          <w:color w:val="1B2A4A"/>
          <w:sz w:val="30"/>
          <w:szCs w:val="30"/>
        </w:rPr>
        <w:t>Introduction</w:t>
      </w:r>
    </w:p>
    <w:p w14:paraId="31F99126" w14:textId="77777777" w:rsidR="004E70F1" w:rsidRDefault="00000000">
      <w:pPr>
        <w:spacing w:after="200" w:line="276" w:lineRule="auto"/>
        <w:jc w:val="both"/>
      </w:pPr>
      <w:r>
        <w:t>On 31 May 2011, BBC Panorama broadcast undercover footage filmed inside Winterbourne View, a 24-bed private hospital near Bristol for adults with learning disabilities and autism. The footage showed patients being slapped, held under chairs, doused with cold water and taunted by the staff meant to be caring for them (Flynn, 2012). Winterbourne View was owned by Castlebeck Ltd, itself owned through an offshore investment consortium, and took NHS-funded placements from primary care trusts across England. This report uses Winterbourne View as a case study in organisational transformation within health and social care, examining how a private provider, its NHS commissioners, the local authority and the national regulator each failed to prevent, and then failed to detect, sustained institutional abuse over several years.</w:t>
      </w:r>
    </w:p>
    <w:p w14:paraId="4E423C3D" w14:textId="77777777" w:rsidR="004E70F1" w:rsidRDefault="00000000">
      <w:pPr>
        <w:spacing w:after="200" w:line="276" w:lineRule="auto"/>
        <w:jc w:val="both"/>
      </w:pPr>
      <w:r>
        <w:t>Leadership, in this context, means the capacity to influence others toward a shared purpose: in health and social care, that purpose is safe, dignified, person-centred care, and leadership is exercised not only by chief executives but by ward managers, commissioners and regulators alike. Organisations vary in how they distribute this influence. A centralised system concentrates decision-making authority at the top, with instructions and resources flowing downward; a decentralised system pushes authority toward the point of delivery, trusting local staff and managers to respond to circumstances they understand better than head office does. Leadership style interacts with this structural choice. Transformational leadership motivates through shared vision and individual consideration; transactional leadership relies on clear exchanges of reward for performance and correction for failure; situational leadership adjusts the balance of direction and support to the maturity of the team being led. Selecting the wrong style, or leaving a structure without any leadership at all, has consequences that are measurable in harm done to patients rather than simply in performance figures, which is precisely what happened at Winterbourne View.</w:t>
      </w:r>
    </w:p>
    <w:p w14:paraId="5E0DDD67" w14:textId="77777777" w:rsidR="004E70F1" w:rsidRDefault="00000000">
      <w:pPr>
        <w:spacing w:after="200" w:line="276" w:lineRule="auto"/>
        <w:jc w:val="both"/>
      </w:pPr>
      <w:r>
        <w:t>This report first sets out the problem and its national and global context using systems thinking and a rich picture. It then examines whether Castlebeck operated a centralised or decentralised model and how that structure shaped what happened. It applies leadership theory to explain why oversight failed at every level, before drawing out the improvements and lessons that followed. It closes with recommendations for sustaining safe, coproductive care and a summary conclusion.</w:t>
      </w:r>
    </w:p>
    <w:p w14:paraId="2407488F" w14:textId="77777777" w:rsidR="004E70F1" w:rsidRDefault="00000000">
      <w:pPr>
        <w:pStyle w:val="Heading1"/>
        <w:spacing w:before="300" w:after="180"/>
      </w:pPr>
      <w:r>
        <w:rPr>
          <w:b/>
          <w:bCs/>
          <w:color w:val="1B2A4A"/>
          <w:sz w:val="30"/>
          <w:szCs w:val="30"/>
        </w:rPr>
        <w:t>Main body and analysis</w:t>
      </w:r>
    </w:p>
    <w:p w14:paraId="4677521E" w14:textId="77777777" w:rsidR="004E70F1" w:rsidRDefault="00000000">
      <w:pPr>
        <w:pStyle w:val="Heading2"/>
        <w:spacing w:before="260" w:after="140"/>
      </w:pPr>
      <w:r>
        <w:rPr>
          <w:b/>
          <w:bCs/>
          <w:color w:val="1B2A4A"/>
        </w:rPr>
        <w:t>a. Identifying the problem and setting the system context</w:t>
      </w:r>
    </w:p>
    <w:p w14:paraId="6A961D44" w14:textId="77777777" w:rsidR="004E70F1" w:rsidRDefault="00000000">
      <w:pPr>
        <w:spacing w:after="200" w:line="276" w:lineRule="auto"/>
        <w:jc w:val="both"/>
      </w:pPr>
      <w:r>
        <w:t xml:space="preserve">The central problem at Winterbourne View was not a single incident but a sustained pattern: between January 2008 and May 2011, South Gloucestershire Council received 40 safeguarding alerts concerning the hospital, 27 of them allegations of staff assaulting patients, and the police were </w:t>
      </w:r>
      <w:r>
        <w:lastRenderedPageBreak/>
        <w:t>involved on 29 separate occasions, yet no action followed that stopped the abuse (Flynn, 2012). Physical restraint, meant to be a last resort, was recorded 379 times in 2010 alone, often carried out by staff with no relevant training (Flynn, 2012). A senior nurse raised concerns internally and, separately, a hospital manager e-mailed the council's adult safeguarding team in October 2010 naming specific poor practice; both were passed to the Care Quality Commission (CQC) and neither triggered an inspection. It took an undercover BBC journalist, not the regulatory system, to end the abuse.</w:t>
      </w:r>
    </w:p>
    <w:p w14:paraId="1BEDA7C6" w14:textId="77777777" w:rsidR="004E70F1" w:rsidRDefault="00000000">
      <w:pPr>
        <w:spacing w:after="200" w:line="276" w:lineRule="auto"/>
        <w:jc w:val="both"/>
      </w:pPr>
      <w:r>
        <w:t>Placed in global context, this is not an isolated national failing. The World Health Organization's Global report on health equity for persons with disabilities estimates that 1.3 billion people, 16% of the world's population, live with a significant disability, and finds that this population dies up to 20 years earlier than people without disabilities, with roughly double the risk of several chronic conditions, largely because of unjust and avoidable conditions within health systems themselves rather than the underlying impairment (WHO, 2022). People with learning disabilities and autism, the group cared for at Winterbourne View, sit within exactly this global pattern of institutional neglect and excess mortality. A 2025 cross-national review by the EU Agency for Fundamental Rights, covering 27 EU states and three candidate countries, found that over 1.4 million people with disabilities still live in institutions across the EU, and identified chronic understaffing, barriers to reporting and a lack of independent, unannounced monitoring as the systemic drivers of violence and neglect, the same pattern documented at Winterbourne View (FRA, 2025). The Council of Europe had reached a similar conclusion as early as 2003, warning that people with disabilities were being safeguarded against abuse to a lower standard than other citizens across member states (Brown, 2003); Winterbourne View shows how little that warning had been acted on by 2011.</w:t>
      </w:r>
    </w:p>
    <w:p w14:paraId="074A2A41" w14:textId="77777777" w:rsidR="004E70F1" w:rsidRDefault="00000000">
      <w:pPr>
        <w:spacing w:after="200" w:line="276" w:lineRule="auto"/>
        <w:jc w:val="both"/>
      </w:pPr>
      <w:r>
        <w:t>Nationally, that same pattern is visible and current. The 2024 national Learning from Lives and Deaths (LeDeR) report found that adults with a learning disability in England die at a median age of 62.8 years, against 81.8 years in the general population, a 19-year gap, and that 39.0% of their deaths were classed as avoidable, twice the general-population rate, a figure that had only fallen from 46.3% since 2021 (King's College London, 2024). Restrictive institutional care has also proved harder to unwind than government promised. NHS data shows that in April 2026 there were still 2,105 people with a learning disability or autism in mental health hospital beds in England; of those with a learning disability alone, 48% had been inpatients for more than five years and 29% for more than ten (Challenging Behaviour Foundation, 2026). Mencap's analysis of the same data suggests that, at the current rate of discharge, the government's own target of no more than 30 adult inpatients per million population will not be reached until 2035, over a decade later than promised (Challenging Behaviour Foundation, 2026). Winterbourne View, in other words, exposed a system that a decade of national policy has still not fully corrected. The Care Quality Commission's own 2020 review, Out of Sight, found that exactly this group of patients was still routinely subject to harmful restraint, seclusion and long-term segregation (Care Quality Commission, 2020).</w:t>
      </w:r>
    </w:p>
    <w:p w14:paraId="4343B27D" w14:textId="77777777" w:rsidR="004E70F1" w:rsidRDefault="00000000">
      <w:pPr>
        <w:spacing w:after="200" w:line="276" w:lineRule="auto"/>
        <w:jc w:val="both"/>
      </w:pPr>
      <w:r>
        <w:t xml:space="preserve">These figures point to systemic rather than individual weakness. Governance operated at three levels simultaneously, and each one failed: locally, Castlebeck's own management provided, in the Serious Case Review's words, "little evidence of senior executive oversight"; regionally, NHS primary care trusts commissioned beds at Winterbourne View without setting performance targets or </w:t>
      </w:r>
      <w:r>
        <w:lastRenderedPageBreak/>
        <w:t>reviewing patients' progress, an arrangement Flynn (2012) called "out of sight, out of mind" commissioning; and nationally, the CQC, then handling around 50 whistle-blowing contacts a month, did not act on the specific concerns it received about the hospital (Care Quality Commission, 2012). Underlying all three levels were resource and workforce pressures that are still familiar in social care today: staff turnover at Winterbourne View exceeded 380 people over five years, the registered manager post stood vacant for stretches of seven and eighteen months, and pay and training for support staff were, by the review's account, minimal (Flynn, 2012). These pressures existed against a backdrop of substantial national spending with limited oversight of its impact: NHS and local authorities together spent almost £6 billion a year on learning disability services during this period, yet that scale of funding did nothing to guarantee safe, well-monitored care at an individual provider like Castlebeck, showing that the problem at Winterbourne View was one of poor targeting and oversight of resources rather than an absolute shortage of them (National Audit Office, 2015).</w:t>
      </w:r>
    </w:p>
    <w:p w14:paraId="17234C11" w14:textId="77777777" w:rsidR="004E70F1" w:rsidRDefault="00000000">
      <w:pPr>
        <w:spacing w:after="200" w:line="276" w:lineRule="auto"/>
        <w:jc w:val="both"/>
      </w:pPr>
      <w:r>
        <w:t>The rich picture below (Figure 1), a technique drawn from Checkland's (1981) soft systems methodology, sets out how these actors, resources and communication routes fitted together. It shows a system with a strong, solid feedback loop running money upward, from commissioners and, ultimately, taxpayers, to Castlebeck's owners, and only weak, broken loops running concern in the other direction. Two whistle-blowing routes reached the CQC and stopped there; safeguarding alerts and police contacts accumulated at the council and were never triangulated with each other or with the regulator. In Senge's (1990) systems-thinking terms, this is a reinforcing loop, money and control flowing upward, dominating a system whose balancing loop, concern flowing back down in time to correct behaviour, never engaged at all. The only loop that actually closed, forcing information about patient welfare back to those with power to act, was the media exposure in May 2011, external to the formal system entirely. That single observation, more than any one individual's failure, is the clearest evidence that this was a structural and systemic problem rather than a scandal caused by a handful of bad staff.</w:t>
      </w:r>
    </w:p>
    <w:p w14:paraId="14EE0B3E" w14:textId="77777777" w:rsidR="000C0F3A" w:rsidRDefault="000C0F3A" w:rsidP="00265BB6">
      <w:pPr>
        <w:spacing w:before="200" w:after="100"/>
        <w:jc w:val="center"/>
        <w:rPr>
          <w:noProof/>
        </w:rPr>
      </w:pPr>
    </w:p>
    <w:p w14:paraId="4029D5CF" w14:textId="426417B3" w:rsidR="00265BB6" w:rsidRPr="00265BB6" w:rsidRDefault="000C0F3A" w:rsidP="00265BB6">
      <w:pPr>
        <w:spacing w:before="200" w:after="100"/>
        <w:jc w:val="center"/>
        <w:rPr>
          <w:noProof/>
        </w:rPr>
      </w:pPr>
      <w:r>
        <w:rPr>
          <w:noProof/>
        </w:rPr>
        <w:lastRenderedPageBreak/>
        <w:drawing>
          <wp:inline distT="0" distB="0" distL="0" distR="0" wp14:anchorId="67411630" wp14:editId="507C0F4F">
            <wp:extent cx="5838825" cy="37490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
                      <a:extLst>
                        <a:ext uri="{28A0092B-C50C-407E-A947-70E740481C1C}">
                          <a14:useLocalDpi xmlns:a14="http://schemas.microsoft.com/office/drawing/2010/main" val="0"/>
                        </a:ext>
                      </a:extLst>
                    </a:blip>
                    <a:srcRect t="1" b="6729"/>
                    <a:stretch/>
                  </pic:blipFill>
                  <pic:spPr bwMode="auto">
                    <a:xfrm>
                      <a:off x="0" y="0"/>
                      <a:ext cx="5838825" cy="3749040"/>
                    </a:xfrm>
                    <a:prstGeom prst="rect">
                      <a:avLst/>
                    </a:prstGeom>
                    <a:noFill/>
                    <a:ln>
                      <a:noFill/>
                    </a:ln>
                    <a:extLst>
                      <a:ext uri="{53640926-AAD7-44D8-BBD7-CCE9431645EC}">
                        <a14:shadowObscured xmlns:a14="http://schemas.microsoft.com/office/drawing/2010/main"/>
                      </a:ext>
                    </a:extLst>
                  </pic:spPr>
                </pic:pic>
              </a:graphicData>
            </a:graphic>
          </wp:inline>
        </w:drawing>
      </w:r>
    </w:p>
    <w:p w14:paraId="1FFC316E" w14:textId="77777777" w:rsidR="004E70F1" w:rsidRDefault="004E70F1">
      <w:pPr>
        <w:spacing w:before="200" w:after="100"/>
        <w:jc w:val="center"/>
      </w:pPr>
    </w:p>
    <w:p w14:paraId="29010A86" w14:textId="77777777" w:rsidR="004E70F1" w:rsidRDefault="00000000">
      <w:pPr>
        <w:spacing w:after="300"/>
        <w:jc w:val="center"/>
        <w:rPr>
          <w:i/>
          <w:iCs/>
          <w:color w:val="374151"/>
          <w:sz w:val="20"/>
          <w:szCs w:val="20"/>
        </w:rPr>
      </w:pPr>
      <w:r>
        <w:rPr>
          <w:i/>
          <w:iCs/>
          <w:color w:val="374151"/>
          <w:sz w:val="20"/>
          <w:szCs w:val="20"/>
        </w:rPr>
        <w:t>Figure 1: Rich picture of the system surrounding Winterbourne View Hospital, 2008–2011, showing money and control flowing upward while concerns raised through whistle-blowing, safeguarding and police contact failed to travel back until external media exposure.</w:t>
      </w:r>
    </w:p>
    <w:p w14:paraId="27FD8E0C" w14:textId="77777777" w:rsidR="00265BB6" w:rsidRDefault="00265BB6">
      <w:pPr>
        <w:spacing w:after="300"/>
        <w:jc w:val="center"/>
      </w:pPr>
    </w:p>
    <w:p w14:paraId="453F3442" w14:textId="77777777" w:rsidR="004E70F1" w:rsidRDefault="00000000">
      <w:pPr>
        <w:pStyle w:val="Heading2"/>
        <w:spacing w:before="260" w:after="140"/>
      </w:pPr>
      <w:r>
        <w:rPr>
          <w:b/>
          <w:bCs/>
          <w:color w:val="1B2A4A"/>
        </w:rPr>
        <w:t>b. Centralisation or decentralisation within the case study</w:t>
      </w:r>
    </w:p>
    <w:p w14:paraId="24C48FE9" w14:textId="77777777" w:rsidR="004E70F1" w:rsidRDefault="00000000">
      <w:pPr>
        <w:spacing w:after="200" w:line="276" w:lineRule="auto"/>
        <w:jc w:val="both"/>
      </w:pPr>
      <w:r>
        <w:t xml:space="preserve">Castlebeck Ltd operated Winterbourne View as part of a chain of 20 hospitals and care homes across England and Scotland, owned through a private-equity-backed holding structure, with the Serious Case Review noting that the company took "financial reward without the responsibility" of proper care governance (Flynn, cited in BBC News, 2012a). Financially and structurally, this was a centralised model: strategy, recruitment policy, training standards and, above all, profit were set and taken at head office, with individual homes expected to implement corporate policy locally. The clearest example is the registered manager post itself, a role required by regulation to hold day-to-day clinical and safeguarding authority on site. At Winterbourne View this post stood vacant for periods of seven and eighteen months, during which authority nominally still sat with Castlebeck's central management, but no one exercised it in practice (Flynn, 2012). Centralisation, in principle, offers real advantages: consistent standards across a chain, economies of scale in training and procurement, and a single point of accountability for regulators to hold to account. None of these advantages materialised at Castlebeck. When the CQC subsequently inspected the wider Castlebeck estate, it found "serious concerns" at four further sites and non-compliance with essential standards at seven more, leaving only twelve of the company's services judged fully compliant (BBC News, 2011). This inspection covered the 23 other services Castlebeck operated beyond Winterbourne View itself, meaning more than a third of the wider group failed to meet essential standards at the </w:t>
      </w:r>
      <w:r>
        <w:lastRenderedPageBreak/>
        <w:t>same time; two of the four homes rated of most serious concern, Rose Villa and Arden Vale, closed within weeks of the report's publication. CQC's own chief executive said publicly that the same problems recurring across so many sites pointed to failings originating at corporate level rather than in any single home (BBC News, 2011). A supposedly centralised corporate structure had produced not consistency but a single failing culture replicated across most of the network, precisely the disadvantage centralisation is meant to guard against: a fault at the centre becomes a fault everywhere at once.</w:t>
      </w:r>
    </w:p>
    <w:p w14:paraId="23D19F82" w14:textId="77777777" w:rsidR="004E70F1" w:rsidRDefault="00000000">
      <w:pPr>
        <w:spacing w:after="200" w:line="276" w:lineRule="auto"/>
        <w:jc w:val="both"/>
      </w:pPr>
      <w:r>
        <w:t>The contrasting, decentralised model is the one national policy has pursued since 2012. Building the Right Support (NHS England, 2015) and the Transforming Care programme pushed authority away from block-purchased hospital beds and toward local community teams, commissioned by local NHS bodies (now Integrated Care Boards) working with local authorities, so that support is planned around the individual and delivered close to family and familiar surroundings. A concrete example is the shift from primary care trusts buying beds at a distant private hospital with no ongoing performance monitoring, to local, multidisciplinary community teams holding a caseload of named individuals with an explicit remit to prevent hospital admission. The advantages are real: decisions sit with people who know the individual, safeguarding concerns are more likely to be noticed by someone with an ongoing relationship, and care can be adapted quickly to changing needs. But decentralisation carries its own risks, and the data show them clearly. Progress has been uneven across patient groups: between March 2015 and July 2025, the number of people with a learning disability alone in mental health hospital beds fell by 59%, from 2,295 to 935, yet the number of autistic people without a learning disability in hospital rose by 84% over a shorter comparable period, and by nearly 180% against the 2015 baseline (NHS England, 2025). This visibility is itself a product of decentralisation done properly: since March 2015, the national Assuring Transformation dataset has published these figures for every local area on a continuous basis, giving commissioners and families exactly the ongoing, comparable performance picture that did not exist when Castlebeck was buying and running beds with no external reporting at all. A decentralised system without consistent national investment behind it can deliver strong local results for one group while leaving another underserved, precisely the postcode-lottery risk that critics of decentralisation predict.</w:t>
      </w:r>
    </w:p>
    <w:p w14:paraId="3BE10B1B" w14:textId="77777777" w:rsidR="004E70F1" w:rsidRDefault="00000000">
      <w:pPr>
        <w:spacing w:after="200" w:line="276" w:lineRule="auto"/>
        <w:jc w:val="both"/>
      </w:pPr>
      <w:r>
        <w:t xml:space="preserve">Neither pole, in this case study, was the deciding factor; what failed was the connective tissue between levels. Castlebeck's structure was centralised on paper but hollow in practice, since head office held authority without exercising oversight, while frontline staff were left to make moment-to-moment care decisions with no training, no registered manager, and no functioning line of escalation. This matches a wider pattern beyond Castlebeck alone. Nationally, NHS commissioning at the time was itself fragmented across many primary care trusts, each buying places independently, with no shared mechanism for spotting that safeguarding alerts, restraint data and whistle-blowing contacts about the same hospital were accumulating simultaneously across several organisations. The CQC's own follow-up review of 145 comparable services found that half were not meeting acceptable standards of care and protection from abuse (Croner-i, 2012), showing that the specific failure at Winterbourne View sat inside a sector-wide weakness rather than a fault peculiar to one private-equity-owned chain. The lesson for accountability is therefore structural rather than a simple preference for one model: centralisation only delivers its promised consistency if the centre </w:t>
      </w:r>
      <w:r>
        <w:lastRenderedPageBreak/>
        <w:t>actually monitors what it controls, and decentralisation only delivers its promised responsiveness if local teams are resourced and empowered rather than merely left alone. Winterbourne View had authority formally centralised and practically abandoned; the community model that replaced it has proved that decentralised care can work, but only where investment and workforce capacity are decentralised alongside the decision rights, which the uneven progress on autism inpatient numbers suggests has not yet been fully achieved.</w:t>
      </w:r>
    </w:p>
    <w:p w14:paraId="4373CC39" w14:textId="77777777" w:rsidR="004E70F1" w:rsidRDefault="00000000">
      <w:pPr>
        <w:pStyle w:val="Heading2"/>
        <w:spacing w:before="260" w:after="140"/>
      </w:pPr>
      <w:r>
        <w:rPr>
          <w:b/>
          <w:bCs/>
          <w:color w:val="1B2A4A"/>
        </w:rPr>
        <w:t>c. Leadership theories and application to the case study</w:t>
      </w:r>
    </w:p>
    <w:p w14:paraId="4C6E7023" w14:textId="77777777" w:rsidR="004E70F1" w:rsidRDefault="00000000">
      <w:pPr>
        <w:spacing w:after="200" w:line="276" w:lineRule="auto"/>
        <w:jc w:val="both"/>
      </w:pPr>
      <w:r>
        <w:t>Three leadership frameworks explain what went wrong at Winterbourne View more precisely than a simple verdict of "bad management." The first is Bass and Avolio's full-range leadership model, building on Burns's (1978) original distinction between transactional and transformational leadership, which places leadership behaviour on a continuum from transformational, through transactional, to laissez-faire, a style defined not by poor decisions but by the absence of decisions altogether (Bass, 1985; Avolio and Bass, 1991). Transactional leadership, at its most basic, still requires a functioning exchange: clear standards set, performance monitored, correction applied when standards slip. Even that minimal exchange was missing at Winterbourne View. With the registered manager post vacant for stretches of seven and eighteen months and the Serious Case Review finding "little evidence of senior executive oversight" from Castlebeck's head office (Flynn, 2012), what existed was not weak transactional management but leadership vacuum, the laissez-faire end of the model, in which staff were left to set their own norms with no correction from above. The data confirm the diagnosis: 379 recorded physical restraints in a single year, and a 380-plus staff turnover across five years, are not the profile of an organisation that had simply picked the wrong management style, but of one with functionally no supervisory leadership at ward level at all.</w:t>
      </w:r>
    </w:p>
    <w:p w14:paraId="43D0C8DB" w14:textId="77777777" w:rsidR="004E70F1" w:rsidRDefault="00000000">
      <w:pPr>
        <w:spacing w:after="200" w:line="276" w:lineRule="auto"/>
        <w:jc w:val="both"/>
      </w:pPr>
      <w:r>
        <w:t>The second framework, Hersey and Blanchard's situational leadership theory, holds that the right leadership style depends on the readiness of the people being led, meaning their competence and confidence for the task at hand (Hersey and Blanchard, 1969). Support staff at Winterbourne View were, by this measure, at low readiness: many were new, untrained specifically in learning disability and autism care, and turning over faster than any induction programme could realistically absorb. Situational leadership would prescribe a directive, closely supervised style for a team in this position, sometimes described as "telling" or "coaching," with clear rules, close oversight and structured decision-making authority retained at supervisor level. What these staff appear to have received instead was closer to a "delegating" style, appropriate only for experienced, self-directed teams, in which untrained staff were left to decide for themselves how to manage residents who could be distressed, non-verbal or behaviourally complex. That mismatch between follower readiness and leadership style is a direct, theory-consistent explanation for why restraint became routine rather than exceptional: nobody with the authority or the training to set a safer norm was present to do so.</w:t>
      </w:r>
    </w:p>
    <w:p w14:paraId="3BB640BE" w14:textId="77777777" w:rsidR="004E70F1" w:rsidRDefault="00000000">
      <w:pPr>
        <w:spacing w:after="200" w:line="276" w:lineRule="auto"/>
        <w:jc w:val="both"/>
      </w:pPr>
      <w:r>
        <w:t xml:space="preserve">The third question is whether leaders were reactive or proactive, and the record is unambiguous. Castlebeck's own account of its response describes a "root and branch internal review" launched only after the Panorama broadcast (Insider Media, 2013), not before it; NHS commissioners reviewed patients' placements only once alerted externally, having set no ongoing performance </w:t>
      </w:r>
      <w:r>
        <w:lastRenderedPageBreak/>
        <w:t>targets when the placements began (Flynn, 2012); and the CQC increased its whistle-blower capacity only after the scandal, moving from roughly 50 contacts a month beforehand to more than 500 a month afterward (Care Quality Commission, 2012). Every organisation in this system was, in Michael West's terms, exhibiting command-driven rather than purpose-driven leadership: action followed instruction or crisis, not a standing commitment to the wellbeing of the people in its care. West's research on collective and compassionate leadership in health and social care finds that where leaders actively attend to staff, understand the pressures they face, and act on that understanding, both patient outcomes and staff retention improve, and that these effects are measurable rather than merely aspirational (West and Chowla, 2017; West, 2021). The scale of the evidence behind this is substantial: the annual NHS Staff Survey, completed by more than half a million staff each year, consistently associates supportive, compassionate leadership with lower staff turnover and sickness absence, higher patient satisfaction, and even reduced patient mortality across NHS organisations (West and Chowla, 2017; West, 2021). Chronic work overload, the same condition Winterbourne View's own turnover figures point toward, is itself the strongest single predictor of staff stress and intention to leave in that evidence base, exactly the mechanism through which an absent, non-attending leadership culture converts workforce pressure into patient harm rather than containing it. Winterbourne View's extreme staff turnover is itself a data point consistent with the reverse of that model: a workforce with no attending, listening leadership above it, in an environment where distress is far more likely to be displaced onto vulnerable patients.</w:t>
      </w:r>
    </w:p>
    <w:p w14:paraId="59DE81ED" w14:textId="77777777" w:rsidR="004E70F1" w:rsidRDefault="00000000">
      <w:pPr>
        <w:spacing w:after="200" w:line="276" w:lineRule="auto"/>
        <w:jc w:val="both"/>
      </w:pPr>
      <w:r>
        <w:t>Distributed and emotionally intelligent leadership offers the clearest alternative to what existed here. Rather than concentrating authority in an absent registered manager or a distant head office, distributed leadership gives frontline staff, including support workers, genuine authority and responsibility for raising and acting on concerns, supported by visible, present supervision (Bolden, 2011; West, 2021). Combined with emotionally intelligent leadership, attentive to signs of staff stress and burnout before they surface as poor care, this model would have given the senior nurse who did raise concerns an internal route with real power behind it, rather than one that dead-ended at an unresponsive head office and an overwhelmed regulator. Applying Hersey and Blanchard's model consistently would also have meant supervisors retaining, rather than delegating, day-to-day decision authority until staff had demonstrated the competence and confidence the theory requires before delegation becomes appropriate. The single most consistent finding across every leadership theory applied here is that Winterbourne View lacked not a particular style of leadership but any functioning leadership presence where it mattered most, on the ward, in real time.</w:t>
      </w:r>
    </w:p>
    <w:p w14:paraId="482B572F" w14:textId="77777777" w:rsidR="004E70F1" w:rsidRDefault="00000000">
      <w:pPr>
        <w:pStyle w:val="Heading2"/>
        <w:spacing w:before="260" w:after="140"/>
      </w:pPr>
      <w:r>
        <w:rPr>
          <w:b/>
          <w:bCs/>
          <w:color w:val="1B2A4A"/>
        </w:rPr>
        <w:t>d. Improvement and lessons learned</w:t>
      </w:r>
    </w:p>
    <w:p w14:paraId="41BC8A1B" w14:textId="77777777" w:rsidR="004E70F1" w:rsidRDefault="00000000">
      <w:pPr>
        <w:spacing w:after="200" w:line="276" w:lineRule="auto"/>
        <w:jc w:val="both"/>
      </w:pPr>
      <w:r>
        <w:t>Leadership and governance interacted at Winterbourne View to produce a system that could not correct itself. Poor leadership at ward level generated the harm; hollow governance at corporate, commissioning and regulatory level meant nothing detected or stopped it until an outside broadcaster did. Three missed opportunities illustrate this interaction clearly, each with a specific, evidence-based response that followed.</w:t>
      </w:r>
    </w:p>
    <w:p w14:paraId="790AF417" w14:textId="77777777" w:rsidR="004E70F1" w:rsidRDefault="00000000">
      <w:pPr>
        <w:spacing w:after="200" w:line="276" w:lineRule="auto"/>
        <w:jc w:val="both"/>
      </w:pPr>
      <w:r>
        <w:t xml:space="preserve">The first missed opportunity was whistleblowing without consequence. A senior nurse raised concerns internally; a separate e-mail reached the council's safeguarding team in October 2010; both were passed to the CQC, and neither produced an inspection (Flynn, 2012). The data show how </w:t>
      </w:r>
      <w:r>
        <w:lastRenderedPageBreak/>
        <w:t>thin the regulator's response capacity was at the time: the CQC was receiving around 50 whistle-blower contacts a month nationally, with no dedicated function to triage or follow them up (Care Quality Commission, 2012). The improvement that followed was structural rather than exhortatory. The CQC built a specialist whistle-blowing team, and monthly contacts rose to more than 500 as confidence in the system grew (Care Quality Commission, 2012). Alongside this, the same period saw the introduction of a statutory Duty of Candour under the Health and Social Care Act 2008 (Regulated Activities) Regulations 2014, requiring providers to be open with patients and families about harm, and the Freedom to Speak Up review (Francis, 2015), prompted jointly by Winterbourne View and the Mid Staffordshire scandal, which established protected internal reporting routes and local Guardians across NHS trusts. The lesson is that a reporting channel only functions as a feedback loop if something on the other end is resourced to act on it; Winterbourne View had the former without the latter.</w:t>
      </w:r>
    </w:p>
    <w:p w14:paraId="3442FEBB" w14:textId="77777777" w:rsidR="004E70F1" w:rsidRDefault="00000000">
      <w:pPr>
        <w:spacing w:after="200" w:line="276" w:lineRule="auto"/>
        <w:jc w:val="both"/>
      </w:pPr>
      <w:r>
        <w:t>The second missed opportunity was commissioning without monitoring. Primary care trusts placed patients at Winterbourne View and, in Flynn's (2012) phrase, exercised "out of sight, out of mind" commissioning, setting no performance targets and rarely reviewing whether patients were progressing toward discharge. The 40 safeguarding alerts, 29 police contacts and CQC's finding that half of 145 comparable services were failing essential standards (Croner-i, 2012) were never brought together into a single risk picture, because no single body held a duty to do so. The response was to put multi-agency information-sharing on a statutory footing: the Care Act 2014 placed local Safeguarding Adults Boards on a legal basis with defined duties to share and act on exactly this kind of alert, while new CQC Fundamental Standards introduced a "fit and proper person" test for provider directors and moved inspection toward specialist, often unannounced, visits led by a new Chief Inspector role. The lesson here is that data existed at Winterbourne View well before 2011; what was missing was a duty compelling anyone to connect it.</w:t>
      </w:r>
    </w:p>
    <w:p w14:paraId="093326D3" w14:textId="77777777" w:rsidR="004E70F1" w:rsidRDefault="00000000">
      <w:pPr>
        <w:spacing w:after="200" w:line="276" w:lineRule="auto"/>
        <w:jc w:val="both"/>
      </w:pPr>
      <w:r>
        <w:t>The third missed opportunity was the continued reliance on distant, inpatient placements as the default model of care, rather than community-based support close to home. This was not a new insight in 2012: the Department of Health's own Mansell report had called, five years earlier, for exactly this shift away from institutional placement (Mansell, 2007), a warning the system had already had time to act on before Winterbourne View happened. The Department of Health's Transforming Care concordat (2012), agreed within months of the scandal, committed 63 named actions across government and set a target of moving everyone inappropriately placed in hospital into community support by 1 June 2014. That target was missed outright, and successive targets have been missed since: the NHS Long Term Plan's 2019 commitment to halve inpatient numbers by March 2024 was also not met (NHS England, 2025). Yet the underlying direction has produced real, if uneven, change: inpatient numbers for people with a learning disability alone fell 59% between March 2015 and July 2025, even as numbers for autistic people without a learning disability rose sharply over the same period, evidence that investment in community alternatives works where it is actually funded and stalls where it is not (NHS England, 2025). The National Audit Office's own 2015 follow-up found the same failure expressed in numbers: 2,600 people were still inpatients in September 2014, against combined NHS and local-authority spending of nearly £6 billion a year on learning disability services, while Sir Stephen Bubb's independent review concluded bluntly that the programme had "not yet delivered tangible benefits" (National Audit Office, 2015; Bubb, 2014).</w:t>
      </w:r>
    </w:p>
    <w:p w14:paraId="0A652CCB" w14:textId="77777777" w:rsidR="004E70F1" w:rsidRDefault="00000000">
      <w:pPr>
        <w:spacing w:after="200" w:line="276" w:lineRule="auto"/>
        <w:jc w:val="both"/>
      </w:pPr>
      <w:r>
        <w:lastRenderedPageBreak/>
        <w:t>Drawing these threads together, the case shows that system structure, leadership style and feedback are not separate causes but one interacting mechanism. A structure that was centralised in name (Castlebeck) but hollow in oversight combined with a leadership style that was, at every level, reactive rather than purpose-driven, to produce feedback loops that never closed until external media forced them open. The lesson for other health and social care organisations, public or private, is not that centralisation or decentralisation is inherently unsafe, but that whichever structure is chosen must be matched with a genuinely functioning duty to monitor, escalate and act, and with leaders who are present and attentive rather than merely nominally accountable. National datasets such as LeDeR and Assuring Transformation now provide the continuous, published evidence base that Winterbourne View lacked, converting what was once a single closed loop dependent on chance discovery into an ongoing, public accountability mechanism. Publishing the data is necessary, but the repeatedly missed 2014, 2024 and now 2035 targets confirm that data alone does not guarantee follow-through; sustained investment and leadership attention have to accompany it for continuous improvement to be more than a report on a shelf.</w:t>
      </w:r>
    </w:p>
    <w:p w14:paraId="66742DCD" w14:textId="77777777" w:rsidR="004E70F1" w:rsidRDefault="00000000">
      <w:pPr>
        <w:pStyle w:val="Heading1"/>
        <w:spacing w:before="300" w:after="180"/>
      </w:pPr>
      <w:r>
        <w:rPr>
          <w:b/>
          <w:bCs/>
          <w:color w:val="1B2A4A"/>
          <w:sz w:val="30"/>
          <w:szCs w:val="30"/>
        </w:rPr>
        <w:t>Recommendations</w:t>
      </w:r>
    </w:p>
    <w:p w14:paraId="120E0B4F" w14:textId="77777777" w:rsidR="004E70F1" w:rsidRDefault="00000000">
      <w:pPr>
        <w:spacing w:after="200" w:line="276" w:lineRule="auto"/>
        <w:jc w:val="both"/>
      </w:pPr>
      <w:r>
        <w:t>For the organisations now responsible for this part of the system, chiefly Integrated Care Boards, local authority safeguarding teams, the CQC and independent providers commissioned in place of Castlebeck, four practical steps follow directly from the analysis above.</w:t>
      </w:r>
    </w:p>
    <w:p w14:paraId="3FD49683" w14:textId="77777777" w:rsidR="004E70F1" w:rsidRDefault="00000000">
      <w:pPr>
        <w:spacing w:after="200" w:line="276" w:lineRule="auto"/>
        <w:jc w:val="both"/>
      </w:pPr>
      <w:r>
        <w:t>First, leadership style should be distributed and compassionate, exercised at ward level and not only at board level. Given the low readiness of many frontline support staff identified in Section (c), managers should apply a directive, closely supervised style toward new or inexperienced staff, following Hersey and Blanchard's (1969) situational model, while building toward the collective, attending leadership culture West (2021) associates with lower staff turnover and safer care. Concretely, this means registered manager posts must never be left vacant, cover arrangements should be mandatory and auditable, and every unit should have a named, present clinical leader with real authority to stop unsafe practice on the spot, rather than an absent post-holder existing only on an organisational chart.</w:t>
      </w:r>
    </w:p>
    <w:p w14:paraId="599EFE00" w14:textId="77777777" w:rsidR="004E70F1" w:rsidRDefault="00000000">
      <w:pPr>
        <w:spacing w:after="200" w:line="276" w:lineRule="auto"/>
        <w:jc w:val="both"/>
      </w:pPr>
      <w:r>
        <w:t>Second, governance and communication need a single point of triangulation rather than the current pattern in which safeguarding alerts, police contacts, CQC intelligence and commissioner reviews sit in separate systems. Section (b) showed that Castlebeck's 40 safeguarding alerts and 29 police contacts were never combined into one risk picture before 2011; the Care Act 2014 now places a legal duty on Safeguarding Adults Boards to do exactly this, and that duty should be exercised through regular, scheduled multi-agency case review meetings for any provider generating repeated alerts, not only after a serious incident has already occurred. CQC's Fundamental Standards and fit-and-proper-person test give the regulator a lever to require this; it should be used proactively against providers whose data pattern resembles Castlebeck's, rather than reactively once harm is confirmed.</w:t>
      </w:r>
    </w:p>
    <w:p w14:paraId="43831ABE" w14:textId="77777777" w:rsidR="004E70F1" w:rsidRDefault="00000000">
      <w:pPr>
        <w:spacing w:after="200" w:line="276" w:lineRule="auto"/>
        <w:jc w:val="both"/>
      </w:pPr>
      <w:r>
        <w:t xml:space="preserve">Third, funding should continue to shift from block-purchased, distant inpatient beds toward properly resourced community teams, improving both technical and allocative efficiency together. Technically, better-trained community staff working smaller, consistent caseloads reduce reliance </w:t>
      </w:r>
      <w:r>
        <w:lastRenderedPageBreak/>
        <w:t>on restrictive intervention and the harm, litigation and staff turnover costs that follow from it. Allocatively, Section (d) showed that sustained investment produced a genuine 59% fall in learning-disability-only inpatient numbers between 2015 and 2025, while the under-resourced autism pathway saw numbers rise sharply over the same years (NHS England, 2025); closing that gap by directing new investment specifically toward autism-specific community provision, rather than assuming the existing model will absorb it, would use resources more efficiently than continuing to fund unplanned, high-cost admissions.</w:t>
      </w:r>
    </w:p>
    <w:p w14:paraId="17A5D593" w14:textId="77777777" w:rsidR="004E70F1" w:rsidRDefault="00000000">
      <w:pPr>
        <w:spacing w:after="200" w:line="276" w:lineRule="auto"/>
        <w:jc w:val="both"/>
      </w:pPr>
      <w:r>
        <w:t>Fourth, continuous learning must be built on genuine coproduction rather than professional judgement alone. The national LeDeR mortality review programme, which found in 2024 that adults with a learning disability still die 19 years earlier than the general population (King's College London, 2024), should be matched at local level by routine, structured involvement of patients, families and independent advocates in care planning and in reviewing incidents, not merely informing them after decisions are made. Advocacy at Winterbourne View was controlled by the hospital itself (Flynn, 2012); any future model should make independent advocacy a condition of commissioning, funded separately from the provider being scrutinised, so that the people best placed to notice deteriorating care have a route to be heard that does not depend on that same provider's goodwill.</w:t>
      </w:r>
    </w:p>
    <w:p w14:paraId="4FFF271E" w14:textId="77777777" w:rsidR="004E70F1" w:rsidRDefault="00000000">
      <w:pPr>
        <w:spacing w:after="200" w:line="276" w:lineRule="auto"/>
        <w:jc w:val="both"/>
      </w:pPr>
      <w:r>
        <w:t>Taken together, these recommendations do not require a new theory of care; they require the existing evidence base on leadership, governance and coproduction to be applied consistently and resourced adequately, rather than adopted in name only, which is the single failure that runs through every part of this case.</w:t>
      </w:r>
    </w:p>
    <w:p w14:paraId="0A8C8504" w14:textId="77777777" w:rsidR="004E70F1" w:rsidRDefault="00000000">
      <w:pPr>
        <w:pStyle w:val="Heading1"/>
        <w:spacing w:before="300" w:after="180"/>
      </w:pPr>
      <w:r>
        <w:rPr>
          <w:b/>
          <w:bCs/>
          <w:color w:val="1B2A4A"/>
          <w:sz w:val="30"/>
          <w:szCs w:val="30"/>
        </w:rPr>
        <w:t>Conclusion</w:t>
      </w:r>
    </w:p>
    <w:p w14:paraId="4BD79922" w14:textId="77777777" w:rsidR="004E70F1" w:rsidRDefault="00000000">
      <w:pPr>
        <w:spacing w:after="200" w:line="276" w:lineRule="auto"/>
        <w:jc w:val="both"/>
      </w:pPr>
      <w:r>
        <w:t>Winterbourne View demonstrates that institutional abuse rarely stems from a single failure but from several ordinary weaknesses lining up at once. Ownership and financial control were centralised at Castlebeck's head office, while clinical oversight was, in practice, absent; commissioners paid for beds without monitoring outcomes; a national regulator received direct warnings and did not act; and the only feedback loop that actually closed was an undercover television broadcast, external to the entire formal system built to prevent exactly this harm. Applying systems thinking and a rich picture to the case makes visible what a narrative account can obscure: this was a set of broken or missing feedback loops between organisations that each, individually, could point to a policy or a duty on paper, while none of them, collectively, produced a system capable of correcting itself.</w:t>
      </w:r>
    </w:p>
    <w:p w14:paraId="291A8D69" w14:textId="77777777" w:rsidR="004E70F1" w:rsidRDefault="00000000">
      <w:pPr>
        <w:spacing w:after="200" w:line="276" w:lineRule="auto"/>
        <w:jc w:val="both"/>
      </w:pPr>
      <w:r>
        <w:t xml:space="preserve">Leadership theory adds precision to that diagnosis. What existed at ward level was not a mistaken choice of management style but a vacuum, effectively laissez-faire leadership mismatched against a young, undertrained, high-turnover workforce that situational leadership theory would predict needed close direction and support, not delegation. The reforms that followed, statutory safeguarding duties, CQC Fundamental Standards, protected whistle-blowing routes and a sustained, if incomplete, shift toward community-based care, show that governance and leadership can be rebuilt once failure is exposed. The persistence of missed targets since, most recently a projected decade-long delay in reducing inpatient numbers, shows equally that publishing data and </w:t>
      </w:r>
      <w:r>
        <w:lastRenderedPageBreak/>
        <w:t>passing legislation are necessary but not sufficient without leadership and investment following through at every level.</w:t>
      </w:r>
    </w:p>
    <w:p w14:paraId="7AAFC9BC" w14:textId="77777777" w:rsidR="004E70F1" w:rsidRDefault="00000000">
      <w:pPr>
        <w:spacing w:after="200" w:line="276" w:lineRule="auto"/>
        <w:jc w:val="both"/>
      </w:pPr>
      <w:r>
        <w:t>The wider lesson for health and social care organisations is straightforward to state and hard to guarantee: whichever structure an organisation chooses, centralised or decentralised, it must pair authority with active oversight, and it must give the people closest to patients, staff and families alike, a genuine, resourced route to be heard before harm rather than only a review afterward.</w:t>
      </w:r>
    </w:p>
    <w:p w14:paraId="28712863" w14:textId="1B968A8E" w:rsidR="004E70F1" w:rsidRDefault="00000000" w:rsidP="000C0F3A">
      <w:r>
        <w:rPr>
          <w:b/>
          <w:bCs/>
          <w:color w:val="1B2A4A"/>
          <w:sz w:val="30"/>
          <w:szCs w:val="30"/>
        </w:rPr>
        <w:t>References</w:t>
      </w:r>
    </w:p>
    <w:p w14:paraId="18273855" w14:textId="77777777" w:rsidR="004E70F1" w:rsidRDefault="00000000" w:rsidP="000C0F3A">
      <w:pPr>
        <w:pStyle w:val="ListParagraph"/>
        <w:numPr>
          <w:ilvl w:val="0"/>
          <w:numId w:val="2"/>
        </w:numPr>
        <w:spacing w:after="160"/>
      </w:pPr>
      <w:r w:rsidRPr="000C0F3A">
        <w:rPr>
          <w:sz w:val="22"/>
          <w:szCs w:val="22"/>
        </w:rPr>
        <w:t>Avolio, B.J. and Bass, B.M. (1991) Full Range Leadership Development: Basic and Advanced Manuals. Binghamton, NY: Bass, Avolio &amp; Associates.</w:t>
      </w:r>
    </w:p>
    <w:p w14:paraId="33A8CA9B" w14:textId="77777777" w:rsidR="004E70F1" w:rsidRDefault="00000000" w:rsidP="000C0F3A">
      <w:pPr>
        <w:pStyle w:val="ListParagraph"/>
        <w:numPr>
          <w:ilvl w:val="0"/>
          <w:numId w:val="2"/>
        </w:numPr>
        <w:spacing w:after="160"/>
      </w:pPr>
      <w:r w:rsidRPr="000C0F3A">
        <w:rPr>
          <w:sz w:val="22"/>
          <w:szCs w:val="22"/>
        </w:rPr>
        <w:t>Bass, B.M. (1985) Leadership and Performance Beyond Expectations. New York: Free Press.</w:t>
      </w:r>
    </w:p>
    <w:p w14:paraId="6D7158D9" w14:textId="77777777" w:rsidR="004E70F1" w:rsidRDefault="00000000" w:rsidP="000C0F3A">
      <w:pPr>
        <w:pStyle w:val="ListParagraph"/>
        <w:numPr>
          <w:ilvl w:val="0"/>
          <w:numId w:val="2"/>
        </w:numPr>
        <w:spacing w:after="160"/>
      </w:pPr>
      <w:r w:rsidRPr="000C0F3A">
        <w:rPr>
          <w:sz w:val="22"/>
          <w:szCs w:val="22"/>
        </w:rPr>
        <w:t>BBC News (2011) 'Castlebeck care ‘concerns’ raised by regulator', BBC News, 27 July. Available at: https://feeds.bbci.co.uk/news/uk-14327180 (Accessed: 25 July 2026).</w:t>
      </w:r>
    </w:p>
    <w:p w14:paraId="306A740B" w14:textId="77777777" w:rsidR="004E70F1" w:rsidRDefault="00000000" w:rsidP="000C0F3A">
      <w:pPr>
        <w:pStyle w:val="ListParagraph"/>
        <w:numPr>
          <w:ilvl w:val="0"/>
          <w:numId w:val="2"/>
        </w:numPr>
        <w:spacing w:after="160"/>
      </w:pPr>
      <w:r w:rsidRPr="000C0F3A">
        <w:rPr>
          <w:sz w:val="22"/>
          <w:szCs w:val="22"/>
        </w:rPr>
        <w:t>BBC News (2012a) 'Winterbourne View abuse report calls for changes to care', BBC News, 7 August. Available at: https://feeds.bbci.co.uk/news/uk-england-bristol-19162516 (Accessed: 25 July 2026).</w:t>
      </w:r>
    </w:p>
    <w:p w14:paraId="7EF2A388" w14:textId="77777777" w:rsidR="00F96670" w:rsidRDefault="00000000" w:rsidP="000C0F3A">
      <w:pPr>
        <w:pStyle w:val="ListParagraph"/>
        <w:numPr>
          <w:ilvl w:val="0"/>
          <w:numId w:val="2"/>
        </w:numPr>
        <w:spacing w:after="160"/>
      </w:pPr>
      <w:r w:rsidRPr="000C0F3A">
        <w:rPr>
          <w:sz w:val="22"/>
        </w:rPr>
        <w:t>Bolden, R. (2011) 'Distributed leadership in organizations: a review of theory and research.' International Journal of Management Reviews, 13(3), pp.251–269.</w:t>
      </w:r>
    </w:p>
    <w:p w14:paraId="3D789AEF" w14:textId="77777777" w:rsidR="00F96670" w:rsidRDefault="00000000" w:rsidP="000C0F3A">
      <w:pPr>
        <w:pStyle w:val="ListParagraph"/>
        <w:numPr>
          <w:ilvl w:val="0"/>
          <w:numId w:val="2"/>
        </w:numPr>
        <w:spacing w:after="160"/>
      </w:pPr>
      <w:r w:rsidRPr="000C0F3A">
        <w:rPr>
          <w:sz w:val="22"/>
        </w:rPr>
        <w:t>Brown, H. (2003) Safeguarding Adults and Children with Disabilities against Abuse. Strasbourg: Council of Europe Publishing.</w:t>
      </w:r>
    </w:p>
    <w:p w14:paraId="56DC867C" w14:textId="77777777" w:rsidR="00F96670" w:rsidRDefault="00000000" w:rsidP="000C0F3A">
      <w:pPr>
        <w:pStyle w:val="ListParagraph"/>
        <w:numPr>
          <w:ilvl w:val="0"/>
          <w:numId w:val="2"/>
        </w:numPr>
        <w:spacing w:after="160"/>
      </w:pPr>
      <w:r w:rsidRPr="000C0F3A">
        <w:rPr>
          <w:sz w:val="22"/>
        </w:rPr>
        <w:t>Bubb, S. (2014) Winterbourne View – Time for Change: Transforming the Commissioning of Services for People with Learning Disabilities and/or Autism. London: NHS England.</w:t>
      </w:r>
    </w:p>
    <w:p w14:paraId="65201DB5" w14:textId="77777777" w:rsidR="00F96670" w:rsidRDefault="00000000" w:rsidP="000C0F3A">
      <w:pPr>
        <w:pStyle w:val="ListParagraph"/>
        <w:numPr>
          <w:ilvl w:val="0"/>
          <w:numId w:val="2"/>
        </w:numPr>
        <w:spacing w:after="160"/>
      </w:pPr>
      <w:r w:rsidRPr="000C0F3A">
        <w:rPr>
          <w:sz w:val="22"/>
        </w:rPr>
        <w:t>Burns, J.M. (1978) Leadership. New York: Harper &amp; Row.</w:t>
      </w:r>
    </w:p>
    <w:p w14:paraId="1C20A0B7" w14:textId="77777777" w:rsidR="004E70F1" w:rsidRDefault="00000000" w:rsidP="000C0F3A">
      <w:pPr>
        <w:pStyle w:val="ListParagraph"/>
        <w:numPr>
          <w:ilvl w:val="0"/>
          <w:numId w:val="2"/>
        </w:numPr>
        <w:spacing w:after="160"/>
      </w:pPr>
      <w:r w:rsidRPr="000C0F3A">
        <w:rPr>
          <w:sz w:val="22"/>
          <w:szCs w:val="22"/>
        </w:rPr>
        <w:t>Care Act 2014. London: The Stationery Office.</w:t>
      </w:r>
    </w:p>
    <w:p w14:paraId="2AC25EE7" w14:textId="77777777" w:rsidR="004E70F1" w:rsidRDefault="00000000" w:rsidP="000C0F3A">
      <w:pPr>
        <w:pStyle w:val="ListParagraph"/>
        <w:numPr>
          <w:ilvl w:val="0"/>
          <w:numId w:val="2"/>
        </w:numPr>
        <w:spacing w:after="160"/>
      </w:pPr>
      <w:r w:rsidRPr="000C0F3A">
        <w:rPr>
          <w:sz w:val="22"/>
          <w:szCs w:val="22"/>
        </w:rPr>
        <w:t>Care Quality Commission (2012) CQC Publishes Report of Investigation into Concerns Raised by Winterbourne View. Available at: https://www.cqc.org.uk/news/releases/cqc-publishes-report-investigation-concerns-raised-winterbourne-view (Accessed: 25 July 2026).</w:t>
      </w:r>
    </w:p>
    <w:p w14:paraId="7DBF9643" w14:textId="77777777" w:rsidR="00F96670" w:rsidRDefault="00000000" w:rsidP="000C0F3A">
      <w:pPr>
        <w:pStyle w:val="ListParagraph"/>
        <w:numPr>
          <w:ilvl w:val="0"/>
          <w:numId w:val="2"/>
        </w:numPr>
        <w:spacing w:after="160"/>
      </w:pPr>
      <w:r w:rsidRPr="000C0F3A">
        <w:rPr>
          <w:sz w:val="22"/>
        </w:rPr>
        <w:t>Care Quality Commission (2020) Out of Sight – Who Cares? Restraint, Segregation and Seclusion Review. Newcastle upon Tyne: CQC.</w:t>
      </w:r>
    </w:p>
    <w:p w14:paraId="39F47A15" w14:textId="77777777" w:rsidR="004E70F1" w:rsidRDefault="00000000" w:rsidP="000C0F3A">
      <w:pPr>
        <w:pStyle w:val="ListParagraph"/>
        <w:numPr>
          <w:ilvl w:val="0"/>
          <w:numId w:val="2"/>
        </w:numPr>
        <w:spacing w:after="160"/>
      </w:pPr>
      <w:r w:rsidRPr="000C0F3A">
        <w:rPr>
          <w:sz w:val="22"/>
          <w:szCs w:val="22"/>
        </w:rPr>
        <w:t>Challenging Behaviour Foundation (2026) Transforming Care Data. Available at: https://www.challengingbehaviour.org.uk/what-we-do/strategic-influencing/transforming-care-data/ (Accessed: 25 July 2026).</w:t>
      </w:r>
    </w:p>
    <w:p w14:paraId="72FC4746" w14:textId="77777777" w:rsidR="004E70F1" w:rsidRDefault="00000000" w:rsidP="000C0F3A">
      <w:pPr>
        <w:pStyle w:val="ListParagraph"/>
        <w:numPr>
          <w:ilvl w:val="0"/>
          <w:numId w:val="2"/>
        </w:numPr>
        <w:spacing w:after="160"/>
      </w:pPr>
      <w:r w:rsidRPr="000C0F3A">
        <w:rPr>
          <w:sz w:val="22"/>
          <w:szCs w:val="22"/>
        </w:rPr>
        <w:t>Checkland, P. (1981) Systems Thinking, Systems Practice. Chichester: Wiley.</w:t>
      </w:r>
    </w:p>
    <w:p w14:paraId="53474BDA" w14:textId="77777777" w:rsidR="004E70F1" w:rsidRDefault="00000000" w:rsidP="000C0F3A">
      <w:pPr>
        <w:pStyle w:val="ListParagraph"/>
        <w:numPr>
          <w:ilvl w:val="0"/>
          <w:numId w:val="2"/>
        </w:numPr>
        <w:spacing w:after="160"/>
      </w:pPr>
      <w:r w:rsidRPr="000C0F3A">
        <w:rPr>
          <w:sz w:val="22"/>
          <w:szCs w:val="22"/>
        </w:rPr>
        <w:t>Croner-i (2012) Winterbourne View: The Final Report. Available at: https://app.croneri.co.uk/feature-articles/winterbourne-view-final-report (Accessed: 25 July 2026).</w:t>
      </w:r>
    </w:p>
    <w:p w14:paraId="7135DB1C" w14:textId="77777777" w:rsidR="004E70F1" w:rsidRDefault="00000000" w:rsidP="000C0F3A">
      <w:pPr>
        <w:pStyle w:val="ListParagraph"/>
        <w:numPr>
          <w:ilvl w:val="0"/>
          <w:numId w:val="2"/>
        </w:numPr>
        <w:spacing w:after="160"/>
      </w:pPr>
      <w:r w:rsidRPr="000C0F3A">
        <w:rPr>
          <w:sz w:val="22"/>
          <w:szCs w:val="22"/>
        </w:rPr>
        <w:t>Department of Health (2012) Transforming Care: A National Response to Winterbourne View Hospital. London: Department of Health.</w:t>
      </w:r>
    </w:p>
    <w:p w14:paraId="3A23B71C" w14:textId="77777777" w:rsidR="00F96670" w:rsidRDefault="00000000" w:rsidP="000C0F3A">
      <w:pPr>
        <w:pStyle w:val="ListParagraph"/>
        <w:numPr>
          <w:ilvl w:val="0"/>
          <w:numId w:val="2"/>
        </w:numPr>
        <w:spacing w:after="160"/>
      </w:pPr>
      <w:r w:rsidRPr="000C0F3A">
        <w:rPr>
          <w:sz w:val="22"/>
        </w:rPr>
        <w:t>European Union Agency for Fundamental Rights (2025) Places of Care = Places of Safety? Violence against Persons with Disabilities in Institutions. Vienna: FRA. Available at: https://fra.europa.eu/en/publication/2025/institutions-places-care-and-places-safety (Accessed: 7 August 2026).</w:t>
      </w:r>
    </w:p>
    <w:p w14:paraId="0734836B" w14:textId="77777777" w:rsidR="004E70F1" w:rsidRDefault="00000000" w:rsidP="000C0F3A">
      <w:pPr>
        <w:pStyle w:val="ListParagraph"/>
        <w:numPr>
          <w:ilvl w:val="0"/>
          <w:numId w:val="2"/>
        </w:numPr>
        <w:spacing w:after="160"/>
      </w:pPr>
      <w:r w:rsidRPr="000C0F3A">
        <w:rPr>
          <w:sz w:val="22"/>
          <w:szCs w:val="22"/>
        </w:rPr>
        <w:lastRenderedPageBreak/>
        <w:t>Flynn, M. (2012) Winterbourne View Hospital: A Serious Case Review. South Gloucestershire Safeguarding Adults Board. Available at: https://sites.southglos.gov.uk/safeguarding/wp-content/uploads/sites/221/2023/07/WV-SCR-report.pdf (Accessed: 25 July 2026).</w:t>
      </w:r>
    </w:p>
    <w:p w14:paraId="04A255F9" w14:textId="77777777" w:rsidR="004E70F1" w:rsidRDefault="00000000" w:rsidP="000C0F3A">
      <w:pPr>
        <w:pStyle w:val="ListParagraph"/>
        <w:numPr>
          <w:ilvl w:val="0"/>
          <w:numId w:val="2"/>
        </w:numPr>
        <w:spacing w:after="160"/>
      </w:pPr>
      <w:r w:rsidRPr="000C0F3A">
        <w:rPr>
          <w:sz w:val="22"/>
          <w:szCs w:val="22"/>
        </w:rPr>
        <w:t>Francis, R. (2015) Freedom to Speak Up: An Independent Review into Creating an Open and Honest Reporting Culture in the NHS. London: Williams Lea Group.</w:t>
      </w:r>
    </w:p>
    <w:p w14:paraId="62C8EA7A" w14:textId="77777777" w:rsidR="004E70F1" w:rsidRDefault="00000000" w:rsidP="000C0F3A">
      <w:pPr>
        <w:pStyle w:val="ListParagraph"/>
        <w:numPr>
          <w:ilvl w:val="0"/>
          <w:numId w:val="2"/>
        </w:numPr>
        <w:spacing w:after="160"/>
      </w:pPr>
      <w:r w:rsidRPr="000C0F3A">
        <w:rPr>
          <w:sz w:val="22"/>
          <w:szCs w:val="22"/>
        </w:rPr>
        <w:t>Health and Social Care Act 2008 (Regulated Activities) Regulations 2014. London: The Stationery Office.</w:t>
      </w:r>
    </w:p>
    <w:p w14:paraId="50D82CED" w14:textId="77777777" w:rsidR="004E70F1" w:rsidRDefault="00000000" w:rsidP="000C0F3A">
      <w:pPr>
        <w:pStyle w:val="ListParagraph"/>
        <w:numPr>
          <w:ilvl w:val="0"/>
          <w:numId w:val="2"/>
        </w:numPr>
        <w:spacing w:after="160"/>
      </w:pPr>
      <w:r w:rsidRPr="000C0F3A">
        <w:rPr>
          <w:sz w:val="22"/>
          <w:szCs w:val="22"/>
        </w:rPr>
        <w:t>Hersey, P. and Blanchard, K.H. (1969) 'Life cycle theory of leadership', Training and Development Journal, 23(5), pp. 26–34.</w:t>
      </w:r>
    </w:p>
    <w:p w14:paraId="10405B70" w14:textId="77777777" w:rsidR="004E70F1" w:rsidRDefault="00000000" w:rsidP="000C0F3A">
      <w:pPr>
        <w:pStyle w:val="ListParagraph"/>
        <w:numPr>
          <w:ilvl w:val="0"/>
          <w:numId w:val="2"/>
        </w:numPr>
        <w:spacing w:after="160"/>
      </w:pPr>
      <w:r w:rsidRPr="000C0F3A">
        <w:rPr>
          <w:sz w:val="22"/>
          <w:szCs w:val="22"/>
        </w:rPr>
        <w:t>Insider Media (2013) 'Care home group Castlebeck enters administration', Insider Media, 6 March. Available at: https://www.insidermedia.com/news/north-east/86107-care-home-group-castlebeck-enters-administration (Accessed: 25 July 2026).</w:t>
      </w:r>
    </w:p>
    <w:p w14:paraId="10009B47" w14:textId="77777777" w:rsidR="004E70F1" w:rsidRDefault="00000000" w:rsidP="000C0F3A">
      <w:pPr>
        <w:pStyle w:val="ListParagraph"/>
        <w:numPr>
          <w:ilvl w:val="0"/>
          <w:numId w:val="2"/>
        </w:numPr>
        <w:spacing w:after="160"/>
      </w:pPr>
      <w:r w:rsidRPr="000C0F3A">
        <w:rPr>
          <w:sz w:val="22"/>
          <w:szCs w:val="22"/>
        </w:rPr>
        <w:t>King's College London, Institute of Psychiatry, Psychology &amp; Neuroscience (2024) Learning from Lives and Deaths: People with a Learning Disability and Autistic People (LeDeR) Annual Report 2024. London: NHS England. Available at: https://www.kcl.ac.uk/ioppn/leder/leder2024/leder-2024-report.pdf (Accessed: 25 July 2026).</w:t>
      </w:r>
    </w:p>
    <w:p w14:paraId="0251A021" w14:textId="77777777" w:rsidR="00F96670" w:rsidRDefault="00000000" w:rsidP="000C0F3A">
      <w:pPr>
        <w:pStyle w:val="ListParagraph"/>
        <w:numPr>
          <w:ilvl w:val="0"/>
          <w:numId w:val="2"/>
        </w:numPr>
        <w:spacing w:after="160"/>
      </w:pPr>
      <w:r w:rsidRPr="000C0F3A">
        <w:rPr>
          <w:sz w:val="22"/>
        </w:rPr>
        <w:t>Mansell, J. (2007) Services for People with Learning Disabilities and Challenging Behaviour or Mental Health Needs (Revised edition). London: Department of Health.</w:t>
      </w:r>
    </w:p>
    <w:p w14:paraId="1078C159" w14:textId="77777777" w:rsidR="00F96670" w:rsidRDefault="00000000" w:rsidP="000C0F3A">
      <w:pPr>
        <w:pStyle w:val="ListParagraph"/>
        <w:numPr>
          <w:ilvl w:val="0"/>
          <w:numId w:val="2"/>
        </w:numPr>
        <w:spacing w:after="160"/>
      </w:pPr>
      <w:r w:rsidRPr="000C0F3A">
        <w:rPr>
          <w:sz w:val="22"/>
        </w:rPr>
        <w:t>National Audit Office (2015) Care Services for People with Learning Disabilities and Challenging Behaviour. London: National Audit Office.</w:t>
      </w:r>
    </w:p>
    <w:p w14:paraId="039E1F06" w14:textId="77777777" w:rsidR="004E70F1" w:rsidRDefault="00000000" w:rsidP="000C0F3A">
      <w:pPr>
        <w:pStyle w:val="ListParagraph"/>
        <w:numPr>
          <w:ilvl w:val="0"/>
          <w:numId w:val="2"/>
        </w:numPr>
        <w:spacing w:after="160"/>
      </w:pPr>
      <w:r w:rsidRPr="000C0F3A">
        <w:rPr>
          <w:sz w:val="22"/>
          <w:szCs w:val="22"/>
        </w:rPr>
        <w:t>NHS England (2015) Building the Right Support: A National Plan to Develop Community Services and Close Inpatient Facilities for People with a Learning Disability and/or Autism who Display Behaviour that Challenges. London: NHS England.</w:t>
      </w:r>
    </w:p>
    <w:p w14:paraId="6418C952" w14:textId="77777777" w:rsidR="004E70F1" w:rsidRDefault="00000000" w:rsidP="000C0F3A">
      <w:pPr>
        <w:pStyle w:val="ListParagraph"/>
        <w:numPr>
          <w:ilvl w:val="0"/>
          <w:numId w:val="2"/>
        </w:numPr>
        <w:spacing w:after="160"/>
      </w:pPr>
      <w:r w:rsidRPr="000C0F3A">
        <w:rPr>
          <w:sz w:val="22"/>
          <w:szCs w:val="22"/>
        </w:rPr>
        <w:t>NHS England (2025) Update on Learning Disability and Autism Programme. Available at: https://www.england.nhs.uk/long-read/update-on-learning-disability-and-autism-programme/ (Accessed: 25 July 2026).</w:t>
      </w:r>
    </w:p>
    <w:p w14:paraId="25F04C12" w14:textId="77777777" w:rsidR="00F96670" w:rsidRDefault="00000000" w:rsidP="000C0F3A">
      <w:pPr>
        <w:pStyle w:val="ListParagraph"/>
        <w:numPr>
          <w:ilvl w:val="0"/>
          <w:numId w:val="2"/>
        </w:numPr>
        <w:spacing w:after="160"/>
      </w:pPr>
      <w:r w:rsidRPr="000C0F3A">
        <w:rPr>
          <w:sz w:val="22"/>
        </w:rPr>
        <w:t>Senge, P.M. (1990) The Fifth Discipline: The Art and Practice of the Learning Organization. New York: Doubleday.</w:t>
      </w:r>
    </w:p>
    <w:p w14:paraId="0EA31CFE" w14:textId="77777777" w:rsidR="004E70F1" w:rsidRDefault="00000000" w:rsidP="000C0F3A">
      <w:pPr>
        <w:pStyle w:val="ListParagraph"/>
        <w:numPr>
          <w:ilvl w:val="0"/>
          <w:numId w:val="2"/>
        </w:numPr>
        <w:spacing w:after="160"/>
      </w:pPr>
      <w:r w:rsidRPr="000C0F3A">
        <w:rPr>
          <w:sz w:val="22"/>
          <w:szCs w:val="22"/>
        </w:rPr>
        <w:t>West, M.A. (2021) Compassionate Leadership: Sustaining Wisdom, Humanity and Presence in Health and Social Care. London: Swirling Leaf Press.</w:t>
      </w:r>
    </w:p>
    <w:p w14:paraId="229BF692" w14:textId="77777777" w:rsidR="004E70F1" w:rsidRDefault="00000000" w:rsidP="000C0F3A">
      <w:pPr>
        <w:pStyle w:val="ListParagraph"/>
        <w:numPr>
          <w:ilvl w:val="0"/>
          <w:numId w:val="2"/>
        </w:numPr>
        <w:spacing w:after="160"/>
      </w:pPr>
      <w:r w:rsidRPr="000C0F3A">
        <w:rPr>
          <w:sz w:val="22"/>
          <w:szCs w:val="22"/>
        </w:rPr>
        <w:t>West, M.A. and Chowla, R. (2017) 'Compassionate leadership for compassionate health care', in Gilbert, P. (ed.) Compassion: Concepts, Research and Applications. London: Routledge, pp. 237–257.</w:t>
      </w:r>
    </w:p>
    <w:p w14:paraId="544EFEA7" w14:textId="77777777" w:rsidR="004E70F1" w:rsidRDefault="00000000" w:rsidP="000C0F3A">
      <w:pPr>
        <w:pStyle w:val="ListParagraph"/>
        <w:numPr>
          <w:ilvl w:val="0"/>
          <w:numId w:val="2"/>
        </w:numPr>
        <w:spacing w:after="160"/>
      </w:pPr>
      <w:r w:rsidRPr="000C0F3A">
        <w:rPr>
          <w:sz w:val="22"/>
          <w:szCs w:val="22"/>
        </w:rPr>
        <w:t>World Health Organization (2022) Global Report on Health Equity for Persons with Disabilities. Geneva: World Health Organization. Available at: https://iris.who.int/handle/10665/364834 (Accessed: 25 July 2026).</w:t>
      </w:r>
    </w:p>
    <w:sectPr w:rsidR="004E70F1">
      <w:headerReference w:type="default" r:id="rId10"/>
      <w:footerReference w:type="default" r:id="rId11"/>
      <w:pgSz w:w="11906" w:h="16838"/>
      <w:pgMar w:top="1134" w:right="1134" w:bottom="1134" w:left="1134"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4BD34E" w14:textId="77777777" w:rsidR="009C535A" w:rsidRDefault="009C535A">
      <w:r>
        <w:separator/>
      </w:r>
    </w:p>
  </w:endnote>
  <w:endnote w:type="continuationSeparator" w:id="0">
    <w:p w14:paraId="0C5DD150" w14:textId="77777777" w:rsidR="009C535A" w:rsidRDefault="009C53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E529A" w14:textId="77777777" w:rsidR="004E70F1" w:rsidRDefault="00000000">
    <w:pPr>
      <w:jc w:val="center"/>
    </w:pPr>
    <w:r>
      <w:rPr>
        <w:color w:val="6B7280"/>
        <w:sz w:val="18"/>
        <w:szCs w:val="18"/>
      </w:rPr>
      <w:t xml:space="preserve">Page </w:t>
    </w:r>
    <w:r>
      <w:rPr>
        <w:color w:val="6B7280"/>
        <w:sz w:val="18"/>
        <w:szCs w:val="18"/>
      </w:rPr>
      <w:fldChar w:fldCharType="begin"/>
    </w:r>
    <w:r>
      <w:rPr>
        <w:color w:val="6B7280"/>
        <w:sz w:val="18"/>
        <w:szCs w:val="18"/>
      </w:rPr>
      <w:instrText>PAGE</w:instrText>
    </w:r>
    <w:r>
      <w:rPr>
        <w:color w:val="6B7280"/>
        <w:sz w:val="18"/>
        <w:szCs w:val="18"/>
      </w:rPr>
      <w:fldChar w:fldCharType="separate"/>
    </w:r>
    <w:r w:rsidR="00486605">
      <w:rPr>
        <w:noProof/>
        <w:color w:val="6B7280"/>
        <w:sz w:val="18"/>
        <w:szCs w:val="18"/>
      </w:rPr>
      <w:t>1</w:t>
    </w:r>
    <w:r>
      <w:rPr>
        <w:color w:val="6B7280"/>
        <w:sz w:val="18"/>
        <w:szCs w:val="18"/>
      </w:rPr>
      <w:fldChar w:fldCharType="end"/>
    </w:r>
    <w:r>
      <w:rPr>
        <w:color w:val="6B7280"/>
        <w:sz w:val="18"/>
        <w:szCs w:val="18"/>
      </w:rPr>
      <w:t xml:space="preserve"> of </w:t>
    </w:r>
    <w:r>
      <w:rPr>
        <w:color w:val="6B7280"/>
        <w:sz w:val="18"/>
        <w:szCs w:val="18"/>
      </w:rPr>
      <w:fldChar w:fldCharType="begin"/>
    </w:r>
    <w:r>
      <w:rPr>
        <w:color w:val="6B7280"/>
        <w:sz w:val="18"/>
        <w:szCs w:val="18"/>
      </w:rPr>
      <w:instrText>NUMPAGES</w:instrText>
    </w:r>
    <w:r>
      <w:rPr>
        <w:color w:val="6B7280"/>
        <w:sz w:val="18"/>
        <w:szCs w:val="18"/>
      </w:rPr>
      <w:fldChar w:fldCharType="separate"/>
    </w:r>
    <w:r w:rsidR="00486605">
      <w:rPr>
        <w:noProof/>
        <w:color w:val="6B7280"/>
        <w:sz w:val="18"/>
        <w:szCs w:val="18"/>
      </w:rPr>
      <w:t>2</w:t>
    </w:r>
    <w:r>
      <w:rPr>
        <w:color w:val="6B7280"/>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5887E7" w14:textId="77777777" w:rsidR="009C535A" w:rsidRDefault="009C535A">
      <w:r>
        <w:separator/>
      </w:r>
    </w:p>
  </w:footnote>
  <w:footnote w:type="continuationSeparator" w:id="0">
    <w:p w14:paraId="0B3E9BC6" w14:textId="77777777" w:rsidR="009C535A" w:rsidRDefault="009C535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C69632" w14:textId="77777777" w:rsidR="004E70F1" w:rsidRDefault="00000000">
    <w:pPr>
      <w:jc w:val="right"/>
    </w:pPr>
    <w:r>
      <w:rPr>
        <w:color w:val="6B7280"/>
        <w:sz w:val="18"/>
        <w:szCs w:val="18"/>
      </w:rPr>
      <w:t>Case Report – Winterbourne View Hospital</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73293"/>
    <w:multiLevelType w:val="hybridMultilevel"/>
    <w:tmpl w:val="C6FA1B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C9F3142"/>
    <w:multiLevelType w:val="hybridMultilevel"/>
    <w:tmpl w:val="B62EB678"/>
    <w:lvl w:ilvl="0" w:tplc="90C20156">
      <w:start w:val="1"/>
      <w:numFmt w:val="bullet"/>
      <w:lvlText w:val="●"/>
      <w:lvlJc w:val="left"/>
      <w:pPr>
        <w:ind w:left="720" w:hanging="360"/>
      </w:pPr>
    </w:lvl>
    <w:lvl w:ilvl="1" w:tplc="965A7594">
      <w:start w:val="1"/>
      <w:numFmt w:val="bullet"/>
      <w:lvlText w:val="○"/>
      <w:lvlJc w:val="left"/>
      <w:pPr>
        <w:ind w:left="1440" w:hanging="360"/>
      </w:pPr>
    </w:lvl>
    <w:lvl w:ilvl="2" w:tplc="17B6FBBC">
      <w:start w:val="1"/>
      <w:numFmt w:val="bullet"/>
      <w:lvlText w:val="■"/>
      <w:lvlJc w:val="left"/>
      <w:pPr>
        <w:ind w:left="2160" w:hanging="360"/>
      </w:pPr>
    </w:lvl>
    <w:lvl w:ilvl="3" w:tplc="0F20868E">
      <w:start w:val="1"/>
      <w:numFmt w:val="bullet"/>
      <w:lvlText w:val="●"/>
      <w:lvlJc w:val="left"/>
      <w:pPr>
        <w:ind w:left="2880" w:hanging="360"/>
      </w:pPr>
    </w:lvl>
    <w:lvl w:ilvl="4" w:tplc="83749BF4">
      <w:start w:val="1"/>
      <w:numFmt w:val="bullet"/>
      <w:lvlText w:val="○"/>
      <w:lvlJc w:val="left"/>
      <w:pPr>
        <w:ind w:left="3600" w:hanging="360"/>
      </w:pPr>
    </w:lvl>
    <w:lvl w:ilvl="5" w:tplc="85D0085A">
      <w:start w:val="1"/>
      <w:numFmt w:val="bullet"/>
      <w:lvlText w:val="■"/>
      <w:lvlJc w:val="left"/>
      <w:pPr>
        <w:ind w:left="4320" w:hanging="360"/>
      </w:pPr>
    </w:lvl>
    <w:lvl w:ilvl="6" w:tplc="A6DE4562">
      <w:start w:val="1"/>
      <w:numFmt w:val="bullet"/>
      <w:lvlText w:val="●"/>
      <w:lvlJc w:val="left"/>
      <w:pPr>
        <w:ind w:left="5040" w:hanging="360"/>
      </w:pPr>
    </w:lvl>
    <w:lvl w:ilvl="7" w:tplc="31E2F2B6">
      <w:start w:val="1"/>
      <w:numFmt w:val="bullet"/>
      <w:lvlText w:val="●"/>
      <w:lvlJc w:val="left"/>
      <w:pPr>
        <w:ind w:left="5760" w:hanging="360"/>
      </w:pPr>
    </w:lvl>
    <w:lvl w:ilvl="8" w:tplc="C0B2F8D6">
      <w:start w:val="1"/>
      <w:numFmt w:val="bullet"/>
      <w:lvlText w:val="●"/>
      <w:lvlJc w:val="left"/>
      <w:pPr>
        <w:ind w:left="6480" w:hanging="360"/>
      </w:pPr>
    </w:lvl>
  </w:abstractNum>
  <w:num w:numId="1" w16cid:durableId="945041334">
    <w:abstractNumId w:val="1"/>
    <w:lvlOverride w:ilvl="0">
      <w:startOverride w:val="1"/>
    </w:lvlOverride>
  </w:num>
  <w:num w:numId="2" w16cid:durableId="14724048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E70F1"/>
    <w:rsid w:val="000C0F3A"/>
    <w:rsid w:val="00265BB6"/>
    <w:rsid w:val="00486605"/>
    <w:rsid w:val="004E70F1"/>
    <w:rsid w:val="007D0311"/>
    <w:rsid w:val="009C535A"/>
    <w:rsid w:val="00A02EFB"/>
    <w:rsid w:val="00B36172"/>
    <w:rsid w:val="00B44ADE"/>
    <w:rsid w:val="00C05897"/>
    <w:rsid w:val="00C073E9"/>
    <w:rsid w:val="00C11566"/>
    <w:rsid w:val="00DD4665"/>
    <w:rsid w:val="00F92EA0"/>
    <w:rsid w:val="00F966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38834C"/>
  <w15:docId w15:val="{247EDEE2-710A-4D4F-BC1E-709F42B950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1158668">
      <w:bodyDiv w:val="1"/>
      <w:marLeft w:val="0"/>
      <w:marRight w:val="0"/>
      <w:marTop w:val="0"/>
      <w:marBottom w:val="0"/>
      <w:divBdr>
        <w:top w:val="none" w:sz="0" w:space="0" w:color="auto"/>
        <w:left w:val="none" w:sz="0" w:space="0" w:color="auto"/>
        <w:bottom w:val="none" w:sz="0" w:space="0" w:color="auto"/>
        <w:right w:val="none" w:sz="0" w:space="0" w:color="auto"/>
      </w:divBdr>
    </w:div>
    <w:div w:id="1397970975">
      <w:bodyDiv w:val="1"/>
      <w:marLeft w:val="0"/>
      <w:marRight w:val="0"/>
      <w:marTop w:val="0"/>
      <w:marBottom w:val="0"/>
      <w:divBdr>
        <w:top w:val="none" w:sz="0" w:space="0" w:color="auto"/>
        <w:left w:val="none" w:sz="0" w:space="0" w:color="auto"/>
        <w:bottom w:val="none" w:sz="0" w:space="0" w:color="auto"/>
        <w:right w:val="none" w:sz="0" w:space="0" w:color="auto"/>
      </w:divBdr>
    </w:div>
    <w:div w:id="1626931882">
      <w:bodyDiv w:val="1"/>
      <w:marLeft w:val="0"/>
      <w:marRight w:val="0"/>
      <w:marTop w:val="0"/>
      <w:marBottom w:val="0"/>
      <w:divBdr>
        <w:top w:val="none" w:sz="0" w:space="0" w:color="auto"/>
        <w:left w:val="none" w:sz="0" w:space="0" w:color="auto"/>
        <w:bottom w:val="none" w:sz="0" w:space="0" w:color="auto"/>
        <w:right w:val="none" w:sz="0" w:space="0" w:color="auto"/>
      </w:divBdr>
    </w:div>
    <w:div w:id="1845633425">
      <w:bodyDiv w:val="1"/>
      <w:marLeft w:val="0"/>
      <w:marRight w:val="0"/>
      <w:marTop w:val="0"/>
      <w:marBottom w:val="0"/>
      <w:divBdr>
        <w:top w:val="none" w:sz="0" w:space="0" w:color="auto"/>
        <w:left w:val="none" w:sz="0" w:space="0" w:color="auto"/>
        <w:bottom w:val="none" w:sz="0" w:space="0" w:color="auto"/>
        <w:right w:val="none" w:sz="0" w:space="0" w:color="auto"/>
      </w:divBdr>
    </w:div>
    <w:div w:id="2000184509">
      <w:bodyDiv w:val="1"/>
      <w:marLeft w:val="0"/>
      <w:marRight w:val="0"/>
      <w:marTop w:val="0"/>
      <w:marBottom w:val="0"/>
      <w:divBdr>
        <w:top w:val="none" w:sz="0" w:space="0" w:color="auto"/>
        <w:left w:val="none" w:sz="0" w:space="0" w:color="auto"/>
        <w:bottom w:val="none" w:sz="0" w:space="0" w:color="auto"/>
        <w:right w:val="none" w:sz="0" w:space="0" w:color="auto"/>
      </w:divBdr>
    </w:div>
    <w:div w:id="213879442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432D6A-4333-4F7A-8C40-EC47B4E6B9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5899</Words>
  <Characters>33629</Characters>
  <Application>Microsoft Office Word</Application>
  <DocSecurity>0</DocSecurity>
  <Lines>280</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KARAN YADAV</cp:lastModifiedBy>
  <cp:revision>2</cp:revision>
  <dcterms:created xsi:type="dcterms:W3CDTF">2026-08-10T21:04:00Z</dcterms:created>
  <dcterms:modified xsi:type="dcterms:W3CDTF">2026-08-10T21:04:00Z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31d7e8f7-79d0-49e2-a6d0-23683491b173</vt:lpwstr>
  </property>
</Properties>
</file>