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8E64" w14:textId="795745E3" w:rsidR="002A3A1A" w:rsidRPr="00712182" w:rsidRDefault="002A3A1A" w:rsidP="00712182">
      <w:pPr>
        <w:pStyle w:val="Subtitle"/>
        <w:rPr>
          <w:rFonts w:ascii="Arial" w:hAnsi="Arial" w:cs="Arial"/>
        </w:rPr>
      </w:pPr>
      <w:bookmarkStart w:id="0" w:name="Introduction__"/>
      <w:bookmarkEnd w:id="0"/>
      <w:r w:rsidRPr="00712182">
        <w:rPr>
          <w:rFonts w:ascii="Arial" w:hAnsi="Arial" w:cs="Arial"/>
          <w:spacing w:val="-2"/>
        </w:rPr>
        <w:t>Nazma Latif [</w:t>
      </w:r>
      <w:r w:rsidRPr="00712182">
        <w:rPr>
          <w:rFonts w:ascii="Arial" w:hAnsi="Arial" w:cs="Arial"/>
        </w:rPr>
        <w:t xml:space="preserve">2222410] | BSc (Hons) Health and Social Care| BMHP6030| Health, Wellbeing and Sustainable Development| </w:t>
      </w:r>
    </w:p>
    <w:p w14:paraId="57B7F69E" w14:textId="77777777" w:rsidR="009D7C9E" w:rsidRPr="00712182" w:rsidRDefault="009D7C9E">
      <w:pPr>
        <w:pStyle w:val="BodyText"/>
        <w:spacing w:before="27"/>
        <w:rPr>
          <w:rFonts w:ascii="Arial" w:hAnsi="Arial" w:cs="Arial"/>
        </w:rPr>
      </w:pPr>
    </w:p>
    <w:p w14:paraId="60CAF93E" w14:textId="77777777" w:rsidR="00B04A80" w:rsidRPr="00712182" w:rsidRDefault="00B04A80" w:rsidP="00BD08EF">
      <w:pPr>
        <w:pStyle w:val="Title"/>
        <w:rPr>
          <w:rFonts w:ascii="Arial" w:hAnsi="Arial" w:cs="Arial"/>
        </w:rPr>
      </w:pPr>
      <w:r w:rsidRPr="00712182">
        <w:rPr>
          <w:rFonts w:ascii="Arial" w:hAnsi="Arial" w:cs="Arial"/>
        </w:rPr>
        <w:t>Current Health, Wellbeing and Sustainability Policies</w:t>
      </w:r>
    </w:p>
    <w:p w14:paraId="4A8216E5" w14:textId="77777777" w:rsidR="00BD08EF" w:rsidRPr="00BD08EF" w:rsidRDefault="00BD08EF" w:rsidP="00BD08EF"/>
    <w:p w14:paraId="65C8ACEB" w14:textId="77777777" w:rsidR="00B04A80" w:rsidRPr="00BD08EF" w:rsidRDefault="00B04A80" w:rsidP="00BD08EF">
      <w:pPr>
        <w:pStyle w:val="Heading1"/>
      </w:pPr>
      <w:r w:rsidRPr="00BD08EF">
        <w:t>Introduction</w:t>
      </w:r>
    </w:p>
    <w:p w14:paraId="311025DD" w14:textId="176F2AA7" w:rsidR="00B04A80" w:rsidRPr="00BD08EF" w:rsidRDefault="00B04A80" w:rsidP="00BD08EF">
      <w:pPr>
        <w:pStyle w:val="BodyText"/>
        <w:spacing w:before="27" w:line="360" w:lineRule="auto"/>
        <w:rPr>
          <w:rFonts w:ascii="Arial" w:hAnsi="Arial" w:cs="Arial"/>
        </w:rPr>
      </w:pPr>
      <w:r w:rsidRPr="00BD08EF">
        <w:rPr>
          <w:rFonts w:ascii="Arial" w:hAnsi="Arial" w:cs="Arial"/>
        </w:rPr>
        <w:t xml:space="preserve">The United Nations Sustainable Development Goals (SDGs), adopted in 2015, provide a universal framework for tackling pressing global challenges across health, wellbeing, and sustainability (United Nations, 2015; UNDP, 2015). Among these, SDG 3, “Good Health and Wellbeing,” is central to human development, aiming to ensure healthy lives and promote wellbeing for all ages. Yet health outcomes are not shaped in isolation; they are deeply influenced by environmental, social, and economic factors (FAO, 2015). For this reason, this report critically examines SDG 3 alongside SDG 13, “Climate Action,” to explore their interconnected impacts on citizens globally, nationally within the United Kingdom, and locally in Birmingham. By </w:t>
      </w:r>
      <w:r w:rsidR="00712182" w:rsidRPr="00BD08EF">
        <w:rPr>
          <w:rFonts w:ascii="Arial" w:hAnsi="Arial" w:cs="Arial"/>
        </w:rPr>
        <w:t>analyzing</w:t>
      </w:r>
      <w:r w:rsidRPr="00BD08EF">
        <w:rPr>
          <w:rFonts w:ascii="Arial" w:hAnsi="Arial" w:cs="Arial"/>
        </w:rPr>
        <w:t xml:space="preserve"> these policies across scales, the report highlights both progress and persistent challenges, while considering the equity implications of health and sustainability interventions.</w:t>
      </w:r>
    </w:p>
    <w:p w14:paraId="756283D9" w14:textId="77777777" w:rsidR="009D7C9E" w:rsidRPr="00BD08EF" w:rsidRDefault="009D7C9E" w:rsidP="00BD08EF">
      <w:pPr>
        <w:pStyle w:val="BodyText"/>
        <w:spacing w:before="6" w:line="360" w:lineRule="auto"/>
        <w:rPr>
          <w:rFonts w:ascii="Arial" w:hAnsi="Arial" w:cs="Arial"/>
        </w:rPr>
      </w:pPr>
    </w:p>
    <w:p w14:paraId="0A08D165" w14:textId="77777777" w:rsidR="00A2411D" w:rsidRPr="00BD08EF" w:rsidRDefault="00A2411D" w:rsidP="00BD08EF">
      <w:pPr>
        <w:pStyle w:val="Heading1"/>
      </w:pPr>
      <w:r w:rsidRPr="00BD08EF">
        <w:t>Global Overview: SDG 3 (Health and Wellbeing)</w:t>
      </w:r>
    </w:p>
    <w:p w14:paraId="230844DA" w14:textId="240C9156" w:rsidR="00A2411D" w:rsidRPr="00BD08EF" w:rsidRDefault="00A2411D" w:rsidP="00BD08EF">
      <w:pPr>
        <w:pStyle w:val="BodyText"/>
        <w:spacing w:before="6" w:line="360" w:lineRule="auto"/>
        <w:rPr>
          <w:rFonts w:ascii="Arial" w:hAnsi="Arial" w:cs="Arial"/>
        </w:rPr>
      </w:pPr>
      <w:r w:rsidRPr="00BD08EF">
        <w:rPr>
          <w:rFonts w:ascii="Arial" w:hAnsi="Arial" w:cs="Arial"/>
        </w:rPr>
        <w:t>SDG 3 seeks to reduce maternal and child mortality, end epidemics such as HIV/AIDS, tuberculosis, and malaria, and achieve universal health coverage (UHC) by 2030 (United Nations, 2015). Globally, progress has been notable: child mortality has declined by over 50% since 1990, and vaccination campaigns have saved millions of lives (World Health Organization, 2019; WHO, 2020; UNICEF, 2020). However, inequities remain stark. Low</w:t>
      </w:r>
      <w:r w:rsidRPr="00BD08EF">
        <w:rPr>
          <w:rFonts w:ascii="Cambria Math" w:hAnsi="Cambria Math" w:cs="Cambria Math"/>
        </w:rPr>
        <w:t>‑</w:t>
      </w:r>
      <w:r w:rsidRPr="00BD08EF">
        <w:rPr>
          <w:rFonts w:ascii="Arial" w:hAnsi="Arial" w:cs="Arial"/>
        </w:rPr>
        <w:t>income countries continue to face challenges in accessing essential medicines, healthcare infrastructure, and trained professionals.</w:t>
      </w:r>
      <w:r w:rsidR="00BD08EF">
        <w:rPr>
          <w:rFonts w:ascii="Arial" w:hAnsi="Arial" w:cs="Arial"/>
        </w:rPr>
        <w:t xml:space="preserve"> </w:t>
      </w:r>
      <w:r w:rsidRPr="00BD08EF">
        <w:rPr>
          <w:rFonts w:ascii="Arial" w:hAnsi="Arial" w:cs="Arial"/>
        </w:rPr>
        <w:t>The COVID</w:t>
      </w:r>
      <w:r w:rsidRPr="00BD08EF">
        <w:rPr>
          <w:rFonts w:ascii="Cambria Math" w:hAnsi="Cambria Math" w:cs="Cambria Math"/>
        </w:rPr>
        <w:t>‑</w:t>
      </w:r>
      <w:r w:rsidRPr="00BD08EF">
        <w:rPr>
          <w:rFonts w:ascii="Arial" w:hAnsi="Arial" w:cs="Arial"/>
        </w:rPr>
        <w:t>19 pandemic underscored both achievements and vulnerabilities. The COVAX initiative, coordinated by Gavi and WHO, aimed to ensure equitable vaccine distribution worldwide. While it succeeded in delivering billions of doses, disparities persisted, with high</w:t>
      </w:r>
      <w:r w:rsidRPr="00BD08EF">
        <w:rPr>
          <w:rFonts w:ascii="Cambria Math" w:hAnsi="Cambria Math" w:cs="Cambria Math"/>
        </w:rPr>
        <w:t>‑</w:t>
      </w:r>
      <w:r w:rsidRPr="00BD08EF">
        <w:rPr>
          <w:rFonts w:ascii="Arial" w:hAnsi="Arial" w:cs="Arial"/>
        </w:rPr>
        <w:t>income countries securing supplies faster than low</w:t>
      </w:r>
      <w:r w:rsidRPr="00BD08EF">
        <w:rPr>
          <w:rFonts w:ascii="Cambria Math" w:hAnsi="Cambria Math" w:cs="Cambria Math"/>
        </w:rPr>
        <w:t>‑</w:t>
      </w:r>
      <w:r w:rsidRPr="00BD08EF">
        <w:rPr>
          <w:rFonts w:ascii="Arial" w:hAnsi="Arial" w:cs="Arial"/>
        </w:rPr>
        <w:t>income nations (Gavi, 2021; de Bengy Puyvallée &amp; Tagmatarchi Storeng, 2022). This highlights the tension between global solidarity and national self</w:t>
      </w:r>
      <w:r w:rsidRPr="00BD08EF">
        <w:rPr>
          <w:rFonts w:ascii="Cambria Math" w:hAnsi="Cambria Math" w:cs="Cambria Math"/>
        </w:rPr>
        <w:t>‑</w:t>
      </w:r>
      <w:r w:rsidRPr="00BD08EF">
        <w:rPr>
          <w:rFonts w:ascii="Arial" w:hAnsi="Arial" w:cs="Arial"/>
        </w:rPr>
        <w:t>interest in health governance.</w:t>
      </w:r>
      <w:r w:rsidR="00B86A0A">
        <w:rPr>
          <w:rFonts w:ascii="Arial" w:hAnsi="Arial" w:cs="Arial"/>
        </w:rPr>
        <w:t xml:space="preserve"> </w:t>
      </w:r>
      <w:r w:rsidRPr="00BD08EF">
        <w:rPr>
          <w:rFonts w:ascii="Arial" w:hAnsi="Arial" w:cs="Arial"/>
        </w:rPr>
        <w:t>Beyond infectious diseases, non</w:t>
      </w:r>
      <w:r w:rsidRPr="00BD08EF">
        <w:rPr>
          <w:rFonts w:ascii="Cambria Math" w:hAnsi="Cambria Math" w:cs="Cambria Math"/>
        </w:rPr>
        <w:t>‑</w:t>
      </w:r>
      <w:r w:rsidRPr="00BD08EF">
        <w:rPr>
          <w:rFonts w:ascii="Arial" w:hAnsi="Arial" w:cs="Arial"/>
        </w:rPr>
        <w:t xml:space="preserve">communicable diseases (NCDs) such as cardiovascular disease, diabetes, and cancer now account for over 70% of global deaths (WHO, 2020). Addressing NCDs requires tackling lifestyle factors such as diet, physical activity, and tobacco use, but also broader determinants like poverty, education, and urban design. For instance, </w:t>
      </w:r>
      <w:r w:rsidR="00B74DF6" w:rsidRPr="00BD08EF">
        <w:rPr>
          <w:rFonts w:ascii="Arial" w:hAnsi="Arial" w:cs="Arial"/>
        </w:rPr>
        <w:t>urbanization</w:t>
      </w:r>
      <w:r w:rsidRPr="00BD08EF">
        <w:rPr>
          <w:rFonts w:ascii="Arial" w:hAnsi="Arial" w:cs="Arial"/>
        </w:rPr>
        <w:t xml:space="preserve"> without adequate planning often leads to sedentary lifestyles and poor air quality, exacerbating health risks. Thus, SDG 3 </w:t>
      </w:r>
      <w:r w:rsidRPr="00BD08EF">
        <w:rPr>
          <w:rFonts w:ascii="Arial" w:hAnsi="Arial" w:cs="Arial"/>
        </w:rPr>
        <w:lastRenderedPageBreak/>
        <w:t>cannot be achieved without cross</w:t>
      </w:r>
      <w:r w:rsidRPr="00BD08EF">
        <w:rPr>
          <w:rFonts w:ascii="Cambria Math" w:hAnsi="Cambria Math" w:cs="Cambria Math"/>
        </w:rPr>
        <w:t>‑</w:t>
      </w:r>
      <w:r w:rsidRPr="00BD08EF">
        <w:rPr>
          <w:rFonts w:ascii="Arial" w:hAnsi="Arial" w:cs="Arial"/>
        </w:rPr>
        <w:t>sectoral collaboration.</w:t>
      </w:r>
      <w:r w:rsidR="00B86A0A">
        <w:rPr>
          <w:rFonts w:ascii="Arial" w:hAnsi="Arial" w:cs="Arial"/>
        </w:rPr>
        <w:t xml:space="preserve"> </w:t>
      </w:r>
      <w:r w:rsidRPr="00BD08EF">
        <w:rPr>
          <w:rFonts w:ascii="Arial" w:hAnsi="Arial" w:cs="Arial"/>
        </w:rPr>
        <w:t>Another global challenge is mental health. The WHO estimates that depression affects over 264 million people worldwide, yet mental health services remain underfunded and stigmatized (WHO, 2020). The pandemic intensified mental health pressures, with rising rates of anxiety, loneliness, and burnout. Integrating mental health into UHC frameworks is therefore critical for holistic wellbeing.</w:t>
      </w:r>
    </w:p>
    <w:p w14:paraId="6788DD00" w14:textId="77777777" w:rsidR="00A2411D" w:rsidRPr="00BD08EF" w:rsidRDefault="00A2411D" w:rsidP="00BD08EF">
      <w:pPr>
        <w:pStyle w:val="BodyText"/>
        <w:spacing w:before="6" w:line="360" w:lineRule="auto"/>
        <w:rPr>
          <w:rFonts w:ascii="Arial" w:hAnsi="Arial" w:cs="Arial"/>
        </w:rPr>
      </w:pPr>
    </w:p>
    <w:p w14:paraId="27DAD7EF" w14:textId="77777777" w:rsidR="007266D2" w:rsidRPr="00BD08EF" w:rsidRDefault="007266D2" w:rsidP="00BD08EF">
      <w:pPr>
        <w:pStyle w:val="Heading1"/>
      </w:pPr>
      <w:r w:rsidRPr="00BD08EF">
        <w:t>National Policies: The United Kingdom</w:t>
      </w:r>
    </w:p>
    <w:p w14:paraId="6D991CF6" w14:textId="5C9C2B99" w:rsidR="007266D2" w:rsidRPr="00BD08EF" w:rsidRDefault="007266D2" w:rsidP="00BD08EF">
      <w:pPr>
        <w:pStyle w:val="BodyText"/>
        <w:spacing w:before="38" w:line="360" w:lineRule="auto"/>
        <w:rPr>
          <w:rFonts w:ascii="Arial" w:hAnsi="Arial" w:cs="Arial"/>
        </w:rPr>
      </w:pPr>
      <w:r w:rsidRPr="00BD08EF">
        <w:rPr>
          <w:rFonts w:ascii="Arial" w:hAnsi="Arial" w:cs="Arial"/>
        </w:rPr>
        <w:t xml:space="preserve">In the UK, SDG 3 is reflected in the NHS Long Term Plan (2019), which </w:t>
      </w:r>
      <w:r w:rsidR="00B74DF6" w:rsidRPr="00BD08EF">
        <w:rPr>
          <w:rFonts w:ascii="Arial" w:hAnsi="Arial" w:cs="Arial"/>
        </w:rPr>
        <w:t>emphasizes</w:t>
      </w:r>
      <w:r w:rsidRPr="00BD08EF">
        <w:rPr>
          <w:rFonts w:ascii="Arial" w:hAnsi="Arial" w:cs="Arial"/>
        </w:rPr>
        <w:t xml:space="preserve"> prevention, mental health, and integrated care. The plan </w:t>
      </w:r>
      <w:r w:rsidR="00B74DF6" w:rsidRPr="00BD08EF">
        <w:rPr>
          <w:rFonts w:ascii="Arial" w:hAnsi="Arial" w:cs="Arial"/>
        </w:rPr>
        <w:t>prioritizes</w:t>
      </w:r>
      <w:r w:rsidRPr="00BD08EF">
        <w:rPr>
          <w:rFonts w:ascii="Arial" w:hAnsi="Arial" w:cs="Arial"/>
        </w:rPr>
        <w:t xml:space="preserve"> tackling obesity, smoking, and alcohol misuse, alongside expanding mental health services (NHS England, 2019). Public Health England (2020) has also launched initiatives to empower healthier lifestyles, particularly targeting childhood obesity.</w:t>
      </w:r>
      <w:r w:rsidR="00B86A0A">
        <w:rPr>
          <w:rFonts w:ascii="Arial" w:hAnsi="Arial" w:cs="Arial"/>
        </w:rPr>
        <w:t xml:space="preserve"> </w:t>
      </w:r>
      <w:r w:rsidRPr="00BD08EF">
        <w:rPr>
          <w:rFonts w:ascii="Arial" w:hAnsi="Arial" w:cs="Arial"/>
        </w:rPr>
        <w:t xml:space="preserve">Despite these efforts, challenges remain. The Marmot Review (2010) and its subsequent updates reveal persistent health inequalities across socioeconomic groups (Marmot et al., 2020). Life expectancy gains have stalled, and the gap between affluent and deprived communities has widened. For example, men in the poorest areas of England live </w:t>
      </w:r>
      <w:r w:rsidR="002B5F6D" w:rsidRPr="00BD08EF">
        <w:rPr>
          <w:rFonts w:ascii="Arial" w:hAnsi="Arial" w:cs="Arial"/>
        </w:rPr>
        <w:t>ten</w:t>
      </w:r>
      <w:r w:rsidRPr="00BD08EF">
        <w:rPr>
          <w:rFonts w:ascii="Arial" w:hAnsi="Arial" w:cs="Arial"/>
        </w:rPr>
        <w:t xml:space="preserve"> years fewer than those in the wealthiest areas. Such disparities highlight the social gradient in health, where outcomes are shaped by education, housing, employment, and community resilience.</w:t>
      </w:r>
      <w:r w:rsidR="00B86A0A">
        <w:rPr>
          <w:rFonts w:ascii="Arial" w:hAnsi="Arial" w:cs="Arial"/>
        </w:rPr>
        <w:t xml:space="preserve"> </w:t>
      </w:r>
      <w:r w:rsidRPr="00BD08EF">
        <w:rPr>
          <w:rFonts w:ascii="Arial" w:hAnsi="Arial" w:cs="Arial"/>
        </w:rPr>
        <w:t xml:space="preserve">The NHS also faces structural pressures. Workforce shortages, underfunding, and an ageing population strain </w:t>
      </w:r>
      <w:r w:rsidR="00B74DF6" w:rsidRPr="00BD08EF">
        <w:rPr>
          <w:rFonts w:ascii="Arial" w:hAnsi="Arial" w:cs="Arial"/>
        </w:rPr>
        <w:t>resource</w:t>
      </w:r>
      <w:r w:rsidRPr="00BD08EF">
        <w:rPr>
          <w:rFonts w:ascii="Arial" w:hAnsi="Arial" w:cs="Arial"/>
        </w:rPr>
        <w:t>. The COVID</w:t>
      </w:r>
      <w:r w:rsidRPr="00BD08EF">
        <w:rPr>
          <w:rFonts w:ascii="Cambria Math" w:hAnsi="Cambria Math" w:cs="Cambria Math"/>
        </w:rPr>
        <w:t>‑</w:t>
      </w:r>
      <w:r w:rsidRPr="00BD08EF">
        <w:rPr>
          <w:rFonts w:ascii="Arial" w:hAnsi="Arial" w:cs="Arial"/>
        </w:rPr>
        <w:t>19 pandemic exacerbated these challenges, leading to backlogs in elective care and heightened demand for mental health services. While the NHS has pledged to expand digital health solutions, such as telemedicine, concerns remain about digital exclusion among older adults and disadvantaged groups.</w:t>
      </w:r>
      <w:r w:rsidR="00B86A0A">
        <w:rPr>
          <w:rFonts w:ascii="Arial" w:hAnsi="Arial" w:cs="Arial"/>
        </w:rPr>
        <w:t xml:space="preserve"> </w:t>
      </w:r>
      <w:r w:rsidRPr="00BD08EF">
        <w:rPr>
          <w:rFonts w:ascii="Arial" w:hAnsi="Arial" w:cs="Arial"/>
        </w:rPr>
        <w:t xml:space="preserve">Preventive health policies illustrate both successes and limitations. Smoking rates have declined significantly due to taxation, advertising bans, and public campaigns. However, obesity remains a pressing issue, with </w:t>
      </w:r>
      <w:r w:rsidR="002B5F6D" w:rsidRPr="00BD08EF">
        <w:rPr>
          <w:rFonts w:ascii="Arial" w:hAnsi="Arial" w:cs="Arial"/>
        </w:rPr>
        <w:t>one</w:t>
      </w:r>
      <w:r w:rsidRPr="00BD08EF">
        <w:rPr>
          <w:rFonts w:ascii="Arial" w:hAnsi="Arial" w:cs="Arial"/>
        </w:rPr>
        <w:t xml:space="preserve"> in three children overweight or obese by the time they leave primary school (Public Health England, 2020). Tackling obesity requires systemic interventions, including regulation of food marketing, urban planning to encourage active lifestyles, and subsidies for healthier food options.</w:t>
      </w:r>
    </w:p>
    <w:p w14:paraId="25F9042D" w14:textId="77777777" w:rsidR="007266D2" w:rsidRPr="00BD08EF" w:rsidRDefault="007266D2" w:rsidP="00BD08EF">
      <w:pPr>
        <w:pStyle w:val="BodyText"/>
        <w:spacing w:before="38" w:line="360" w:lineRule="auto"/>
        <w:rPr>
          <w:rFonts w:ascii="Arial" w:hAnsi="Arial" w:cs="Arial"/>
        </w:rPr>
      </w:pPr>
    </w:p>
    <w:p w14:paraId="5D220119" w14:textId="77777777" w:rsidR="007266D2" w:rsidRPr="00BD08EF" w:rsidRDefault="007266D2" w:rsidP="00BD08EF">
      <w:pPr>
        <w:pStyle w:val="Heading1"/>
      </w:pPr>
      <w:r w:rsidRPr="00BD08EF">
        <w:t>Local Policies: Birmingham</w:t>
      </w:r>
    </w:p>
    <w:p w14:paraId="4DAD5461" w14:textId="335186E8" w:rsidR="009D7C9E" w:rsidRPr="00BD08EF" w:rsidRDefault="007266D2" w:rsidP="00BD08EF">
      <w:pPr>
        <w:pStyle w:val="BodyText"/>
        <w:spacing w:before="38" w:line="360" w:lineRule="auto"/>
        <w:rPr>
          <w:rFonts w:ascii="Arial" w:hAnsi="Arial" w:cs="Arial"/>
        </w:rPr>
      </w:pPr>
      <w:r w:rsidRPr="00BD08EF">
        <w:rPr>
          <w:rFonts w:ascii="Arial" w:hAnsi="Arial" w:cs="Arial"/>
        </w:rPr>
        <w:t xml:space="preserve">At the local level, Birmingham City Council’s </w:t>
      </w:r>
      <w:r w:rsidR="00FD7370" w:rsidRPr="00BD08EF">
        <w:rPr>
          <w:rFonts w:ascii="Arial" w:hAnsi="Arial" w:cs="Arial"/>
        </w:rPr>
        <w:t>Health,</w:t>
      </w:r>
      <w:r w:rsidRPr="00BD08EF">
        <w:rPr>
          <w:rFonts w:ascii="Arial" w:hAnsi="Arial" w:cs="Arial"/>
        </w:rPr>
        <w:t xml:space="preserve"> and Wellbeing Strategy 2022–2032 sets out priorities to reduce inequalities, improve mental health, and address environmental determinants of health (Birmingham City Council, 2022). A notable initiative is the Birmingham Clean Air Zone (CAZ), introduced in 2021 to reduce nitrogen dioxide emissions. Early evaluations suggest improvements in air quality, with direct benefits for respiratory health (Birmingham City Council, 2021; University of Birmingham, 2023).</w:t>
      </w:r>
      <w:r w:rsidR="00B86A0A">
        <w:rPr>
          <w:rFonts w:ascii="Arial" w:hAnsi="Arial" w:cs="Arial"/>
        </w:rPr>
        <w:t xml:space="preserve"> </w:t>
      </w:r>
      <w:r w:rsidRPr="00BD08EF">
        <w:rPr>
          <w:rFonts w:ascii="Arial" w:hAnsi="Arial" w:cs="Arial"/>
        </w:rPr>
        <w:t>However, the CAZ has faced criticism for disproportionately affecting low</w:t>
      </w:r>
      <w:r w:rsidRPr="00BD08EF">
        <w:rPr>
          <w:rFonts w:ascii="Cambria Math" w:hAnsi="Cambria Math" w:cs="Cambria Math"/>
        </w:rPr>
        <w:t>‑</w:t>
      </w:r>
      <w:r w:rsidRPr="00BD08EF">
        <w:rPr>
          <w:rFonts w:ascii="Arial" w:hAnsi="Arial" w:cs="Arial"/>
        </w:rPr>
        <w:t xml:space="preserve">income drivers who rely on older vehicles. This </w:t>
      </w:r>
      <w:r w:rsidRPr="00BD08EF">
        <w:rPr>
          <w:rFonts w:ascii="Arial" w:hAnsi="Arial" w:cs="Arial"/>
        </w:rPr>
        <w:lastRenderedPageBreak/>
        <w:t>raises questions of equity: while the policy advances public health, it risks exacerbating social inequalities unless accompanied by support measures such as subsidies or alternative transport options. For instance, offering grants for electric vehicles or expanding affordable public transport could mitigate these unintended consequences.</w:t>
      </w:r>
      <w:r w:rsidR="00B86A0A">
        <w:rPr>
          <w:rFonts w:ascii="Arial" w:hAnsi="Arial" w:cs="Arial"/>
        </w:rPr>
        <w:t xml:space="preserve"> </w:t>
      </w:r>
      <w:r w:rsidRPr="00BD08EF">
        <w:rPr>
          <w:rFonts w:ascii="Arial" w:hAnsi="Arial" w:cs="Arial"/>
        </w:rPr>
        <w:t>Birmingham also faces challenges in addressing health inequalities. The city has high rates of childhood obesity, smoking, and mental health issues compared to national averages (Birmingham City Council, 2022). Initiatives such as community health hubs, school</w:t>
      </w:r>
      <w:r w:rsidRPr="00BD08EF">
        <w:rPr>
          <w:rFonts w:ascii="Cambria Math" w:hAnsi="Cambria Math" w:cs="Cambria Math"/>
        </w:rPr>
        <w:t>‑</w:t>
      </w:r>
      <w:r w:rsidRPr="00BD08EF">
        <w:rPr>
          <w:rFonts w:ascii="Arial" w:hAnsi="Arial" w:cs="Arial"/>
        </w:rPr>
        <w:t xml:space="preserve">based wellbeing </w:t>
      </w:r>
      <w:r w:rsidR="0005380E" w:rsidRPr="00BD08EF">
        <w:rPr>
          <w:rFonts w:ascii="Arial" w:hAnsi="Arial" w:cs="Arial"/>
        </w:rPr>
        <w:t>programs</w:t>
      </w:r>
      <w:r w:rsidRPr="00BD08EF">
        <w:rPr>
          <w:rFonts w:ascii="Arial" w:hAnsi="Arial" w:cs="Arial"/>
        </w:rPr>
        <w:t>, and culturally tailored interventions are being developed to address these disparities. Yet funding constraints and fragmented service delivery remain obstacles.</w:t>
      </w:r>
    </w:p>
    <w:p w14:paraId="1B2DF68E" w14:textId="77777777" w:rsidR="009D7C9E" w:rsidRPr="00BD08EF" w:rsidRDefault="009D7C9E" w:rsidP="00BD08EF">
      <w:pPr>
        <w:pStyle w:val="BodyText"/>
        <w:spacing w:before="36" w:line="360" w:lineRule="auto"/>
        <w:rPr>
          <w:rFonts w:ascii="Arial" w:hAnsi="Arial" w:cs="Arial"/>
        </w:rPr>
      </w:pPr>
      <w:bookmarkStart w:id="1" w:name="Global_Overview_"/>
      <w:bookmarkEnd w:id="1"/>
    </w:p>
    <w:p w14:paraId="64E19298" w14:textId="77777777" w:rsidR="009A14E1" w:rsidRPr="00BD08EF" w:rsidRDefault="009A14E1" w:rsidP="00BD08EF">
      <w:pPr>
        <w:pStyle w:val="Heading1"/>
      </w:pPr>
      <w:r w:rsidRPr="00BD08EF">
        <w:t>Global Overview: SDG 13 (Climate Action)</w:t>
      </w:r>
    </w:p>
    <w:p w14:paraId="1B19DEFF" w14:textId="30A6A002" w:rsidR="002177B8" w:rsidRPr="00BD08EF" w:rsidRDefault="009A14E1" w:rsidP="00B86A0A">
      <w:pPr>
        <w:pStyle w:val="BodyText"/>
        <w:spacing w:before="36" w:line="360" w:lineRule="auto"/>
        <w:rPr>
          <w:rFonts w:ascii="Arial" w:hAnsi="Arial" w:cs="Arial"/>
        </w:rPr>
      </w:pPr>
      <w:r w:rsidRPr="00BD08EF">
        <w:rPr>
          <w:rFonts w:ascii="Arial" w:hAnsi="Arial" w:cs="Arial"/>
        </w:rPr>
        <w:t xml:space="preserve">SDG 13 calls for urgent action to combat climate change and its impacts. The Paris Agreement (2015) committed nations to limit global warming to 1.5°C, while COP26 in Glasgow (2021) saw pledges to reduce coal use and </w:t>
      </w:r>
      <w:r w:rsidR="0005380E" w:rsidRPr="00BD08EF">
        <w:rPr>
          <w:rFonts w:ascii="Arial" w:hAnsi="Arial" w:cs="Arial"/>
        </w:rPr>
        <w:t>mobilize</w:t>
      </w:r>
      <w:r w:rsidRPr="00BD08EF">
        <w:rPr>
          <w:rFonts w:ascii="Arial" w:hAnsi="Arial" w:cs="Arial"/>
        </w:rPr>
        <w:t xml:space="preserve"> climate finance (UNFCCC, 2015; UNFCCC, 2021). Despite these commitments, global emissions continue to rise. The Intergovernmental Panel on Climate Change (IPCC) warns that climate change poses severe risks to health, including heat</w:t>
      </w:r>
      <w:r w:rsidRPr="00BD08EF">
        <w:rPr>
          <w:rFonts w:ascii="Cambria Math" w:hAnsi="Cambria Math" w:cs="Cambria Math"/>
        </w:rPr>
        <w:t>‑</w:t>
      </w:r>
      <w:r w:rsidRPr="00BD08EF">
        <w:rPr>
          <w:rFonts w:ascii="Arial" w:hAnsi="Arial" w:cs="Arial"/>
        </w:rPr>
        <w:t>related illnesses, vector</w:t>
      </w:r>
      <w:r w:rsidRPr="00BD08EF">
        <w:rPr>
          <w:rFonts w:ascii="Cambria Math" w:hAnsi="Cambria Math" w:cs="Cambria Math"/>
        </w:rPr>
        <w:t>‑</w:t>
      </w:r>
      <w:r w:rsidRPr="00BD08EF">
        <w:rPr>
          <w:rFonts w:ascii="Arial" w:hAnsi="Arial" w:cs="Arial"/>
        </w:rPr>
        <w:t>borne diseases, and food insecurity (IPCC, 2022). Climate action is therefore inseparable from health policy.</w:t>
      </w:r>
      <w:r w:rsidR="00B86A0A">
        <w:rPr>
          <w:rFonts w:ascii="Arial" w:hAnsi="Arial" w:cs="Arial"/>
        </w:rPr>
        <w:t xml:space="preserve"> </w:t>
      </w:r>
      <w:r w:rsidRPr="00BD08EF">
        <w:rPr>
          <w:rFonts w:ascii="Arial" w:hAnsi="Arial" w:cs="Arial"/>
        </w:rPr>
        <w:t>Climate change disproportionately affects vulnerable populations. Rising temperatures increase the spread of diseases such as malaria and dengue, while extreme weather events displace communities and disrupt healthcare systems. Food insecurity, driven by droughts and floods, undermines nutrition and exacerbates inequalities. Thus, climate resilience must be integrated into health systems globally.</w:t>
      </w:r>
      <w:bookmarkStart w:id="2" w:name="National_Policies:_The_United_Kingdom_"/>
      <w:bookmarkEnd w:id="2"/>
    </w:p>
    <w:p w14:paraId="26220CD1" w14:textId="77777777" w:rsidR="00181828" w:rsidRPr="00BD08EF" w:rsidRDefault="00181828" w:rsidP="00BD08EF">
      <w:pPr>
        <w:spacing w:line="360" w:lineRule="auto"/>
        <w:rPr>
          <w:rFonts w:ascii="Arial" w:hAnsi="Arial" w:cs="Arial"/>
        </w:rPr>
      </w:pPr>
    </w:p>
    <w:p w14:paraId="52629456" w14:textId="77777777" w:rsidR="00181828" w:rsidRPr="00BD08EF" w:rsidRDefault="00181828" w:rsidP="00BD08EF">
      <w:pPr>
        <w:pStyle w:val="Heading1"/>
      </w:pPr>
      <w:r w:rsidRPr="00BD08EF">
        <w:t>National Policies: The United Kingdom</w:t>
      </w:r>
    </w:p>
    <w:p w14:paraId="12FE43C2" w14:textId="4BCE93D3" w:rsidR="00181828" w:rsidRPr="00BD08EF" w:rsidRDefault="00181828" w:rsidP="00BD08EF">
      <w:pPr>
        <w:spacing w:line="360" w:lineRule="auto"/>
        <w:rPr>
          <w:rFonts w:ascii="Arial" w:hAnsi="Arial" w:cs="Arial"/>
        </w:rPr>
      </w:pPr>
      <w:r w:rsidRPr="00BD08EF">
        <w:rPr>
          <w:rFonts w:ascii="Arial" w:hAnsi="Arial" w:cs="Arial"/>
        </w:rPr>
        <w:t>The UK has positioned itself as a leader in climate action. The Climate Change Act (2008, amended 2019) set a legally binding target of net</w:t>
      </w:r>
      <w:r w:rsidRPr="00BD08EF">
        <w:rPr>
          <w:rFonts w:ascii="Cambria Math" w:hAnsi="Cambria Math" w:cs="Cambria Math"/>
        </w:rPr>
        <w:t>‑</w:t>
      </w:r>
      <w:r w:rsidRPr="00BD08EF">
        <w:rPr>
          <w:rFonts w:ascii="Arial" w:hAnsi="Arial" w:cs="Arial"/>
        </w:rPr>
        <w:t>zero emissions by 2050 (UK Government, 2019). The NHS has also committed to becoming the world’s first net</w:t>
      </w:r>
      <w:r w:rsidRPr="00BD08EF">
        <w:rPr>
          <w:rFonts w:ascii="Cambria Math" w:hAnsi="Cambria Math" w:cs="Cambria Math"/>
        </w:rPr>
        <w:t>‑</w:t>
      </w:r>
      <w:r w:rsidRPr="00BD08EF">
        <w:rPr>
          <w:rFonts w:ascii="Arial" w:hAnsi="Arial" w:cs="Arial"/>
        </w:rPr>
        <w:t>zero health system by 2040 (NHS England, 2020). This includes reducing emissions from estates, transport, and supply chains.</w:t>
      </w:r>
      <w:r w:rsidR="00B86A0A">
        <w:rPr>
          <w:rFonts w:ascii="Arial" w:hAnsi="Arial" w:cs="Arial"/>
        </w:rPr>
        <w:t xml:space="preserve"> </w:t>
      </w:r>
      <w:r w:rsidRPr="00BD08EF">
        <w:rPr>
          <w:rFonts w:ascii="Arial" w:hAnsi="Arial" w:cs="Arial"/>
        </w:rPr>
        <w:t>While ambitious, implementation challenges remain. Critics argue that progress is uneven, with insufficient investment in renewable energy and delays in phasing out fossil fuels. Moreover, the cost</w:t>
      </w:r>
      <w:r w:rsidRPr="00BD08EF">
        <w:rPr>
          <w:rFonts w:ascii="Cambria Math" w:hAnsi="Cambria Math" w:cs="Cambria Math"/>
        </w:rPr>
        <w:t>‑</w:t>
      </w:r>
      <w:r w:rsidRPr="00BD08EF">
        <w:rPr>
          <w:rFonts w:ascii="Arial" w:hAnsi="Arial" w:cs="Arial"/>
        </w:rPr>
        <w:t>of</w:t>
      </w:r>
      <w:r w:rsidRPr="00BD08EF">
        <w:rPr>
          <w:rFonts w:ascii="Cambria Math" w:hAnsi="Cambria Math" w:cs="Cambria Math"/>
        </w:rPr>
        <w:t>‑</w:t>
      </w:r>
      <w:r w:rsidRPr="00BD08EF">
        <w:rPr>
          <w:rFonts w:ascii="Arial" w:hAnsi="Arial" w:cs="Arial"/>
        </w:rPr>
        <w:t>living crisis has complicated public support for climate policies, as households struggle with energy bills. Balancing environmental sustainability with social justice is therefore essential. For example, retrofitting homes for energy efficiency reduces emissions but requires upfront investment that many households cannot afford without subsidies.</w:t>
      </w:r>
      <w:r w:rsidR="00B86A0A">
        <w:rPr>
          <w:rFonts w:ascii="Arial" w:hAnsi="Arial" w:cs="Arial"/>
        </w:rPr>
        <w:t xml:space="preserve"> </w:t>
      </w:r>
      <w:r w:rsidRPr="00BD08EF">
        <w:rPr>
          <w:rFonts w:ascii="Arial" w:hAnsi="Arial" w:cs="Arial"/>
        </w:rPr>
        <w:t>The UK’s climate policies also intersect with health. Heatwaves in recent years have strained hospitals, while flooding has disrupted healthcare delivery. Integrating climate resilience into NHS planning is therefore critical. This includes preparing for extreme weather, ensuring supply chain resilience, and promoting sustainable procurement.</w:t>
      </w:r>
    </w:p>
    <w:p w14:paraId="3F7A27AB" w14:textId="77777777" w:rsidR="00181828" w:rsidRPr="00BD08EF" w:rsidRDefault="00181828" w:rsidP="00BD08EF">
      <w:pPr>
        <w:spacing w:line="360" w:lineRule="auto"/>
        <w:rPr>
          <w:rFonts w:ascii="Arial" w:hAnsi="Arial" w:cs="Arial"/>
        </w:rPr>
      </w:pPr>
    </w:p>
    <w:p w14:paraId="4C509BD2" w14:textId="77777777" w:rsidR="00181828" w:rsidRPr="00BD08EF" w:rsidRDefault="00181828" w:rsidP="00BD08EF">
      <w:pPr>
        <w:pStyle w:val="Heading1"/>
      </w:pPr>
      <w:r w:rsidRPr="00BD08EF">
        <w:t>Local Policies: Birmingham</w:t>
      </w:r>
    </w:p>
    <w:p w14:paraId="77CAA504" w14:textId="7844C892" w:rsidR="00756C5E" w:rsidRPr="00BD08EF" w:rsidRDefault="00181828" w:rsidP="00BD08EF">
      <w:pPr>
        <w:spacing w:line="360" w:lineRule="auto"/>
        <w:rPr>
          <w:rFonts w:ascii="Arial" w:hAnsi="Arial" w:cs="Arial"/>
        </w:rPr>
      </w:pPr>
      <w:r w:rsidRPr="00BD08EF">
        <w:rPr>
          <w:rFonts w:ascii="Arial" w:hAnsi="Arial" w:cs="Arial"/>
        </w:rPr>
        <w:t>Birmingham’s Route to Net Zero plan (2021) outlines strategies for clean transport, energy efficiency, and community engagement (Birmingham City Council, 2021). The Clean Air Zone exemplifies local climate action with direct health benefits. However, achieving net</w:t>
      </w:r>
      <w:r w:rsidRPr="00BD08EF">
        <w:rPr>
          <w:rFonts w:ascii="Cambria Math" w:hAnsi="Cambria Math" w:cs="Cambria Math"/>
        </w:rPr>
        <w:t>‑</w:t>
      </w:r>
      <w:r w:rsidRPr="00BD08EF">
        <w:rPr>
          <w:rFonts w:ascii="Arial" w:hAnsi="Arial" w:cs="Arial"/>
        </w:rPr>
        <w:t>zero requires systemic change. Birmingham faces challenges in retrofitting housing stock, expanding public transport, and ensuring equitable access to green initiatives. Without addressing these, climate policies risk reinforcing inequalities.</w:t>
      </w:r>
      <w:r w:rsidR="00B86A0A">
        <w:rPr>
          <w:rFonts w:ascii="Arial" w:hAnsi="Arial" w:cs="Arial"/>
        </w:rPr>
        <w:t xml:space="preserve"> </w:t>
      </w:r>
      <w:r w:rsidRPr="00BD08EF">
        <w:rPr>
          <w:rFonts w:ascii="Arial" w:hAnsi="Arial" w:cs="Arial"/>
        </w:rPr>
        <w:t>Community engagement is central to Birmingham’s approach. Initiatives such as citizen assemblies and neighbourhood climate forums aim to involve residents in decision</w:t>
      </w:r>
      <w:r w:rsidRPr="00BD08EF">
        <w:rPr>
          <w:rFonts w:ascii="Cambria Math" w:hAnsi="Cambria Math" w:cs="Cambria Math"/>
        </w:rPr>
        <w:t>‑</w:t>
      </w:r>
      <w:r w:rsidRPr="00BD08EF">
        <w:rPr>
          <w:rFonts w:ascii="Arial" w:hAnsi="Arial" w:cs="Arial"/>
        </w:rPr>
        <w:t xml:space="preserve">making. This participatory model enhances legitimacy and ensures policies reflect diverse needs. Yet sustaining engagement requires resources and trust, particularly in communities historically marginalized </w:t>
      </w:r>
      <w:r w:rsidR="0005380E" w:rsidRPr="00BD08EF">
        <w:rPr>
          <w:rFonts w:ascii="Arial" w:hAnsi="Arial" w:cs="Arial"/>
        </w:rPr>
        <w:t>by</w:t>
      </w:r>
      <w:r w:rsidRPr="00BD08EF">
        <w:rPr>
          <w:rFonts w:ascii="Arial" w:hAnsi="Arial" w:cs="Arial"/>
        </w:rPr>
        <w:t xml:space="preserve"> policymaking.</w:t>
      </w:r>
    </w:p>
    <w:p w14:paraId="35608751" w14:textId="77777777" w:rsidR="00756C5E" w:rsidRPr="00BD08EF" w:rsidRDefault="00756C5E" w:rsidP="00BD08EF">
      <w:pPr>
        <w:spacing w:line="360" w:lineRule="auto"/>
        <w:rPr>
          <w:rFonts w:ascii="Arial" w:hAnsi="Arial" w:cs="Arial"/>
        </w:rPr>
      </w:pPr>
    </w:p>
    <w:p w14:paraId="71864F48" w14:textId="77777777" w:rsidR="00756C5E" w:rsidRPr="00BD08EF" w:rsidRDefault="00756C5E" w:rsidP="003D0C85">
      <w:pPr>
        <w:pStyle w:val="Heading1"/>
      </w:pPr>
      <w:r w:rsidRPr="00BD08EF">
        <w:t>Interconnections Between Health and Climate</w:t>
      </w:r>
    </w:p>
    <w:p w14:paraId="116F3359" w14:textId="23D44240" w:rsidR="00756C5E" w:rsidRPr="00BD08EF" w:rsidRDefault="00756C5E" w:rsidP="00BD08EF">
      <w:pPr>
        <w:spacing w:line="360" w:lineRule="auto"/>
        <w:rPr>
          <w:rFonts w:ascii="Arial" w:hAnsi="Arial" w:cs="Arial"/>
        </w:rPr>
      </w:pPr>
      <w:r w:rsidRPr="00BD08EF">
        <w:rPr>
          <w:rFonts w:ascii="Arial" w:hAnsi="Arial" w:cs="Arial"/>
        </w:rPr>
        <w:t>A critical insight is that SDG 3 and SDG 13 are deeply interconnected. Climate change exacerbates health risks, while health systems themselves contribute to emissions. For example:</w:t>
      </w:r>
      <w:r w:rsidR="00B86A0A">
        <w:rPr>
          <w:rFonts w:ascii="Arial" w:hAnsi="Arial" w:cs="Arial"/>
        </w:rPr>
        <w:t xml:space="preserve"> </w:t>
      </w:r>
      <w:r w:rsidRPr="00BD08EF">
        <w:rPr>
          <w:rFonts w:ascii="Arial" w:hAnsi="Arial" w:cs="Arial"/>
        </w:rPr>
        <w:t>Air pollution contributes to respiratory diseases and cardiovascular conditions, while also being a major source of greenhouse gases. Policies that reduce emissions simultaneously improve public health outcomes.</w:t>
      </w:r>
      <w:r w:rsidR="003D0C85">
        <w:rPr>
          <w:rFonts w:ascii="Arial" w:hAnsi="Arial" w:cs="Arial"/>
        </w:rPr>
        <w:t xml:space="preserve"> </w:t>
      </w:r>
      <w:r w:rsidRPr="00BD08EF">
        <w:rPr>
          <w:rFonts w:ascii="Arial" w:hAnsi="Arial" w:cs="Arial"/>
        </w:rPr>
        <w:t>Food systems influence both nutrition and emissions. Sustainable diets, such as reducing red meat consumption and increasing plant</w:t>
      </w:r>
      <w:r w:rsidRPr="00BD08EF">
        <w:rPr>
          <w:rFonts w:ascii="Cambria Math" w:hAnsi="Cambria Math" w:cs="Cambria Math"/>
        </w:rPr>
        <w:t>‑</w:t>
      </w:r>
      <w:r w:rsidRPr="00BD08EF">
        <w:rPr>
          <w:rFonts w:ascii="Arial" w:hAnsi="Arial" w:cs="Arial"/>
        </w:rPr>
        <w:t>based foods, improve health while lowering carbon footprints.</w:t>
      </w:r>
      <w:r w:rsidR="003D0C85">
        <w:rPr>
          <w:rFonts w:ascii="Arial" w:hAnsi="Arial" w:cs="Arial"/>
        </w:rPr>
        <w:t xml:space="preserve"> </w:t>
      </w:r>
      <w:r w:rsidRPr="00BD08EF">
        <w:rPr>
          <w:rFonts w:ascii="Arial" w:hAnsi="Arial" w:cs="Arial"/>
        </w:rPr>
        <w:t>Urban design affects physical activity, mental health, and emissions. Walkable cities with green spaces promote wellbeing while reducing reliance on cars.</w:t>
      </w:r>
      <w:r w:rsidR="003D0C85">
        <w:rPr>
          <w:rFonts w:ascii="Arial" w:hAnsi="Arial" w:cs="Arial"/>
        </w:rPr>
        <w:t xml:space="preserve"> </w:t>
      </w:r>
      <w:r w:rsidRPr="00BD08EF">
        <w:rPr>
          <w:rFonts w:ascii="Arial" w:hAnsi="Arial" w:cs="Arial"/>
        </w:rPr>
        <w:t xml:space="preserve">Healthcare systems are significant emitters. Hospitals consume </w:t>
      </w:r>
      <w:r w:rsidR="00FD7370" w:rsidRPr="00BD08EF">
        <w:rPr>
          <w:rFonts w:ascii="Arial" w:hAnsi="Arial" w:cs="Arial"/>
        </w:rPr>
        <w:t>substantial amounts</w:t>
      </w:r>
      <w:r w:rsidRPr="00BD08EF">
        <w:rPr>
          <w:rFonts w:ascii="Arial" w:hAnsi="Arial" w:cs="Arial"/>
        </w:rPr>
        <w:t xml:space="preserve"> of energy and resources, meaning that </w:t>
      </w:r>
      <w:r w:rsidR="0005380E" w:rsidRPr="00BD08EF">
        <w:rPr>
          <w:rFonts w:ascii="Arial" w:hAnsi="Arial" w:cs="Arial"/>
        </w:rPr>
        <w:t>decarbonizing</w:t>
      </w:r>
      <w:r w:rsidRPr="00BD08EF">
        <w:rPr>
          <w:rFonts w:ascii="Arial" w:hAnsi="Arial" w:cs="Arial"/>
        </w:rPr>
        <w:t xml:space="preserve"> healthcare is essential for both climate and health goals.</w:t>
      </w:r>
      <w:r w:rsidR="00B86A0A">
        <w:rPr>
          <w:rFonts w:ascii="Arial" w:hAnsi="Arial" w:cs="Arial"/>
        </w:rPr>
        <w:t xml:space="preserve"> </w:t>
      </w:r>
      <w:r w:rsidRPr="00BD08EF">
        <w:rPr>
          <w:rFonts w:ascii="Arial" w:hAnsi="Arial" w:cs="Arial"/>
        </w:rPr>
        <w:t>The concept of co</w:t>
      </w:r>
      <w:r w:rsidRPr="00BD08EF">
        <w:rPr>
          <w:rFonts w:ascii="Cambria Math" w:hAnsi="Cambria Math" w:cs="Cambria Math"/>
        </w:rPr>
        <w:t>‑</w:t>
      </w:r>
      <w:r w:rsidRPr="00BD08EF">
        <w:rPr>
          <w:rFonts w:ascii="Arial" w:hAnsi="Arial" w:cs="Arial"/>
        </w:rPr>
        <w:t xml:space="preserve">benefits is central here. Policies designed to mitigate climate change often yield immediate health benefits. For instance, reducing fossil fuel use lowers air pollution, which in turn reduces asthma and heart disease. Similarly, promoting cycling and walking reduces emissions while improving physical fitness and mental wellbeing. </w:t>
      </w:r>
      <w:r w:rsidR="0005380E" w:rsidRPr="00BD08EF">
        <w:rPr>
          <w:rFonts w:ascii="Arial" w:hAnsi="Arial" w:cs="Arial"/>
        </w:rPr>
        <w:t>Recognizing</w:t>
      </w:r>
      <w:r w:rsidRPr="00BD08EF">
        <w:rPr>
          <w:rFonts w:ascii="Arial" w:hAnsi="Arial" w:cs="Arial"/>
        </w:rPr>
        <w:t xml:space="preserve"> these synergies allows policymakers to design interventions that </w:t>
      </w:r>
      <w:r w:rsidR="0005380E" w:rsidRPr="00BD08EF">
        <w:rPr>
          <w:rFonts w:ascii="Arial" w:hAnsi="Arial" w:cs="Arial"/>
        </w:rPr>
        <w:t>maximize</w:t>
      </w:r>
      <w:r w:rsidRPr="00BD08EF">
        <w:rPr>
          <w:rFonts w:ascii="Arial" w:hAnsi="Arial" w:cs="Arial"/>
        </w:rPr>
        <w:t xml:space="preserve"> impact across multiple SDGs.</w:t>
      </w:r>
    </w:p>
    <w:p w14:paraId="7211A87B" w14:textId="77777777" w:rsidR="00756C5E" w:rsidRPr="00BD08EF" w:rsidRDefault="00756C5E" w:rsidP="00BD08EF">
      <w:pPr>
        <w:spacing w:line="360" w:lineRule="auto"/>
        <w:rPr>
          <w:rFonts w:ascii="Arial" w:hAnsi="Arial" w:cs="Arial"/>
        </w:rPr>
      </w:pPr>
    </w:p>
    <w:p w14:paraId="2A797E01" w14:textId="77777777" w:rsidR="00756C5E" w:rsidRPr="00BD08EF" w:rsidRDefault="00756C5E" w:rsidP="003D0C85">
      <w:pPr>
        <w:pStyle w:val="Heading1"/>
      </w:pPr>
      <w:r w:rsidRPr="00BD08EF">
        <w:t>Critical Evaluation of Policy Effectiveness</w:t>
      </w:r>
    </w:p>
    <w:p w14:paraId="6A7C8775" w14:textId="48969C7B" w:rsidR="00756C5E" w:rsidRPr="00BD08EF" w:rsidRDefault="00756C5E" w:rsidP="00BD08EF">
      <w:pPr>
        <w:spacing w:line="360" w:lineRule="auto"/>
        <w:rPr>
          <w:rFonts w:ascii="Arial" w:hAnsi="Arial" w:cs="Arial"/>
        </w:rPr>
      </w:pPr>
      <w:r w:rsidRPr="00BD08EF">
        <w:rPr>
          <w:rFonts w:ascii="Arial" w:hAnsi="Arial" w:cs="Arial"/>
        </w:rPr>
        <w:t>While progress is evident, several limitations hinder the effectiveness of current health and sustainability policies.</w:t>
      </w:r>
    </w:p>
    <w:p w14:paraId="46657D14" w14:textId="77777777" w:rsidR="00756C5E" w:rsidRPr="00BD08EF" w:rsidRDefault="00756C5E" w:rsidP="003D0C85">
      <w:pPr>
        <w:pStyle w:val="Heading1"/>
      </w:pPr>
      <w:r w:rsidRPr="00BD08EF">
        <w:t>Global Level</w:t>
      </w:r>
    </w:p>
    <w:p w14:paraId="5A4FD646" w14:textId="444DD597" w:rsidR="00756C5E" w:rsidRPr="00BD08EF" w:rsidRDefault="00756C5E" w:rsidP="00BD08EF">
      <w:pPr>
        <w:spacing w:line="360" w:lineRule="auto"/>
        <w:rPr>
          <w:rFonts w:ascii="Arial" w:hAnsi="Arial" w:cs="Arial"/>
        </w:rPr>
      </w:pPr>
      <w:r w:rsidRPr="00BD08EF">
        <w:rPr>
          <w:rFonts w:ascii="Arial" w:hAnsi="Arial" w:cs="Arial"/>
        </w:rPr>
        <w:t xml:space="preserve">Fragmented governance: </w:t>
      </w:r>
      <w:r w:rsidR="002B5F6D" w:rsidRPr="00BD08EF">
        <w:rPr>
          <w:rFonts w:ascii="Arial" w:hAnsi="Arial" w:cs="Arial"/>
        </w:rPr>
        <w:t>National self</w:t>
      </w:r>
      <w:r w:rsidR="002B5F6D" w:rsidRPr="00BD08EF">
        <w:rPr>
          <w:rFonts w:ascii="Arial" w:hAnsi="Arial" w:cs="Arial"/>
        </w:rPr>
        <w:noBreakHyphen/>
        <w:t>interest often undermines international cooperation</w:t>
      </w:r>
      <w:r w:rsidRPr="00BD08EF">
        <w:rPr>
          <w:rFonts w:ascii="Arial" w:hAnsi="Arial" w:cs="Arial"/>
        </w:rPr>
        <w:t>. The uneven distribution of COVID</w:t>
      </w:r>
      <w:r w:rsidRPr="00BD08EF">
        <w:rPr>
          <w:rFonts w:ascii="Cambria Math" w:hAnsi="Cambria Math" w:cs="Cambria Math"/>
        </w:rPr>
        <w:t>‑</w:t>
      </w:r>
      <w:r w:rsidRPr="00BD08EF">
        <w:rPr>
          <w:rFonts w:ascii="Arial" w:hAnsi="Arial" w:cs="Arial"/>
        </w:rPr>
        <w:t>19 vaccines illustrates how global solidarity can falter in times of crisis.</w:t>
      </w:r>
      <w:r w:rsidR="00B86A0A">
        <w:rPr>
          <w:rFonts w:ascii="Arial" w:hAnsi="Arial" w:cs="Arial"/>
        </w:rPr>
        <w:t xml:space="preserve"> </w:t>
      </w:r>
      <w:r w:rsidRPr="00BD08EF">
        <w:rPr>
          <w:rFonts w:ascii="Arial" w:hAnsi="Arial" w:cs="Arial"/>
        </w:rPr>
        <w:t>Funding gaps: Achieving SDG 3 and SDG 13 requires substantial investment. Yet many low</w:t>
      </w:r>
      <w:r w:rsidRPr="00BD08EF">
        <w:rPr>
          <w:rFonts w:ascii="Cambria Math" w:hAnsi="Cambria Math" w:cs="Cambria Math"/>
        </w:rPr>
        <w:t>‑</w:t>
      </w:r>
      <w:r w:rsidRPr="00BD08EF">
        <w:rPr>
          <w:rFonts w:ascii="Arial" w:hAnsi="Arial" w:cs="Arial"/>
        </w:rPr>
        <w:t>income countries lack the financial resources to strengthen health systems or invest in renewable energy.</w:t>
      </w:r>
      <w:r w:rsidR="00B86A0A">
        <w:rPr>
          <w:rFonts w:ascii="Arial" w:hAnsi="Arial" w:cs="Arial"/>
        </w:rPr>
        <w:t xml:space="preserve"> </w:t>
      </w:r>
      <w:r w:rsidRPr="00BD08EF">
        <w:rPr>
          <w:rFonts w:ascii="Arial" w:hAnsi="Arial" w:cs="Arial"/>
        </w:rPr>
        <w:t xml:space="preserve">Equity concerns: Vulnerable populations, including women, children, and those in conflict zones, are disproportionately affected by poor health outcomes and climate impacts. Global frameworks must </w:t>
      </w:r>
      <w:r w:rsidR="0005380E" w:rsidRPr="00BD08EF">
        <w:rPr>
          <w:rFonts w:ascii="Arial" w:hAnsi="Arial" w:cs="Arial"/>
        </w:rPr>
        <w:t>prioritize</w:t>
      </w:r>
      <w:r w:rsidRPr="00BD08EF">
        <w:rPr>
          <w:rFonts w:ascii="Arial" w:hAnsi="Arial" w:cs="Arial"/>
        </w:rPr>
        <w:t xml:space="preserve"> equity to avoid widening disparities.</w:t>
      </w:r>
    </w:p>
    <w:p w14:paraId="43DC277A" w14:textId="77777777" w:rsidR="00756C5E" w:rsidRPr="00BD08EF" w:rsidRDefault="00756C5E" w:rsidP="003D0C85">
      <w:pPr>
        <w:pStyle w:val="Heading1"/>
      </w:pPr>
      <w:r w:rsidRPr="00BD08EF">
        <w:t>National Level (United Kingdom)</w:t>
      </w:r>
    </w:p>
    <w:p w14:paraId="696DDB47" w14:textId="65A8A0F9" w:rsidR="00756C5E" w:rsidRPr="00BD08EF" w:rsidRDefault="00756C5E" w:rsidP="00BD08EF">
      <w:pPr>
        <w:spacing w:line="360" w:lineRule="auto"/>
        <w:rPr>
          <w:rFonts w:ascii="Arial" w:hAnsi="Arial" w:cs="Arial"/>
        </w:rPr>
      </w:pPr>
      <w:r w:rsidRPr="00BD08EF">
        <w:rPr>
          <w:rFonts w:ascii="Arial" w:hAnsi="Arial" w:cs="Arial"/>
        </w:rPr>
        <w:t>Health inequalities: Despite the NHS’s universal coverage, socioeconomic disparities persist. The Marmot Review highlights that health outcomes are strongly linked to social determinants such as housing, education, and employment.</w:t>
      </w:r>
      <w:r w:rsidR="00B86A0A">
        <w:rPr>
          <w:rFonts w:ascii="Arial" w:hAnsi="Arial" w:cs="Arial"/>
        </w:rPr>
        <w:t xml:space="preserve"> </w:t>
      </w:r>
      <w:r w:rsidRPr="00BD08EF">
        <w:rPr>
          <w:rFonts w:ascii="Arial" w:hAnsi="Arial" w:cs="Arial"/>
        </w:rPr>
        <w:t>Implementation challenges: Ambitious climate targets, such as net</w:t>
      </w:r>
      <w:r w:rsidRPr="00BD08EF">
        <w:rPr>
          <w:rFonts w:ascii="Cambria Math" w:hAnsi="Cambria Math" w:cs="Cambria Math"/>
        </w:rPr>
        <w:t>‑</w:t>
      </w:r>
      <w:r w:rsidRPr="00BD08EF">
        <w:rPr>
          <w:rFonts w:ascii="Arial" w:hAnsi="Arial" w:cs="Arial"/>
        </w:rPr>
        <w:t>zero by 2050, face practical obstacles. Delays in renewable energy investment and resistance to lifestyle changes (e.g., reducing car use) slow progress.</w:t>
      </w:r>
      <w:r w:rsidR="00B86A0A">
        <w:rPr>
          <w:rFonts w:ascii="Arial" w:hAnsi="Arial" w:cs="Arial"/>
        </w:rPr>
        <w:t xml:space="preserve"> </w:t>
      </w:r>
      <w:r w:rsidRPr="00BD08EF">
        <w:rPr>
          <w:rFonts w:ascii="Arial" w:hAnsi="Arial" w:cs="Arial"/>
        </w:rPr>
        <w:t>Public support: Policies must balance environmental goals with social justice. For example, energy efficiency measures are essential but can be unpopular if they increase household costs without</w:t>
      </w:r>
      <w:r w:rsidR="00B86A0A">
        <w:rPr>
          <w:rFonts w:ascii="Arial" w:hAnsi="Arial" w:cs="Arial"/>
        </w:rPr>
        <w:t xml:space="preserve"> </w:t>
      </w:r>
      <w:r w:rsidRPr="00BD08EF">
        <w:rPr>
          <w:rFonts w:ascii="Arial" w:hAnsi="Arial" w:cs="Arial"/>
        </w:rPr>
        <w:t>adequate subsidies.</w:t>
      </w:r>
    </w:p>
    <w:p w14:paraId="3682157A" w14:textId="77777777" w:rsidR="00756C5E" w:rsidRPr="00BD08EF" w:rsidRDefault="00756C5E" w:rsidP="003D0C85">
      <w:pPr>
        <w:pStyle w:val="Heading1"/>
      </w:pPr>
      <w:r w:rsidRPr="00BD08EF">
        <w:t>Local Level (Birmingham)</w:t>
      </w:r>
    </w:p>
    <w:p w14:paraId="5F26B291" w14:textId="72E50A25" w:rsidR="00756C5E" w:rsidRDefault="00756C5E" w:rsidP="00BD08EF">
      <w:pPr>
        <w:spacing w:line="360" w:lineRule="auto"/>
        <w:rPr>
          <w:rFonts w:ascii="Arial" w:hAnsi="Arial" w:cs="Arial"/>
        </w:rPr>
      </w:pPr>
      <w:r w:rsidRPr="00BD08EF">
        <w:rPr>
          <w:rFonts w:ascii="Arial" w:hAnsi="Arial" w:cs="Arial"/>
        </w:rPr>
        <w:t xml:space="preserve">Equity </w:t>
      </w:r>
      <w:r w:rsidR="00EC11B0" w:rsidRPr="00BD08EF">
        <w:rPr>
          <w:rFonts w:ascii="Arial" w:hAnsi="Arial" w:cs="Arial"/>
        </w:rPr>
        <w:t>trade</w:t>
      </w:r>
      <w:r w:rsidR="00EC11B0" w:rsidRPr="00BD08EF">
        <w:rPr>
          <w:rFonts w:ascii="Cambria Math" w:hAnsi="Cambria Math" w:cs="Cambria Math"/>
        </w:rPr>
        <w:t>offs</w:t>
      </w:r>
      <w:r w:rsidRPr="00BD08EF">
        <w:rPr>
          <w:rFonts w:ascii="Arial" w:hAnsi="Arial" w:cs="Arial"/>
        </w:rPr>
        <w:t xml:space="preserve">: The Clean Air Zone improves air quality but risks </w:t>
      </w:r>
      <w:r w:rsidR="00EC11B0" w:rsidRPr="00BD08EF">
        <w:rPr>
          <w:rFonts w:ascii="Arial" w:hAnsi="Arial" w:cs="Arial"/>
        </w:rPr>
        <w:t>penalizing</w:t>
      </w:r>
      <w:r w:rsidRPr="00BD08EF">
        <w:rPr>
          <w:rFonts w:ascii="Arial" w:hAnsi="Arial" w:cs="Arial"/>
        </w:rPr>
        <w:t xml:space="preserve"> low</w:t>
      </w:r>
      <w:r w:rsidRPr="00BD08EF">
        <w:rPr>
          <w:rFonts w:ascii="Cambria Math" w:hAnsi="Cambria Math" w:cs="Cambria Math"/>
        </w:rPr>
        <w:t>‑</w:t>
      </w:r>
      <w:r w:rsidRPr="00BD08EF">
        <w:rPr>
          <w:rFonts w:ascii="Arial" w:hAnsi="Arial" w:cs="Arial"/>
        </w:rPr>
        <w:t>income residents reliant on older vehicles. Without compensatory measures, such policies may exacerbate inequalities.</w:t>
      </w:r>
      <w:r w:rsidR="00B86A0A">
        <w:rPr>
          <w:rFonts w:ascii="Arial" w:hAnsi="Arial" w:cs="Arial"/>
        </w:rPr>
        <w:t xml:space="preserve"> </w:t>
      </w:r>
      <w:r w:rsidRPr="00BD08EF">
        <w:rPr>
          <w:rFonts w:ascii="Arial" w:hAnsi="Arial" w:cs="Arial"/>
        </w:rPr>
        <w:t xml:space="preserve">Capacity constraints: Local councils often lack the resources to implement ambitious climate and health </w:t>
      </w:r>
      <w:r w:rsidR="00EC11B0" w:rsidRPr="00BD08EF">
        <w:rPr>
          <w:rFonts w:ascii="Arial" w:hAnsi="Arial" w:cs="Arial"/>
        </w:rPr>
        <w:t>programs</w:t>
      </w:r>
      <w:r w:rsidRPr="00BD08EF">
        <w:rPr>
          <w:rFonts w:ascii="Arial" w:hAnsi="Arial" w:cs="Arial"/>
        </w:rPr>
        <w:t>. Funding cuts and competing priorities limit their ability to deliver systemic change.</w:t>
      </w:r>
      <w:r w:rsidR="00B86A0A">
        <w:rPr>
          <w:rFonts w:ascii="Arial" w:hAnsi="Arial" w:cs="Arial"/>
        </w:rPr>
        <w:t xml:space="preserve"> </w:t>
      </w:r>
      <w:r w:rsidRPr="00BD08EF">
        <w:rPr>
          <w:rFonts w:ascii="Arial" w:hAnsi="Arial" w:cs="Arial"/>
        </w:rPr>
        <w:t>Community engagement: While Birmingham has pioneered participatory approaches, sustaining citizen involvement requires trust, transparency, and long</w:t>
      </w:r>
      <w:r w:rsidRPr="00BD08EF">
        <w:rPr>
          <w:rFonts w:ascii="Cambria Math" w:hAnsi="Cambria Math" w:cs="Cambria Math"/>
        </w:rPr>
        <w:t>‑</w:t>
      </w:r>
      <w:r w:rsidRPr="00BD08EF">
        <w:rPr>
          <w:rFonts w:ascii="Arial" w:hAnsi="Arial" w:cs="Arial"/>
        </w:rPr>
        <w:t>term investment.</w:t>
      </w:r>
    </w:p>
    <w:p w14:paraId="67CEC6A5" w14:textId="77777777" w:rsidR="003D0C85" w:rsidRPr="00BD08EF" w:rsidRDefault="003D0C85" w:rsidP="00BD08EF">
      <w:pPr>
        <w:spacing w:line="360" w:lineRule="auto"/>
        <w:rPr>
          <w:rFonts w:ascii="Arial" w:hAnsi="Arial" w:cs="Arial"/>
        </w:rPr>
      </w:pPr>
    </w:p>
    <w:p w14:paraId="6A9D590A" w14:textId="77777777" w:rsidR="00756C5E" w:rsidRPr="00BD08EF" w:rsidRDefault="00756C5E" w:rsidP="003D0C85">
      <w:pPr>
        <w:pStyle w:val="Heading1"/>
      </w:pPr>
      <w:r w:rsidRPr="00BD08EF">
        <w:t>Recommendations</w:t>
      </w:r>
    </w:p>
    <w:p w14:paraId="5B8251C7" w14:textId="37344C04" w:rsidR="00756C5E" w:rsidRPr="00BD08EF" w:rsidRDefault="00756C5E" w:rsidP="00BD08EF">
      <w:pPr>
        <w:spacing w:line="360" w:lineRule="auto"/>
        <w:rPr>
          <w:rFonts w:ascii="Arial" w:hAnsi="Arial" w:cs="Arial"/>
        </w:rPr>
      </w:pPr>
      <w:r w:rsidRPr="00BD08EF">
        <w:rPr>
          <w:rFonts w:ascii="Arial" w:hAnsi="Arial" w:cs="Arial"/>
        </w:rPr>
        <w:t>To strengthen the effectiveness of health, wellbeing, and sustainability policies, several recommendations can be made:</w:t>
      </w:r>
      <w:r w:rsidR="00B86A0A">
        <w:rPr>
          <w:rFonts w:ascii="Arial" w:hAnsi="Arial" w:cs="Arial"/>
        </w:rPr>
        <w:t xml:space="preserve"> </w:t>
      </w:r>
      <w:r w:rsidRPr="00BD08EF">
        <w:rPr>
          <w:rFonts w:ascii="Arial" w:hAnsi="Arial" w:cs="Arial"/>
        </w:rPr>
        <w:t>Integrate health and climate policies. Governments should adopt a “health in all policies” approach, ensuring that climate, transport, housing, and economic strategies explicitly consider</w:t>
      </w:r>
      <w:r w:rsidR="00B86A0A">
        <w:rPr>
          <w:rFonts w:ascii="Arial" w:hAnsi="Arial" w:cs="Arial"/>
        </w:rPr>
        <w:t xml:space="preserve"> </w:t>
      </w:r>
      <w:r w:rsidRPr="00BD08EF">
        <w:rPr>
          <w:rFonts w:ascii="Arial" w:hAnsi="Arial" w:cs="Arial"/>
        </w:rPr>
        <w:t>health impacts.</w:t>
      </w:r>
      <w:r w:rsidR="00B86A0A">
        <w:rPr>
          <w:rFonts w:ascii="Arial" w:hAnsi="Arial" w:cs="Arial"/>
        </w:rPr>
        <w:t xml:space="preserve"> </w:t>
      </w:r>
      <w:r w:rsidR="00EC11B0" w:rsidRPr="00BD08EF">
        <w:rPr>
          <w:rFonts w:ascii="Arial" w:hAnsi="Arial" w:cs="Arial"/>
        </w:rPr>
        <w:t>Priorities</w:t>
      </w:r>
      <w:r w:rsidRPr="00BD08EF">
        <w:rPr>
          <w:rFonts w:ascii="Arial" w:hAnsi="Arial" w:cs="Arial"/>
        </w:rPr>
        <w:t xml:space="preserve"> equity. Policies must be designed to avoid exacerbating inequalities. For example, subsidies for low</w:t>
      </w:r>
      <w:r w:rsidRPr="00BD08EF">
        <w:rPr>
          <w:rFonts w:ascii="Cambria Math" w:hAnsi="Cambria Math" w:cs="Cambria Math"/>
        </w:rPr>
        <w:t>‑</w:t>
      </w:r>
      <w:r w:rsidRPr="00BD08EF">
        <w:rPr>
          <w:rFonts w:ascii="Arial" w:hAnsi="Arial" w:cs="Arial"/>
        </w:rPr>
        <w:t>income households to access clean transport or energy efficiency measures can ensure fairness.</w:t>
      </w:r>
      <w:r w:rsidR="00B86A0A">
        <w:rPr>
          <w:rFonts w:ascii="Arial" w:hAnsi="Arial" w:cs="Arial"/>
        </w:rPr>
        <w:t xml:space="preserve"> </w:t>
      </w:r>
      <w:r w:rsidR="00EC11B0" w:rsidRPr="00BD08EF">
        <w:rPr>
          <w:rFonts w:ascii="Arial" w:hAnsi="Arial" w:cs="Arial"/>
        </w:rPr>
        <w:t>Strengthening</w:t>
      </w:r>
      <w:r w:rsidRPr="00BD08EF">
        <w:rPr>
          <w:rFonts w:ascii="Arial" w:hAnsi="Arial" w:cs="Arial"/>
        </w:rPr>
        <w:t xml:space="preserve"> global solidarity. International cooperation is essential for tackling pandemics and climate change. Mechanisms such as COVAX should be reinforced to ensure equitable access to resources.</w:t>
      </w:r>
      <w:r w:rsidR="00B86A0A">
        <w:rPr>
          <w:rFonts w:ascii="Arial" w:hAnsi="Arial" w:cs="Arial"/>
        </w:rPr>
        <w:t xml:space="preserve"> </w:t>
      </w:r>
      <w:r w:rsidRPr="00BD08EF">
        <w:rPr>
          <w:rFonts w:ascii="Arial" w:hAnsi="Arial" w:cs="Arial"/>
        </w:rPr>
        <w:t>Invest in prevention. Preventive health measures, such as tackling obesity and promoting mental health, reduce long</w:t>
      </w:r>
      <w:r w:rsidRPr="00BD08EF">
        <w:rPr>
          <w:rFonts w:ascii="Cambria Math" w:hAnsi="Cambria Math" w:cs="Cambria Math"/>
        </w:rPr>
        <w:t>‑</w:t>
      </w:r>
      <w:r w:rsidRPr="00BD08EF">
        <w:rPr>
          <w:rFonts w:ascii="Arial" w:hAnsi="Arial" w:cs="Arial"/>
        </w:rPr>
        <w:t>term costs and improve resilience to climate impacts.</w:t>
      </w:r>
      <w:r w:rsidR="00B86A0A">
        <w:rPr>
          <w:rFonts w:ascii="Arial" w:hAnsi="Arial" w:cs="Arial"/>
        </w:rPr>
        <w:t xml:space="preserve"> </w:t>
      </w:r>
      <w:r w:rsidRPr="00BD08EF">
        <w:rPr>
          <w:rFonts w:ascii="Arial" w:hAnsi="Arial" w:cs="Arial"/>
        </w:rPr>
        <w:t>Empower local communities. Citizen assemblies and participatory budgeting can enhance legitimacy and ensure policies reflect diverse needs. Local engagement is critical for sustainable change.</w:t>
      </w:r>
      <w:r w:rsidR="00B86A0A">
        <w:rPr>
          <w:rFonts w:ascii="Arial" w:hAnsi="Arial" w:cs="Arial"/>
        </w:rPr>
        <w:t xml:space="preserve"> </w:t>
      </w:r>
      <w:r w:rsidR="00EC11B0" w:rsidRPr="00BD08EF">
        <w:rPr>
          <w:rFonts w:ascii="Arial" w:hAnsi="Arial" w:cs="Arial"/>
        </w:rPr>
        <w:t>Decarbonize</w:t>
      </w:r>
      <w:r w:rsidRPr="00BD08EF">
        <w:rPr>
          <w:rFonts w:ascii="Arial" w:hAnsi="Arial" w:cs="Arial"/>
        </w:rPr>
        <w:t xml:space="preserve"> healthcare. The NHS’s commitment to net</w:t>
      </w:r>
      <w:r w:rsidRPr="00BD08EF">
        <w:rPr>
          <w:rFonts w:ascii="Cambria Math" w:hAnsi="Cambria Math" w:cs="Cambria Math"/>
        </w:rPr>
        <w:t>‑</w:t>
      </w:r>
      <w:r w:rsidRPr="00BD08EF">
        <w:rPr>
          <w:rFonts w:ascii="Arial" w:hAnsi="Arial" w:cs="Arial"/>
        </w:rPr>
        <w:t>zero should be accelerated, with investment in renewable energy, sustainable procurement, and low</w:t>
      </w:r>
      <w:r w:rsidRPr="00BD08EF">
        <w:rPr>
          <w:rFonts w:ascii="Cambria Math" w:hAnsi="Cambria Math" w:cs="Cambria Math"/>
        </w:rPr>
        <w:t>‑</w:t>
      </w:r>
      <w:r w:rsidRPr="00BD08EF">
        <w:rPr>
          <w:rFonts w:ascii="Arial" w:hAnsi="Arial" w:cs="Arial"/>
        </w:rPr>
        <w:t>carbon transport.</w:t>
      </w:r>
      <w:r w:rsidR="00B86A0A">
        <w:rPr>
          <w:rFonts w:ascii="Arial" w:hAnsi="Arial" w:cs="Arial"/>
        </w:rPr>
        <w:t xml:space="preserve"> </w:t>
      </w:r>
      <w:r w:rsidRPr="00BD08EF">
        <w:rPr>
          <w:rFonts w:ascii="Arial" w:hAnsi="Arial" w:cs="Arial"/>
        </w:rPr>
        <w:t>Promote co</w:t>
      </w:r>
      <w:r w:rsidRPr="00BD08EF">
        <w:rPr>
          <w:rFonts w:ascii="Cambria Math" w:hAnsi="Cambria Math" w:cs="Cambria Math"/>
        </w:rPr>
        <w:t>‑</w:t>
      </w:r>
      <w:r w:rsidRPr="00BD08EF">
        <w:rPr>
          <w:rFonts w:ascii="Arial" w:hAnsi="Arial" w:cs="Arial"/>
        </w:rPr>
        <w:t>benefits. Policymakers should highlight the immediate health benefits of climate action, such as cleaner air and healthier lifestyles, to build public support.</w:t>
      </w:r>
    </w:p>
    <w:p w14:paraId="318821D3" w14:textId="77777777" w:rsidR="00756C5E" w:rsidRPr="00BD08EF" w:rsidRDefault="00756C5E" w:rsidP="00BD08EF">
      <w:pPr>
        <w:spacing w:line="360" w:lineRule="auto"/>
        <w:rPr>
          <w:rFonts w:ascii="Arial" w:hAnsi="Arial" w:cs="Arial"/>
        </w:rPr>
      </w:pPr>
    </w:p>
    <w:p w14:paraId="4E867005" w14:textId="77777777" w:rsidR="00756C5E" w:rsidRPr="00BD08EF" w:rsidRDefault="00756C5E" w:rsidP="00B86A0A">
      <w:pPr>
        <w:pStyle w:val="Heading1"/>
      </w:pPr>
      <w:r w:rsidRPr="00BD08EF">
        <w:t>Conclusion</w:t>
      </w:r>
    </w:p>
    <w:p w14:paraId="535D3577" w14:textId="46E6AFDA" w:rsidR="00756C5E" w:rsidRPr="00BD08EF" w:rsidRDefault="00756C5E" w:rsidP="00BD08EF">
      <w:pPr>
        <w:spacing w:line="360" w:lineRule="auto"/>
        <w:rPr>
          <w:rFonts w:ascii="Arial" w:hAnsi="Arial" w:cs="Arial"/>
        </w:rPr>
        <w:sectPr w:rsidR="00756C5E" w:rsidRPr="00BD08EF">
          <w:pgSz w:w="12240" w:h="15840"/>
          <w:pgMar w:top="1360" w:right="1440" w:bottom="280" w:left="1440" w:header="720" w:footer="720" w:gutter="0"/>
          <w:cols w:space="720"/>
        </w:sectPr>
      </w:pPr>
      <w:r w:rsidRPr="00BD08EF">
        <w:rPr>
          <w:rFonts w:ascii="Arial" w:hAnsi="Arial" w:cs="Arial"/>
        </w:rPr>
        <w:t xml:space="preserve">Health, wellbeing, and sustainability are inseparable dimensions of human development. SDG 3 and SDG 13 illustrate the interconnected nature of global challenges, where progress in one area reinforces the other. Globally, significant strides have been made in reducing child mortality and expanding vaccination, yet inequities persist. Nationally, the UK has ambitious health and climate policies, but implementation is </w:t>
      </w:r>
      <w:r w:rsidR="00EC11B0" w:rsidRPr="00BD08EF">
        <w:rPr>
          <w:rFonts w:ascii="Arial" w:hAnsi="Arial" w:cs="Arial"/>
        </w:rPr>
        <w:t>uneven,</w:t>
      </w:r>
      <w:r w:rsidRPr="00BD08EF">
        <w:rPr>
          <w:rFonts w:ascii="Arial" w:hAnsi="Arial" w:cs="Arial"/>
        </w:rPr>
        <w:t xml:space="preserve"> and inequalities remain entrenched. Locally, Birmingham demonstrates innovative approaches such as the Clean Air Zone, though equity concerns highlight the need for careful policy design.</w:t>
      </w:r>
      <w:r w:rsidR="00B86A0A">
        <w:rPr>
          <w:rFonts w:ascii="Arial" w:hAnsi="Arial" w:cs="Arial"/>
        </w:rPr>
        <w:t xml:space="preserve"> </w:t>
      </w:r>
      <w:r w:rsidRPr="00BD08EF">
        <w:rPr>
          <w:rFonts w:ascii="Arial" w:hAnsi="Arial" w:cs="Arial"/>
        </w:rPr>
        <w:t xml:space="preserve">Ultimately, achieving sustainable health and wellbeing requires systemic change. Policies must integrate health and climate considerations, </w:t>
      </w:r>
      <w:r w:rsidR="00EC11B0" w:rsidRPr="00BD08EF">
        <w:rPr>
          <w:rFonts w:ascii="Arial" w:hAnsi="Arial" w:cs="Arial"/>
        </w:rPr>
        <w:t>prioritize</w:t>
      </w:r>
      <w:r w:rsidRPr="00BD08EF">
        <w:rPr>
          <w:rFonts w:ascii="Arial" w:hAnsi="Arial" w:cs="Arial"/>
        </w:rPr>
        <w:t xml:space="preserve"> equity, and empower communities. By </w:t>
      </w:r>
      <w:r w:rsidR="00EC11B0" w:rsidRPr="00BD08EF">
        <w:rPr>
          <w:rFonts w:ascii="Arial" w:hAnsi="Arial" w:cs="Arial"/>
        </w:rPr>
        <w:t>recognizing</w:t>
      </w:r>
      <w:r w:rsidRPr="00BD08EF">
        <w:rPr>
          <w:rFonts w:ascii="Arial" w:hAnsi="Arial" w:cs="Arial"/>
        </w:rPr>
        <w:t xml:space="preserve"> the co</w:t>
      </w:r>
      <w:r w:rsidRPr="00BD08EF">
        <w:rPr>
          <w:rFonts w:ascii="Cambria Math" w:hAnsi="Cambria Math" w:cs="Cambria Math"/>
        </w:rPr>
        <w:t>‑</w:t>
      </w:r>
      <w:r w:rsidRPr="00BD08EF">
        <w:rPr>
          <w:rFonts w:ascii="Arial" w:hAnsi="Arial" w:cs="Arial"/>
        </w:rPr>
        <w:t>benefits of climate action for health, governments can build momentum towards a healthier, fairer, and more sustainable future. The challenge is immense, but the potential rewards healthier lives, resilient communities, and a stable climate are transformativ</w:t>
      </w:r>
      <w:r w:rsidR="00BD08EF" w:rsidRPr="00BD08EF">
        <w:rPr>
          <w:rFonts w:ascii="Arial" w:hAnsi="Arial" w:cs="Arial"/>
        </w:rPr>
        <w:t>e</w:t>
      </w:r>
      <w:r w:rsidR="00B52786">
        <w:rPr>
          <w:rFonts w:ascii="Arial" w:hAnsi="Arial" w:cs="Arial"/>
        </w:rPr>
        <w:t>.</w:t>
      </w:r>
    </w:p>
    <w:p w14:paraId="7DF047F5" w14:textId="77777777" w:rsidR="00B52786" w:rsidRDefault="00B52786" w:rsidP="00B52786"/>
    <w:p w14:paraId="1C585D51" w14:textId="77777777" w:rsidR="00B52786" w:rsidRDefault="00B52786" w:rsidP="00B52786"/>
    <w:p w14:paraId="059DE57F" w14:textId="72D5D6A5" w:rsidR="00B52786" w:rsidRPr="00B52786" w:rsidRDefault="00B52786" w:rsidP="00B52786">
      <w:pPr>
        <w:sectPr w:rsidR="00B52786" w:rsidRPr="00B52786">
          <w:pgSz w:w="12240" w:h="15840"/>
          <w:pgMar w:top="1360" w:right="1440" w:bottom="280" w:left="1440" w:header="720" w:footer="720" w:gutter="0"/>
          <w:cols w:space="720"/>
        </w:sectPr>
      </w:pPr>
      <w:r>
        <w:t>References on next page.</w:t>
      </w:r>
    </w:p>
    <w:p w14:paraId="018B33CE" w14:textId="73A3F6CE" w:rsidR="009D7C9E" w:rsidRPr="003C6EAB" w:rsidRDefault="00000000" w:rsidP="003C6EAB">
      <w:pPr>
        <w:pStyle w:val="Heading1"/>
        <w:spacing w:before="80" w:line="360" w:lineRule="auto"/>
        <w:rPr>
          <w:sz w:val="22"/>
          <w:szCs w:val="22"/>
        </w:rPr>
      </w:pPr>
      <w:bookmarkStart w:id="3" w:name="References_"/>
      <w:bookmarkEnd w:id="3"/>
      <w:r w:rsidRPr="003C6EAB">
        <w:rPr>
          <w:spacing w:val="-2"/>
          <w:sz w:val="22"/>
          <w:szCs w:val="22"/>
        </w:rPr>
        <w:t>References</w:t>
      </w:r>
    </w:p>
    <w:p w14:paraId="12AEE5F8" w14:textId="28C9EA49"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Birmingham City Council (2021) Clean Air Zone: Annual Report. Birmingham: Birmingham City Council.</w:t>
      </w:r>
    </w:p>
    <w:p w14:paraId="0BFD1FD9" w14:textId="0A87C909"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Birmingham City Council (2021) Route to Net Zero. Birmingham: Birmingham City Council.</w:t>
      </w:r>
    </w:p>
    <w:p w14:paraId="1BB59487" w14:textId="4CF4AD66"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Birmingham City Council (2022) Health and Wellbeing Strategy 2022–2032. Birmingham: Birmingham City Council.</w:t>
      </w:r>
    </w:p>
    <w:p w14:paraId="18D8409B" w14:textId="216D6256"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Bond (2022) SDG 13: Progress, Gaps and Recommendations for the UK. London: Bond.</w:t>
      </w:r>
    </w:p>
    <w:p w14:paraId="38F6E115" w14:textId="154E7CA9"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Climate Change Committee (2021) COP26: Key Outcomes and Next Steps for the UK. London: CCC.</w:t>
      </w:r>
    </w:p>
    <w:p w14:paraId="2E378832" w14:textId="2653C7FF"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De Bengy Puyvallée, A. &amp; Tagmatarchi Storeng, K. (2022) ‘COVAX and the politics of global vaccine distribution’, BMJ Global Health, 7(3), pp. 1–5.</w:t>
      </w:r>
    </w:p>
    <w:p w14:paraId="366EC474" w14:textId="103CE749"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Food and Agriculture Organization (FAO) (2015) The State of Food and Agriculture: Social Protection and Agriculture. Rome: FAO.</w:t>
      </w:r>
    </w:p>
    <w:p w14:paraId="2D96B028" w14:textId="5988EE7F"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Gavi (2021) COVAX Explained. Available at: https://www.gavi.org/covax-explained (Accessed: 22 November 2025).</w:t>
      </w:r>
    </w:p>
    <w:p w14:paraId="15135AEA" w14:textId="13FA4F3D"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Intergovernmental Panel on Climate Change (IPCC) (2022) Climate Change 2022: Impacts, Adaptation and Vulnerability. Geneva: IPCC.</w:t>
      </w:r>
    </w:p>
    <w:p w14:paraId="110F63E0" w14:textId="2C975192"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Marmot, M. (2010) Fair Society, Healthy Lives: Strategic Review of Health Inequalities in England Post</w:t>
      </w:r>
      <w:r w:rsidRPr="003C6EAB">
        <w:rPr>
          <w:rFonts w:ascii="Cambria Math" w:hAnsi="Cambria Math" w:cs="Cambria Math"/>
        </w:rPr>
        <w:t>‑</w:t>
      </w:r>
      <w:r w:rsidRPr="003C6EAB">
        <w:rPr>
          <w:rFonts w:ascii="Arial" w:hAnsi="Arial" w:cs="Arial"/>
        </w:rPr>
        <w:t>2010. London: The Marmot Review.</w:t>
      </w:r>
    </w:p>
    <w:p w14:paraId="758AFF86" w14:textId="240266FE"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Marmot, M., Allen, J., Boyce, T., Goldblatt, P. &amp; Morrison, J. (2020) Health Equity in England: The Marmot Review 10 Years On. London: Institute of Health Equity.</w:t>
      </w:r>
    </w:p>
    <w:p w14:paraId="04A2181E" w14:textId="7B0922EE"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NHS England (2019) The NHS Long Term Plan. London: NHS England.</w:t>
      </w:r>
    </w:p>
    <w:p w14:paraId="337005CF" w14:textId="3DBBE2AA"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NHS England (2020) Delivering a Net Zero NHS. London: NHS England.</w:t>
      </w:r>
    </w:p>
    <w:p w14:paraId="4CCED78C" w14:textId="7E853215"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Public Health England (2020) Childhood Obesity: A Plan for Action. London: PHE.</w:t>
      </w:r>
    </w:p>
    <w:p w14:paraId="6ABD58A9" w14:textId="16228F2D"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UK Government (2019) Climate Change Act 2008 (2050 Target Amendment) Order 2019. London: HMSO.</w:t>
      </w:r>
    </w:p>
    <w:p w14:paraId="6474F2C2" w14:textId="18B3A073"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UNICEF (2020) SDG Goal 3: Good Health and Well</w:t>
      </w:r>
      <w:r w:rsidRPr="003C6EAB">
        <w:rPr>
          <w:rFonts w:ascii="Cambria Math" w:hAnsi="Cambria Math" w:cs="Cambria Math"/>
        </w:rPr>
        <w:t>‑</w:t>
      </w:r>
      <w:r w:rsidRPr="003C6EAB">
        <w:rPr>
          <w:rFonts w:ascii="Arial" w:hAnsi="Arial" w:cs="Arial"/>
        </w:rPr>
        <w:t>being. Available at: https://data.unicef.org/sdgs/goal-3-good-health-wellbeing/ (Accessed: 22 November 2025).</w:t>
      </w:r>
    </w:p>
    <w:p w14:paraId="7A4D0B43" w14:textId="02EBDD6A"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United Nations (2015) Transforming Our World: The 2030 Agenda for Sustainable Development. New York: United Nations.</w:t>
      </w:r>
    </w:p>
    <w:p w14:paraId="7A0EF173" w14:textId="2913461B"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United Nations Development Programme (UNDP) (2015) Sustainable Development Goals. New York: UNDP.</w:t>
      </w:r>
    </w:p>
    <w:p w14:paraId="1ABB436C" w14:textId="12F9F662"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UNFCCC (2015) Paris Agreement. Bonn: United Nations Framework Convention on Climate Change.</w:t>
      </w:r>
    </w:p>
    <w:p w14:paraId="7965E4A3" w14:textId="4E473D55"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UNFCCC (2021) COP26 Outcomes: Glasgow Climate Pact. Bonn: UNFCCC.</w:t>
      </w:r>
    </w:p>
    <w:p w14:paraId="2D7C48EE" w14:textId="6CCF7641"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University of Birmingham (2023) Evaluation of Birmingham Clean Air Zone. Birmingham: University of Birmingham.</w:t>
      </w:r>
    </w:p>
    <w:p w14:paraId="5E2F819A" w14:textId="52B912A2" w:rsidR="002E7A81" w:rsidRPr="003C6EAB" w:rsidRDefault="002E7A81" w:rsidP="002E7A81">
      <w:pPr>
        <w:tabs>
          <w:tab w:val="left" w:pos="945"/>
        </w:tabs>
        <w:spacing w:line="360" w:lineRule="auto"/>
        <w:ind w:right="177"/>
        <w:rPr>
          <w:rFonts w:ascii="Arial" w:hAnsi="Arial" w:cs="Arial"/>
        </w:rPr>
      </w:pPr>
      <w:r w:rsidRPr="003C6EAB">
        <w:rPr>
          <w:rFonts w:ascii="Arial" w:hAnsi="Arial" w:cs="Arial"/>
        </w:rPr>
        <w:t>World Health Organization (2019) World Health Statistics 2019: Monitoring Health for the SDGs. Geneva: WHO.</w:t>
      </w:r>
    </w:p>
    <w:p w14:paraId="06590E4D" w14:textId="5F8BD4C0" w:rsidR="009D7C9E" w:rsidRPr="003C6EAB" w:rsidRDefault="002E7A81" w:rsidP="002E7A81">
      <w:pPr>
        <w:tabs>
          <w:tab w:val="left" w:pos="945"/>
        </w:tabs>
        <w:spacing w:line="360" w:lineRule="auto"/>
        <w:ind w:right="177"/>
        <w:rPr>
          <w:rFonts w:ascii="Arial" w:hAnsi="Arial" w:cs="Arial"/>
        </w:rPr>
      </w:pPr>
      <w:r w:rsidRPr="003C6EAB">
        <w:rPr>
          <w:rFonts w:ascii="Arial" w:hAnsi="Arial" w:cs="Arial"/>
        </w:rPr>
        <w:t>World Health Organization (2020) Global Health Observatory: Sustainable Development Goals. Available at: https://www.who.int/data/gho/data/themes/sustainable-development-goals (Accessed: 22 November 2025).</w:t>
      </w:r>
    </w:p>
    <w:sectPr w:rsidR="009D7C9E" w:rsidRPr="003C6EAB">
      <w:pgSz w:w="12240" w:h="15840"/>
      <w:pgMar w:top="1360" w:right="1440" w:bottom="28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003D5"/>
    <w:multiLevelType w:val="hybridMultilevel"/>
    <w:tmpl w:val="2772878A"/>
    <w:lvl w:ilvl="0" w:tplc="2CE835CC">
      <w:numFmt w:val="bullet"/>
      <w:lvlText w:val="●"/>
      <w:lvlJc w:val="left"/>
      <w:pPr>
        <w:ind w:left="945" w:hanging="360"/>
      </w:pPr>
      <w:rPr>
        <w:rFonts w:ascii="Arial MT" w:eastAsia="Arial MT" w:hAnsi="Arial MT" w:cs="Arial MT" w:hint="default"/>
        <w:b w:val="0"/>
        <w:bCs w:val="0"/>
        <w:i w:val="0"/>
        <w:iCs w:val="0"/>
        <w:spacing w:val="0"/>
        <w:w w:val="60"/>
        <w:sz w:val="22"/>
        <w:szCs w:val="22"/>
        <w:lang w:val="en-US" w:eastAsia="en-US" w:bidi="ar-SA"/>
      </w:rPr>
    </w:lvl>
    <w:lvl w:ilvl="1" w:tplc="38847DEC">
      <w:numFmt w:val="bullet"/>
      <w:lvlText w:val="•"/>
      <w:lvlJc w:val="left"/>
      <w:pPr>
        <w:ind w:left="1782" w:hanging="360"/>
      </w:pPr>
      <w:rPr>
        <w:rFonts w:hint="default"/>
        <w:lang w:val="en-US" w:eastAsia="en-US" w:bidi="ar-SA"/>
      </w:rPr>
    </w:lvl>
    <w:lvl w:ilvl="2" w:tplc="3B4EA82A">
      <w:numFmt w:val="bullet"/>
      <w:lvlText w:val="•"/>
      <w:lvlJc w:val="left"/>
      <w:pPr>
        <w:ind w:left="2624" w:hanging="360"/>
      </w:pPr>
      <w:rPr>
        <w:rFonts w:hint="default"/>
        <w:lang w:val="en-US" w:eastAsia="en-US" w:bidi="ar-SA"/>
      </w:rPr>
    </w:lvl>
    <w:lvl w:ilvl="3" w:tplc="F81294EC">
      <w:numFmt w:val="bullet"/>
      <w:lvlText w:val="•"/>
      <w:lvlJc w:val="left"/>
      <w:pPr>
        <w:ind w:left="3466" w:hanging="360"/>
      </w:pPr>
      <w:rPr>
        <w:rFonts w:hint="default"/>
        <w:lang w:val="en-US" w:eastAsia="en-US" w:bidi="ar-SA"/>
      </w:rPr>
    </w:lvl>
    <w:lvl w:ilvl="4" w:tplc="8D58F6CC">
      <w:numFmt w:val="bullet"/>
      <w:lvlText w:val="•"/>
      <w:lvlJc w:val="left"/>
      <w:pPr>
        <w:ind w:left="4308" w:hanging="360"/>
      </w:pPr>
      <w:rPr>
        <w:rFonts w:hint="default"/>
        <w:lang w:val="en-US" w:eastAsia="en-US" w:bidi="ar-SA"/>
      </w:rPr>
    </w:lvl>
    <w:lvl w:ilvl="5" w:tplc="89BEB14C">
      <w:numFmt w:val="bullet"/>
      <w:lvlText w:val="•"/>
      <w:lvlJc w:val="left"/>
      <w:pPr>
        <w:ind w:left="5150" w:hanging="360"/>
      </w:pPr>
      <w:rPr>
        <w:rFonts w:hint="default"/>
        <w:lang w:val="en-US" w:eastAsia="en-US" w:bidi="ar-SA"/>
      </w:rPr>
    </w:lvl>
    <w:lvl w:ilvl="6" w:tplc="24985876">
      <w:numFmt w:val="bullet"/>
      <w:lvlText w:val="•"/>
      <w:lvlJc w:val="left"/>
      <w:pPr>
        <w:ind w:left="5992" w:hanging="360"/>
      </w:pPr>
      <w:rPr>
        <w:rFonts w:hint="default"/>
        <w:lang w:val="en-US" w:eastAsia="en-US" w:bidi="ar-SA"/>
      </w:rPr>
    </w:lvl>
    <w:lvl w:ilvl="7" w:tplc="3F0E5802">
      <w:numFmt w:val="bullet"/>
      <w:lvlText w:val="•"/>
      <w:lvlJc w:val="left"/>
      <w:pPr>
        <w:ind w:left="6834" w:hanging="360"/>
      </w:pPr>
      <w:rPr>
        <w:rFonts w:hint="default"/>
        <w:lang w:val="en-US" w:eastAsia="en-US" w:bidi="ar-SA"/>
      </w:rPr>
    </w:lvl>
    <w:lvl w:ilvl="8" w:tplc="A266A072">
      <w:numFmt w:val="bullet"/>
      <w:lvlText w:val="•"/>
      <w:lvlJc w:val="left"/>
      <w:pPr>
        <w:ind w:left="7676" w:hanging="360"/>
      </w:pPr>
      <w:rPr>
        <w:rFonts w:hint="default"/>
        <w:lang w:val="en-US" w:eastAsia="en-US" w:bidi="ar-SA"/>
      </w:rPr>
    </w:lvl>
  </w:abstractNum>
  <w:num w:numId="1" w16cid:durableId="1110054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E"/>
    <w:rsid w:val="0005380E"/>
    <w:rsid w:val="00181828"/>
    <w:rsid w:val="002177B8"/>
    <w:rsid w:val="002A3A1A"/>
    <w:rsid w:val="002B5F6D"/>
    <w:rsid w:val="002E7A81"/>
    <w:rsid w:val="003C6EAB"/>
    <w:rsid w:val="003D0C85"/>
    <w:rsid w:val="00507B4E"/>
    <w:rsid w:val="00712182"/>
    <w:rsid w:val="007266D2"/>
    <w:rsid w:val="00756C5E"/>
    <w:rsid w:val="007E4A44"/>
    <w:rsid w:val="008B5A2F"/>
    <w:rsid w:val="009A14E1"/>
    <w:rsid w:val="009D7C9E"/>
    <w:rsid w:val="00A2411D"/>
    <w:rsid w:val="00B04A80"/>
    <w:rsid w:val="00B52786"/>
    <w:rsid w:val="00B74DF6"/>
    <w:rsid w:val="00B86A0A"/>
    <w:rsid w:val="00BD08EF"/>
    <w:rsid w:val="00BF0DF9"/>
    <w:rsid w:val="00EC11B0"/>
    <w:rsid w:val="00F3304E"/>
    <w:rsid w:val="00FD7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1ACB4"/>
  <w15:docId w15:val="{E92412C0-8264-48C7-A61D-CDD7CD102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outlineLvl w:val="0"/>
    </w:pPr>
    <w:rPr>
      <w:rFonts w:ascii="Arial" w:eastAsia="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5" w:hanging="360"/>
    </w:pPr>
  </w:style>
  <w:style w:type="paragraph" w:customStyle="1" w:styleId="TableParagraph">
    <w:name w:val="Table Paragraph"/>
    <w:basedOn w:val="Normal"/>
    <w:uiPriority w:val="1"/>
    <w:qFormat/>
  </w:style>
  <w:style w:type="paragraph" w:styleId="Title">
    <w:name w:val="Title"/>
    <w:basedOn w:val="Normal"/>
    <w:next w:val="Normal"/>
    <w:link w:val="TitleChar"/>
    <w:uiPriority w:val="10"/>
    <w:qFormat/>
    <w:rsid w:val="00BD08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182"/>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1218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2757</Words>
  <Characters>15715</Characters>
  <Application>Microsoft Office Word</Application>
  <DocSecurity>0</DocSecurity>
  <Lines>130</Lines>
  <Paragraphs>36</Paragraphs>
  <ScaleCrop>false</ScaleCrop>
  <Company/>
  <LinksUpToDate>false</LinksUpToDate>
  <CharactersWithSpaces>18436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Untitled document</dc:title>
  <dc:creator>User</dc:creator>
  <cp:lastModifiedBy>nazma latif</cp:lastModifiedBy>
  <cp:revision>2</cp:revision>
  <dcterms:created xsi:type="dcterms:W3CDTF">2025-11-23T11:17:00Z</dcterms:created>
  <dcterms:modified xsi:type="dcterms:W3CDTF">2025-11-23T11:17:00Z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2025-11-21T00:00:00Z</vt:filetime>
  </property>
  <property fmtid="{D5CDD505-2E9C-101B-9397-08002B2CF9AE}" pid="3" name="Producer">
    <vt:lpwstr>Skia/PDF m144 Google Docs Renderer</vt:lpwstr>
  </property>
  <property fmtid="{D5CDD505-2E9C-101B-9397-08002B2CF9AE}" pid="4" name="LastSaved">
    <vt:filetime>2025-11-21T00:00:00Z</vt:filetime>
  </property>
</Properties>
</file>