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D0766">
      <w:pPr>
        <w:spacing w:line="278" w:lineRule="auto"/>
        <w:jc w:val="center"/>
        <w:rPr>
          <w:b/>
          <w:bCs/>
          <w:sz w:val="48"/>
          <w:szCs w:val="40"/>
        </w:rPr>
      </w:pPr>
      <w:bookmarkStart w:id="122" w:name="_GoBack"/>
      <w:bookmarkEnd w:id="122"/>
      <w:r>
        <w:rPr>
          <w:b/>
          <w:bCs/>
          <w:sz w:val="48"/>
          <w:szCs w:val="40"/>
        </w:rPr>
        <w:t>Digital Forensics Analysis</w:t>
      </w:r>
    </w:p>
    <w:p w14:paraId="6B9217DA">
      <w:pPr>
        <w:spacing w:line="278" w:lineRule="auto"/>
        <w:jc w:val="center"/>
        <w:rPr>
          <w:b/>
          <w:bCs/>
          <w:sz w:val="48"/>
          <w:szCs w:val="40"/>
        </w:rPr>
      </w:pPr>
    </w:p>
    <w:p w14:paraId="5D7E886C">
      <w:pPr>
        <w:spacing w:line="278" w:lineRule="auto"/>
        <w:jc w:val="center"/>
        <w:rPr>
          <w:b/>
          <w:bCs/>
        </w:rPr>
      </w:pPr>
      <w:r>
        <w:rPr>
          <w:b/>
          <w:bCs/>
        </w:rPr>
        <w:t>Programme: MSc cybersecurity and digital forensics</w:t>
      </w:r>
    </w:p>
    <w:p w14:paraId="42CB564C">
      <w:pPr>
        <w:spacing w:line="278" w:lineRule="auto"/>
        <w:jc w:val="center"/>
        <w:rPr>
          <w:b/>
          <w:bCs/>
          <w:szCs w:val="24"/>
        </w:rPr>
      </w:pPr>
      <w:r>
        <w:rPr>
          <w:b/>
          <w:bCs/>
        </w:rPr>
        <w:t xml:space="preserve">Module: </w:t>
      </w:r>
      <w:r>
        <w:rPr>
          <w:b/>
          <w:bCs/>
          <w:szCs w:val="24"/>
        </w:rPr>
        <w:t>Digital Forensic</w:t>
      </w:r>
    </w:p>
    <w:p w14:paraId="29F70453">
      <w:pPr>
        <w:spacing w:line="278" w:lineRule="auto"/>
        <w:jc w:val="center"/>
        <w:rPr>
          <w:b/>
          <w:bCs/>
          <w:szCs w:val="24"/>
          <w:lang w:val="en-US"/>
        </w:rPr>
      </w:pPr>
      <w:r>
        <w:rPr>
          <w:b/>
          <w:bCs/>
        </w:rPr>
        <w:t>Module code: AC</w:t>
      </w:r>
      <w:r>
        <w:rPr>
          <w:b/>
          <w:bCs/>
          <w:lang w:val="en-US"/>
        </w:rPr>
        <w:t>CA7031</w:t>
      </w:r>
    </w:p>
    <w:p w14:paraId="046DAF02">
      <w:pPr>
        <w:spacing w:line="278" w:lineRule="auto"/>
        <w:jc w:val="center"/>
        <w:rPr>
          <w:b/>
          <w:bCs/>
        </w:rPr>
      </w:pPr>
      <w:r>
        <w:rPr>
          <w:b/>
          <w:bCs/>
        </w:rPr>
        <w:t>Student name: patel jay rajendrakumar</w:t>
      </w:r>
    </w:p>
    <w:p w14:paraId="77F6AFA3">
      <w:pPr>
        <w:spacing w:line="278" w:lineRule="auto"/>
        <w:jc w:val="center"/>
        <w:rPr>
          <w:b/>
          <w:bCs/>
        </w:rPr>
      </w:pPr>
      <w:r>
        <w:rPr>
          <w:b/>
          <w:bCs/>
        </w:rPr>
        <w:t>Student ID number: 2433122</w:t>
      </w:r>
      <w:r>
        <w:rPr>
          <w:b/>
          <w:bCs/>
        </w:rPr>
        <w:br w:type="page"/>
      </w:r>
    </w:p>
    <w:sdt>
      <w:sdtPr>
        <w:rPr>
          <w:rFonts w:ascii="Times New Roman" w:hAnsi="Times New Roman" w:eastAsiaTheme="minorHAnsi" w:cstheme="minorBidi"/>
          <w:color w:val="auto"/>
          <w:kern w:val="2"/>
          <w:sz w:val="24"/>
          <w:szCs w:val="21"/>
          <w:lang w:eastAsia="en-US"/>
          <w14:ligatures w14:val="standardContextual"/>
        </w:rPr>
        <w:id w:val="1491213009"/>
        <w:docPartObj>
          <w:docPartGallery w:val="Table of Contents"/>
          <w:docPartUnique/>
        </w:docPartObj>
      </w:sdtPr>
      <w:sdtEndPr>
        <w:rPr>
          <w:rFonts w:ascii="Times New Roman" w:hAnsi="Times New Roman" w:eastAsiaTheme="minorHAnsi" w:cstheme="minorBidi"/>
          <w:b/>
          <w:bCs/>
          <w:color w:val="auto"/>
          <w:kern w:val="2"/>
          <w:sz w:val="24"/>
          <w:szCs w:val="21"/>
          <w:lang w:eastAsia="en-US"/>
          <w14:ligatures w14:val="standardContextual"/>
        </w:rPr>
      </w:sdtEndPr>
      <w:sdtContent>
        <w:p w14:paraId="246934B3">
          <w:pPr>
            <w:pStyle w:val="41"/>
            <w:rPr>
              <w:rFonts w:ascii="Times New Roman" w:hAnsi="Times New Roman" w:cs="Times New Roman"/>
              <w:b/>
              <w:bCs/>
              <w:color w:val="auto"/>
            </w:rPr>
          </w:pPr>
          <w:r>
            <w:rPr>
              <w:rFonts w:ascii="Times New Roman" w:hAnsi="Times New Roman" w:cs="Times New Roman"/>
              <w:b/>
              <w:bCs/>
              <w:color w:val="auto"/>
            </w:rPr>
            <w:t>Table of Contents</w:t>
          </w:r>
        </w:p>
        <w:p w14:paraId="103AF31E">
          <w:pPr>
            <w:pStyle w:val="21"/>
            <w:tabs>
              <w:tab w:val="right" w:leader="dot" w:pos="9016"/>
            </w:tabs>
            <w:rPr>
              <w:rFonts w:asciiTheme="minorHAnsi" w:hAnsiTheme="minorHAnsi" w:eastAsiaTheme="minorEastAsia"/>
              <w:lang w:eastAsia="en-GB"/>
            </w:rPr>
          </w:pPr>
          <w:r>
            <w:fldChar w:fldCharType="begin"/>
          </w:r>
          <w:r>
            <w:instrText xml:space="preserve"> TOC \o "1-3" \h \z \u </w:instrText>
          </w:r>
          <w:r>
            <w:fldChar w:fldCharType="separate"/>
          </w:r>
          <w:r>
            <w:fldChar w:fldCharType="begin"/>
          </w:r>
          <w:r>
            <w:instrText xml:space="preserve"> HYPERLINK \l "_Toc216371115" </w:instrText>
          </w:r>
          <w:r>
            <w:fldChar w:fldCharType="separate"/>
          </w:r>
          <w:r>
            <w:rPr>
              <w:rStyle w:val="17"/>
            </w:rPr>
            <w:t>Task 1: Digital Forensics Analysis</w:t>
          </w:r>
          <w:r>
            <w:tab/>
          </w:r>
          <w:r>
            <w:fldChar w:fldCharType="begin"/>
          </w:r>
          <w:r>
            <w:instrText xml:space="preserve"> PAGEREF _Toc216371115 \h </w:instrText>
          </w:r>
          <w:r>
            <w:fldChar w:fldCharType="separate"/>
          </w:r>
          <w:r>
            <w:t>5</w:t>
          </w:r>
          <w:r>
            <w:fldChar w:fldCharType="end"/>
          </w:r>
          <w:r>
            <w:fldChar w:fldCharType="end"/>
          </w:r>
        </w:p>
        <w:p w14:paraId="408D79E6">
          <w:pPr>
            <w:pStyle w:val="21"/>
            <w:tabs>
              <w:tab w:val="right" w:leader="dot" w:pos="9016"/>
            </w:tabs>
            <w:rPr>
              <w:rFonts w:asciiTheme="minorHAnsi" w:hAnsiTheme="minorHAnsi" w:eastAsiaTheme="minorEastAsia"/>
              <w:lang w:eastAsia="en-GB"/>
            </w:rPr>
          </w:pPr>
          <w:r>
            <w:fldChar w:fldCharType="begin"/>
          </w:r>
          <w:r>
            <w:instrText xml:space="preserve"> HYPERLINK \l "_Toc216371116" </w:instrText>
          </w:r>
          <w:r>
            <w:fldChar w:fldCharType="separate"/>
          </w:r>
          <w:r>
            <w:rPr>
              <w:rStyle w:val="17"/>
            </w:rPr>
            <w:t>1. Introduction</w:t>
          </w:r>
          <w:r>
            <w:tab/>
          </w:r>
          <w:r>
            <w:fldChar w:fldCharType="begin"/>
          </w:r>
          <w:r>
            <w:instrText xml:space="preserve"> PAGEREF _Toc216371116 \h </w:instrText>
          </w:r>
          <w:r>
            <w:fldChar w:fldCharType="separate"/>
          </w:r>
          <w:r>
            <w:t>5</w:t>
          </w:r>
          <w:r>
            <w:fldChar w:fldCharType="end"/>
          </w:r>
          <w:r>
            <w:fldChar w:fldCharType="end"/>
          </w:r>
        </w:p>
        <w:p w14:paraId="0E8A48A5">
          <w:pPr>
            <w:pStyle w:val="21"/>
            <w:tabs>
              <w:tab w:val="right" w:leader="dot" w:pos="9016"/>
            </w:tabs>
            <w:rPr>
              <w:rFonts w:asciiTheme="minorHAnsi" w:hAnsiTheme="minorHAnsi" w:eastAsiaTheme="minorEastAsia"/>
              <w:lang w:eastAsia="en-GB"/>
            </w:rPr>
          </w:pPr>
          <w:r>
            <w:fldChar w:fldCharType="begin"/>
          </w:r>
          <w:r>
            <w:instrText xml:space="preserve"> HYPERLINK \l "_Toc216371117" </w:instrText>
          </w:r>
          <w:r>
            <w:fldChar w:fldCharType="separate"/>
          </w:r>
          <w:r>
            <w:rPr>
              <w:rStyle w:val="17"/>
            </w:rPr>
            <w:t>2. State of Art in Digital Forensics</w:t>
          </w:r>
          <w:r>
            <w:tab/>
          </w:r>
          <w:r>
            <w:fldChar w:fldCharType="begin"/>
          </w:r>
          <w:r>
            <w:instrText xml:space="preserve"> PAGEREF _Toc216371117 \h </w:instrText>
          </w:r>
          <w:r>
            <w:fldChar w:fldCharType="separate"/>
          </w:r>
          <w:r>
            <w:t>5</w:t>
          </w:r>
          <w:r>
            <w:fldChar w:fldCharType="end"/>
          </w:r>
          <w:r>
            <w:fldChar w:fldCharType="end"/>
          </w:r>
        </w:p>
        <w:p w14:paraId="6A119E7B">
          <w:pPr>
            <w:pStyle w:val="22"/>
            <w:tabs>
              <w:tab w:val="right" w:leader="dot" w:pos="9016"/>
            </w:tabs>
            <w:rPr>
              <w:rFonts w:asciiTheme="minorHAnsi" w:hAnsiTheme="minorHAnsi" w:eastAsiaTheme="minorEastAsia"/>
              <w:lang w:eastAsia="en-GB"/>
            </w:rPr>
          </w:pPr>
          <w:r>
            <w:fldChar w:fldCharType="begin"/>
          </w:r>
          <w:r>
            <w:instrText xml:space="preserve"> HYPERLINK \l "_Toc216371118" </w:instrText>
          </w:r>
          <w:r>
            <w:fldChar w:fldCharType="separate"/>
          </w:r>
          <w:r>
            <w:rPr>
              <w:rStyle w:val="17"/>
            </w:rPr>
            <w:t>2.1 Definition and Scope</w:t>
          </w:r>
          <w:r>
            <w:tab/>
          </w:r>
          <w:r>
            <w:fldChar w:fldCharType="begin"/>
          </w:r>
          <w:r>
            <w:instrText xml:space="preserve"> PAGEREF _Toc216371118 \h </w:instrText>
          </w:r>
          <w:r>
            <w:fldChar w:fldCharType="separate"/>
          </w:r>
          <w:r>
            <w:t>5</w:t>
          </w:r>
          <w:r>
            <w:fldChar w:fldCharType="end"/>
          </w:r>
          <w:r>
            <w:fldChar w:fldCharType="end"/>
          </w:r>
        </w:p>
        <w:p w14:paraId="40F9CBE5">
          <w:pPr>
            <w:pStyle w:val="22"/>
            <w:tabs>
              <w:tab w:val="right" w:leader="dot" w:pos="9016"/>
            </w:tabs>
            <w:rPr>
              <w:rFonts w:asciiTheme="minorHAnsi" w:hAnsiTheme="minorHAnsi" w:eastAsiaTheme="minorEastAsia"/>
              <w:lang w:eastAsia="en-GB"/>
            </w:rPr>
          </w:pPr>
          <w:r>
            <w:fldChar w:fldCharType="begin"/>
          </w:r>
          <w:r>
            <w:instrText xml:space="preserve"> HYPERLINK \l "_Toc216371119" </w:instrText>
          </w:r>
          <w:r>
            <w:fldChar w:fldCharType="separate"/>
          </w:r>
          <w:r>
            <w:rPr>
              <w:rStyle w:val="17"/>
            </w:rPr>
            <w:t>2.2 The UK Context</w:t>
          </w:r>
          <w:r>
            <w:tab/>
          </w:r>
          <w:r>
            <w:fldChar w:fldCharType="begin"/>
          </w:r>
          <w:r>
            <w:instrText xml:space="preserve"> PAGEREF _Toc216371119 \h </w:instrText>
          </w:r>
          <w:r>
            <w:fldChar w:fldCharType="separate"/>
          </w:r>
          <w:r>
            <w:t>5</w:t>
          </w:r>
          <w:r>
            <w:fldChar w:fldCharType="end"/>
          </w:r>
          <w:r>
            <w:fldChar w:fldCharType="end"/>
          </w:r>
        </w:p>
        <w:p w14:paraId="4A0FE9A8">
          <w:pPr>
            <w:pStyle w:val="21"/>
            <w:tabs>
              <w:tab w:val="right" w:leader="dot" w:pos="9016"/>
            </w:tabs>
            <w:rPr>
              <w:rFonts w:asciiTheme="minorHAnsi" w:hAnsiTheme="minorHAnsi" w:eastAsiaTheme="minorEastAsia"/>
              <w:lang w:eastAsia="en-GB"/>
            </w:rPr>
          </w:pPr>
          <w:r>
            <w:fldChar w:fldCharType="begin"/>
          </w:r>
          <w:r>
            <w:instrText xml:space="preserve"> HYPERLINK \l "_Toc216371120" </w:instrText>
          </w:r>
          <w:r>
            <w:fldChar w:fldCharType="separate"/>
          </w:r>
          <w:r>
            <w:rPr>
              <w:rStyle w:val="17"/>
            </w:rPr>
            <w:t>3. Tools, Features, and Capabilities</w:t>
          </w:r>
          <w:r>
            <w:tab/>
          </w:r>
          <w:r>
            <w:fldChar w:fldCharType="begin"/>
          </w:r>
          <w:r>
            <w:instrText xml:space="preserve"> PAGEREF _Toc216371120 \h </w:instrText>
          </w:r>
          <w:r>
            <w:fldChar w:fldCharType="separate"/>
          </w:r>
          <w:r>
            <w:t>5</w:t>
          </w:r>
          <w:r>
            <w:fldChar w:fldCharType="end"/>
          </w:r>
          <w:r>
            <w:fldChar w:fldCharType="end"/>
          </w:r>
        </w:p>
        <w:p w14:paraId="5F83A739">
          <w:pPr>
            <w:pStyle w:val="22"/>
            <w:tabs>
              <w:tab w:val="right" w:leader="dot" w:pos="9016"/>
            </w:tabs>
            <w:rPr>
              <w:rFonts w:asciiTheme="minorHAnsi" w:hAnsiTheme="minorHAnsi" w:eastAsiaTheme="minorEastAsia"/>
              <w:lang w:eastAsia="en-GB"/>
            </w:rPr>
          </w:pPr>
          <w:r>
            <w:fldChar w:fldCharType="begin"/>
          </w:r>
          <w:r>
            <w:instrText xml:space="preserve"> HYPERLINK \l "_Toc216371121" </w:instrText>
          </w:r>
          <w:r>
            <w:fldChar w:fldCharType="separate"/>
          </w:r>
          <w:r>
            <w:rPr>
              <w:rStyle w:val="17"/>
            </w:rPr>
            <w:t>3.1 Key Forensic Tools</w:t>
          </w:r>
          <w:r>
            <w:tab/>
          </w:r>
          <w:r>
            <w:fldChar w:fldCharType="begin"/>
          </w:r>
          <w:r>
            <w:instrText xml:space="preserve"> PAGEREF _Toc216371121 \h </w:instrText>
          </w:r>
          <w:r>
            <w:fldChar w:fldCharType="separate"/>
          </w:r>
          <w:r>
            <w:t>5</w:t>
          </w:r>
          <w:r>
            <w:fldChar w:fldCharType="end"/>
          </w:r>
          <w:r>
            <w:fldChar w:fldCharType="end"/>
          </w:r>
        </w:p>
        <w:p w14:paraId="58B323B3">
          <w:pPr>
            <w:pStyle w:val="22"/>
            <w:tabs>
              <w:tab w:val="right" w:leader="dot" w:pos="9016"/>
            </w:tabs>
            <w:rPr>
              <w:rFonts w:asciiTheme="minorHAnsi" w:hAnsiTheme="minorHAnsi" w:eastAsiaTheme="minorEastAsia"/>
              <w:lang w:eastAsia="en-GB"/>
            </w:rPr>
          </w:pPr>
          <w:r>
            <w:fldChar w:fldCharType="begin"/>
          </w:r>
          <w:r>
            <w:instrText xml:space="preserve"> HYPERLINK \l "_Toc216371122" </w:instrText>
          </w:r>
          <w:r>
            <w:fldChar w:fldCharType="separate"/>
          </w:r>
          <w:r>
            <w:rPr>
              <w:rStyle w:val="17"/>
            </w:rPr>
            <w:t>3.2 Capabilities &amp; Features</w:t>
          </w:r>
          <w:r>
            <w:tab/>
          </w:r>
          <w:r>
            <w:fldChar w:fldCharType="begin"/>
          </w:r>
          <w:r>
            <w:instrText xml:space="preserve"> PAGEREF _Toc216371122 \h </w:instrText>
          </w:r>
          <w:r>
            <w:fldChar w:fldCharType="separate"/>
          </w:r>
          <w:r>
            <w:t>6</w:t>
          </w:r>
          <w:r>
            <w:fldChar w:fldCharType="end"/>
          </w:r>
          <w:r>
            <w:fldChar w:fldCharType="end"/>
          </w:r>
        </w:p>
        <w:p w14:paraId="6B6D7CBD">
          <w:pPr>
            <w:pStyle w:val="22"/>
            <w:tabs>
              <w:tab w:val="right" w:leader="dot" w:pos="9016"/>
            </w:tabs>
            <w:rPr>
              <w:rFonts w:asciiTheme="minorHAnsi" w:hAnsiTheme="minorHAnsi" w:eastAsiaTheme="minorEastAsia"/>
              <w:lang w:eastAsia="en-GB"/>
            </w:rPr>
          </w:pPr>
          <w:r>
            <w:fldChar w:fldCharType="begin"/>
          </w:r>
          <w:r>
            <w:instrText xml:space="preserve"> HYPERLINK \l "_Toc216371123" </w:instrText>
          </w:r>
          <w:r>
            <w:fldChar w:fldCharType="separate"/>
          </w:r>
          <w:r>
            <w:rPr>
              <w:rStyle w:val="17"/>
            </w:rPr>
            <w:t>3.3 Tool Limitations</w:t>
          </w:r>
          <w:r>
            <w:tab/>
          </w:r>
          <w:r>
            <w:fldChar w:fldCharType="begin"/>
          </w:r>
          <w:r>
            <w:instrText xml:space="preserve"> PAGEREF _Toc216371123 \h </w:instrText>
          </w:r>
          <w:r>
            <w:fldChar w:fldCharType="separate"/>
          </w:r>
          <w:r>
            <w:t>6</w:t>
          </w:r>
          <w:r>
            <w:fldChar w:fldCharType="end"/>
          </w:r>
          <w:r>
            <w:fldChar w:fldCharType="end"/>
          </w:r>
        </w:p>
        <w:p w14:paraId="62576262">
          <w:pPr>
            <w:pStyle w:val="21"/>
            <w:tabs>
              <w:tab w:val="right" w:leader="dot" w:pos="9016"/>
            </w:tabs>
            <w:rPr>
              <w:rFonts w:asciiTheme="minorHAnsi" w:hAnsiTheme="minorHAnsi" w:eastAsiaTheme="minorEastAsia"/>
              <w:lang w:eastAsia="en-GB"/>
            </w:rPr>
          </w:pPr>
          <w:r>
            <w:fldChar w:fldCharType="begin"/>
          </w:r>
          <w:r>
            <w:instrText xml:space="preserve"> HYPERLINK \l "_Toc216371124" </w:instrText>
          </w:r>
          <w:r>
            <w:fldChar w:fldCharType="separate"/>
          </w:r>
          <w:r>
            <w:rPr>
              <w:rStyle w:val="17"/>
            </w:rPr>
            <w:t>4. Intersection of Digital Forensics and Cybersecurity</w:t>
          </w:r>
          <w:r>
            <w:tab/>
          </w:r>
          <w:r>
            <w:fldChar w:fldCharType="begin"/>
          </w:r>
          <w:r>
            <w:instrText xml:space="preserve"> PAGEREF _Toc216371124 \h </w:instrText>
          </w:r>
          <w:r>
            <w:fldChar w:fldCharType="separate"/>
          </w:r>
          <w:r>
            <w:t>6</w:t>
          </w:r>
          <w:r>
            <w:fldChar w:fldCharType="end"/>
          </w:r>
          <w:r>
            <w:fldChar w:fldCharType="end"/>
          </w:r>
        </w:p>
        <w:p w14:paraId="4D663007">
          <w:pPr>
            <w:pStyle w:val="22"/>
            <w:tabs>
              <w:tab w:val="right" w:leader="dot" w:pos="9016"/>
            </w:tabs>
            <w:rPr>
              <w:rFonts w:asciiTheme="minorHAnsi" w:hAnsiTheme="minorHAnsi" w:eastAsiaTheme="minorEastAsia"/>
              <w:lang w:eastAsia="en-GB"/>
            </w:rPr>
          </w:pPr>
          <w:r>
            <w:fldChar w:fldCharType="begin"/>
          </w:r>
          <w:r>
            <w:instrText xml:space="preserve"> HYPERLINK \l "_Toc216371125" </w:instrText>
          </w:r>
          <w:r>
            <w:fldChar w:fldCharType="separate"/>
          </w:r>
          <w:r>
            <w:rPr>
              <w:rStyle w:val="17"/>
            </w:rPr>
            <w:t>4.1 Overlapping Domains</w:t>
          </w:r>
          <w:r>
            <w:tab/>
          </w:r>
          <w:r>
            <w:fldChar w:fldCharType="begin"/>
          </w:r>
          <w:r>
            <w:instrText xml:space="preserve"> PAGEREF _Toc216371125 \h </w:instrText>
          </w:r>
          <w:r>
            <w:fldChar w:fldCharType="separate"/>
          </w:r>
          <w:r>
            <w:t>6</w:t>
          </w:r>
          <w:r>
            <w:fldChar w:fldCharType="end"/>
          </w:r>
          <w:r>
            <w:fldChar w:fldCharType="end"/>
          </w:r>
        </w:p>
        <w:p w14:paraId="644D61FE">
          <w:pPr>
            <w:pStyle w:val="22"/>
            <w:tabs>
              <w:tab w:val="right" w:leader="dot" w:pos="9016"/>
            </w:tabs>
            <w:rPr>
              <w:rFonts w:asciiTheme="minorHAnsi" w:hAnsiTheme="minorHAnsi" w:eastAsiaTheme="minorEastAsia"/>
              <w:lang w:eastAsia="en-GB"/>
            </w:rPr>
          </w:pPr>
          <w:r>
            <w:fldChar w:fldCharType="begin"/>
          </w:r>
          <w:r>
            <w:instrText xml:space="preserve"> HYPERLINK \l "_Toc216371126" </w:instrText>
          </w:r>
          <w:r>
            <w:fldChar w:fldCharType="separate"/>
          </w:r>
          <w:r>
            <w:rPr>
              <w:rStyle w:val="17"/>
            </w:rPr>
            <w:t>4.2 Incident Response Lifecycle</w:t>
          </w:r>
          <w:r>
            <w:tab/>
          </w:r>
          <w:r>
            <w:fldChar w:fldCharType="begin"/>
          </w:r>
          <w:r>
            <w:instrText xml:space="preserve"> PAGEREF _Toc216371126 \h </w:instrText>
          </w:r>
          <w:r>
            <w:fldChar w:fldCharType="separate"/>
          </w:r>
          <w:r>
            <w:t>6</w:t>
          </w:r>
          <w:r>
            <w:fldChar w:fldCharType="end"/>
          </w:r>
          <w:r>
            <w:fldChar w:fldCharType="end"/>
          </w:r>
        </w:p>
        <w:p w14:paraId="07B54B3B">
          <w:pPr>
            <w:pStyle w:val="22"/>
            <w:tabs>
              <w:tab w:val="right" w:leader="dot" w:pos="9016"/>
            </w:tabs>
            <w:rPr>
              <w:rFonts w:asciiTheme="minorHAnsi" w:hAnsiTheme="minorHAnsi" w:eastAsiaTheme="minorEastAsia"/>
              <w:lang w:eastAsia="en-GB"/>
            </w:rPr>
          </w:pPr>
          <w:r>
            <w:fldChar w:fldCharType="begin"/>
          </w:r>
          <w:r>
            <w:instrText xml:space="preserve"> HYPERLINK \l "_Toc216371127" </w:instrText>
          </w:r>
          <w:r>
            <w:fldChar w:fldCharType="separate"/>
          </w:r>
          <w:r>
            <w:rPr>
              <w:rStyle w:val="17"/>
            </w:rPr>
            <w:t>4.3 Legal &amp; Compliance Drivers</w:t>
          </w:r>
          <w:r>
            <w:tab/>
          </w:r>
          <w:r>
            <w:fldChar w:fldCharType="begin"/>
          </w:r>
          <w:r>
            <w:instrText xml:space="preserve"> PAGEREF _Toc216371127 \h </w:instrText>
          </w:r>
          <w:r>
            <w:fldChar w:fldCharType="separate"/>
          </w:r>
          <w:r>
            <w:t>7</w:t>
          </w:r>
          <w:r>
            <w:fldChar w:fldCharType="end"/>
          </w:r>
          <w:r>
            <w:fldChar w:fldCharType="end"/>
          </w:r>
        </w:p>
        <w:p w14:paraId="5113D6DF">
          <w:pPr>
            <w:pStyle w:val="21"/>
            <w:tabs>
              <w:tab w:val="right" w:leader="dot" w:pos="9016"/>
            </w:tabs>
            <w:rPr>
              <w:rFonts w:asciiTheme="minorHAnsi" w:hAnsiTheme="minorHAnsi" w:eastAsiaTheme="minorEastAsia"/>
              <w:lang w:eastAsia="en-GB"/>
            </w:rPr>
          </w:pPr>
          <w:r>
            <w:fldChar w:fldCharType="begin"/>
          </w:r>
          <w:r>
            <w:instrText xml:space="preserve"> HYPERLINK \l "_Toc216371128" </w:instrText>
          </w:r>
          <w:r>
            <w:fldChar w:fldCharType="separate"/>
          </w:r>
          <w:r>
            <w:rPr>
              <w:rStyle w:val="17"/>
            </w:rPr>
            <w:t>5. Current Innovations in Digital Forensics</w:t>
          </w:r>
          <w:r>
            <w:tab/>
          </w:r>
          <w:r>
            <w:fldChar w:fldCharType="begin"/>
          </w:r>
          <w:r>
            <w:instrText xml:space="preserve"> PAGEREF _Toc216371128 \h </w:instrText>
          </w:r>
          <w:r>
            <w:fldChar w:fldCharType="separate"/>
          </w:r>
          <w:r>
            <w:t>7</w:t>
          </w:r>
          <w:r>
            <w:fldChar w:fldCharType="end"/>
          </w:r>
          <w:r>
            <w:fldChar w:fldCharType="end"/>
          </w:r>
        </w:p>
        <w:p w14:paraId="01270AF2">
          <w:pPr>
            <w:pStyle w:val="22"/>
            <w:tabs>
              <w:tab w:val="right" w:leader="dot" w:pos="9016"/>
            </w:tabs>
            <w:rPr>
              <w:rFonts w:asciiTheme="minorHAnsi" w:hAnsiTheme="minorHAnsi" w:eastAsiaTheme="minorEastAsia"/>
              <w:lang w:eastAsia="en-GB"/>
            </w:rPr>
          </w:pPr>
          <w:r>
            <w:fldChar w:fldCharType="begin"/>
          </w:r>
          <w:r>
            <w:instrText xml:space="preserve"> HYPERLINK \l "_Toc216371129" </w:instrText>
          </w:r>
          <w:r>
            <w:fldChar w:fldCharType="separate"/>
          </w:r>
          <w:r>
            <w:rPr>
              <w:rStyle w:val="17"/>
            </w:rPr>
            <w:t>5.1 AI and Automation</w:t>
          </w:r>
          <w:r>
            <w:tab/>
          </w:r>
          <w:r>
            <w:fldChar w:fldCharType="begin"/>
          </w:r>
          <w:r>
            <w:instrText xml:space="preserve"> PAGEREF _Toc216371129 \h </w:instrText>
          </w:r>
          <w:r>
            <w:fldChar w:fldCharType="separate"/>
          </w:r>
          <w:r>
            <w:t>7</w:t>
          </w:r>
          <w:r>
            <w:fldChar w:fldCharType="end"/>
          </w:r>
          <w:r>
            <w:fldChar w:fldCharType="end"/>
          </w:r>
        </w:p>
        <w:p w14:paraId="51DBA8E6">
          <w:pPr>
            <w:pStyle w:val="22"/>
            <w:tabs>
              <w:tab w:val="right" w:leader="dot" w:pos="9016"/>
            </w:tabs>
            <w:rPr>
              <w:rFonts w:asciiTheme="minorHAnsi" w:hAnsiTheme="minorHAnsi" w:eastAsiaTheme="minorEastAsia"/>
              <w:lang w:eastAsia="en-GB"/>
            </w:rPr>
          </w:pPr>
          <w:r>
            <w:fldChar w:fldCharType="begin"/>
          </w:r>
          <w:r>
            <w:instrText xml:space="preserve"> HYPERLINK \l "_Toc216371130" </w:instrText>
          </w:r>
          <w:r>
            <w:fldChar w:fldCharType="separate"/>
          </w:r>
          <w:r>
            <w:rPr>
              <w:rStyle w:val="17"/>
            </w:rPr>
            <w:t>5.2 Cloud and IoT Forensics</w:t>
          </w:r>
          <w:r>
            <w:tab/>
          </w:r>
          <w:r>
            <w:fldChar w:fldCharType="begin"/>
          </w:r>
          <w:r>
            <w:instrText xml:space="preserve"> PAGEREF _Toc216371130 \h </w:instrText>
          </w:r>
          <w:r>
            <w:fldChar w:fldCharType="separate"/>
          </w:r>
          <w:r>
            <w:t>7</w:t>
          </w:r>
          <w:r>
            <w:fldChar w:fldCharType="end"/>
          </w:r>
          <w:r>
            <w:fldChar w:fldCharType="end"/>
          </w:r>
        </w:p>
        <w:p w14:paraId="72EB683A">
          <w:pPr>
            <w:pStyle w:val="22"/>
            <w:tabs>
              <w:tab w:val="right" w:leader="dot" w:pos="9016"/>
            </w:tabs>
            <w:rPr>
              <w:rFonts w:asciiTheme="minorHAnsi" w:hAnsiTheme="minorHAnsi" w:eastAsiaTheme="minorEastAsia"/>
              <w:lang w:eastAsia="en-GB"/>
            </w:rPr>
          </w:pPr>
          <w:r>
            <w:fldChar w:fldCharType="begin"/>
          </w:r>
          <w:r>
            <w:instrText xml:space="preserve"> HYPERLINK \l "_Toc216371131" </w:instrText>
          </w:r>
          <w:r>
            <w:fldChar w:fldCharType="separate"/>
          </w:r>
          <w:r>
            <w:rPr>
              <w:rStyle w:val="17"/>
            </w:rPr>
            <w:t>5.3 Encryption and Anti-forensic Techniques</w:t>
          </w:r>
          <w:r>
            <w:tab/>
          </w:r>
          <w:r>
            <w:fldChar w:fldCharType="begin"/>
          </w:r>
          <w:r>
            <w:instrText xml:space="preserve"> PAGEREF _Toc216371131 \h </w:instrText>
          </w:r>
          <w:r>
            <w:fldChar w:fldCharType="separate"/>
          </w:r>
          <w:r>
            <w:t>7</w:t>
          </w:r>
          <w:r>
            <w:fldChar w:fldCharType="end"/>
          </w:r>
          <w:r>
            <w:fldChar w:fldCharType="end"/>
          </w:r>
        </w:p>
        <w:p w14:paraId="4C0A7B38">
          <w:pPr>
            <w:pStyle w:val="22"/>
            <w:tabs>
              <w:tab w:val="right" w:leader="dot" w:pos="9016"/>
            </w:tabs>
            <w:rPr>
              <w:rFonts w:asciiTheme="minorHAnsi" w:hAnsiTheme="minorHAnsi" w:eastAsiaTheme="minorEastAsia"/>
              <w:lang w:eastAsia="en-GB"/>
            </w:rPr>
          </w:pPr>
          <w:r>
            <w:fldChar w:fldCharType="begin"/>
          </w:r>
          <w:r>
            <w:instrText xml:space="preserve"> HYPERLINK \l "_Toc216371132" </w:instrText>
          </w:r>
          <w:r>
            <w:fldChar w:fldCharType="separate"/>
          </w:r>
          <w:r>
            <w:rPr>
              <w:rStyle w:val="17"/>
            </w:rPr>
            <w:t>5.4 Remote and Live Forensics</w:t>
          </w:r>
          <w:r>
            <w:tab/>
          </w:r>
          <w:r>
            <w:fldChar w:fldCharType="begin"/>
          </w:r>
          <w:r>
            <w:instrText xml:space="preserve"> PAGEREF _Toc216371132 \h </w:instrText>
          </w:r>
          <w:r>
            <w:fldChar w:fldCharType="separate"/>
          </w:r>
          <w:r>
            <w:t>7</w:t>
          </w:r>
          <w:r>
            <w:fldChar w:fldCharType="end"/>
          </w:r>
          <w:r>
            <w:fldChar w:fldCharType="end"/>
          </w:r>
        </w:p>
        <w:p w14:paraId="492600D0">
          <w:pPr>
            <w:pStyle w:val="21"/>
            <w:tabs>
              <w:tab w:val="right" w:leader="dot" w:pos="9016"/>
            </w:tabs>
            <w:rPr>
              <w:rFonts w:asciiTheme="minorHAnsi" w:hAnsiTheme="minorHAnsi" w:eastAsiaTheme="minorEastAsia"/>
              <w:lang w:eastAsia="en-GB"/>
            </w:rPr>
          </w:pPr>
          <w:r>
            <w:fldChar w:fldCharType="begin"/>
          </w:r>
          <w:r>
            <w:instrText xml:space="preserve"> HYPERLINK \l "_Toc216371133" </w:instrText>
          </w:r>
          <w:r>
            <w:fldChar w:fldCharType="separate"/>
          </w:r>
          <w:r>
            <w:rPr>
              <w:rStyle w:val="17"/>
            </w:rPr>
            <w:t>6. Key Challenges</w:t>
          </w:r>
          <w:r>
            <w:tab/>
          </w:r>
          <w:r>
            <w:fldChar w:fldCharType="begin"/>
          </w:r>
          <w:r>
            <w:instrText xml:space="preserve"> PAGEREF _Toc216371133 \h </w:instrText>
          </w:r>
          <w:r>
            <w:fldChar w:fldCharType="separate"/>
          </w:r>
          <w:r>
            <w:t>7</w:t>
          </w:r>
          <w:r>
            <w:fldChar w:fldCharType="end"/>
          </w:r>
          <w:r>
            <w:fldChar w:fldCharType="end"/>
          </w:r>
        </w:p>
        <w:p w14:paraId="51FA13DD">
          <w:pPr>
            <w:pStyle w:val="22"/>
            <w:tabs>
              <w:tab w:val="right" w:leader="dot" w:pos="9016"/>
            </w:tabs>
            <w:rPr>
              <w:rFonts w:asciiTheme="minorHAnsi" w:hAnsiTheme="minorHAnsi" w:eastAsiaTheme="minorEastAsia"/>
              <w:lang w:eastAsia="en-GB"/>
            </w:rPr>
          </w:pPr>
          <w:r>
            <w:fldChar w:fldCharType="begin"/>
          </w:r>
          <w:r>
            <w:instrText xml:space="preserve"> HYPERLINK \l "_Toc216371134" </w:instrText>
          </w:r>
          <w:r>
            <w:fldChar w:fldCharType="separate"/>
          </w:r>
          <w:r>
            <w:rPr>
              <w:rStyle w:val="17"/>
            </w:rPr>
            <w:t>6.1 Technical Challenges</w:t>
          </w:r>
          <w:r>
            <w:tab/>
          </w:r>
          <w:r>
            <w:fldChar w:fldCharType="begin"/>
          </w:r>
          <w:r>
            <w:instrText xml:space="preserve"> PAGEREF _Toc216371134 \h </w:instrText>
          </w:r>
          <w:r>
            <w:fldChar w:fldCharType="separate"/>
          </w:r>
          <w:r>
            <w:t>7</w:t>
          </w:r>
          <w:r>
            <w:fldChar w:fldCharType="end"/>
          </w:r>
          <w:r>
            <w:fldChar w:fldCharType="end"/>
          </w:r>
        </w:p>
        <w:p w14:paraId="01D8D922">
          <w:pPr>
            <w:pStyle w:val="22"/>
            <w:tabs>
              <w:tab w:val="right" w:leader="dot" w:pos="9016"/>
            </w:tabs>
            <w:rPr>
              <w:rFonts w:asciiTheme="minorHAnsi" w:hAnsiTheme="minorHAnsi" w:eastAsiaTheme="minorEastAsia"/>
              <w:lang w:eastAsia="en-GB"/>
            </w:rPr>
          </w:pPr>
          <w:r>
            <w:fldChar w:fldCharType="begin"/>
          </w:r>
          <w:r>
            <w:instrText xml:space="preserve"> HYPERLINK \l "_Toc216371135" </w:instrText>
          </w:r>
          <w:r>
            <w:fldChar w:fldCharType="separate"/>
          </w:r>
          <w:r>
            <w:rPr>
              <w:rStyle w:val="17"/>
            </w:rPr>
            <w:t>6.2 Challenges of legal and regulatory character</w:t>
          </w:r>
          <w:r>
            <w:tab/>
          </w:r>
          <w:r>
            <w:fldChar w:fldCharType="begin"/>
          </w:r>
          <w:r>
            <w:instrText xml:space="preserve"> PAGEREF _Toc216371135 \h </w:instrText>
          </w:r>
          <w:r>
            <w:fldChar w:fldCharType="separate"/>
          </w:r>
          <w:r>
            <w:t>8</w:t>
          </w:r>
          <w:r>
            <w:fldChar w:fldCharType="end"/>
          </w:r>
          <w:r>
            <w:fldChar w:fldCharType="end"/>
          </w:r>
        </w:p>
        <w:p w14:paraId="770EAAA4">
          <w:pPr>
            <w:pStyle w:val="22"/>
            <w:tabs>
              <w:tab w:val="right" w:leader="dot" w:pos="9016"/>
            </w:tabs>
            <w:rPr>
              <w:rFonts w:asciiTheme="minorHAnsi" w:hAnsiTheme="minorHAnsi" w:eastAsiaTheme="minorEastAsia"/>
              <w:lang w:eastAsia="en-GB"/>
            </w:rPr>
          </w:pPr>
          <w:r>
            <w:fldChar w:fldCharType="begin"/>
          </w:r>
          <w:r>
            <w:instrText xml:space="preserve"> HYPERLINK \l "_Toc216371136" </w:instrText>
          </w:r>
          <w:r>
            <w:fldChar w:fldCharType="separate"/>
          </w:r>
          <w:r>
            <w:rPr>
              <w:rStyle w:val="17"/>
            </w:rPr>
            <w:t>6.3 Staffing and Manpower Constraints</w:t>
          </w:r>
          <w:r>
            <w:tab/>
          </w:r>
          <w:r>
            <w:fldChar w:fldCharType="begin"/>
          </w:r>
          <w:r>
            <w:instrText xml:space="preserve"> PAGEREF _Toc216371136 \h </w:instrText>
          </w:r>
          <w:r>
            <w:fldChar w:fldCharType="separate"/>
          </w:r>
          <w:r>
            <w:t>8</w:t>
          </w:r>
          <w:r>
            <w:fldChar w:fldCharType="end"/>
          </w:r>
          <w:r>
            <w:fldChar w:fldCharType="end"/>
          </w:r>
        </w:p>
        <w:p w14:paraId="08B545C0">
          <w:pPr>
            <w:pStyle w:val="21"/>
            <w:tabs>
              <w:tab w:val="right" w:leader="dot" w:pos="9016"/>
            </w:tabs>
            <w:rPr>
              <w:rFonts w:asciiTheme="minorHAnsi" w:hAnsiTheme="minorHAnsi" w:eastAsiaTheme="minorEastAsia"/>
              <w:lang w:eastAsia="en-GB"/>
            </w:rPr>
          </w:pPr>
          <w:r>
            <w:fldChar w:fldCharType="begin"/>
          </w:r>
          <w:r>
            <w:instrText xml:space="preserve"> HYPERLINK \l "_Toc216371137" </w:instrText>
          </w:r>
          <w:r>
            <w:fldChar w:fldCharType="separate"/>
          </w:r>
          <w:r>
            <w:rPr>
              <w:rStyle w:val="17"/>
            </w:rPr>
            <w:t>7. Local and Foreign Labor Market</w:t>
          </w:r>
          <w:r>
            <w:tab/>
          </w:r>
          <w:r>
            <w:fldChar w:fldCharType="begin"/>
          </w:r>
          <w:r>
            <w:instrText xml:space="preserve"> PAGEREF _Toc216371137 \h </w:instrText>
          </w:r>
          <w:r>
            <w:fldChar w:fldCharType="separate"/>
          </w:r>
          <w:r>
            <w:t>8</w:t>
          </w:r>
          <w:r>
            <w:fldChar w:fldCharType="end"/>
          </w:r>
          <w:r>
            <w:fldChar w:fldCharType="end"/>
          </w:r>
        </w:p>
        <w:p w14:paraId="2D419E02">
          <w:pPr>
            <w:pStyle w:val="22"/>
            <w:tabs>
              <w:tab w:val="right" w:leader="dot" w:pos="9016"/>
            </w:tabs>
            <w:rPr>
              <w:rFonts w:asciiTheme="minorHAnsi" w:hAnsiTheme="minorHAnsi" w:eastAsiaTheme="minorEastAsia"/>
              <w:lang w:eastAsia="en-GB"/>
            </w:rPr>
          </w:pPr>
          <w:r>
            <w:fldChar w:fldCharType="begin"/>
          </w:r>
          <w:r>
            <w:instrText xml:space="preserve"> HYPERLINK \l "_Toc216371138" </w:instrText>
          </w:r>
          <w:r>
            <w:fldChar w:fldCharType="separate"/>
          </w:r>
          <w:r>
            <w:rPr>
              <w:rStyle w:val="17"/>
            </w:rPr>
            <w:t>7.1 UK Digital Forensics Market</w:t>
          </w:r>
          <w:r>
            <w:tab/>
          </w:r>
          <w:r>
            <w:fldChar w:fldCharType="begin"/>
          </w:r>
          <w:r>
            <w:instrText xml:space="preserve"> PAGEREF _Toc216371138 \h </w:instrText>
          </w:r>
          <w:r>
            <w:fldChar w:fldCharType="separate"/>
          </w:r>
          <w:r>
            <w:t>8</w:t>
          </w:r>
          <w:r>
            <w:fldChar w:fldCharType="end"/>
          </w:r>
          <w:r>
            <w:fldChar w:fldCharType="end"/>
          </w:r>
        </w:p>
        <w:p w14:paraId="4957829A">
          <w:pPr>
            <w:pStyle w:val="22"/>
            <w:tabs>
              <w:tab w:val="right" w:leader="dot" w:pos="9016"/>
            </w:tabs>
            <w:rPr>
              <w:rFonts w:asciiTheme="minorHAnsi" w:hAnsiTheme="minorHAnsi" w:eastAsiaTheme="minorEastAsia"/>
              <w:lang w:eastAsia="en-GB"/>
            </w:rPr>
          </w:pPr>
          <w:r>
            <w:fldChar w:fldCharType="begin"/>
          </w:r>
          <w:r>
            <w:instrText xml:space="preserve"> HYPERLINK \l "_Toc216371139" </w:instrText>
          </w:r>
          <w:r>
            <w:fldChar w:fldCharType="separate"/>
          </w:r>
          <w:r>
            <w:rPr>
              <w:rStyle w:val="17"/>
            </w:rPr>
            <w:t>7.2 International Market</w:t>
          </w:r>
          <w:r>
            <w:tab/>
          </w:r>
          <w:r>
            <w:fldChar w:fldCharType="begin"/>
          </w:r>
          <w:r>
            <w:instrText xml:space="preserve"> PAGEREF _Toc216371139 \h </w:instrText>
          </w:r>
          <w:r>
            <w:fldChar w:fldCharType="separate"/>
          </w:r>
          <w:r>
            <w:t>8</w:t>
          </w:r>
          <w:r>
            <w:fldChar w:fldCharType="end"/>
          </w:r>
          <w:r>
            <w:fldChar w:fldCharType="end"/>
          </w:r>
        </w:p>
        <w:p w14:paraId="3D3A198C">
          <w:pPr>
            <w:pStyle w:val="21"/>
            <w:tabs>
              <w:tab w:val="right" w:leader="dot" w:pos="9016"/>
            </w:tabs>
            <w:rPr>
              <w:rFonts w:asciiTheme="minorHAnsi" w:hAnsiTheme="minorHAnsi" w:eastAsiaTheme="minorEastAsia"/>
              <w:lang w:eastAsia="en-GB"/>
            </w:rPr>
          </w:pPr>
          <w:r>
            <w:fldChar w:fldCharType="begin"/>
          </w:r>
          <w:r>
            <w:instrText xml:space="preserve"> HYPERLINK \l "_Toc216371140" </w:instrText>
          </w:r>
          <w:r>
            <w:fldChar w:fldCharType="separate"/>
          </w:r>
          <w:r>
            <w:rPr>
              <w:rStyle w:val="17"/>
            </w:rPr>
            <w:t>8. Conclusion and Recommendations</w:t>
          </w:r>
          <w:r>
            <w:tab/>
          </w:r>
          <w:r>
            <w:fldChar w:fldCharType="begin"/>
          </w:r>
          <w:r>
            <w:instrText xml:space="preserve"> PAGEREF _Toc216371140 \h </w:instrText>
          </w:r>
          <w:r>
            <w:fldChar w:fldCharType="separate"/>
          </w:r>
          <w:r>
            <w:t>9</w:t>
          </w:r>
          <w:r>
            <w:fldChar w:fldCharType="end"/>
          </w:r>
          <w:r>
            <w:fldChar w:fldCharType="end"/>
          </w:r>
        </w:p>
        <w:p w14:paraId="78F2F443">
          <w:pPr>
            <w:pStyle w:val="21"/>
            <w:tabs>
              <w:tab w:val="right" w:leader="dot" w:pos="9016"/>
            </w:tabs>
            <w:rPr>
              <w:rFonts w:asciiTheme="minorHAnsi" w:hAnsiTheme="minorHAnsi" w:eastAsiaTheme="minorEastAsia"/>
              <w:lang w:eastAsia="en-GB"/>
            </w:rPr>
          </w:pPr>
          <w:r>
            <w:fldChar w:fldCharType="begin"/>
          </w:r>
          <w:r>
            <w:instrText xml:space="preserve"> HYPERLINK \l "_Toc216371141" </w:instrText>
          </w:r>
          <w:r>
            <w:fldChar w:fldCharType="separate"/>
          </w:r>
          <w:r>
            <w:rPr>
              <w:rStyle w:val="17"/>
            </w:rPr>
            <w:t>Task 2: A Case Study in Intellectual Property Theft</w:t>
          </w:r>
          <w:r>
            <w:tab/>
          </w:r>
          <w:r>
            <w:fldChar w:fldCharType="begin"/>
          </w:r>
          <w:r>
            <w:instrText xml:space="preserve"> PAGEREF _Toc216371141 \h </w:instrText>
          </w:r>
          <w:r>
            <w:fldChar w:fldCharType="separate"/>
          </w:r>
          <w:r>
            <w:t>10</w:t>
          </w:r>
          <w:r>
            <w:fldChar w:fldCharType="end"/>
          </w:r>
          <w:r>
            <w:fldChar w:fldCharType="end"/>
          </w:r>
        </w:p>
        <w:p w14:paraId="1B919777">
          <w:pPr>
            <w:pStyle w:val="21"/>
            <w:tabs>
              <w:tab w:val="right" w:leader="dot" w:pos="9016"/>
            </w:tabs>
            <w:rPr>
              <w:rFonts w:asciiTheme="minorHAnsi" w:hAnsiTheme="minorHAnsi" w:eastAsiaTheme="minorEastAsia"/>
              <w:lang w:eastAsia="en-GB"/>
            </w:rPr>
          </w:pPr>
          <w:r>
            <w:fldChar w:fldCharType="begin"/>
          </w:r>
          <w:r>
            <w:instrText xml:space="preserve"> HYPERLINK \l "_Toc216371142" </w:instrText>
          </w:r>
          <w:r>
            <w:fldChar w:fldCharType="separate"/>
          </w:r>
          <w:r>
            <w:rPr>
              <w:rStyle w:val="17"/>
            </w:rPr>
            <w:t>1. Introduction and Case Overview</w:t>
          </w:r>
          <w:r>
            <w:tab/>
          </w:r>
          <w:r>
            <w:fldChar w:fldCharType="begin"/>
          </w:r>
          <w:r>
            <w:instrText xml:space="preserve"> PAGEREF _Toc216371142 \h </w:instrText>
          </w:r>
          <w:r>
            <w:fldChar w:fldCharType="separate"/>
          </w:r>
          <w:r>
            <w:t>10</w:t>
          </w:r>
          <w:r>
            <w:fldChar w:fldCharType="end"/>
          </w:r>
          <w:r>
            <w:fldChar w:fldCharType="end"/>
          </w:r>
        </w:p>
        <w:p w14:paraId="3B6C8413">
          <w:pPr>
            <w:pStyle w:val="22"/>
            <w:tabs>
              <w:tab w:val="right" w:leader="dot" w:pos="9016"/>
            </w:tabs>
            <w:rPr>
              <w:rFonts w:asciiTheme="minorHAnsi" w:hAnsiTheme="minorHAnsi" w:eastAsiaTheme="minorEastAsia"/>
              <w:lang w:eastAsia="en-GB"/>
            </w:rPr>
          </w:pPr>
          <w:r>
            <w:fldChar w:fldCharType="begin"/>
          </w:r>
          <w:r>
            <w:instrText xml:space="preserve"> HYPERLINK \l "_Toc216371143" </w:instrText>
          </w:r>
          <w:r>
            <w:fldChar w:fldCharType="separate"/>
          </w:r>
          <w:r>
            <w:rPr>
              <w:rStyle w:val="17"/>
            </w:rPr>
            <w:t>1.1 Case ID, Timeline, and Scope</w:t>
          </w:r>
          <w:r>
            <w:tab/>
          </w:r>
          <w:r>
            <w:fldChar w:fldCharType="begin"/>
          </w:r>
          <w:r>
            <w:instrText xml:space="preserve"> PAGEREF _Toc216371143 \h </w:instrText>
          </w:r>
          <w:r>
            <w:fldChar w:fldCharType="separate"/>
          </w:r>
          <w:r>
            <w:t>10</w:t>
          </w:r>
          <w:r>
            <w:fldChar w:fldCharType="end"/>
          </w:r>
          <w:r>
            <w:fldChar w:fldCharType="end"/>
          </w:r>
        </w:p>
        <w:p w14:paraId="4D13B08E">
          <w:pPr>
            <w:pStyle w:val="22"/>
            <w:tabs>
              <w:tab w:val="right" w:leader="dot" w:pos="9016"/>
            </w:tabs>
            <w:rPr>
              <w:rFonts w:asciiTheme="minorHAnsi" w:hAnsiTheme="minorHAnsi" w:eastAsiaTheme="minorEastAsia"/>
              <w:lang w:eastAsia="en-GB"/>
            </w:rPr>
          </w:pPr>
          <w:r>
            <w:fldChar w:fldCharType="begin"/>
          </w:r>
          <w:r>
            <w:instrText xml:space="preserve"> HYPERLINK \l "_Toc216371144" </w:instrText>
          </w:r>
          <w:r>
            <w:fldChar w:fldCharType="separate"/>
          </w:r>
          <w:r>
            <w:rPr>
              <w:rStyle w:val="17"/>
            </w:rPr>
            <w:t>1.2 Objectives of the Forensic Analysis</w:t>
          </w:r>
          <w:r>
            <w:tab/>
          </w:r>
          <w:r>
            <w:fldChar w:fldCharType="begin"/>
          </w:r>
          <w:r>
            <w:instrText xml:space="preserve"> PAGEREF _Toc216371144 \h </w:instrText>
          </w:r>
          <w:r>
            <w:fldChar w:fldCharType="separate"/>
          </w:r>
          <w:r>
            <w:t>10</w:t>
          </w:r>
          <w:r>
            <w:fldChar w:fldCharType="end"/>
          </w:r>
          <w:r>
            <w:fldChar w:fldCharType="end"/>
          </w:r>
        </w:p>
        <w:p w14:paraId="076927C2">
          <w:pPr>
            <w:pStyle w:val="22"/>
            <w:tabs>
              <w:tab w:val="right" w:leader="dot" w:pos="9016"/>
            </w:tabs>
            <w:rPr>
              <w:rFonts w:asciiTheme="minorHAnsi" w:hAnsiTheme="minorHAnsi" w:eastAsiaTheme="minorEastAsia"/>
              <w:lang w:eastAsia="en-GB"/>
            </w:rPr>
          </w:pPr>
          <w:r>
            <w:fldChar w:fldCharType="begin"/>
          </w:r>
          <w:r>
            <w:instrText xml:space="preserve"> HYPERLINK \l "_Toc216371145" </w:instrText>
          </w:r>
          <w:r>
            <w:fldChar w:fldCharType="separate"/>
          </w:r>
          <w:r>
            <w:rPr>
              <w:rStyle w:val="17"/>
            </w:rPr>
            <w:t>1.3 Key Parties and Roles</w:t>
          </w:r>
          <w:r>
            <w:tab/>
          </w:r>
          <w:r>
            <w:fldChar w:fldCharType="begin"/>
          </w:r>
          <w:r>
            <w:instrText xml:space="preserve"> PAGEREF _Toc216371145 \h </w:instrText>
          </w:r>
          <w:r>
            <w:fldChar w:fldCharType="separate"/>
          </w:r>
          <w:r>
            <w:t>11</w:t>
          </w:r>
          <w:r>
            <w:fldChar w:fldCharType="end"/>
          </w:r>
          <w:r>
            <w:fldChar w:fldCharType="end"/>
          </w:r>
        </w:p>
        <w:p w14:paraId="6826EDBA">
          <w:pPr>
            <w:pStyle w:val="21"/>
            <w:tabs>
              <w:tab w:val="right" w:leader="dot" w:pos="9016"/>
            </w:tabs>
            <w:rPr>
              <w:rFonts w:asciiTheme="minorHAnsi" w:hAnsiTheme="minorHAnsi" w:eastAsiaTheme="minorEastAsia"/>
              <w:lang w:eastAsia="en-GB"/>
            </w:rPr>
          </w:pPr>
          <w:r>
            <w:fldChar w:fldCharType="begin"/>
          </w:r>
          <w:r>
            <w:instrText xml:space="preserve"> HYPERLINK \l "_Toc216371146" </w:instrText>
          </w:r>
          <w:r>
            <w:fldChar w:fldCharType="separate"/>
          </w:r>
          <w:r>
            <w:rPr>
              <w:rStyle w:val="17"/>
            </w:rPr>
            <w:t>2. Methodology</w:t>
          </w:r>
          <w:r>
            <w:tab/>
          </w:r>
          <w:r>
            <w:fldChar w:fldCharType="begin"/>
          </w:r>
          <w:r>
            <w:instrText xml:space="preserve"> PAGEREF _Toc216371146 \h </w:instrText>
          </w:r>
          <w:r>
            <w:fldChar w:fldCharType="separate"/>
          </w:r>
          <w:r>
            <w:t>11</w:t>
          </w:r>
          <w:r>
            <w:fldChar w:fldCharType="end"/>
          </w:r>
          <w:r>
            <w:fldChar w:fldCharType="end"/>
          </w:r>
        </w:p>
        <w:p w14:paraId="387AF7E0">
          <w:pPr>
            <w:pStyle w:val="22"/>
            <w:tabs>
              <w:tab w:val="right" w:leader="dot" w:pos="9016"/>
            </w:tabs>
            <w:rPr>
              <w:rFonts w:asciiTheme="minorHAnsi" w:hAnsiTheme="minorHAnsi" w:eastAsiaTheme="minorEastAsia"/>
              <w:lang w:eastAsia="en-GB"/>
            </w:rPr>
          </w:pPr>
          <w:r>
            <w:fldChar w:fldCharType="begin"/>
          </w:r>
          <w:r>
            <w:instrText xml:space="preserve"> HYPERLINK \l "_Toc216371147" </w:instrText>
          </w:r>
          <w:r>
            <w:fldChar w:fldCharType="separate"/>
          </w:r>
          <w:r>
            <w:rPr>
              <w:rStyle w:val="17"/>
            </w:rPr>
            <w:t>2.1 Evidence Collection Procedures</w:t>
          </w:r>
          <w:r>
            <w:tab/>
          </w:r>
          <w:r>
            <w:fldChar w:fldCharType="begin"/>
          </w:r>
          <w:r>
            <w:instrText xml:space="preserve"> PAGEREF _Toc216371147 \h </w:instrText>
          </w:r>
          <w:r>
            <w:fldChar w:fldCharType="separate"/>
          </w:r>
          <w:r>
            <w:t>11</w:t>
          </w:r>
          <w:r>
            <w:fldChar w:fldCharType="end"/>
          </w:r>
          <w:r>
            <w:fldChar w:fldCharType="end"/>
          </w:r>
        </w:p>
        <w:p w14:paraId="60841727">
          <w:pPr>
            <w:pStyle w:val="22"/>
            <w:tabs>
              <w:tab w:val="right" w:leader="dot" w:pos="9016"/>
            </w:tabs>
            <w:rPr>
              <w:rFonts w:asciiTheme="minorHAnsi" w:hAnsiTheme="minorHAnsi" w:eastAsiaTheme="minorEastAsia"/>
              <w:lang w:eastAsia="en-GB"/>
            </w:rPr>
          </w:pPr>
          <w:r>
            <w:fldChar w:fldCharType="begin"/>
          </w:r>
          <w:r>
            <w:instrText xml:space="preserve"> HYPERLINK \l "_Toc216371148" </w:instrText>
          </w:r>
          <w:r>
            <w:fldChar w:fldCharType="separate"/>
          </w:r>
          <w:r>
            <w:rPr>
              <w:rStyle w:val="17"/>
            </w:rPr>
            <w:t>2.2 Forensic Imaging and Toolset Used</w:t>
          </w:r>
          <w:r>
            <w:tab/>
          </w:r>
          <w:r>
            <w:fldChar w:fldCharType="begin"/>
          </w:r>
          <w:r>
            <w:instrText xml:space="preserve"> PAGEREF _Toc216371148 \h </w:instrText>
          </w:r>
          <w:r>
            <w:fldChar w:fldCharType="separate"/>
          </w:r>
          <w:r>
            <w:t>11</w:t>
          </w:r>
          <w:r>
            <w:fldChar w:fldCharType="end"/>
          </w:r>
          <w:r>
            <w:fldChar w:fldCharType="end"/>
          </w:r>
        </w:p>
        <w:p w14:paraId="467917A6">
          <w:pPr>
            <w:pStyle w:val="22"/>
            <w:tabs>
              <w:tab w:val="right" w:leader="dot" w:pos="9016"/>
            </w:tabs>
            <w:rPr>
              <w:rFonts w:asciiTheme="minorHAnsi" w:hAnsiTheme="minorHAnsi" w:eastAsiaTheme="minorEastAsia"/>
              <w:lang w:eastAsia="en-GB"/>
            </w:rPr>
          </w:pPr>
          <w:r>
            <w:fldChar w:fldCharType="begin"/>
          </w:r>
          <w:r>
            <w:instrText xml:space="preserve"> HYPERLINK \l "_Toc216371149" </w:instrText>
          </w:r>
          <w:r>
            <w:fldChar w:fldCharType="separate"/>
          </w:r>
          <w:r>
            <w:rPr>
              <w:rStyle w:val="17"/>
            </w:rPr>
            <w:t>2.3 Data Processing and Validation Steps</w:t>
          </w:r>
          <w:r>
            <w:tab/>
          </w:r>
          <w:r>
            <w:fldChar w:fldCharType="begin"/>
          </w:r>
          <w:r>
            <w:instrText xml:space="preserve"> PAGEREF _Toc216371149 \h </w:instrText>
          </w:r>
          <w:r>
            <w:fldChar w:fldCharType="separate"/>
          </w:r>
          <w:r>
            <w:t>12</w:t>
          </w:r>
          <w:r>
            <w:fldChar w:fldCharType="end"/>
          </w:r>
          <w:r>
            <w:fldChar w:fldCharType="end"/>
          </w:r>
        </w:p>
        <w:p w14:paraId="2E8D0509">
          <w:pPr>
            <w:pStyle w:val="22"/>
            <w:tabs>
              <w:tab w:val="right" w:leader="dot" w:pos="9016"/>
            </w:tabs>
            <w:rPr>
              <w:rFonts w:asciiTheme="minorHAnsi" w:hAnsiTheme="minorHAnsi" w:eastAsiaTheme="minorEastAsia"/>
              <w:lang w:eastAsia="en-GB"/>
            </w:rPr>
          </w:pPr>
          <w:r>
            <w:fldChar w:fldCharType="begin"/>
          </w:r>
          <w:r>
            <w:instrText xml:space="preserve"> HYPERLINK \l "_Toc216371150" </w:instrText>
          </w:r>
          <w:r>
            <w:fldChar w:fldCharType="separate"/>
          </w:r>
          <w:r>
            <w:rPr>
              <w:rStyle w:val="17"/>
            </w:rPr>
            <w:t>2.4 Limitations and Reliability Factors</w:t>
          </w:r>
          <w:r>
            <w:tab/>
          </w:r>
          <w:r>
            <w:fldChar w:fldCharType="begin"/>
          </w:r>
          <w:r>
            <w:instrText xml:space="preserve"> PAGEREF _Toc216371150 \h </w:instrText>
          </w:r>
          <w:r>
            <w:fldChar w:fldCharType="separate"/>
          </w:r>
          <w:r>
            <w:t>12</w:t>
          </w:r>
          <w:r>
            <w:fldChar w:fldCharType="end"/>
          </w:r>
          <w:r>
            <w:fldChar w:fldCharType="end"/>
          </w:r>
        </w:p>
        <w:p w14:paraId="7306F9EA">
          <w:pPr>
            <w:pStyle w:val="21"/>
            <w:tabs>
              <w:tab w:val="right" w:leader="dot" w:pos="9016"/>
            </w:tabs>
            <w:rPr>
              <w:rFonts w:asciiTheme="minorHAnsi" w:hAnsiTheme="minorHAnsi" w:eastAsiaTheme="minorEastAsia"/>
              <w:lang w:eastAsia="en-GB"/>
            </w:rPr>
          </w:pPr>
          <w:r>
            <w:fldChar w:fldCharType="begin"/>
          </w:r>
          <w:r>
            <w:instrText xml:space="preserve"> HYPERLINK \l "_Toc216371151" </w:instrText>
          </w:r>
          <w:r>
            <w:fldChar w:fldCharType="separate"/>
          </w:r>
          <w:r>
            <w:rPr>
              <w:rStyle w:val="17"/>
            </w:rPr>
            <w:t>3. Evidence Overview</w:t>
          </w:r>
          <w:r>
            <w:tab/>
          </w:r>
          <w:r>
            <w:fldChar w:fldCharType="begin"/>
          </w:r>
          <w:r>
            <w:instrText xml:space="preserve"> PAGEREF _Toc216371151 \h </w:instrText>
          </w:r>
          <w:r>
            <w:fldChar w:fldCharType="separate"/>
          </w:r>
          <w:r>
            <w:t>12</w:t>
          </w:r>
          <w:r>
            <w:fldChar w:fldCharType="end"/>
          </w:r>
          <w:r>
            <w:fldChar w:fldCharType="end"/>
          </w:r>
        </w:p>
        <w:p w14:paraId="6DAE896E">
          <w:pPr>
            <w:pStyle w:val="22"/>
            <w:tabs>
              <w:tab w:val="right" w:leader="dot" w:pos="9016"/>
            </w:tabs>
            <w:rPr>
              <w:rFonts w:asciiTheme="minorHAnsi" w:hAnsiTheme="minorHAnsi" w:eastAsiaTheme="minorEastAsia"/>
              <w:lang w:eastAsia="en-GB"/>
            </w:rPr>
          </w:pPr>
          <w:r>
            <w:fldChar w:fldCharType="begin"/>
          </w:r>
          <w:r>
            <w:instrText xml:space="preserve"> HYPERLINK \l "_Toc216371152" </w:instrText>
          </w:r>
          <w:r>
            <w:fldChar w:fldCharType="separate"/>
          </w:r>
          <w:r>
            <w:rPr>
              <w:rStyle w:val="17"/>
            </w:rPr>
            <w:t>3.1 Description of Devices Analysed</w:t>
          </w:r>
          <w:r>
            <w:tab/>
          </w:r>
          <w:r>
            <w:fldChar w:fldCharType="begin"/>
          </w:r>
          <w:r>
            <w:instrText xml:space="preserve"> PAGEREF _Toc216371152 \h </w:instrText>
          </w:r>
          <w:r>
            <w:fldChar w:fldCharType="separate"/>
          </w:r>
          <w:r>
            <w:t>12</w:t>
          </w:r>
          <w:r>
            <w:fldChar w:fldCharType="end"/>
          </w:r>
          <w:r>
            <w:fldChar w:fldCharType="end"/>
          </w:r>
        </w:p>
        <w:p w14:paraId="5BDB31E0">
          <w:pPr>
            <w:pStyle w:val="22"/>
            <w:tabs>
              <w:tab w:val="right" w:leader="dot" w:pos="9016"/>
            </w:tabs>
            <w:rPr>
              <w:rFonts w:asciiTheme="minorHAnsi" w:hAnsiTheme="minorHAnsi" w:eastAsiaTheme="minorEastAsia"/>
              <w:lang w:eastAsia="en-GB"/>
            </w:rPr>
          </w:pPr>
          <w:r>
            <w:fldChar w:fldCharType="begin"/>
          </w:r>
          <w:r>
            <w:instrText xml:space="preserve"> HYPERLINK \l "_Toc216371153" </w:instrText>
          </w:r>
          <w:r>
            <w:fldChar w:fldCharType="separate"/>
          </w:r>
          <w:r>
            <w:rPr>
              <w:rStyle w:val="17"/>
            </w:rPr>
            <w:t>3.2 Extraction Data Volumes and Details</w:t>
          </w:r>
          <w:r>
            <w:tab/>
          </w:r>
          <w:r>
            <w:fldChar w:fldCharType="begin"/>
          </w:r>
          <w:r>
            <w:instrText xml:space="preserve"> PAGEREF _Toc216371153 \h </w:instrText>
          </w:r>
          <w:r>
            <w:fldChar w:fldCharType="separate"/>
          </w:r>
          <w:r>
            <w:t>13</w:t>
          </w:r>
          <w:r>
            <w:fldChar w:fldCharType="end"/>
          </w:r>
          <w:r>
            <w:fldChar w:fldCharType="end"/>
          </w:r>
        </w:p>
        <w:p w14:paraId="03155464">
          <w:pPr>
            <w:pStyle w:val="22"/>
            <w:tabs>
              <w:tab w:val="right" w:leader="dot" w:pos="9016"/>
            </w:tabs>
            <w:rPr>
              <w:rFonts w:asciiTheme="minorHAnsi" w:hAnsiTheme="minorHAnsi" w:eastAsiaTheme="minorEastAsia"/>
              <w:lang w:eastAsia="en-GB"/>
            </w:rPr>
          </w:pPr>
          <w:r>
            <w:fldChar w:fldCharType="begin"/>
          </w:r>
          <w:r>
            <w:instrText xml:space="preserve"> HYPERLINK \l "_Toc216371154" </w:instrText>
          </w:r>
          <w:r>
            <w:fldChar w:fldCharType="separate"/>
          </w:r>
          <w:r>
            <w:rPr>
              <w:rStyle w:val="17"/>
            </w:rPr>
            <w:t>3.3 Chain of Custody Assurance</w:t>
          </w:r>
          <w:r>
            <w:tab/>
          </w:r>
          <w:r>
            <w:fldChar w:fldCharType="begin"/>
          </w:r>
          <w:r>
            <w:instrText xml:space="preserve"> PAGEREF _Toc216371154 \h </w:instrText>
          </w:r>
          <w:r>
            <w:fldChar w:fldCharType="separate"/>
          </w:r>
          <w:r>
            <w:t>13</w:t>
          </w:r>
          <w:r>
            <w:fldChar w:fldCharType="end"/>
          </w:r>
          <w:r>
            <w:fldChar w:fldCharType="end"/>
          </w:r>
        </w:p>
        <w:p w14:paraId="64533706">
          <w:pPr>
            <w:pStyle w:val="22"/>
            <w:tabs>
              <w:tab w:val="right" w:leader="dot" w:pos="9016"/>
            </w:tabs>
            <w:rPr>
              <w:rFonts w:asciiTheme="minorHAnsi" w:hAnsiTheme="minorHAnsi" w:eastAsiaTheme="minorEastAsia"/>
              <w:lang w:eastAsia="en-GB"/>
            </w:rPr>
          </w:pPr>
          <w:r>
            <w:fldChar w:fldCharType="begin"/>
          </w:r>
          <w:r>
            <w:instrText xml:space="preserve"> HYPERLINK \l "_Toc216371155" </w:instrText>
          </w:r>
          <w:r>
            <w:fldChar w:fldCharType="separate"/>
          </w:r>
          <w:r>
            <w:rPr>
              <w:rStyle w:val="17"/>
            </w:rPr>
            <w:t>3.4 Overview of Relevant Data Types</w:t>
          </w:r>
          <w:r>
            <w:tab/>
          </w:r>
          <w:r>
            <w:fldChar w:fldCharType="begin"/>
          </w:r>
          <w:r>
            <w:instrText xml:space="preserve"> PAGEREF _Toc216371155 \h </w:instrText>
          </w:r>
          <w:r>
            <w:fldChar w:fldCharType="separate"/>
          </w:r>
          <w:r>
            <w:t>13</w:t>
          </w:r>
          <w:r>
            <w:fldChar w:fldCharType="end"/>
          </w:r>
          <w:r>
            <w:fldChar w:fldCharType="end"/>
          </w:r>
        </w:p>
        <w:p w14:paraId="6772D1F2">
          <w:pPr>
            <w:pStyle w:val="21"/>
            <w:tabs>
              <w:tab w:val="right" w:leader="dot" w:pos="9016"/>
            </w:tabs>
            <w:rPr>
              <w:rFonts w:asciiTheme="minorHAnsi" w:hAnsiTheme="minorHAnsi" w:eastAsiaTheme="minorEastAsia"/>
              <w:lang w:eastAsia="en-GB"/>
            </w:rPr>
          </w:pPr>
          <w:r>
            <w:fldChar w:fldCharType="begin"/>
          </w:r>
          <w:r>
            <w:instrText xml:space="preserve"> HYPERLINK \l "_Toc216371156" </w:instrText>
          </w:r>
          <w:r>
            <w:fldChar w:fldCharType="separate"/>
          </w:r>
          <w:r>
            <w:rPr>
              <w:rStyle w:val="17"/>
            </w:rPr>
            <w:t>4. Analysis and Findings of the Devices</w:t>
          </w:r>
          <w:r>
            <w:tab/>
          </w:r>
          <w:r>
            <w:fldChar w:fldCharType="begin"/>
          </w:r>
          <w:r>
            <w:instrText xml:space="preserve"> PAGEREF _Toc216371156 \h </w:instrText>
          </w:r>
          <w:r>
            <w:fldChar w:fldCharType="separate"/>
          </w:r>
          <w:r>
            <w:t>13</w:t>
          </w:r>
          <w:r>
            <w:fldChar w:fldCharType="end"/>
          </w:r>
          <w:r>
            <w:fldChar w:fldCharType="end"/>
          </w:r>
        </w:p>
        <w:p w14:paraId="3AED2FEB">
          <w:pPr>
            <w:pStyle w:val="22"/>
            <w:tabs>
              <w:tab w:val="right" w:leader="dot" w:pos="9016"/>
            </w:tabs>
            <w:rPr>
              <w:rFonts w:asciiTheme="minorHAnsi" w:hAnsiTheme="minorHAnsi" w:eastAsiaTheme="minorEastAsia"/>
              <w:lang w:eastAsia="en-GB"/>
            </w:rPr>
          </w:pPr>
          <w:r>
            <w:fldChar w:fldCharType="begin"/>
          </w:r>
          <w:r>
            <w:instrText xml:space="preserve"> HYPERLINK \l "_Toc216371157" </w:instrText>
          </w:r>
          <w:r>
            <w:fldChar w:fldCharType="separate"/>
          </w:r>
          <w:r>
            <w:rPr>
              <w:rStyle w:val="17"/>
            </w:rPr>
            <w:t>4.1 Huawei POT-LX1 P Smart — Attributed to Emma</w:t>
          </w:r>
          <w:r>
            <w:tab/>
          </w:r>
          <w:r>
            <w:fldChar w:fldCharType="begin"/>
          </w:r>
          <w:r>
            <w:instrText xml:space="preserve"> PAGEREF _Toc216371157 \h </w:instrText>
          </w:r>
          <w:r>
            <w:fldChar w:fldCharType="separate"/>
          </w:r>
          <w:r>
            <w:t>13</w:t>
          </w:r>
          <w:r>
            <w:fldChar w:fldCharType="end"/>
          </w:r>
          <w:r>
            <w:fldChar w:fldCharType="end"/>
          </w:r>
        </w:p>
        <w:p w14:paraId="38541FA4">
          <w:pPr>
            <w:pStyle w:val="22"/>
            <w:tabs>
              <w:tab w:val="right" w:leader="dot" w:pos="9016"/>
            </w:tabs>
            <w:rPr>
              <w:rFonts w:asciiTheme="minorHAnsi" w:hAnsiTheme="minorHAnsi" w:eastAsiaTheme="minorEastAsia"/>
              <w:lang w:eastAsia="en-GB"/>
            </w:rPr>
          </w:pPr>
          <w:r>
            <w:fldChar w:fldCharType="begin"/>
          </w:r>
          <w:r>
            <w:instrText xml:space="preserve"> HYPERLINK \l "_Toc216371158" </w:instrText>
          </w:r>
          <w:r>
            <w:fldChar w:fldCharType="separate"/>
          </w:r>
          <w:r>
            <w:rPr>
              <w:rStyle w:val="17"/>
            </w:rPr>
            <w:t>4.2 Samsung Galaxy A13 - Transacted under Joe</w:t>
          </w:r>
          <w:r>
            <w:tab/>
          </w:r>
          <w:r>
            <w:fldChar w:fldCharType="begin"/>
          </w:r>
          <w:r>
            <w:instrText xml:space="preserve"> PAGEREF _Toc216371158 \h </w:instrText>
          </w:r>
          <w:r>
            <w:fldChar w:fldCharType="separate"/>
          </w:r>
          <w:r>
            <w:t>15</w:t>
          </w:r>
          <w:r>
            <w:fldChar w:fldCharType="end"/>
          </w:r>
          <w:r>
            <w:fldChar w:fldCharType="end"/>
          </w:r>
        </w:p>
        <w:p w14:paraId="0E4EA52E">
          <w:pPr>
            <w:pStyle w:val="22"/>
            <w:tabs>
              <w:tab w:val="right" w:leader="dot" w:pos="9016"/>
            </w:tabs>
            <w:rPr>
              <w:rFonts w:asciiTheme="minorHAnsi" w:hAnsiTheme="minorHAnsi" w:eastAsiaTheme="minorEastAsia"/>
              <w:lang w:eastAsia="en-GB"/>
            </w:rPr>
          </w:pPr>
          <w:r>
            <w:fldChar w:fldCharType="begin"/>
          </w:r>
          <w:r>
            <w:instrText xml:space="preserve"> HYPERLINK \l "_Toc216371159" </w:instrText>
          </w:r>
          <w:r>
            <w:fldChar w:fldCharType="separate"/>
          </w:r>
          <w:r>
            <w:rPr>
              <w:rStyle w:val="17"/>
            </w:rPr>
            <w:t>4.3 Ulefone Note 14 -Accredited to Norman.</w:t>
          </w:r>
          <w:r>
            <w:tab/>
          </w:r>
          <w:r>
            <w:fldChar w:fldCharType="begin"/>
          </w:r>
          <w:r>
            <w:instrText xml:space="preserve"> PAGEREF _Toc216371159 \h </w:instrText>
          </w:r>
          <w:r>
            <w:fldChar w:fldCharType="separate"/>
          </w:r>
          <w:r>
            <w:t>17</w:t>
          </w:r>
          <w:r>
            <w:fldChar w:fldCharType="end"/>
          </w:r>
          <w:r>
            <w:fldChar w:fldCharType="end"/>
          </w:r>
        </w:p>
        <w:p w14:paraId="7A239DF0">
          <w:pPr>
            <w:pStyle w:val="22"/>
            <w:tabs>
              <w:tab w:val="right" w:leader="dot" w:pos="9016"/>
            </w:tabs>
            <w:rPr>
              <w:rFonts w:asciiTheme="minorHAnsi" w:hAnsiTheme="minorHAnsi" w:eastAsiaTheme="minorEastAsia"/>
              <w:lang w:eastAsia="en-GB"/>
            </w:rPr>
          </w:pPr>
          <w:r>
            <w:fldChar w:fldCharType="begin"/>
          </w:r>
          <w:r>
            <w:instrText xml:space="preserve"> HYPERLINK \l "_Toc216371160" </w:instrText>
          </w:r>
          <w:r>
            <w:fldChar w:fldCharType="separate"/>
          </w:r>
          <w:r>
            <w:rPr>
              <w:rStyle w:val="17"/>
            </w:rPr>
            <w:t>4.4 Nokia C2 — Unattributed Co-conspirator</w:t>
          </w:r>
          <w:r>
            <w:tab/>
          </w:r>
          <w:r>
            <w:fldChar w:fldCharType="begin"/>
          </w:r>
          <w:r>
            <w:instrText xml:space="preserve"> PAGEREF _Toc216371160 \h </w:instrText>
          </w:r>
          <w:r>
            <w:fldChar w:fldCharType="separate"/>
          </w:r>
          <w:r>
            <w:t>18</w:t>
          </w:r>
          <w:r>
            <w:fldChar w:fldCharType="end"/>
          </w:r>
          <w:r>
            <w:fldChar w:fldCharType="end"/>
          </w:r>
        </w:p>
        <w:p w14:paraId="436F0449">
          <w:pPr>
            <w:pStyle w:val="21"/>
            <w:tabs>
              <w:tab w:val="right" w:leader="dot" w:pos="9016"/>
            </w:tabs>
            <w:rPr>
              <w:rFonts w:asciiTheme="minorHAnsi" w:hAnsiTheme="minorHAnsi" w:eastAsiaTheme="minorEastAsia"/>
              <w:lang w:eastAsia="en-GB"/>
            </w:rPr>
          </w:pPr>
          <w:r>
            <w:fldChar w:fldCharType="begin"/>
          </w:r>
          <w:r>
            <w:instrText xml:space="preserve"> HYPERLINK \l "_Toc216371161" </w:instrText>
          </w:r>
          <w:r>
            <w:fldChar w:fldCharType="separate"/>
          </w:r>
          <w:r>
            <w:rPr>
              <w:rStyle w:val="17"/>
            </w:rPr>
            <w:t>5. Correlation of Cross-Devices and of Timeline</w:t>
          </w:r>
          <w:r>
            <w:tab/>
          </w:r>
          <w:r>
            <w:fldChar w:fldCharType="begin"/>
          </w:r>
          <w:r>
            <w:instrText xml:space="preserve"> PAGEREF _Toc216371161 \h </w:instrText>
          </w:r>
          <w:r>
            <w:fldChar w:fldCharType="separate"/>
          </w:r>
          <w:r>
            <w:t>20</w:t>
          </w:r>
          <w:r>
            <w:fldChar w:fldCharType="end"/>
          </w:r>
          <w:r>
            <w:fldChar w:fldCharType="end"/>
          </w:r>
        </w:p>
        <w:p w14:paraId="1504475A">
          <w:pPr>
            <w:pStyle w:val="22"/>
            <w:tabs>
              <w:tab w:val="right" w:leader="dot" w:pos="9016"/>
            </w:tabs>
            <w:rPr>
              <w:rFonts w:asciiTheme="minorHAnsi" w:hAnsiTheme="minorHAnsi" w:eastAsiaTheme="minorEastAsia"/>
              <w:lang w:eastAsia="en-GB"/>
            </w:rPr>
          </w:pPr>
          <w:r>
            <w:fldChar w:fldCharType="begin"/>
          </w:r>
          <w:r>
            <w:instrText xml:space="preserve"> HYPERLINK \l "_Toc216371162" </w:instrText>
          </w:r>
          <w:r>
            <w:fldChar w:fldCharType="separate"/>
          </w:r>
          <w:r>
            <w:rPr>
              <w:rStyle w:val="17"/>
            </w:rPr>
            <w:t>5.1 Experiencing Evidence-Based Narrative Construction</w:t>
          </w:r>
          <w:r>
            <w:tab/>
          </w:r>
          <w:r>
            <w:fldChar w:fldCharType="begin"/>
          </w:r>
          <w:r>
            <w:instrText xml:space="preserve"> PAGEREF _Toc216371162 \h </w:instrText>
          </w:r>
          <w:r>
            <w:fldChar w:fldCharType="separate"/>
          </w:r>
          <w:r>
            <w:t>20</w:t>
          </w:r>
          <w:r>
            <w:fldChar w:fldCharType="end"/>
          </w:r>
          <w:r>
            <w:fldChar w:fldCharType="end"/>
          </w:r>
        </w:p>
        <w:p w14:paraId="60321193">
          <w:pPr>
            <w:pStyle w:val="22"/>
            <w:tabs>
              <w:tab w:val="right" w:leader="dot" w:pos="9016"/>
            </w:tabs>
            <w:rPr>
              <w:rFonts w:asciiTheme="minorHAnsi" w:hAnsiTheme="minorHAnsi" w:eastAsiaTheme="minorEastAsia"/>
              <w:lang w:eastAsia="en-GB"/>
            </w:rPr>
          </w:pPr>
          <w:r>
            <w:fldChar w:fldCharType="begin"/>
          </w:r>
          <w:r>
            <w:instrText xml:space="preserve"> HYPERLINK \l "_Toc216371163" </w:instrText>
          </w:r>
          <w:r>
            <w:fldChar w:fldCharType="separate"/>
          </w:r>
          <w:r>
            <w:rPr>
              <w:rStyle w:val="17"/>
            </w:rPr>
            <w:t>5.2 Timeline Visualization</w:t>
          </w:r>
          <w:r>
            <w:tab/>
          </w:r>
          <w:r>
            <w:fldChar w:fldCharType="begin"/>
          </w:r>
          <w:r>
            <w:instrText xml:space="preserve"> PAGEREF _Toc216371163 \h </w:instrText>
          </w:r>
          <w:r>
            <w:fldChar w:fldCharType="separate"/>
          </w:r>
          <w:r>
            <w:t>22</w:t>
          </w:r>
          <w:r>
            <w:fldChar w:fldCharType="end"/>
          </w:r>
          <w:r>
            <w:fldChar w:fldCharType="end"/>
          </w:r>
        </w:p>
        <w:p w14:paraId="7BD911FC">
          <w:pPr>
            <w:pStyle w:val="22"/>
            <w:tabs>
              <w:tab w:val="right" w:leader="dot" w:pos="9016"/>
            </w:tabs>
            <w:rPr>
              <w:rFonts w:asciiTheme="minorHAnsi" w:hAnsiTheme="minorHAnsi" w:eastAsiaTheme="minorEastAsia"/>
              <w:lang w:eastAsia="en-GB"/>
            </w:rPr>
          </w:pPr>
          <w:r>
            <w:fldChar w:fldCharType="begin"/>
          </w:r>
          <w:r>
            <w:instrText xml:space="preserve"> HYPERLINK \l "_Toc216371164" </w:instrText>
          </w:r>
          <w:r>
            <w:fldChar w:fldCharType="separate"/>
          </w:r>
          <w:r>
            <w:rPr>
              <w:rStyle w:val="17"/>
            </w:rPr>
            <w:t>5.3 Actor Role Mapping and Relationship Diagram</w:t>
          </w:r>
          <w:r>
            <w:tab/>
          </w:r>
          <w:r>
            <w:fldChar w:fldCharType="begin"/>
          </w:r>
          <w:r>
            <w:instrText xml:space="preserve"> PAGEREF _Toc216371164 \h </w:instrText>
          </w:r>
          <w:r>
            <w:fldChar w:fldCharType="separate"/>
          </w:r>
          <w:r>
            <w:t>22</w:t>
          </w:r>
          <w:r>
            <w:fldChar w:fldCharType="end"/>
          </w:r>
          <w:r>
            <w:fldChar w:fldCharType="end"/>
          </w:r>
        </w:p>
        <w:p w14:paraId="5193EBBA">
          <w:pPr>
            <w:pStyle w:val="21"/>
            <w:tabs>
              <w:tab w:val="right" w:leader="dot" w:pos="9016"/>
            </w:tabs>
            <w:rPr>
              <w:rFonts w:asciiTheme="minorHAnsi" w:hAnsiTheme="minorHAnsi" w:eastAsiaTheme="minorEastAsia"/>
              <w:lang w:eastAsia="en-GB"/>
            </w:rPr>
          </w:pPr>
          <w:r>
            <w:fldChar w:fldCharType="begin"/>
          </w:r>
          <w:r>
            <w:instrText xml:space="preserve"> HYPERLINK \l "_Toc216371165" </w:instrText>
          </w:r>
          <w:r>
            <w:fldChar w:fldCharType="separate"/>
          </w:r>
          <w:r>
            <w:rPr>
              <w:rStyle w:val="17"/>
            </w:rPr>
            <w:t>6. Technical and Legal Assessment</w:t>
          </w:r>
          <w:r>
            <w:tab/>
          </w:r>
          <w:r>
            <w:fldChar w:fldCharType="begin"/>
          </w:r>
          <w:r>
            <w:instrText xml:space="preserve"> PAGEREF _Toc216371165 \h </w:instrText>
          </w:r>
          <w:r>
            <w:fldChar w:fldCharType="separate"/>
          </w:r>
          <w:r>
            <w:t>23</w:t>
          </w:r>
          <w:r>
            <w:fldChar w:fldCharType="end"/>
          </w:r>
          <w:r>
            <w:fldChar w:fldCharType="end"/>
          </w:r>
        </w:p>
        <w:p w14:paraId="32C73016">
          <w:pPr>
            <w:pStyle w:val="22"/>
            <w:tabs>
              <w:tab w:val="right" w:leader="dot" w:pos="9016"/>
            </w:tabs>
            <w:rPr>
              <w:rFonts w:asciiTheme="minorHAnsi" w:hAnsiTheme="minorHAnsi" w:eastAsiaTheme="minorEastAsia"/>
              <w:lang w:eastAsia="en-GB"/>
            </w:rPr>
          </w:pPr>
          <w:r>
            <w:fldChar w:fldCharType="begin"/>
          </w:r>
          <w:r>
            <w:instrText xml:space="preserve"> HYPERLINK \l "_Toc216371166" </w:instrText>
          </w:r>
          <w:r>
            <w:fldChar w:fldCharType="separate"/>
          </w:r>
          <w:r>
            <w:rPr>
              <w:rStyle w:val="17"/>
            </w:rPr>
            <w:t>6.1 Technical Barriers Encountered</w:t>
          </w:r>
          <w:r>
            <w:tab/>
          </w:r>
          <w:r>
            <w:fldChar w:fldCharType="begin"/>
          </w:r>
          <w:r>
            <w:instrText xml:space="preserve"> PAGEREF _Toc216371166 \h </w:instrText>
          </w:r>
          <w:r>
            <w:fldChar w:fldCharType="separate"/>
          </w:r>
          <w:r>
            <w:t>23</w:t>
          </w:r>
          <w:r>
            <w:fldChar w:fldCharType="end"/>
          </w:r>
          <w:r>
            <w:fldChar w:fldCharType="end"/>
          </w:r>
        </w:p>
        <w:p w14:paraId="1E8C9CF4">
          <w:pPr>
            <w:pStyle w:val="22"/>
            <w:tabs>
              <w:tab w:val="right" w:leader="dot" w:pos="9016"/>
            </w:tabs>
            <w:rPr>
              <w:rFonts w:asciiTheme="minorHAnsi" w:hAnsiTheme="minorHAnsi" w:eastAsiaTheme="minorEastAsia"/>
              <w:lang w:eastAsia="en-GB"/>
            </w:rPr>
          </w:pPr>
          <w:r>
            <w:fldChar w:fldCharType="begin"/>
          </w:r>
          <w:r>
            <w:instrText xml:space="preserve"> HYPERLINK \l "_Toc216371167" </w:instrText>
          </w:r>
          <w:r>
            <w:fldChar w:fldCharType="separate"/>
          </w:r>
          <w:r>
            <w:rPr>
              <w:rStyle w:val="17"/>
            </w:rPr>
            <w:t>6.2 Data Integrity and Admissibility</w:t>
          </w:r>
          <w:r>
            <w:tab/>
          </w:r>
          <w:r>
            <w:fldChar w:fldCharType="begin"/>
          </w:r>
          <w:r>
            <w:instrText xml:space="preserve"> PAGEREF _Toc216371167 \h </w:instrText>
          </w:r>
          <w:r>
            <w:fldChar w:fldCharType="separate"/>
          </w:r>
          <w:r>
            <w:t>23</w:t>
          </w:r>
          <w:r>
            <w:fldChar w:fldCharType="end"/>
          </w:r>
          <w:r>
            <w:fldChar w:fldCharType="end"/>
          </w:r>
        </w:p>
        <w:p w14:paraId="136DF1C5">
          <w:pPr>
            <w:pStyle w:val="22"/>
            <w:tabs>
              <w:tab w:val="right" w:leader="dot" w:pos="9016"/>
            </w:tabs>
            <w:rPr>
              <w:rFonts w:asciiTheme="minorHAnsi" w:hAnsiTheme="minorHAnsi" w:eastAsiaTheme="minorEastAsia"/>
              <w:lang w:eastAsia="en-GB"/>
            </w:rPr>
          </w:pPr>
          <w:r>
            <w:fldChar w:fldCharType="begin"/>
          </w:r>
          <w:r>
            <w:instrText xml:space="preserve"> HYPERLINK \l "_Toc216371168" </w:instrText>
          </w:r>
          <w:r>
            <w:fldChar w:fldCharType="separate"/>
          </w:r>
          <w:r>
            <w:rPr>
              <w:rStyle w:val="17"/>
            </w:rPr>
            <w:t>6.3 Legal Considerations in Evidence Handling</w:t>
          </w:r>
          <w:r>
            <w:tab/>
          </w:r>
          <w:r>
            <w:fldChar w:fldCharType="begin"/>
          </w:r>
          <w:r>
            <w:instrText xml:space="preserve"> PAGEREF _Toc216371168 \h </w:instrText>
          </w:r>
          <w:r>
            <w:fldChar w:fldCharType="separate"/>
          </w:r>
          <w:r>
            <w:t>24</w:t>
          </w:r>
          <w:r>
            <w:fldChar w:fldCharType="end"/>
          </w:r>
          <w:r>
            <w:fldChar w:fldCharType="end"/>
          </w:r>
        </w:p>
        <w:p w14:paraId="7BE0BDB9">
          <w:pPr>
            <w:pStyle w:val="21"/>
            <w:tabs>
              <w:tab w:val="right" w:leader="dot" w:pos="9016"/>
            </w:tabs>
            <w:rPr>
              <w:rFonts w:asciiTheme="minorHAnsi" w:hAnsiTheme="minorHAnsi" w:eastAsiaTheme="minorEastAsia"/>
              <w:lang w:eastAsia="en-GB"/>
            </w:rPr>
          </w:pPr>
          <w:r>
            <w:fldChar w:fldCharType="begin"/>
          </w:r>
          <w:r>
            <w:instrText xml:space="preserve"> HYPERLINK \l "_Toc216371169" </w:instrText>
          </w:r>
          <w:r>
            <w:fldChar w:fldCharType="separate"/>
          </w:r>
          <w:r>
            <w:rPr>
              <w:rStyle w:val="17"/>
            </w:rPr>
            <w:t>7. Documentation of Device Acquisition Process</w:t>
          </w:r>
          <w:r>
            <w:tab/>
          </w:r>
          <w:r>
            <w:fldChar w:fldCharType="begin"/>
          </w:r>
          <w:r>
            <w:instrText xml:space="preserve"> PAGEREF _Toc216371169 \h </w:instrText>
          </w:r>
          <w:r>
            <w:fldChar w:fldCharType="separate"/>
          </w:r>
          <w:r>
            <w:t>25</w:t>
          </w:r>
          <w:r>
            <w:fldChar w:fldCharType="end"/>
          </w:r>
          <w:r>
            <w:fldChar w:fldCharType="end"/>
          </w:r>
        </w:p>
        <w:p w14:paraId="77DB5405">
          <w:pPr>
            <w:pStyle w:val="21"/>
            <w:tabs>
              <w:tab w:val="right" w:leader="dot" w:pos="9016"/>
            </w:tabs>
            <w:rPr>
              <w:rFonts w:asciiTheme="minorHAnsi" w:hAnsiTheme="minorHAnsi" w:eastAsiaTheme="minorEastAsia"/>
              <w:lang w:eastAsia="en-GB"/>
            </w:rPr>
          </w:pPr>
          <w:r>
            <w:fldChar w:fldCharType="begin"/>
          </w:r>
          <w:r>
            <w:instrText xml:space="preserve"> HYPERLINK \l "_Toc216371170" </w:instrText>
          </w:r>
          <w:r>
            <w:fldChar w:fldCharType="separate"/>
          </w:r>
          <w:r>
            <w:rPr>
              <w:rStyle w:val="17"/>
            </w:rPr>
            <w:t>8. Forensic Collection Information</w:t>
          </w:r>
          <w:r>
            <w:tab/>
          </w:r>
          <w:r>
            <w:fldChar w:fldCharType="begin"/>
          </w:r>
          <w:r>
            <w:instrText xml:space="preserve"> PAGEREF _Toc216371170 \h </w:instrText>
          </w:r>
          <w:r>
            <w:fldChar w:fldCharType="separate"/>
          </w:r>
          <w:r>
            <w:t>36</w:t>
          </w:r>
          <w:r>
            <w:fldChar w:fldCharType="end"/>
          </w:r>
          <w:r>
            <w:fldChar w:fldCharType="end"/>
          </w:r>
        </w:p>
        <w:p w14:paraId="343340B9">
          <w:pPr>
            <w:pStyle w:val="21"/>
            <w:tabs>
              <w:tab w:val="right" w:leader="dot" w:pos="9016"/>
            </w:tabs>
            <w:rPr>
              <w:rFonts w:asciiTheme="minorHAnsi" w:hAnsiTheme="minorHAnsi" w:eastAsiaTheme="minorEastAsia"/>
              <w:lang w:eastAsia="en-GB"/>
            </w:rPr>
          </w:pPr>
          <w:r>
            <w:fldChar w:fldCharType="begin"/>
          </w:r>
          <w:r>
            <w:instrText xml:space="preserve"> HYPERLINK \l "_Toc216371171" </w:instrText>
          </w:r>
          <w:r>
            <w:fldChar w:fldCharType="separate"/>
          </w:r>
          <w:r>
            <w:rPr>
              <w:rStyle w:val="17"/>
            </w:rPr>
            <w:t>9. Conclusions</w:t>
          </w:r>
          <w:r>
            <w:tab/>
          </w:r>
          <w:r>
            <w:fldChar w:fldCharType="begin"/>
          </w:r>
          <w:r>
            <w:instrText xml:space="preserve"> PAGEREF _Toc216371171 \h </w:instrText>
          </w:r>
          <w:r>
            <w:fldChar w:fldCharType="separate"/>
          </w:r>
          <w:r>
            <w:t>40</w:t>
          </w:r>
          <w:r>
            <w:fldChar w:fldCharType="end"/>
          </w:r>
          <w:r>
            <w:fldChar w:fldCharType="end"/>
          </w:r>
        </w:p>
        <w:p w14:paraId="2D46CB41">
          <w:pPr>
            <w:pStyle w:val="21"/>
            <w:tabs>
              <w:tab w:val="right" w:leader="dot" w:pos="9016"/>
            </w:tabs>
            <w:rPr>
              <w:rFonts w:asciiTheme="minorHAnsi" w:hAnsiTheme="minorHAnsi" w:eastAsiaTheme="minorEastAsia"/>
              <w:lang w:eastAsia="en-GB"/>
            </w:rPr>
          </w:pPr>
          <w:r>
            <w:fldChar w:fldCharType="begin"/>
          </w:r>
          <w:r>
            <w:instrText xml:space="preserve"> HYPERLINK \l "_Toc216371172" </w:instrText>
          </w:r>
          <w:r>
            <w:fldChar w:fldCharType="separate"/>
          </w:r>
          <w:r>
            <w:rPr>
              <w:rStyle w:val="17"/>
            </w:rPr>
            <w:t>10. Recommendations</w:t>
          </w:r>
          <w:r>
            <w:tab/>
          </w:r>
          <w:r>
            <w:fldChar w:fldCharType="begin"/>
          </w:r>
          <w:r>
            <w:instrText xml:space="preserve"> PAGEREF _Toc216371172 \h </w:instrText>
          </w:r>
          <w:r>
            <w:fldChar w:fldCharType="separate"/>
          </w:r>
          <w:r>
            <w:t>41</w:t>
          </w:r>
          <w:r>
            <w:fldChar w:fldCharType="end"/>
          </w:r>
          <w:r>
            <w:fldChar w:fldCharType="end"/>
          </w:r>
        </w:p>
        <w:p w14:paraId="0FF0527C">
          <w:pPr>
            <w:pStyle w:val="22"/>
            <w:tabs>
              <w:tab w:val="right" w:leader="dot" w:pos="9016"/>
            </w:tabs>
            <w:rPr>
              <w:rFonts w:asciiTheme="minorHAnsi" w:hAnsiTheme="minorHAnsi" w:eastAsiaTheme="minorEastAsia"/>
              <w:lang w:eastAsia="en-GB"/>
            </w:rPr>
          </w:pPr>
          <w:r>
            <w:fldChar w:fldCharType="begin"/>
          </w:r>
          <w:r>
            <w:instrText xml:space="preserve"> HYPERLINK \l "_Toc216371173" </w:instrText>
          </w:r>
          <w:r>
            <w:fldChar w:fldCharType="separate"/>
          </w:r>
          <w:r>
            <w:rPr>
              <w:rStyle w:val="17"/>
            </w:rPr>
            <w:t>10.1 Identification of Unknown Conspirators</w:t>
          </w:r>
          <w:r>
            <w:tab/>
          </w:r>
          <w:r>
            <w:fldChar w:fldCharType="begin"/>
          </w:r>
          <w:r>
            <w:instrText xml:space="preserve"> PAGEREF _Toc216371173 \h </w:instrText>
          </w:r>
          <w:r>
            <w:fldChar w:fldCharType="separate"/>
          </w:r>
          <w:r>
            <w:t>41</w:t>
          </w:r>
          <w:r>
            <w:fldChar w:fldCharType="end"/>
          </w:r>
          <w:r>
            <w:fldChar w:fldCharType="end"/>
          </w:r>
        </w:p>
        <w:p w14:paraId="119918AB">
          <w:pPr>
            <w:pStyle w:val="22"/>
            <w:tabs>
              <w:tab w:val="right" w:leader="dot" w:pos="9016"/>
            </w:tabs>
            <w:rPr>
              <w:rFonts w:asciiTheme="minorHAnsi" w:hAnsiTheme="minorHAnsi" w:eastAsiaTheme="minorEastAsia"/>
              <w:lang w:eastAsia="en-GB"/>
            </w:rPr>
          </w:pPr>
          <w:r>
            <w:fldChar w:fldCharType="begin"/>
          </w:r>
          <w:r>
            <w:instrText xml:space="preserve"> HYPERLINK \l "_Toc216371174" </w:instrText>
          </w:r>
          <w:r>
            <w:fldChar w:fldCharType="separate"/>
          </w:r>
          <w:r>
            <w:rPr>
              <w:rStyle w:val="17"/>
            </w:rPr>
            <w:t>10.2 Legal Actions and Next Steps</w:t>
          </w:r>
          <w:r>
            <w:tab/>
          </w:r>
          <w:r>
            <w:fldChar w:fldCharType="begin"/>
          </w:r>
          <w:r>
            <w:instrText xml:space="preserve"> PAGEREF _Toc216371174 \h </w:instrText>
          </w:r>
          <w:r>
            <w:fldChar w:fldCharType="separate"/>
          </w:r>
          <w:r>
            <w:t>41</w:t>
          </w:r>
          <w:r>
            <w:fldChar w:fldCharType="end"/>
          </w:r>
          <w:r>
            <w:fldChar w:fldCharType="end"/>
          </w:r>
        </w:p>
        <w:p w14:paraId="395425BF">
          <w:pPr>
            <w:pStyle w:val="22"/>
            <w:tabs>
              <w:tab w:val="right" w:leader="dot" w:pos="9016"/>
            </w:tabs>
            <w:rPr>
              <w:rFonts w:asciiTheme="minorHAnsi" w:hAnsiTheme="minorHAnsi" w:eastAsiaTheme="minorEastAsia"/>
              <w:lang w:eastAsia="en-GB"/>
            </w:rPr>
          </w:pPr>
          <w:r>
            <w:fldChar w:fldCharType="begin"/>
          </w:r>
          <w:r>
            <w:instrText xml:space="preserve"> HYPERLINK \l "_Toc216371175" </w:instrText>
          </w:r>
          <w:r>
            <w:fldChar w:fldCharType="separate"/>
          </w:r>
          <w:r>
            <w:rPr>
              <w:rStyle w:val="17"/>
            </w:rPr>
            <w:t>10.3 Lessons for Future Investigations</w:t>
          </w:r>
          <w:r>
            <w:tab/>
          </w:r>
          <w:r>
            <w:fldChar w:fldCharType="begin"/>
          </w:r>
          <w:r>
            <w:instrText xml:space="preserve"> PAGEREF _Toc216371175 \h </w:instrText>
          </w:r>
          <w:r>
            <w:fldChar w:fldCharType="separate"/>
          </w:r>
          <w:r>
            <w:t>41</w:t>
          </w:r>
          <w:r>
            <w:fldChar w:fldCharType="end"/>
          </w:r>
          <w:r>
            <w:fldChar w:fldCharType="end"/>
          </w:r>
        </w:p>
        <w:p w14:paraId="6C38F11E">
          <w:pPr>
            <w:pStyle w:val="21"/>
            <w:tabs>
              <w:tab w:val="right" w:leader="dot" w:pos="9016"/>
            </w:tabs>
            <w:rPr>
              <w:rFonts w:asciiTheme="minorHAnsi" w:hAnsiTheme="minorHAnsi" w:eastAsiaTheme="minorEastAsia"/>
              <w:lang w:eastAsia="en-GB"/>
            </w:rPr>
          </w:pPr>
          <w:r>
            <w:fldChar w:fldCharType="begin"/>
          </w:r>
          <w:r>
            <w:instrText xml:space="preserve"> HYPERLINK \l "_Toc216371176" </w:instrText>
          </w:r>
          <w:r>
            <w:fldChar w:fldCharType="separate"/>
          </w:r>
          <w:r>
            <w:rPr>
              <w:rStyle w:val="17"/>
            </w:rPr>
            <w:t>References</w:t>
          </w:r>
          <w:r>
            <w:tab/>
          </w:r>
          <w:r>
            <w:fldChar w:fldCharType="begin"/>
          </w:r>
          <w:r>
            <w:instrText xml:space="preserve"> PAGEREF _Toc216371176 \h </w:instrText>
          </w:r>
          <w:r>
            <w:fldChar w:fldCharType="separate"/>
          </w:r>
          <w:r>
            <w:t>43</w:t>
          </w:r>
          <w:r>
            <w:fldChar w:fldCharType="end"/>
          </w:r>
          <w:r>
            <w:fldChar w:fldCharType="end"/>
          </w:r>
        </w:p>
        <w:p w14:paraId="731783E7">
          <w:r>
            <w:rPr>
              <w:b/>
              <w:bCs/>
            </w:rPr>
            <w:fldChar w:fldCharType="end"/>
          </w:r>
        </w:p>
      </w:sdtContent>
    </w:sdt>
    <w:p w14:paraId="3DCAD121">
      <w:pPr>
        <w:spacing w:line="278" w:lineRule="auto"/>
        <w:jc w:val="left"/>
      </w:pPr>
      <w:r>
        <w:br w:type="page"/>
      </w:r>
    </w:p>
    <w:p w14:paraId="3726FAA1">
      <w:pPr>
        <w:pStyle w:val="2"/>
      </w:pPr>
      <w:bookmarkStart w:id="0" w:name="_Toc214549255"/>
      <w:bookmarkStart w:id="1" w:name="_Toc216371115"/>
      <w:r>
        <w:t>Task 1: Digital Forensics Analysis</w:t>
      </w:r>
      <w:bookmarkEnd w:id="0"/>
      <w:bookmarkEnd w:id="1"/>
    </w:p>
    <w:p w14:paraId="6D69B6D2">
      <w:pPr>
        <w:pStyle w:val="2"/>
      </w:pPr>
      <w:bookmarkStart w:id="2" w:name="_Toc214549256"/>
      <w:bookmarkStart w:id="3" w:name="_Toc216371116"/>
      <w:r>
        <w:t>1. Introduction</w:t>
      </w:r>
      <w:bookmarkEnd w:id="2"/>
      <w:bookmarkEnd w:id="3"/>
    </w:p>
    <w:p w14:paraId="0B97894F">
      <w:r>
        <w:t xml:space="preserve">Digital forensics is a paramount field in the field of cybersecurity and criminal justice, whose main purpose is to discover, preserve, analyse, and present digital evidence. With the growth of cybercrime, cloud computing and smart devices, its significance has only increased. This report includes a modern overview of the digital forensics sector, such as the tools, connections with the cybersecurity domain, trends, obstacles, and work-force perspectives, and is majorly UK-based </w:t>
      </w:r>
      <w:r>
        <w:fldChar w:fldCharType="begin"/>
      </w:r>
      <w:r>
        <w:instrText xml:space="preserve"> ADDIN ZOTERO_ITEM CSL_CITATION {"citationID":"CbMBWrhT","properties":{"formattedCitation":"[1], [2]","plainCitation":"[1], [2]","noteIndex":0},"citationItems":[{"id":"2jxAtni8/lQtXVCY3","uris":["http://zotero.org/users/local/0vF7XRbV/items/P5XPWQWE"],"itemData":{"id":141,"type":"article-journal","container-title":"Advanced sciences and technologies for security applications","DOI":"10.1007/978-3-031-40118-3_8","note":"publisher: Springer International Publishing","page":"117-126","title":"Assessing Current and Emerging Challenges in the Field of Digital Forensics","author":[{"family":"Baig","given":"Zaryab"},{"literal":"Reza Montasari"}],"issued":{"date-parts":[["2023"]]}}},{"id":"2jxAtni8/h0s5fKXb","uris":["http://zotero.org/users/local/0vF7XRbV/items/S7XRGCGW"],"itemData":{"id":150,"type":"article-journal","container-title":"European journal of accounting, auditing and finance research","DOI":"10.37745/ejaafr.2013/vol11n985100","issue":"9","page":"85-100","title":"Digital Forensics in the Era of Cybercrime: Emerging Trends and Challenges for Forensic Accountants in Nigeria","volume":"11","author":[{"family":"Elton","given":"Ezekiel"},{"literal":"Ibrahim Halidu Saidu"},{"literal":"Taiwo Ibitomi"},{"literal":"Bello Sambo Sanusi"}],"issued":{"date-parts":[["2023"]]}}}],"schema":"https://github.com/citation-style-language/schema/raw/master/csl-citation.json"} </w:instrText>
      </w:r>
      <w:r>
        <w:fldChar w:fldCharType="separate"/>
      </w:r>
      <w:r>
        <w:rPr>
          <w:rFonts w:cs="Times New Roman"/>
        </w:rPr>
        <w:t>[1], [2]</w:t>
      </w:r>
      <w:r>
        <w:fldChar w:fldCharType="end"/>
      </w:r>
      <w:r>
        <w:t>.</w:t>
      </w:r>
    </w:p>
    <w:p w14:paraId="4F7B4848">
      <w:pPr>
        <w:pStyle w:val="2"/>
      </w:pPr>
      <w:bookmarkStart w:id="4" w:name="_Toc216371117"/>
      <w:bookmarkStart w:id="5" w:name="_Toc214549257"/>
      <w:r>
        <w:t>2. State of Art in Digital Forensics</w:t>
      </w:r>
      <w:bookmarkEnd w:id="4"/>
      <w:bookmarkEnd w:id="5"/>
    </w:p>
    <w:p w14:paraId="4790CEEB">
      <w:pPr>
        <w:pStyle w:val="3"/>
      </w:pPr>
      <w:bookmarkStart w:id="6" w:name="_Toc214549258"/>
      <w:bookmarkStart w:id="7" w:name="_Toc216371118"/>
      <w:r>
        <w:t>2.1 Definition and Scope</w:t>
      </w:r>
      <w:bookmarkEnd w:id="6"/>
      <w:bookmarkEnd w:id="7"/>
    </w:p>
    <w:p w14:paraId="195EE244">
      <w:r>
        <w:t>Digital forensics is the study of electronic systems and devices in order to retrieve, store and examine the evidence that should be presented as a legal or disciplinary measure.</w:t>
      </w:r>
    </w:p>
    <w:p w14:paraId="681B1CD3">
      <w:r>
        <w:t xml:space="preserve">Its use can be in criminal investigations, a response team within corporate settings, data breaches, intellectual books theft, and regulatory compliance </w:t>
      </w:r>
      <w:r>
        <w:fldChar w:fldCharType="begin"/>
      </w:r>
      <w:r>
        <w:instrText xml:space="preserve"> ADDIN ZOTERO_ITEM CSL_CITATION {"citationID":"ATppcWX6","properties":{"formattedCitation":"[3], [4]","plainCitation":"[3], [4]","noteIndex":0},"citationItems":[{"id":"2jxAtni8/RaiXWTz6","uris":["http://zotero.org/users/local/0vF7XRbV/items/JTKFWBZA"],"itemData":{"id":142,"type":"article-journal","container-title":"International Journal for Research in Applied Science and Engineering Technology","DOI":"10.22214/ijraset.2024.58149","issue":"1","note":"publisher: International Journal for Research in Applied Science and Engineering Technology (IJRASET)","page":"1543-1548","title":"Preserving Digital Evidence in Real Time Cloud Environment for Integrity and Legal Admissibility","volume":"12","author":[{"literal":"Joyce Chepkemoi Chepkwony"},{"literal":"Dr. Andrew Kipkebut"}],"issued":{"date-parts":[["2024"]]}}},{"id":"2jxAtni8/juhAUhEN","uris":["http://zotero.org/users/local/0vF7XRbV/items/EY5L7V5W"],"itemData":{"id":146,"type":"article-journal","container-title":"Blockchains","DOI":"10.3390/blockchains3010005","issue":"1","note":"publisher: Multidisciplinary Digital Publishing Institute","page":"5-5","title":"The Application of Blockchain Technology in the Field of Digital Forensics: A Literature Review","volume":"3","author":[{"literal":"Oshoke Samson Igonor"},{"family":"Amin","given":"Muhammad Bilal"},{"family":"Garg","given":"Saurabh"}],"issued":{"date-parts":[["2025"]]}}}],"schema":"https://github.com/citation-style-language/schema/raw/master/csl-citation.json"} </w:instrText>
      </w:r>
      <w:r>
        <w:fldChar w:fldCharType="separate"/>
      </w:r>
      <w:r>
        <w:rPr>
          <w:rFonts w:cs="Times New Roman"/>
        </w:rPr>
        <w:t>[3], [4]</w:t>
      </w:r>
      <w:r>
        <w:fldChar w:fldCharType="end"/>
      </w:r>
      <w:r>
        <w:t>.</w:t>
      </w:r>
    </w:p>
    <w:p w14:paraId="732DA77C">
      <w:pPr>
        <w:pStyle w:val="3"/>
      </w:pPr>
      <w:bookmarkStart w:id="8" w:name="_Toc214549259"/>
      <w:bookmarkStart w:id="9" w:name="_Toc216371119"/>
      <w:r>
        <w:t>2.2 The UK Context</w:t>
      </w:r>
      <w:bookmarkEnd w:id="8"/>
      <w:bookmarkEnd w:id="9"/>
    </w:p>
    <w:p w14:paraId="397F4246">
      <w:r>
        <w:t>The UK is leading the way in adopting digital forensics in law enforcement, responding to cyber incidences and the justice system.</w:t>
      </w:r>
    </w:p>
    <w:p w14:paraId="621E4594">
      <w:r>
        <w:t xml:space="preserve">National agencies (such as the National Crime Agency, NCA) will work in conjunction with cybercrime units and law enforcement in the regions to respond to the cyber-enabled crimes  </w:t>
      </w:r>
      <w:r>
        <w:fldChar w:fldCharType="begin"/>
      </w:r>
      <w:r>
        <w:instrText xml:space="preserve"> ADDIN ZOTERO_ITEM CSL_CITATION {"citationID":"TNEWcvTW","properties":{"formattedCitation":"[5], [6]","plainCitation":"[5], [6]","noteIndex":0},"citationItems":[{"id":"2jxAtni8/U7KLfNaA","uris":["http://zotero.org/users/local/0vF7XRbV/items/3KGL22VP"],"itemData":{"id":152,"type":"article-journal","container-title":"Proceedings 2019 Workshop on Usable Security","DOI":"10.14722/usec.2019.23032","ISSN":"1891562576","title":"Cybercrime Investigators are Users Too! Understanding the Socio-Technical Challenges Faced by Law Enforcement","URL":"https://arxiv.org/pdf/1902.06961.pdf","author":[{"family":"Nouh","given":"Mariam"},{"family":"Nurse","given":"Jason R.C."},{"family":"Webb","given":"Helena"},{"family":"Goldsmith","given":"Michael"}],"issued":{"date-parts":[["2019"]]}}},{"id":"2jxAtni8/JkmmWbdK","uris":["http://zotero.org/users/local/0vF7XRbV/items/3P8Y6JGY"],"itemData":{"id":157,"type":"article-journal","container-title":"Forensic Science International: Digital Investigation","DOI":"10.1016/j.fsidi.2020.200905","page":"200905","title":"Quality standards for digital forensics: Learning from experience in England &amp; Wales","volume":"32","author":[{"family":"Tully","given":"Gillian"},{"family":"Cohen","given":"Neil"},{"family":"Compton","given":"David"},{"family":"Davies","given":"Gareth"},{"family":"Isbell","given":"Roy"},{"family":"Watson","given":"Tim"}],"issued":{"date-parts":[["2020"]]}}}],"schema":"https://github.com/citation-style-language/schema/raw/master/csl-citation.json"} </w:instrText>
      </w:r>
      <w:r>
        <w:fldChar w:fldCharType="separate"/>
      </w:r>
      <w:r>
        <w:rPr>
          <w:rFonts w:cs="Times New Roman"/>
        </w:rPr>
        <w:t>[5], [6]</w:t>
      </w:r>
      <w:r>
        <w:fldChar w:fldCharType="end"/>
      </w:r>
      <w:r>
        <w:t>.</w:t>
      </w:r>
    </w:p>
    <w:p w14:paraId="3E6029EA">
      <w:pPr>
        <w:pStyle w:val="2"/>
      </w:pPr>
      <w:bookmarkStart w:id="10" w:name="_Toc214549260"/>
      <w:bookmarkStart w:id="11" w:name="_Toc216371120"/>
      <w:r>
        <w:t>3. Tools, Features, and Capabilities</w:t>
      </w:r>
      <w:bookmarkEnd w:id="10"/>
      <w:bookmarkEnd w:id="11"/>
    </w:p>
    <w:p w14:paraId="0A34C61C">
      <w:pPr>
        <w:pStyle w:val="3"/>
      </w:pPr>
      <w:bookmarkStart w:id="12" w:name="_Toc214549261"/>
      <w:bookmarkStart w:id="13" w:name="_Toc216371121"/>
      <w:r>
        <w:t>3.1 Key Forensic Tools</w:t>
      </w:r>
      <w:bookmarkEnd w:id="12"/>
      <w:bookmarkEnd w:id="13"/>
    </w:p>
    <w:p w14:paraId="25A0DA51">
      <w:pPr>
        <w:pStyle w:val="36"/>
        <w:numPr>
          <w:ilvl w:val="0"/>
          <w:numId w:val="1"/>
        </w:numPr>
      </w:pPr>
      <w:r>
        <w:t>EnCase: Fountain of analysis of hard drives, partitions, file Systems.</w:t>
      </w:r>
    </w:p>
    <w:p w14:paraId="26E42D78">
      <w:pPr>
        <w:pStyle w:val="36"/>
        <w:numPr>
          <w:ilvl w:val="0"/>
          <w:numId w:val="1"/>
        </w:numPr>
      </w:pPr>
      <w:r>
        <w:t>FTK (Forensic Toolkit): Quick indexing, email, analysis, memory dump analysis.</w:t>
      </w:r>
    </w:p>
    <w:p w14:paraId="1AB1187B">
      <w:pPr>
        <w:pStyle w:val="36"/>
        <w:numPr>
          <w:ilvl w:val="0"/>
          <w:numId w:val="1"/>
        </w:numPr>
      </w:pPr>
      <w:r>
        <w:t>Autopsy/Sleuth Kit Open-source, perform timeline analysis, hash filtering, key word search.</w:t>
      </w:r>
    </w:p>
    <w:p w14:paraId="1704EFE4">
      <w:pPr>
        <w:pStyle w:val="36"/>
        <w:numPr>
          <w:ilvl w:val="0"/>
          <w:numId w:val="1"/>
        </w:numPr>
      </w:pPr>
      <w:r>
        <w:t>Cellebrite: Best mobile device forensic, retrieval of deleted and encrypted data.</w:t>
      </w:r>
    </w:p>
    <w:p w14:paraId="3373C310">
      <w:pPr>
        <w:pStyle w:val="36"/>
        <w:numPr>
          <w:ilvl w:val="0"/>
          <w:numId w:val="1"/>
        </w:numPr>
      </w:pPr>
      <w:r>
        <w:t>X-Ways Forensics: Light speed disk analysis.</w:t>
      </w:r>
    </w:p>
    <w:p w14:paraId="7B0F105B">
      <w:pPr>
        <w:pStyle w:val="3"/>
      </w:pPr>
      <w:bookmarkStart w:id="14" w:name="_Toc216371122"/>
      <w:bookmarkStart w:id="15" w:name="_Toc214549262"/>
      <w:r>
        <w:t>3.2 Capabilities &amp; Features</w:t>
      </w:r>
      <w:bookmarkEnd w:id="14"/>
      <w:bookmarkEnd w:id="15"/>
    </w:p>
    <w:p w14:paraId="0BF36135">
      <w:pPr>
        <w:pStyle w:val="36"/>
        <w:numPr>
          <w:ilvl w:val="0"/>
          <w:numId w:val="2"/>
        </w:numPr>
      </w:pPr>
      <w:r>
        <w:t>Acquisition: Whole drive, RAM, mobile device acquisitions and minimal alteration (write blockers) are utilized.</w:t>
      </w:r>
    </w:p>
    <w:p w14:paraId="12E4E255">
      <w:pPr>
        <w:pStyle w:val="36"/>
        <w:numPr>
          <w:ilvl w:val="0"/>
          <w:numId w:val="2"/>
        </w:numPr>
      </w:pPr>
      <w:r>
        <w:t xml:space="preserve">Analysis Data carving Data file signature-based Analysis File Timeline reconstruction Keyword indexing </w:t>
      </w:r>
      <w:r>
        <w:fldChar w:fldCharType="begin"/>
      </w:r>
      <w:r>
        <w:instrText xml:space="preserve"> ADDIN ZOTERO_ITEM CSL_CITATION {"citationID":"2kissOuU","properties":{"formattedCitation":"[7]","plainCitation":"[7]","noteIndex":0},"citationItems":[{"id":76,"uris":["http://zotero.org/users/local/0vF7XRbV/items/QCVXA8CY"],"itemData":{"id":76,"type":"article-journal","container-title":"Journal of Internet Services and Information Security","DOI":"10.58346/jisis.2024.i2.005","issue":"2","page":"68-84","title":"Unlocking Digital Evidence: Recent Challenges and Strategies in Mobile Device Forensic Analysis","URL":"https://jisis.org/wp-content/uploads/2024/05/2024.I2.005.pdf","volume":"14","author":[{"family":"Fakiha","given":"Bandr"}],"issued":{"date-parts":[["2024"]]}}}],"schema":"https://github.com/citation-style-language/schema/raw/master/csl-citation.json"} </w:instrText>
      </w:r>
      <w:r>
        <w:fldChar w:fldCharType="separate"/>
      </w:r>
      <w:r>
        <w:rPr>
          <w:rFonts w:cs="Times New Roman"/>
        </w:rPr>
        <w:t>[7]</w:t>
      </w:r>
      <w:r>
        <w:fldChar w:fldCharType="end"/>
      </w:r>
      <w:r>
        <w:t>.</w:t>
      </w:r>
    </w:p>
    <w:p w14:paraId="71CB9391">
      <w:pPr>
        <w:pStyle w:val="36"/>
        <w:numPr>
          <w:ilvl w:val="0"/>
          <w:numId w:val="2"/>
        </w:numPr>
      </w:pPr>
      <w:r>
        <w:t>Chain of custody management, Records audit, tagging of evidence.</w:t>
      </w:r>
    </w:p>
    <w:p w14:paraId="29E926D3">
      <w:pPr>
        <w:pStyle w:val="36"/>
        <w:numPr>
          <w:ilvl w:val="0"/>
          <w:numId w:val="2"/>
        </w:numPr>
      </w:pPr>
      <w:r>
        <w:t xml:space="preserve">Automation: There is more focus on workflow automation to deal with a large volume of evidence and accelerate casework </w:t>
      </w:r>
      <w:r>
        <w:fldChar w:fldCharType="begin"/>
      </w:r>
      <w:r>
        <w:instrText xml:space="preserve"> ADDIN ZOTERO_ITEM CSL_CITATION {"citationID":"pcLvfWFA","properties":{"formattedCitation":"[8]","plainCitation":"[8]","noteIndex":0},"citationItems":[{"id":"2jxAtni8/DLtSmn5N","uris":["http://zotero.org/users/local/0vF7XRbV/items/JCUTVHTT"],"itemData":{"id":629,"type":"article-journal","container-title":"Forensic Science International: Synergy","DOI":"10.1016/j.fsisyn.2022.100313","ISSN":"2589871X","journalAbbreviation":"Forensic Science International: Synergy","language":"en","page":"100313","source":"DOI.org (Crossref)","title":"Interpol review of digital evidence for 2019–2022","volume":"6","author":[{"family":"Reedy","given":"Paul"}],"issued":{"date-parts":[["2023"]]}}}],"schema":"https://github.com/citation-style-language/schema/raw/master/csl-citation.json"} </w:instrText>
      </w:r>
      <w:r>
        <w:fldChar w:fldCharType="separate"/>
      </w:r>
      <w:r>
        <w:rPr>
          <w:rFonts w:cs="Times New Roman"/>
        </w:rPr>
        <w:t>[8]</w:t>
      </w:r>
      <w:r>
        <w:fldChar w:fldCharType="end"/>
      </w:r>
      <w:r>
        <w:t>.</w:t>
      </w:r>
    </w:p>
    <w:p w14:paraId="70833DF2">
      <w:pPr>
        <w:pStyle w:val="3"/>
      </w:pPr>
      <w:bookmarkStart w:id="16" w:name="_Toc216371123"/>
      <w:bookmarkStart w:id="17" w:name="_Toc214549263"/>
      <w:r>
        <w:t>3.3 Tool Limitations</w:t>
      </w:r>
      <w:bookmarkEnd w:id="16"/>
      <w:bookmarkEnd w:id="17"/>
    </w:p>
    <w:p w14:paraId="75EC702F">
      <w:pPr>
        <w:pStyle w:val="36"/>
        <w:numPr>
          <w:ilvl w:val="0"/>
          <w:numId w:val="3"/>
        </w:numPr>
      </w:pPr>
      <w:r>
        <w:t>Dependency on new file types and encryption schemes to receive updates on the tools that need it.</w:t>
      </w:r>
    </w:p>
    <w:p w14:paraId="0A98C446">
      <w:pPr>
        <w:pStyle w:val="36"/>
        <w:numPr>
          <w:ilvl w:val="0"/>
          <w:numId w:val="3"/>
        </w:numPr>
      </w:pPr>
      <w:r>
        <w:t>Manual backlog and high volumes of cases.</w:t>
      </w:r>
    </w:p>
    <w:p w14:paraId="21AE5506">
      <w:pPr>
        <w:pStyle w:val="2"/>
      </w:pPr>
      <w:bookmarkStart w:id="18" w:name="_Toc216371124"/>
      <w:bookmarkStart w:id="19" w:name="_Toc214549264"/>
      <w:r>
        <w:t>4. Intersection of Digital Forensics and Cybersecurity</w:t>
      </w:r>
      <w:bookmarkEnd w:id="18"/>
      <w:bookmarkEnd w:id="19"/>
      <w:r>
        <w:t xml:space="preserve"> </w:t>
      </w:r>
    </w:p>
    <w:p w14:paraId="3800855F">
      <w:pPr>
        <w:pStyle w:val="3"/>
      </w:pPr>
      <w:bookmarkStart w:id="20" w:name="_Toc216371125"/>
      <w:bookmarkStart w:id="21" w:name="_Toc214549265"/>
      <w:r>
        <w:t>4.1 Overlapping Domains</w:t>
      </w:r>
      <w:bookmarkEnd w:id="20"/>
      <w:bookmarkEnd w:id="21"/>
    </w:p>
    <w:p w14:paraId="07095E37">
      <w:r>
        <w:t>Digital forensics and cybersecurity are inseparable: cybersecurity aims at preventing and detecting attacks, and forensics studies the cases after the attacks are compromised.</w:t>
      </w:r>
    </w:p>
    <w:p w14:paraId="0D700926">
      <w:r>
        <w:t xml:space="preserve">Forensic preparedness is placed into the process of cybersecurity planning- planning systems to collect evidence quickly after an incident </w:t>
      </w:r>
      <w:r>
        <w:fldChar w:fldCharType="begin"/>
      </w:r>
      <w:r>
        <w:instrText xml:space="preserve"> ADDIN ZOTERO_ITEM CSL_CITATION {"citationID":"cHFPcH4q","properties":{"formattedCitation":"[9]","plainCitation":"[9]","noteIndex":0},"citationItems":[{"id":"2jxAtni8/K4x2YeRf","uris":["http://zotero.org/users/local/0vF7XRbV/items/L4XNBN42"],"itemData":{"id":155,"type":"article-journal","container-title":"Journal of Information Security","DOI":"10.4236/jis.2012.33024","issue":"03","page":"196-201","title":"Digital Forensics and Cyber Crime Datamining","volume":"03","author":[{"family":"K. Sindhu","given":"K."},{"family":"B. Meshram","given":"B."}],"issued":{"date-parts":[["2012"]]}}}],"schema":"https://github.com/citation-style-language/schema/raw/master/csl-citation.json"} </w:instrText>
      </w:r>
      <w:r>
        <w:fldChar w:fldCharType="separate"/>
      </w:r>
      <w:r>
        <w:rPr>
          <w:rFonts w:cs="Times New Roman"/>
        </w:rPr>
        <w:t>[9]</w:t>
      </w:r>
      <w:r>
        <w:fldChar w:fldCharType="end"/>
      </w:r>
      <w:r>
        <w:t>.</w:t>
      </w:r>
    </w:p>
    <w:p w14:paraId="1E1BADE1">
      <w:pPr>
        <w:pStyle w:val="3"/>
      </w:pPr>
      <w:bookmarkStart w:id="22" w:name="_Toc214549266"/>
      <w:bookmarkStart w:id="23" w:name="_Toc216371126"/>
      <w:r>
        <w:t>4.2 Incident Response Lifecycle</w:t>
      </w:r>
      <w:bookmarkEnd w:id="22"/>
      <w:bookmarkEnd w:id="23"/>
      <w:r>
        <w:t xml:space="preserve"> </w:t>
      </w:r>
    </w:p>
    <w:p w14:paraId="26EA579F">
      <w:r>
        <w:t>Detection: Security Information and Event Management (SIEM) products are tools that alert in case of suspicious activity.</w:t>
      </w:r>
    </w:p>
    <w:p w14:paraId="07304229">
      <w:r>
        <w:t>Research: Investigation of the affected hosts and network logs is involved with the use of forensic tools.</w:t>
      </w:r>
    </w:p>
    <w:p w14:paraId="6166D8BD">
      <w:r>
        <w:t xml:space="preserve">Remediation: evidence which is the product of forensics informed purposes of containment and eradication </w:t>
      </w:r>
      <w:r>
        <w:fldChar w:fldCharType="begin"/>
      </w:r>
      <w:r>
        <w:instrText xml:space="preserve"> ADDIN ZOTERO_ITEM CSL_CITATION {"citationID":"E0DZ1UQP","properties":{"formattedCitation":"[10]","plainCitation":"[10]","noteIndex":0},"citationItems":[{"id":"2jxAtni8/WRa3Vvcx","uris":["http://zotero.org/users/local/0vF7XRbV/items/XPA86JEJ"],"itemData":{"id":148,"type":"webpage","container-title":"IEEE Xplore","note":"page: 4255-4264\nDOI: 10.1109/BigData47090.2019.9006215","title":"Basic Forensic Procedures for Cyber Crime Investigation in Smart Grid Networks","URL":"https://ieeexplore.ieee.org/abstract/document/9006215","author":[{"family":"Kotsiuba","given":"I."},{"family":"Skarga-Bandurova","given":"I."},{"family":"Giannakoulias","given":"A."},{"family":"Bulda","given":"O."}],"accessed":{"date-parts":[["2020",1,1]]},"issued":{"date-parts":[["2019"]]}}}],"schema":"https://github.com/citation-style-language/schema/raw/master/csl-citation.json"} </w:instrText>
      </w:r>
      <w:r>
        <w:fldChar w:fldCharType="separate"/>
      </w:r>
      <w:r>
        <w:rPr>
          <w:rFonts w:cs="Times New Roman"/>
        </w:rPr>
        <w:t>[10]</w:t>
      </w:r>
      <w:r>
        <w:fldChar w:fldCharType="end"/>
      </w:r>
      <w:r>
        <w:t>.</w:t>
      </w:r>
    </w:p>
    <w:p w14:paraId="4195AD31">
      <w:pPr>
        <w:pStyle w:val="3"/>
      </w:pPr>
      <w:bookmarkStart w:id="24" w:name="_Toc214549267"/>
      <w:bookmarkStart w:id="25" w:name="_Toc216371127"/>
      <w:r>
        <w:t>4.3 Legal &amp; Compliance Drivers</w:t>
      </w:r>
      <w:bookmarkEnd w:id="24"/>
      <w:bookmarkEnd w:id="25"/>
    </w:p>
    <w:p w14:paraId="2622052C">
      <w:r>
        <w:t xml:space="preserve">There is industrial-user regulation (GDPR, the UK Computer Misuse Act, and breach reporting) where handling of evidence and breach reporting are to be observed without failure </w:t>
      </w:r>
      <w:r>
        <w:fldChar w:fldCharType="begin"/>
      </w:r>
      <w:r>
        <w:instrText xml:space="preserve"> ADDIN ZOTERO_ITEM CSL_CITATION {"citationID":"vFGKVIwD","properties":{"formattedCitation":"[11], [12]","plainCitation":"[11], [12]","noteIndex":0},"citationItems":[{"id":"2jxAtni8/ALrG7HSU","uris":["http://zotero.org/users/local/0vF7XRbV/items/TVW48TC3"],"itemData":{"id":626,"type":"article-journal","abstract":"Microbial remediation has become a prominent focus in soil pollution control due to its environmental friendliness, cost-effectiveness, and high efficiency. The effectiveness of microbial remediation is rooted in the interactions between microbial metabolic activities and the soil environment. Various microorganisms employ distinct mechanisms for pollutant treatment, including surface adsorption, intracellular accumulation, and biomineralization. Using the Web of Science Core Collection database, tools such as CiteSpace 6.1.R6, VOSviewer 1.6.20, and HistCite Pro were employed to conduct a quantitative analysis of several key aspects: the volume and thematic distribution of research papers on microbial remediation of soils, the cooperative networks between countries and institutions, the leading journals, major research hotspots, and emerging trends. The analysis reveals that utilizing microbial regulatory mechanisms and functions to remediate inorganic pollutants, such as heavy metals, and organic pollutants, such as PAHs, is becoming a significant frontier in future research. This study provides a valuable reference for scholars aiming to understand the current status of microbial research in soil remediation, both domestically and internationally. It also offers guidance for developing efficient, sustainable, and safe remediation strategies while identifying directions for future innovative research. The specific results are as follows: (1) China, the USA, India, and other countries have a high frequency of citations in this field, and the research is more in-depth. (2) More and more attention has been paid to the use of microbial remediation of contaminated soil in the world, mainly in Environmental Sciences. (3) Major publications include Chemosphere, Journal of Hazardous Materials, and Science of The Total Environment. In the key literature, the use of microorganisms to restore the soil environment and the combination of microorganisms and plants to repair soil contaminated by heavy metals occupy a high proportion. (4) The key areas of focus include the application of microorganisms in soil inorganic pollution remediation, the application of microorganisms in remediation of soil organic pollution (crude oil and polycyclic aromatic hydrocarbons (PAHs)), and the contribution of microorganisms to soil pollutant degradation and toxicity assessment systems. The research and development of combined microbial remediation technology is the current research hotspot in the field of soil remediation, focusing on the symbiosis between mycorrhizal fungi and plant roots, the enhancement in the ability of microorganisms to absorb and degrade pollutants and their tolerance, and the interaction mechanism between indigenous microorganisms and plants.","container-title":"Sustainability","DOI":"10.3390/su16177458","ISSN":"2071-1050","issue":"17","journalAbbreviation":"Sustainability","language":"en","page":"7458","source":"DOI.org (Crossref)","title":"Research Progress and Hotspots in Microbial Remediation for Polluted Soils","volume":"16","author":[{"family":"Zhao","given":"Shuai"},{"family":"Yuan","given":"Xue-Tao"},{"family":"Wang","given":"Xiao-Hong"},{"family":"Ai","given":"Yan-Jun"},{"family":"Li","given":"Fu-Ping"}],"issued":{"date-parts":[["2024",8,29]]}}},{"id":"2jxAtni8/MKSvq0Ai","uris":["http://zotero.org/users/local/0vF7XRbV/items/XYUE55LH"],"itemData":{"id":625,"type":"chapter","abstract":"Pollution is one of the big issues that modern society must face and, nowadays, water remediation represents a complex challenge due to the presence of a large variety of pollutants. For instance, per- and polyfluoroalkyl substances, pharmaceuticals, or other biologically active compounds, and microplastics are recognized as new emerging pollutants. Struggling to find solutions for this problem, researchers have designed several advanced materials paying attention to the biocompatibility of the new materials. Organic materials such as biomass derived polymers, metal and covalent organic frameworks, carbon nanomaterials (graphene oxide, carbon nanotubes) and hybrid materials have been recently synthesized or properly functionalized for pollutant removal. An overview on recent advances that took place in the last five years on the development of new hybrid or organic materials for pollutant removal is reported here. Synthetic strategies applied to obtain these materials as well as a description of the features of the materials that affect their efficiency in the removal process are discussed.","container-title":"Advanced Materials for Emerging Water Pollutant Removal","ISBN":"978-1-83767-117-5","language":"en","note":"DOI: 10.1039/9781837675425-00001","page":"1-23","publisher":"Royal Society of Chemistry","source":"DOI.org (Crossref)","title":"Preparation and Modification of New Functional Materials for Organic Pollutant Elimination","URL":"https://books.rsc.org/books/book/2246/chapter/8162998/Preparation-and-Modification-of-New-Functional","editor":[{"family":"Goh","given":"Pei Sean"},{"family":"Kanakaraju","given":"Devagi"},{"family":"Iqbal","given":"Anwar"},{"family":"Ismail","given":"Ahmad Fauzi"}],"author":[{"family":"Rizzo","given":"C."},{"family":"Amata","given":"S."},{"family":"Emmola","given":"G."},{"family":"Buscemi","given":"S."},{"family":"Pace","given":"A."},{"family":"Piccionello","given":"A. Palumbo"}],"accessed":{"date-parts":[["2025",11,27]]},"issued":{"date-parts":[["2024",11,8]]}}}],"schema":"https://github.com/citation-style-language/schema/raw/master/csl-citation.json"} </w:instrText>
      </w:r>
      <w:r>
        <w:fldChar w:fldCharType="separate"/>
      </w:r>
      <w:r>
        <w:rPr>
          <w:rFonts w:cs="Times New Roman"/>
        </w:rPr>
        <w:t>[11], [12]</w:t>
      </w:r>
      <w:r>
        <w:fldChar w:fldCharType="end"/>
      </w:r>
      <w:r>
        <w:t>.</w:t>
      </w:r>
    </w:p>
    <w:p w14:paraId="022D30B2">
      <w:pPr>
        <w:pStyle w:val="2"/>
      </w:pPr>
      <w:bookmarkStart w:id="26" w:name="_Toc214549268"/>
      <w:bookmarkStart w:id="27" w:name="_Toc216371128"/>
      <w:r>
        <w:t>5. Current Innovations in Digital Forensics</w:t>
      </w:r>
      <w:bookmarkEnd w:id="26"/>
      <w:bookmarkEnd w:id="27"/>
    </w:p>
    <w:p w14:paraId="1AB1C9A0">
      <w:pPr>
        <w:pStyle w:val="3"/>
      </w:pPr>
      <w:bookmarkStart w:id="28" w:name="_Toc214549269"/>
      <w:bookmarkStart w:id="29" w:name="_Toc216371129"/>
      <w:r>
        <w:t>5.1 AI and Automation</w:t>
      </w:r>
      <w:bookmarkEnd w:id="28"/>
      <w:bookmarkEnd w:id="29"/>
    </w:p>
    <w:p w14:paraId="3190B201">
      <w:r>
        <w:t>Anomaly detection machine learning, triage in bulk data, and there is machine learning in the field of images/videos labelling.</w:t>
      </w:r>
    </w:p>
    <w:p w14:paraId="1709A7A8">
      <w:r>
        <w:t>Automated generation of scripts to run log analysis and hunts.</w:t>
      </w:r>
    </w:p>
    <w:p w14:paraId="6871A2F5">
      <w:pPr>
        <w:pStyle w:val="3"/>
      </w:pPr>
      <w:bookmarkStart w:id="30" w:name="_Toc216371130"/>
      <w:bookmarkStart w:id="31" w:name="_Toc214549270"/>
      <w:r>
        <w:t>5.2 Cloud and IoT Forensics</w:t>
      </w:r>
      <w:bookmarkEnd w:id="30"/>
      <w:bookmarkEnd w:id="31"/>
    </w:p>
    <w:p w14:paraId="6A85836B">
      <w:r>
        <w:t>The rapidly developing cloud-based storage and smart environments pose problems when it comes to the question of data jurisdiction, acquisition, and analysis.</w:t>
      </w:r>
    </w:p>
    <w:p w14:paraId="1F0F87B9">
      <w:r>
        <w:t xml:space="preserve">Remote evidence collection labs dubbed as-a-service </w:t>
      </w:r>
      <w:r>
        <w:fldChar w:fldCharType="begin"/>
      </w:r>
      <w:r>
        <w:instrText xml:space="preserve"> ADDIN ZOTERO_ITEM CSL_CITATION {"citationID":"T3SaeXxH","properties":{"formattedCitation":"[13]","plainCitation":"[13]","noteIndex":0},"citationItems":[{"id":"2jxAtni8/hehUiqOm","uris":["http://zotero.org/users/local/0vF7XRbV/items/Z2CY8IMP"],"itemData":{"id":623,"type":"article-journal","abstract":"ForenSift brings innovation to the domain of Digital Forensics and Incident Response using Generative AI and the LangChain framework to combat the significant surge in the complexity and volume of digital evidence discovered in cybersecurity investigations. ForenSift deals with key issues in cybersecurity investigation work, specifically time constraints and the need for deep analysis of huge datasets. We have proposed an integrated solution that would automate key parts of the DFIR workflow that ranges from evidence collection, artifact management, anomaly detection, to report generation. ForenSift architecture is based on a strong, evidence-preserving workflow, integrating fully with existing forensic tools but introducing AI-driven analysis capabilities. We have focused on utilisation of Large Language Models (LLMs) together with multi-agent systems at the platform level to notably enhance efficacy and accuracy in DFIR procedures. Concluding, we elaborate on how ForenSift may revolutionize DFIR as it is scalable, combining AI-driven analysis with human expertise. They indicate future possible improvements to be applied in the hybrid system, such as adding a quantum computing machine and blockchain technology to further increase processing speed and maintain data security. This research contributes to the emerging field of AI-enabled cybersecurity by proposing a well-rounded framework that addresses the emerging needs of digital forensic investigations in an increasingly complex threat landscape.","container-title":"International Journal For Multidisciplinary Research","DOI":"10.36948/ijfmr.2024.v06i06.31692","ISSN":"2582-2160","issue":"6","journalAbbreviation":"IJFMR","page":"31692","source":"DOI.org (Crossref)","title":"ForenSift: Gen-AI powered integrated Digital Forensics and Incident Response platform using LangChain Framework","title-short":"ForenSift","volume":"6","author":[{"family":"Talekar","given":"Akhilesh"},{"family":"Patil","given":"Amruta"},{"family":"Deore","given":"Pushkar"},{"family":"Patil","given":"Pratik"},{"family":"Mali","given":"Manisha"}],"issued":{"date-parts":[["2024",11,27]]}}}],"schema":"https://github.com/citation-style-language/schema/raw/master/csl-citation.json"} </w:instrText>
      </w:r>
      <w:r>
        <w:fldChar w:fldCharType="separate"/>
      </w:r>
      <w:r>
        <w:rPr>
          <w:rFonts w:cs="Times New Roman"/>
        </w:rPr>
        <w:t>[13]</w:t>
      </w:r>
      <w:r>
        <w:fldChar w:fldCharType="end"/>
      </w:r>
      <w:r>
        <w:t>.</w:t>
      </w:r>
    </w:p>
    <w:p w14:paraId="31D6949B">
      <w:pPr>
        <w:pStyle w:val="3"/>
      </w:pPr>
      <w:bookmarkStart w:id="32" w:name="_Toc216371131"/>
      <w:bookmarkStart w:id="33" w:name="_Toc214549271"/>
      <w:r>
        <w:t>5.3 Encryption and Anti-forensic Techniques</w:t>
      </w:r>
      <w:bookmarkEnd w:id="32"/>
      <w:bookmarkEnd w:id="33"/>
    </w:p>
    <w:p w14:paraId="100FD454">
      <w:r>
        <w:t xml:space="preserve">An increase in the amount of strong encryption and anti-forensics (e.g., secure deletion of files and obfuscation) by attackers makes evidence recovery more difficult </w:t>
      </w:r>
      <w:r>
        <w:fldChar w:fldCharType="begin"/>
      </w:r>
      <w:r>
        <w:instrText xml:space="preserve"> ADDIN ZOTERO_ITEM CSL_CITATION {"citationID":"pPZB8Huf","properties":{"formattedCitation":"[14]","plainCitation":"[14]","noteIndex":0},"citationItems":[{"id":80,"uris":["http://zotero.org/users/local/0vF7XRbV/items/Y8L9GDKB"],"itemData":{"id":80,"type":"article-journal","container-title":"IEEE access","DOI":"10.1109/access.2023.3343360","note":"publisher: Institute of Electrical and Electronics Engineers","page":"142392-142410","title":"Cryptographic Techniques for Data Privacy in Digital Forensics","volume":"11","author":[{"literal":"Taiwo Blessing Ogunseyi"},{"literal":"Oluwasola Mary Adedayo"}],"issued":{"date-parts":[["2023"]]}}}],"schema":"https://github.com/citation-style-language/schema/raw/master/csl-citation.json"} </w:instrText>
      </w:r>
      <w:r>
        <w:fldChar w:fldCharType="separate"/>
      </w:r>
      <w:r>
        <w:rPr>
          <w:rFonts w:cs="Times New Roman"/>
        </w:rPr>
        <w:t>[14]</w:t>
      </w:r>
      <w:r>
        <w:fldChar w:fldCharType="end"/>
      </w:r>
      <w:r>
        <w:t>.</w:t>
      </w:r>
    </w:p>
    <w:p w14:paraId="4A516212">
      <w:pPr>
        <w:pStyle w:val="3"/>
      </w:pPr>
      <w:bookmarkStart w:id="34" w:name="_Toc216371132"/>
      <w:bookmarkStart w:id="35" w:name="_Toc214549272"/>
      <w:r>
        <w:t>5.4 Remote and Live Forensics</w:t>
      </w:r>
      <w:bookmarkEnd w:id="34"/>
      <w:bookmarkEnd w:id="35"/>
    </w:p>
    <w:p w14:paraId="2F2C384A">
      <w:r>
        <w:t xml:space="preserve">The opportunities of live forensic analysis (memory, volatile data) and remote investigation tools (rapid response in ongoing attacks e.g. ransomware containment) </w:t>
      </w:r>
      <w:r>
        <w:fldChar w:fldCharType="begin"/>
      </w:r>
      <w:r>
        <w:instrText xml:space="preserve"> ADDIN ZOTERO_ITEM CSL_CITATION {"citationID":"oe0xDMHt","properties":{"formattedCitation":"[15]","plainCitation":"[15]","noteIndex":0},"citationItems":[{"id":"2jxAtni8/kxhbfn3C","uris":["http://zotero.org/users/local/0vF7XRbV/items/QYV4MX3B"],"itemData":{"id":628,"type":"chapter","abstract":"Artificial Intelligence (AI) is playing an increasingly vital role in the field of financial statement analysis. AI methodologies, such as Deep Learning, Machine Learning, and Natural Language Processing, are being employed to enhance the analysis of financial data. This study explores the applications of AI in financial statement analysis, including Predictive Analytics, Anomaly Detection, Trend Analysis, Financial Report Automation, Risk Evaluation and Control, Comparative Analysis and Benchmarking, Portfolio Optimization, Risk Assessment and Management, Fraud Detection and Forensic Analysis, and Regulatory Reporting and Compliance. The chapter includes case studies, industrial insights, and practical applications of AI in financial statement analysis, highlighting the tangible benefits and opportunities for businesses in the finance sector. Additionally, the chapter addresses the challenges and potential future applications of AI in this domain.","container-title":"Advances in Finance, Accounting, and Economics","ISBN":"979-8-3693-8186-1","note":"DOI: 10.4018/979-8-3693-8186-1.ch008","page":"211-230","publisher":"IGI Global","source":"DOI.org (Crossref)","title":"A Review of Current Applications of AI and Machine Learning Methods for Financial Statement Analysis:","title-short":"A Review of Current Applications of AI and Machine Learning Methods for Financial Statement Analysis","URL":"https://services.igi-global.com/resolvedoi/resolve.aspx?doi=10.4018/979-8-3693-8186-1.ch008","editor":[{"family":"Chen","given":"Haojun"}],"author":[{"family":"Dheenadhayalan","given":"K."},{"family":"Devapitchai","given":"Joel Jebadurai"},{"family":"Surianarayanan","given":"R."},{"family":"Usha","given":"S."}],"accessed":{"date-parts":[["2025",11,27]]},"issued":{"date-parts":[["2025",1,31]]}}}],"schema":"https://github.com/citation-style-language/schema/raw/master/csl-citation.json"} </w:instrText>
      </w:r>
      <w:r>
        <w:fldChar w:fldCharType="separate"/>
      </w:r>
      <w:r>
        <w:rPr>
          <w:rFonts w:cs="Times New Roman"/>
        </w:rPr>
        <w:t>[15]</w:t>
      </w:r>
      <w:r>
        <w:fldChar w:fldCharType="end"/>
      </w:r>
      <w:r>
        <w:t>.</w:t>
      </w:r>
    </w:p>
    <w:p w14:paraId="4E782A00">
      <w:pPr>
        <w:pStyle w:val="2"/>
      </w:pPr>
      <w:bookmarkStart w:id="36" w:name="_Toc216371133"/>
      <w:bookmarkStart w:id="37" w:name="_Toc214549273"/>
      <w:r>
        <w:t>6. Key Challenges</w:t>
      </w:r>
      <w:bookmarkEnd w:id="36"/>
      <w:bookmarkEnd w:id="37"/>
    </w:p>
    <w:p w14:paraId="72F027E6">
      <w:pPr>
        <w:pStyle w:val="3"/>
      </w:pPr>
      <w:bookmarkStart w:id="38" w:name="_Toc216371134"/>
      <w:bookmarkStart w:id="39" w:name="_Toc214549274"/>
      <w:r>
        <w:t>6.1 Technical Challenges</w:t>
      </w:r>
      <w:bookmarkEnd w:id="38"/>
      <w:bookmarkEnd w:id="39"/>
    </w:p>
    <w:p w14:paraId="0237A3F6">
      <w:r>
        <w:t>Volume, Variety and Velocity: Smoking increase in quantity of data to be gathered and processed.</w:t>
      </w:r>
    </w:p>
    <w:p w14:paraId="2B99BC28">
      <w:r>
        <w:t>Encryption: Large-scale use of it makes it more difficult to analyse, and in some cases impossible.</w:t>
      </w:r>
    </w:p>
    <w:p w14:paraId="43D40F51">
      <w:r>
        <w:t xml:space="preserve">Cloud Evidence: Information stored abroad (sovereigns’ problems), physical loss of control, and cooperation of providers </w:t>
      </w:r>
      <w:r>
        <w:fldChar w:fldCharType="begin"/>
      </w:r>
      <w:r>
        <w:instrText xml:space="preserve"> ADDIN ZOTERO_ITEM CSL_CITATION {"citationID":"b47i6Psm","properties":{"formattedCitation":"[16]","plainCitation":"[16]","noteIndex":0},"citationItems":[{"id":"2jxAtni8/nS09Y0Zl","uris":["http://zotero.org/users/local/0vF7XRbV/items/F969I3UU"],"itemData":{"id":151,"type":"article-journal","container-title":"International Journal of Safety and Security Engineering","DOI":"10.18280/ijsse.150403","issue":"4","note":"publisher: International Information and Engineering Technology Association","page":"653-675","title":"Advances and Challenges in Cloud Data Storage Security: A Systematic Review","volume":"15","author":[{"family":"Moudni","given":"Mohammed El"},{"literal":"Elhoussaine Ziyati"}],"issued":{"date-parts":[["2025"]]}}}],"schema":"https://github.com/citation-style-language/schema/raw/master/csl-citation.json"} </w:instrText>
      </w:r>
      <w:r>
        <w:fldChar w:fldCharType="separate"/>
      </w:r>
      <w:r>
        <w:rPr>
          <w:rFonts w:cs="Times New Roman"/>
        </w:rPr>
        <w:t>[16]</w:t>
      </w:r>
      <w:r>
        <w:fldChar w:fldCharType="end"/>
      </w:r>
      <w:r>
        <w:t>.</w:t>
      </w:r>
    </w:p>
    <w:p w14:paraId="395C7D87">
      <w:pPr>
        <w:pStyle w:val="3"/>
      </w:pPr>
      <w:bookmarkStart w:id="40" w:name="_Toc214549275"/>
      <w:bookmarkStart w:id="41" w:name="_Toc216371135"/>
      <w:r>
        <w:t>6.2 Challenges of legal and regulatory character</w:t>
      </w:r>
      <w:bookmarkEnd w:id="40"/>
      <w:bookmarkEnd w:id="41"/>
    </w:p>
    <w:p w14:paraId="2C487B7C">
      <w:r>
        <w:t>Legal Barriers to Obtaining Cross-border evidence or cloud-stored evidence Jurisdiction and Sovereignty: Hurdles in the law.</w:t>
      </w:r>
    </w:p>
    <w:p w14:paraId="73B61CE9">
      <w:r>
        <w:t xml:space="preserve">Integrity of Evidence: Assuring that the processes are passed through Linnae in Court (Paperwork, repeatability, chain-of-custody policies) </w:t>
      </w:r>
      <w:r>
        <w:fldChar w:fldCharType="begin"/>
      </w:r>
      <w:r>
        <w:instrText xml:space="preserve"> ADDIN ZOTERO_ITEM CSL_CITATION {"citationID":"E0Uh5qf5","properties":{"formattedCitation":"[17]","plainCitation":"[17]","noteIndex":0},"citationItems":[{"id":"2jxAtni8/1g4kYtD7","uris":["http://zotero.org/users/local/0vF7XRbV/items/ZTMNS3AT"],"itemData":{"id":144,"type":"article-journal","container-title":"Edward Elgar Publishing eBooks","DOI":"10.4337/9781800886438.00016","note":"publisher: Edward Elgar Publishing","page":"184-211","title":"Cross-border gathering of electronic evidence in the EU: toward more direct cooperation under the e-Evidence Regulation","author":[{"family":"Franssen","given":"Vanessa"}],"issued":{"date-parts":[["2024"]]}}}],"schema":"https://github.com/citation-style-language/schema/raw/master/csl-citation.json"} </w:instrText>
      </w:r>
      <w:r>
        <w:fldChar w:fldCharType="separate"/>
      </w:r>
      <w:r>
        <w:rPr>
          <w:rFonts w:cs="Times New Roman"/>
        </w:rPr>
        <w:t>[17]</w:t>
      </w:r>
      <w:r>
        <w:fldChar w:fldCharType="end"/>
      </w:r>
      <w:r>
        <w:t>.</w:t>
      </w:r>
    </w:p>
    <w:p w14:paraId="2C8000D2">
      <w:pPr>
        <w:pStyle w:val="3"/>
      </w:pPr>
      <w:bookmarkStart w:id="42" w:name="_Toc214549276"/>
      <w:bookmarkStart w:id="43" w:name="_Toc216371136"/>
      <w:r>
        <w:t>6.3 Staffing and Manpower Constraints</w:t>
      </w:r>
      <w:bookmarkEnd w:id="42"/>
      <w:bookmarkEnd w:id="43"/>
    </w:p>
    <w:p w14:paraId="45AC3A9A">
      <w:r>
        <w:t>High levels of underutilized and pending digital evidence cases that are being stuck at the police laboratories because of the lack of the required skills and the size of evidence.</w:t>
      </w:r>
    </w:p>
    <w:p w14:paraId="7B50F644">
      <w:r>
        <w:t>Technology environment is rapidly dynamic and faster outpacing the ability to train a workforce and equip them with tools.</w:t>
      </w:r>
    </w:p>
    <w:p w14:paraId="6C04841D">
      <w:pPr>
        <w:pStyle w:val="2"/>
      </w:pPr>
      <w:bookmarkStart w:id="44" w:name="_Toc216371137"/>
      <w:bookmarkStart w:id="45" w:name="_Toc214549277"/>
      <w:r>
        <w:t>7. Local and Foreign Labor Market</w:t>
      </w:r>
      <w:bookmarkEnd w:id="44"/>
      <w:bookmarkEnd w:id="45"/>
    </w:p>
    <w:p w14:paraId="044D3EA8">
      <w:pPr>
        <w:pStyle w:val="3"/>
      </w:pPr>
      <w:bookmarkStart w:id="46" w:name="_Toc214549278"/>
      <w:bookmarkStart w:id="47" w:name="_Toc216371138"/>
      <w:r>
        <w:t>7.1 UK Digital Forensics Market</w:t>
      </w:r>
      <w:bookmarkEnd w:id="46"/>
      <w:bookmarkEnd w:id="47"/>
    </w:p>
    <w:p w14:paraId="226958B9">
      <w:r>
        <w:t>Law enforcement, consultancies and private enterprises High demand of skilled digital forensics analysts and incident responders.</w:t>
      </w:r>
    </w:p>
    <w:p w14:paraId="3E7D72B2">
      <w:r>
        <w:t>Government funding on cyber capability(s) (CyberFirst, NCSC programmes) and groups in the sector including the NCA, police cyber ranges, and technical support.</w:t>
      </w:r>
    </w:p>
    <w:p w14:paraId="6DA5E70F">
      <w:r>
        <w:t>There is an increasing opportunity in the private sector particularly in financial services, telecom, and legal consulting.</w:t>
      </w:r>
    </w:p>
    <w:p w14:paraId="109E26D5">
      <w:pPr>
        <w:pStyle w:val="3"/>
      </w:pPr>
      <w:bookmarkStart w:id="48" w:name="_Toc214549279"/>
      <w:bookmarkStart w:id="49" w:name="_Toc216371139"/>
      <w:r>
        <w:t>7.2 International Market</w:t>
      </w:r>
      <w:bookmarkEnd w:id="48"/>
      <w:bookmarkEnd w:id="49"/>
    </w:p>
    <w:p w14:paraId="1E4480F0">
      <w:r>
        <w:t>International demand is exerted under regulatory compliance (GDPR, HIPAA), the increasing rate of cybercrimes, data breaches lawsuits and thousands of digital transformation project expansion.</w:t>
      </w:r>
    </w:p>
    <w:p w14:paraId="45133C92">
      <w:r>
        <w:t xml:space="preserve">Opportunities Multinational consultancies (KPMG, PwC, Deloitte), tech vendors, remote/outsourced digital forensics services </w:t>
      </w:r>
      <w:r>
        <w:fldChar w:fldCharType="begin"/>
      </w:r>
      <w:r>
        <w:instrText xml:space="preserve"> ADDIN ZOTERO_ITEM CSL_CITATION {"citationID":"luEZ3Hwf","properties":{"formattedCitation":"[18]","plainCitation":"[18]","noteIndex":0},"citationItems":[{"id":94,"uris":["http://zotero.org/users/local/0vF7XRbV/items/4ANDI4S3"],"itemData":{"id":94,"type":"article-journal","container-title":"Forensic Science International","DOI":"10.1016/j.forsciint.2024.112133","note":"publisher: Elsevier BV","page":"112133-112133","title":"The invisible evidence: Digital forensics as key to solving crimes in the digital age","volume":"362","author":[{"family":"Klasén","given":"Lena"},{"family":"Fock","given":"Niclas"},{"family":"Forchheimer","given":"Robert"}],"issued":{"date-parts":[["2024"]]}}}],"schema":"https://github.com/citation-style-language/schema/raw/master/csl-citation.json"} </w:instrText>
      </w:r>
      <w:r>
        <w:fldChar w:fldCharType="separate"/>
      </w:r>
      <w:r>
        <w:rPr>
          <w:rFonts w:cs="Times New Roman"/>
        </w:rPr>
        <w:t>[18]</w:t>
      </w:r>
      <w:r>
        <w:fldChar w:fldCharType="end"/>
      </w:r>
      <w:r>
        <w:t>.</w:t>
      </w:r>
    </w:p>
    <w:p w14:paraId="0E078E86">
      <w:r>
        <w:t>Presence of EU, North American, and Asia-Pacific shortage of competent professionals, providing high levels of salary and career development.</w:t>
      </w:r>
    </w:p>
    <w:p w14:paraId="52F36A38">
      <w:pPr>
        <w:pStyle w:val="2"/>
      </w:pPr>
      <w:bookmarkStart w:id="50" w:name="_Toc216371140"/>
      <w:bookmarkStart w:id="51" w:name="_Toc214549280"/>
      <w:r>
        <w:t>8. Conclusion and Recommendations</w:t>
      </w:r>
      <w:bookmarkEnd w:id="50"/>
      <w:bookmarkEnd w:id="51"/>
    </w:p>
    <w:p w14:paraId="5F3EC161">
      <w:r>
        <w:t>Digital forensics in the UK is a rapidly changing high demand industry that is closely connected with cybersecurity. The tools and automation are expanding capabilities yet the issues concerning data volume, encryption, and cloud evidence are still acute. The cross which is occurring with cybersecurity gains increased power and demands the cooperation of multidisciplinary skills and responsive strategies. The combined effort to invest in training, standardization of tools and harmonization of international laws will be important in responding to future demand and technicality.</w:t>
      </w:r>
    </w:p>
    <w:p w14:paraId="62B2DFF4">
      <w:pPr>
        <w:spacing w:line="278" w:lineRule="auto"/>
        <w:jc w:val="left"/>
      </w:pPr>
      <w:r>
        <w:br w:type="page"/>
      </w:r>
    </w:p>
    <w:p w14:paraId="7511E8B4">
      <w:pPr>
        <w:pStyle w:val="2"/>
      </w:pPr>
      <w:bookmarkStart w:id="52" w:name="_Toc215005932"/>
      <w:bookmarkStart w:id="53" w:name="_Toc216371141"/>
      <w:r>
        <w:t>Task 2: A Case Study in Intellectual Property Theft</w:t>
      </w:r>
      <w:bookmarkEnd w:id="52"/>
      <w:bookmarkEnd w:id="53"/>
    </w:p>
    <w:p w14:paraId="4B1940EB">
      <w:pPr>
        <w:pStyle w:val="2"/>
      </w:pPr>
      <w:bookmarkStart w:id="54" w:name="_Toc216371142"/>
      <w:bookmarkStart w:id="55" w:name="_Toc215005933"/>
      <w:r>
        <w:t>1. Introduction and Case Overview</w:t>
      </w:r>
      <w:bookmarkEnd w:id="54"/>
      <w:bookmarkEnd w:id="55"/>
    </w:p>
    <w:p w14:paraId="22DC5735">
      <w:r>
        <w:t>This is a forensic report regarding a case based on corporate espionage that revolved around the suspected stealing, as well as attempted selling of, the QT-AI-2025 patent. The probe started after the receipt of credible intelligence information that there was unauthorized access to sensitive intellectual property of the organization. The importance of the patent to the competitiveness of the company rendered the incident especially acute and the initiation of a large-scale digital forensic investigation was necessary to find out the scope of the intrusion, who did it, and how to obtain evidence that can be used against the perpetrators.</w:t>
      </w:r>
    </w:p>
    <w:p w14:paraId="7A0A4BF1">
      <w:pPr>
        <w:pStyle w:val="3"/>
      </w:pPr>
      <w:bookmarkStart w:id="56" w:name="_Toc215005934"/>
      <w:bookmarkStart w:id="57" w:name="_Toc216371143"/>
      <w:r>
        <w:t>1.1 Case ID, Timeline, and Scope</w:t>
      </w:r>
      <w:bookmarkEnd w:id="56"/>
      <w:bookmarkEnd w:id="57"/>
    </w:p>
    <w:p w14:paraId="78104586">
      <w:r>
        <w:t>Case is officially documented as ACCA7031-Task2-Analysis and covers an uncovered portion of the activities between the months of August 2024 and December 2024 with the report being the final outcome of this being dated November 16, 2025. The area of the investigation will include the logical retrieval and examination of four cell phones that are directly connected to the events under question. The devices were extracted and photographed in a forensic manner and searched communications, monetary transactions and other digital evidence of the conspiracy. Chain-of-custody guidelines and tested forensic tools assured the integrity and admissibility of all of the reviewed evidence.</w:t>
      </w:r>
    </w:p>
    <w:p w14:paraId="234811F4">
      <w:pPr>
        <w:pStyle w:val="3"/>
      </w:pPr>
      <w:bookmarkStart w:id="58" w:name="_Toc215005935"/>
      <w:bookmarkStart w:id="59" w:name="_Toc216371144"/>
      <w:r>
        <w:t>1.2 Objectives of the Forensic Analysis</w:t>
      </w:r>
      <w:bookmarkEnd w:id="58"/>
      <w:bookmarkEnd w:id="59"/>
    </w:p>
    <w:p w14:paraId="1EE58340">
      <w:r>
        <w:t>The key objectives of the forensic process were:</w:t>
      </w:r>
    </w:p>
    <w:p w14:paraId="65E8FE45">
      <w:pPr>
        <w:numPr>
          <w:ilvl w:val="0"/>
          <w:numId w:val="4"/>
        </w:numPr>
      </w:pPr>
      <w:r>
        <w:t>To determine the identity and roles of users on the four devices that were obtained.</w:t>
      </w:r>
    </w:p>
    <w:p w14:paraId="366F9CF8">
      <w:pPr>
        <w:numPr>
          <w:ilvl w:val="0"/>
          <w:numId w:val="4"/>
        </w:numPr>
      </w:pPr>
      <w:r>
        <w:t>To rebuild the timeline and the way in which the robbery and the intended sale were planned.</w:t>
      </w:r>
    </w:p>
    <w:p w14:paraId="72E5B241">
      <w:pPr>
        <w:numPr>
          <w:ilvl w:val="0"/>
          <w:numId w:val="4"/>
        </w:numPr>
      </w:pPr>
      <w:r>
        <w:t>To search, examine and report digital communications (e.g. WhatsApp, email personal, multimedia) that prove the conspiracy.</w:t>
      </w:r>
    </w:p>
    <w:p w14:paraId="70F4517C">
      <w:pPr>
        <w:numPr>
          <w:ilvl w:val="0"/>
          <w:numId w:val="4"/>
        </w:numPr>
      </w:pPr>
      <w:r>
        <w:t>To detect, and save vital files, financial credentials, and tactical operations that are used by the suspects.</w:t>
      </w:r>
    </w:p>
    <w:p w14:paraId="67E6F536">
      <w:pPr>
        <w:pStyle w:val="3"/>
      </w:pPr>
      <w:bookmarkStart w:id="60" w:name="_Toc215005936"/>
      <w:bookmarkStart w:id="61" w:name="_Toc216371145"/>
      <w:r>
        <w:t>1.3 Key Parties and Roles</w:t>
      </w:r>
      <w:bookmarkEnd w:id="60"/>
      <w:bookmarkEnd w:id="61"/>
    </w:p>
    <w:p w14:paraId="2259F980">
      <w:r>
        <w:t>On the basis of digital evidence, the investigation temporarily gave three main actors their roles:</w:t>
      </w:r>
    </w:p>
    <w:p w14:paraId="70C57804">
      <w:pPr>
        <w:numPr>
          <w:ilvl w:val="0"/>
          <w:numId w:val="5"/>
        </w:numPr>
      </w:pPr>
      <w:r>
        <w:t>Emma (the perpetrator), who was using Huawei POT-LX1 P Smart, facilitated and organized core communications.</w:t>
      </w:r>
    </w:p>
    <w:p w14:paraId="629A2D75">
      <w:pPr>
        <w:numPr>
          <w:ilvl w:val="0"/>
          <w:numId w:val="5"/>
        </w:numPr>
      </w:pPr>
      <w:r>
        <w:t>Joe, who had used Samsung Galaxy A13, was the intermediary and the meetings and financial transactions had to be done in the UK and the outside world.</w:t>
      </w:r>
    </w:p>
    <w:p w14:paraId="4FCED305">
      <w:pPr>
        <w:numPr>
          <w:ilvl w:val="0"/>
          <w:numId w:val="5"/>
        </w:numPr>
      </w:pPr>
      <w:r>
        <w:t>Norman (the buyer/financier), who used the Ulefone Note 14, made payment communications by means of anonymous instruments.</w:t>
      </w:r>
    </w:p>
    <w:p w14:paraId="4C8247C6">
      <w:pPr>
        <w:numPr>
          <w:ilvl w:val="0"/>
          <w:numId w:val="5"/>
        </w:numPr>
      </w:pPr>
      <w:r>
        <w:t>Fourth, unknown co-conspirator is associated with the Nokia C2, which is discovered to have crucial encrypted evidence--this is a major unresolved lead of inquiry.</w:t>
      </w:r>
    </w:p>
    <w:p w14:paraId="3D08526B">
      <w:pPr>
        <w:pStyle w:val="2"/>
      </w:pPr>
      <w:bookmarkStart w:id="62" w:name="_Toc215005937"/>
      <w:bookmarkStart w:id="63" w:name="_Toc216371146"/>
      <w:r>
        <w:t>2. Methodology</w:t>
      </w:r>
      <w:bookmarkEnd w:id="62"/>
      <w:bookmarkEnd w:id="63"/>
    </w:p>
    <w:p w14:paraId="034EA466">
      <w:pPr>
        <w:pStyle w:val="3"/>
      </w:pPr>
      <w:bookmarkStart w:id="64" w:name="_Toc216371147"/>
      <w:bookmarkStart w:id="65" w:name="_Toc215005938"/>
      <w:r>
        <w:t>2.1 Evidence Collection Procedures</w:t>
      </w:r>
      <w:bookmarkEnd w:id="64"/>
      <w:bookmarkEnd w:id="65"/>
    </w:p>
    <w:p w14:paraId="7B058224">
      <w:r>
        <w:t xml:space="preserve">The acquisition of all digital evidence was done in compliance with industry standards concerning preservation and chain-of-custody. Four mobile devices (Huawei POT-LX1 P Smart, Samsung Galaxy A13, Ulefone Note 14, Nokia C2) were confiscated and immediately divided so as not to contaminate the network. The UFED was used to perform logical extractions, making sure that all communications, file systems, and an application data required were properly copied under the secure circumstances without corrupting the original data  </w:t>
      </w:r>
      <w:r>
        <w:fldChar w:fldCharType="begin"/>
      </w:r>
      <w:r>
        <w:instrText xml:space="preserve"> ADDIN ZOTERO_ITEM CSL_CITATION {"citationID":"OogHfrsW","properties":{"formattedCitation":"[7], [19]","plainCitation":"[7], [19]","noteIndex":0},"citationItems":[{"id":"2jxAtni8/xPBIaziD","uris":["http://zotero.org/users/local/0vF7XRbV/items/GWN8GBAP"],"itemData":{"id":145,"type":"article-journal","container-title":"Forensic Science International: Digital Investigation","DOI":"10.1016/j.fsidi.2021.301169","page":"301169","title":"A new model for forensic data extraction from encrypted mobile devices","volume":"38","author":[{"family":"Fukami","given":"Aya"},{"family":"Stoykova","given":"Radina"},{"family":"Geradts","given":"Zeno"}],"issued":{"date-parts":[["2021"]]}}},{"id":76,"uris":["http://zotero.org/users/local/0vF7XRbV/items/QCVXA8CY"],"itemData":{"id":76,"type":"article-journal","container-title":"Journal of Internet Services and Information Security","DOI":"10.58346/jisis.2024.i2.005","issue":"2","page":"68-84","title":"Unlocking Digital Evidence: Recent Challenges and Strategies in Mobile Device Forensic Analysis","URL":"https://jisis.org/wp-content/uploads/2024/05/2024.I2.005.pdf","volume":"14","author":[{"family":"Fakiha","given":"Bandr"}],"issued":{"date-parts":[["2024"]]}}}],"schema":"https://github.com/citation-style-language/schema/raw/master/csl-citation.json"} </w:instrText>
      </w:r>
      <w:r>
        <w:fldChar w:fldCharType="separate"/>
      </w:r>
      <w:r>
        <w:rPr>
          <w:rFonts w:cs="Times New Roman"/>
        </w:rPr>
        <w:t>[7], [19]</w:t>
      </w:r>
      <w:r>
        <w:fldChar w:fldCharType="end"/>
      </w:r>
      <w:r>
        <w:t>.</w:t>
      </w:r>
    </w:p>
    <w:p w14:paraId="1D5E9BEA">
      <w:pPr>
        <w:pStyle w:val="3"/>
      </w:pPr>
      <w:bookmarkStart w:id="66" w:name="_Toc215005939"/>
      <w:bookmarkStart w:id="67" w:name="_Toc216371148"/>
      <w:r>
        <w:t>2.2 Forensic Imaging and Toolset Used</w:t>
      </w:r>
      <w:bookmarkEnd w:id="66"/>
      <w:bookmarkEnd w:id="67"/>
    </w:p>
    <w:p w14:paraId="51901BBA">
      <w:r>
        <w:t xml:space="preserve">The image manipulation was performed logically and through UFED (Universal Forensic Extraction Device) in order to identify the wide availability and reliability with Android devices. The obtained results were analyzed systematically through Autopsy, utilizing the Android Analyzer, Keyword Search, Email Parser, and PhotoRec Carver modules to identify artifacts, and aLEAPP was utilized to further process and present Android-specific data, including app usage and geolocation information, and obtain as much information as possible in the available evidence </w:t>
      </w:r>
      <w:r>
        <w:fldChar w:fldCharType="begin"/>
      </w:r>
      <w:r>
        <w:instrText xml:space="preserve"> ADDIN ZOTERO_ITEM CSL_CITATION {"citationID":"OUewItD9","properties":{"formattedCitation":"[20]","plainCitation":"[20]","noteIndex":0},"citationItems":[{"id":"2jxAtni8/Vq7cHdx6","uris":["http://zotero.org/users/local/0vF7XRbV/items/BGQJXJUJ"],"itemData":{"id":149,"type":"article-journal","container-title":"International Journal for Research in Applied Science and Engineering Technology","DOI":"10.22214/ijraset.2023.56106","issue":"10","page":"935-942","title":"Android Smart Phone Forensics using Open Source Tools","volume":"11","author":[{"family":"Makate","given":"Austin"},{"family":"Muduva","given":"Martin"},{"family":"Chiwariro","given":"Ronald"},{"family":"Agrawal","given":"Animesh Kumar"},{"family":"Khatri","given":"Pallavi"}],"issued":{"date-parts":[["2023"]]}}}],"schema":"https://github.com/citation-style-language/schema/raw/master/csl-citation.json"} </w:instrText>
      </w:r>
      <w:r>
        <w:fldChar w:fldCharType="separate"/>
      </w:r>
      <w:r>
        <w:rPr>
          <w:rFonts w:cs="Times New Roman"/>
        </w:rPr>
        <w:t>[20]</w:t>
      </w:r>
      <w:r>
        <w:fldChar w:fldCharType="end"/>
      </w:r>
      <w:r>
        <w:t>.</w:t>
      </w:r>
    </w:p>
    <w:p w14:paraId="20847F7F">
      <w:pPr>
        <w:pStyle w:val="3"/>
      </w:pPr>
      <w:bookmarkStart w:id="68" w:name="_Toc215005940"/>
      <w:bookmarkStart w:id="69" w:name="_Toc216371149"/>
      <w:r>
        <w:t>2.3 Data Processing and Validation Steps</w:t>
      </w:r>
      <w:bookmarkEnd w:id="68"/>
      <w:bookmarkEnd w:id="69"/>
    </w:p>
    <w:p w14:paraId="161BE536">
      <w:r>
        <w:t xml:space="preserve">Image extracted was fed into the digital forensic system and traversed through a process of multilayered authentication. Every result was supported by the cross-referencing with chain-of-custody records, event logs on artifacts and device timetables. With hash functions, relevant communications and files were subjected to an integrity check where the consistency of the evidence contained in the files was upheld </w:t>
      </w:r>
      <w:r>
        <w:fldChar w:fldCharType="begin"/>
      </w:r>
      <w:r>
        <w:instrText xml:space="preserve"> ADDIN ZOTERO_ITEM CSL_CITATION {"citationID":"j5pgztD8","properties":{"formattedCitation":"[21], [22], [23]","plainCitation":"[21], [22], [23]","noteIndex":0},"citationItems":[{"id":"2jxAtni8/v9lMC74t","uris":["http://zotero.org/users/local/0vF7XRbV/items/46RJ6VYQ"],"itemData":{"id":500,"type":"article-journal","abstract":"The validity and integrity of digital evidence and the chain of custody are crucial to all digital forensic investigations. All new evidence and access logs of the original evidence should be logged in a document called the ‘chain of custody’. This document shows the timeline of any piece of evidence from the time it was recorded until the end of the investigation. In a traditional digital investigation, trusted parties, such as an investigator, are allowed access to the digital evidence and follow a strict process when dealing with data. These trusted parties have the capability to alter the data making the evidence inadmissible in a court of law. Alternatively, these trusted parties may also alter the data accidentally or with malicious intent, due to a lack of transparency and non-repudiation. Blockchain technology can solve this issue, however, existing research shows that adopting blockchain does not provide adequate transparent access control mechanisms. Consequently, this makes blockchain difficult to adopt due to the one-to-one mapping and the inability to easily validate the chain of custody and evidence admissibility.  Current methodologies rely on an external off-chain access control mechanism, which, regrettably, remains susceptible to potential breaches that could compromise its integrity and validity. This paper proposes an enhanced model to provide access control through smart contracts, ensuring immutability, flexibility, transparency, and non-repudiation of both the access control mechanisms and the digital evidence itself. This is achieved by moving the access control mechanism to the blockchain. This tracks any changes made through the access control mechanism, further ensuring transparency and integrity. This smart contract-based access control builds off role-based access control, allowing for more complex hierarchies to be used. This model aims to allow for both modularity, making adoption easier for existing digital forensic tools, and encouraging digital investigation and litigation to become more streamlined.  Existing tools can easily integrate with the proposed model adding an extra layer of non-repudiation, transparency, and integrity.","container-title":"International Conference on Cyber Warfare and Security","DOI":"10.34190/iccws.19.1.2025","ISSN":"2048-9889, 2048-9870","issue":"1","journalAbbreviation":"iccws","license":"https://creativecommons.org/licenses/by-nc-nd/4.0","page":"168-176","source":"DOI.org (Crossref)","title":"Chain of Custody and Evidence Integrity Verification Using Blockchain Technology","volume":"19","author":[{"family":"Miller","given":"Adir"},{"family":"Singh","given":"Avinash"}],"issued":{"date-parts":[["2024",3,21]]}}},{"id":"2jxAtni8/xwIBMX8j","uris":["http://zotero.org/users/local/0vF7XRbV/items/VU5Z3IFF"],"itemData":{"id":497,"type":"article","abstract":"In digital forensics and various sectors like medicine and supply chain, blockchains play a crucial role in providing a secure and tamper-resistant system that meticulously records every detail, ensuring accountability. However, collaboration among different agencies, each with its own blockchains, creates challenges due to diverse protocols and a lack of interoperability, hindering seamless information sharing. Cross-chain technology has been introduced to address these challenges. Current research about blockchains in digital forensics, tends to focus on individual agencies, lacking a comprehensive approach to collaboration and the essential aspect of cross-chain functionality. This emphasizes the necessity for a framework capable of effectively addressing challenges in securely sharing case information, implementing access controls, and capturing provenance data across interconnected blockchains. Our solution, ForensiCross, is the first cross-chain solution specifically designed for digital forensics and provenance. It includes BridgeChain and features a unique communication protocol for cross-chain and multi-chain solutions. ForensiCross offers meticulous provenance capture and extraction methods, mathematical analysis to ensure reliability, scalability considerations for a distributed intermediary in collaborative blockchain contexts, and robust security measures against potential vulnerabilities and attacks. Analysis and evaluation results indicate that ForensiCross is secure and, despite a slight increase in communication time, outperforms in node count efficiency and has secure provenance extraction. As an all-encompassing solution, ForensiCross aims to simplify collaborative investigations by ensuring data integrity and traceability.","DOI":"10.48550/ARXIV.2406.11729","license":"Creative Commons Attribution Non Commercial Share Alike 4.0 International","note":"version: 1","publisher":"arXiv","source":"DOI.org (Datacite)","title":"Secure Cross-Chain Provenance for Digital Forensics Collaboration","URL":"https://arxiv.org/abs/2406.11729","author":[{"family":"Akbarfam","given":"Asma Jodeiri"},{"family":"Dorai","given":"Gokila"},{"family":"Maleki","given":"Hoda"}],"accessed":{"date-parts":[["2025",11,26]]},"issued":{"date-parts":[["2024"]]}}},{"id":"2jxAtni8/oDJU9Vb1","uris":["http://zotero.org/users/local/0vF7XRbV/items/VEYCSIPY"],"itemData":{"id":499,"type":"article-journal","container-title":"Forensic Science International: Digital Investigation","DOI":"10.1016/j.fsidi.2025.301913","ISSN":"26662817","journalAbbreviation":"Forensic Science International: Digital Investigation","language":"en","page":"301913","source":"DOI.org (Crossref)","title":"Horodocs: A scalable, sustainable, robust and privacy compliant system to securely timestamp digital evidence and documents","title-short":"Horodocs","volume":"53","author":[{"family":"Jaquet-Chiffelle","given":"David-Olivier"},{"family":"Pfeiffer","given":"Ludovic"},{"family":"Brocard","given":"Lionel"},{"family":"Benoist","given":"Emmanuel"},{"family":"Foukia","given":"Noria"}],"issued":{"date-parts":[["2025",6]]}}}],"schema":"https://github.com/citation-style-language/schema/raw/master/csl-citation.json"} </w:instrText>
      </w:r>
      <w:r>
        <w:fldChar w:fldCharType="separate"/>
      </w:r>
      <w:r>
        <w:rPr>
          <w:rFonts w:cs="Times New Roman"/>
        </w:rPr>
        <w:t>[21], [22], [23]</w:t>
      </w:r>
      <w:r>
        <w:fldChar w:fldCharType="end"/>
      </w:r>
      <w:r>
        <w:t>. There came an attempt to crack encrypted databases (i.e., WhatsApp, Open.docx), use suitable cryptographic tools, yet the results were restricted by access policies.</w:t>
      </w:r>
    </w:p>
    <w:p w14:paraId="4734F354">
      <w:pPr>
        <w:pStyle w:val="3"/>
      </w:pPr>
      <w:bookmarkStart w:id="70" w:name="_Toc216371150"/>
      <w:bookmarkStart w:id="71" w:name="_Toc215005941"/>
      <w:r>
        <w:t>2.4 Limitations and Reliability Factors</w:t>
      </w:r>
      <w:bookmarkEnd w:id="70"/>
      <w:bookmarkEnd w:id="71"/>
    </w:p>
    <w:p w14:paraId="5567A585">
      <w:r>
        <w:t xml:space="preserve">The investigation had a number of limitations: encrypted chats and password-protected files were impervious to all brute-force and key-based decryption techniques, and logical acquisitions were not able to retrieve some of the cryptographic files (e.g. WhatsApp keys). Although all processing of evidence resolved an approved tool and documented process, the results will always be limited by current technical capabilities-only by their ability to ensure reliability on artifacts available </w:t>
      </w:r>
      <w:r>
        <w:fldChar w:fldCharType="begin"/>
      </w:r>
      <w:r>
        <w:instrText xml:space="preserve"> ADDIN ZOTERO_ITEM CSL_CITATION {"citationID":"PK3Bu0CX","properties":{"formattedCitation":"[24], [25], [26]","plainCitation":"[24], [25], [26]","noteIndex":0},"citationItems":[{"id":"2jxAtni8/n3JkAPwe","uris":["http://zotero.org/users/local/0vF7XRbV/items/3JQCEYNL"],"itemData":{"id":493,"type":"article-journal","container-title":"International Journal of Safety and Security Engineering","DOI":"10.18280/ijsse.140417","ISSN":"20419031, 2041904X","issue":"4","journalAbbreviation":"IJSSE","page":"1203-1211","source":"DOI.org (Crossref)","title":"Digital Forensics in Google Drive: Techniques for Extracting and Analyzing Digital Artifacts","title-short":"Digital Forensics in Google Drive","volume":"14","author":[{"family":"Ramadhani","given":"Erika"},{"family":"Isnaindar","given":"Syafiq Irfan"}],"issued":{"date-parts":[["2024",8,30]]}}},{"id":"2jxAtni8/lT9P5Ea3","uris":["http://zotero.org/users/local/0vF7XRbV/items/S6H6IGBZ"],"itemData":{"id":491,"type":"article","abstract":"Due to the increasing security standards of modern smartphones, forensic data acquisition from such devices is a growing challenge. One rather generic way to access data on smartphones in practice is to use the local backup mechanism offered by the mobile operating systems. We study the suitability of such mechanisms for forensic data acquisition by performing a thorough evaluation of iOS's and Android's local backup mechanisms on two mobile devices. Based on a systematic and generic evaluation procedure comparing the contents of local backup to the original storage, we show that in our exemplary practical evaluations, in most cases (but not all) local backup actually yields a correct copy of the original data from storage. Our study also highlights corner cases, such as database files with pending changes, that need to be considered when assessing the integrity and authenticity of evidence acquired through local backup.","DOI":"10.48550/ARXIV.2404.12808","license":"arXiv.org perpetual, non-exclusive license","note":"version: 1","publisher":"arXiv","source":"DOI.org (Datacite)","title":"Systematic Evaluation of Forensic Data Acquisition using Smartphone Local Backup","URL":"https://arxiv.org/abs/2404.12808","author":[{"family":"Geus","given":"Julian"},{"family":"Ottmann","given":"Jenny"},{"family":"Freiling","given":"Felix"}],"accessed":{"date-parts":[["2025",11,26]]},"issued":{"date-parts":[["2024"]]}}},{"id":"2jxAtni8/2kn7Mo5e","uris":["http://zotero.org/users/local/0vF7XRbV/items/53T4RGLS"],"itemData":{"id":488,"type":"article","abstract":"Digital forensics and cloud forensics are increasingly important fields that face a range of challenges. This study aims to assess the general challenges faced in these fields. A literature review was conducted to identify the major challenges in digital and cloud forensics, including data acquisition, data analysis, data preservation, privacy concerns, and legal issues. The challenges were analyzed in detail, considering the reasons why they are challenges, the impact they have on digital and cloud forensics, and any potential solutions. The study concludes that the challenges faced in digital and cloud forensics are significant and varied, and that addressing these challenges is critical for the effective and efficient use of digital and cloud forensics in investigations. This study provides a valuable overview of the current state of digital and cloud forensic challenges and can help guide future research in this important field.","DOI":"10.48550/ARXIV.2305.03059","license":"arXiv.org perpetual, non-exclusive license","note":"version: 1","publisher":"arXiv","source":"DOI.org (Datacite)","title":"Digital and Cloud Forensic Challenges","URL":"https://arxiv.org/abs/2305.03059","author":[{"family":"Alenezi","given":"Ahmed MohanRaj"}],"accessed":{"date-parts":[["2025",11,26]]},"issued":{"date-parts":[["2023"]]}}}],"schema":"https://github.com/citation-style-language/schema/raw/master/csl-citation.json"} </w:instrText>
      </w:r>
      <w:r>
        <w:fldChar w:fldCharType="separate"/>
      </w:r>
      <w:r>
        <w:rPr>
          <w:rFonts w:cs="Times New Roman"/>
        </w:rPr>
        <w:t>[24], [25], [26]</w:t>
      </w:r>
      <w:r>
        <w:fldChar w:fldCharType="end"/>
      </w:r>
      <w:r>
        <w:t>.</w:t>
      </w:r>
    </w:p>
    <w:p w14:paraId="0445CE84">
      <w:pPr>
        <w:pStyle w:val="2"/>
      </w:pPr>
      <w:bookmarkStart w:id="72" w:name="_Toc215005942"/>
      <w:bookmarkStart w:id="73" w:name="_Toc216371151"/>
      <w:r>
        <w:t>3. Evidence Overview</w:t>
      </w:r>
      <w:bookmarkEnd w:id="72"/>
      <w:bookmarkEnd w:id="73"/>
    </w:p>
    <w:p w14:paraId="05104059">
      <w:r>
        <w:t>There were four mobile phones that were confiscated and examined under a forensic analysis of the case of corporate espionage and attempted sale of the QT-AI-2025 patent. The devices included:</w:t>
      </w:r>
    </w:p>
    <w:p w14:paraId="5B81581E">
      <w:pPr>
        <w:pStyle w:val="3"/>
      </w:pPr>
      <w:bookmarkStart w:id="74" w:name="_Toc216371152"/>
      <w:bookmarkStart w:id="75" w:name="_Toc215005943"/>
      <w:r>
        <w:t>3.1 Description of Devices Analysed</w:t>
      </w:r>
      <w:bookmarkEnd w:id="74"/>
      <w:bookmarkEnd w:id="75"/>
    </w:p>
    <w:p w14:paraId="0C1E632C">
      <w:pPr>
        <w:numPr>
          <w:ilvl w:val="0"/>
          <w:numId w:val="6"/>
        </w:numPr>
      </w:pPr>
      <w:r>
        <w:t>3.1.1 Huawei POT-LX1 P Smart: Emma is the key suspect. Her identification was done based on special email addresses and real-time communication with the intermediary. The main applications (WhatsApp, Instagram, Gmail) were also there to aid communication that was at the core of the conspiracy.</w:t>
      </w:r>
    </w:p>
    <w:p w14:paraId="04CF5486">
      <w:pPr>
        <w:numPr>
          <w:ilvl w:val="0"/>
          <w:numId w:val="6"/>
        </w:numPr>
      </w:pPr>
      <w:r>
        <w:t>3.1.2 Samsung Galaxy A13: Joe as the intermediary is assigned. The device gave me a lot of information about the domestic and international journeys (train tickets, hotel receipts), using anonymous payments extensively (gift cards, Mastercard), and connections to Emma directly.</w:t>
      </w:r>
    </w:p>
    <w:p w14:paraId="20EA3B60">
      <w:pPr>
        <w:numPr>
          <w:ilvl w:val="0"/>
          <w:numId w:val="6"/>
        </w:numPr>
      </w:pPr>
      <w:r>
        <w:t>3.1.3 Ulefone Note 14: Norman Ulefone, buyer/financier. Anonymizing tool, with a purpose of obfuscating a payment trail contained critical photos of a non-personalized SBI debit card.</w:t>
      </w:r>
    </w:p>
    <w:p w14:paraId="54F4892C">
      <w:pPr>
        <w:numPr>
          <w:ilvl w:val="0"/>
          <w:numId w:val="6"/>
        </w:numPr>
      </w:pPr>
      <w:r>
        <w:t>3.1.4 Nokia C2: Attributed co-conspirator device yet unidentified. The most crucial discovery was a coded Microsoft Word file (Open.docx) and a picture of an unknown man, who might have been a crucial lead.</w:t>
      </w:r>
    </w:p>
    <w:p w14:paraId="443F38C6">
      <w:pPr>
        <w:pStyle w:val="3"/>
      </w:pPr>
      <w:bookmarkStart w:id="76" w:name="_Toc216371153"/>
      <w:bookmarkStart w:id="77" w:name="_Toc215005944"/>
      <w:r>
        <w:t>3.2 Extraction Data Volumes and Details</w:t>
      </w:r>
      <w:bookmarkEnd w:id="76"/>
      <w:bookmarkEnd w:id="77"/>
    </w:p>
    <w:p w14:paraId="4871CAF6">
      <w:r>
        <w:t xml:space="preserve">The logical extraction of all the devices was done with UFED. There were pictures and data volumes of different amount but enough to restore app information, multimedia data, geolocation and system files. There were efforts to decrypt secured communications and documents, although this was not enabled due to encryption and lack of keys </w:t>
      </w:r>
      <w:r>
        <w:fldChar w:fldCharType="begin"/>
      </w:r>
      <w:r>
        <w:instrText xml:space="preserve"> ADDIN ZOTERO_ITEM CSL_CITATION {"citationID":"JDergVe0","properties":{"formattedCitation":"[27]","plainCitation":"[27]","noteIndex":0},"citationItems":[{"id":"2jxAtni8/7QQ0zzvG","uris":["http://zotero.org/users/local/0vF7XRbV/items/WN2VS22T"],"itemData":{"id":156,"type":"article-journal","container-title":"Computer Science and Information Technologies","DOI":"10.11591/csit.v5i3.p254-264","issue":"3","note":"publisher: Institute of Advanced Engineering and Science (IAES)","page":"254-264","title":"Capabilities of cellebrite universal forensics extraction device in mobile device forensics","volume":"5","author":[{"family":"Sutikno","given":"Tole"},{"family":"Busthomi","given":"Iqbal"}],"issued":{"date-parts":[["2024"]]}}}],"schema":"https://github.com/citation-style-language/schema/raw/master/csl-citation.json"} </w:instrText>
      </w:r>
      <w:r>
        <w:fldChar w:fldCharType="separate"/>
      </w:r>
      <w:r>
        <w:rPr>
          <w:rFonts w:cs="Times New Roman"/>
        </w:rPr>
        <w:t>[27]</w:t>
      </w:r>
      <w:r>
        <w:fldChar w:fldCharType="end"/>
      </w:r>
      <w:r>
        <w:t>.</w:t>
      </w:r>
    </w:p>
    <w:p w14:paraId="508420B3">
      <w:pPr>
        <w:pStyle w:val="3"/>
      </w:pPr>
      <w:bookmarkStart w:id="78" w:name="_Toc215005945"/>
      <w:bookmarkStart w:id="79" w:name="_Toc216371154"/>
      <w:r>
        <w:t>3.3 Chain of Custody Assurance</w:t>
      </w:r>
      <w:bookmarkEnd w:id="78"/>
      <w:bookmarkEnd w:id="79"/>
    </w:p>
    <w:p w14:paraId="77E74AFD">
      <w:r>
        <w:t>The seizure was made evidence bearing, and devices were immediately isolated so as to avoid tampering. Image acquisition, processing, and analysis were well-documented and all evidence-maintained integrity, authenticity and admissibility were observed.</w:t>
      </w:r>
    </w:p>
    <w:p w14:paraId="7F34D58D">
      <w:pPr>
        <w:pStyle w:val="3"/>
      </w:pPr>
      <w:bookmarkStart w:id="80" w:name="_Toc216371155"/>
      <w:bookmarkStart w:id="81" w:name="_Toc215005946"/>
      <w:r>
        <w:t>3.4 Overview of Relevant Data Types</w:t>
      </w:r>
      <w:bookmarkEnd w:id="80"/>
      <w:bookmarkEnd w:id="81"/>
    </w:p>
    <w:p w14:paraId="28F175FD">
      <w:r>
        <w:t>Information also covered chat logs (WhatsApp, Instagram DMs, mails), financial records (photos of payment items, receipts, anonymous cards), travel documentation, system logs, and encrypted documents. Multimedia files and metadata helped in correlation of actions and timeline. Although there is encrypted material that cannot be accessed, the scope and variety of available data served as the basis of sufficient evidence.</w:t>
      </w:r>
    </w:p>
    <w:p w14:paraId="524836D0">
      <w:pPr>
        <w:pStyle w:val="2"/>
      </w:pPr>
      <w:bookmarkStart w:id="82" w:name="_Toc215005947"/>
      <w:bookmarkStart w:id="83" w:name="_Toc216371156"/>
      <w:r>
        <w:t>4. Analysis and Findings of the Devices</w:t>
      </w:r>
      <w:bookmarkEnd w:id="82"/>
      <w:bookmarkEnd w:id="83"/>
    </w:p>
    <w:p w14:paraId="376BA37A">
      <w:pPr>
        <w:pStyle w:val="3"/>
      </w:pPr>
      <w:bookmarkStart w:id="84" w:name="_Toc215005948"/>
      <w:bookmarkStart w:id="85" w:name="_Toc216371157"/>
      <w:r>
        <w:t>4.1 Huawei POT-LX1 P Smart — Attributed to Emma</w:t>
      </w:r>
      <w:bookmarkEnd w:id="84"/>
      <w:bookmarkEnd w:id="85"/>
    </w:p>
    <w:p w14:paraId="376B57F6">
      <w:pPr>
        <w:rPr>
          <w:i/>
          <w:iCs/>
        </w:rPr>
      </w:pPr>
      <w:r>
        <w:rPr>
          <w:i/>
          <w:iCs/>
        </w:rPr>
        <w:t>4.1.1 User Identification (accounts, contacts)</w:t>
      </w:r>
    </w:p>
    <w:p w14:paraId="2C1A4DA3">
      <w:r>
        <w:t>It was conclusively found that Emma was the main user of the Huawei POT-LX1. The analysis of the device artifacts, namely, the RpcCache.csv file and web account entries, showed that Emma had the email address (dovp59@gmail.com) configured at the device. Checking against the Gmail cache also showed the contact with the middleman (Joe) through his account (josephrehan464@gmail.com) which proved the critical role of the device in case of the conspiracy network beginning. No competing ownership evidence was determined and that confirmed possession.</w:t>
      </w:r>
    </w:p>
    <w:p w14:paraId="082134D1">
      <w:pPr>
        <w:keepNext/>
      </w:pPr>
      <w:r>
        <w:drawing>
          <wp:inline distT="0" distB="0" distL="0" distR="0">
            <wp:extent cx="5731510" cy="3222625"/>
            <wp:effectExtent l="0" t="0" r="2540" b="0"/>
            <wp:docPr id="53496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6488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CF3FE27">
      <w:pPr>
        <w:pStyle w:val="13"/>
        <w:jc w:val="center"/>
        <w:rPr>
          <w:lang w:val="en-US"/>
        </w:rPr>
      </w:pPr>
      <w:r>
        <w:t xml:space="preserve">Figure </w:t>
      </w:r>
      <w:r>
        <w:fldChar w:fldCharType="begin"/>
      </w:r>
      <w:r>
        <w:instrText xml:space="preserve"> SEQ Figure \* ARABIC </w:instrText>
      </w:r>
      <w:r>
        <w:fldChar w:fldCharType="separate"/>
      </w:r>
      <w:r>
        <w:t>1</w:t>
      </w:r>
      <w:r>
        <w:fldChar w:fldCharType="end"/>
      </w:r>
      <w:r>
        <w:rPr>
          <w:lang w:val="en-US"/>
        </w:rPr>
        <w:t>: Evidence shows Emma initiated the plot</w:t>
      </w:r>
    </w:p>
    <w:p w14:paraId="376A2244">
      <w:pPr>
        <w:rPr>
          <w:i/>
          <w:iCs/>
        </w:rPr>
      </w:pPr>
      <w:r>
        <w:rPr>
          <w:i/>
          <w:iCs/>
        </w:rPr>
        <w:t>4.1.2 Links and Behavior of Communication</w:t>
      </w:r>
    </w:p>
    <w:p w14:paraId="7DB16D88">
      <w:r>
        <w:t>The communications are recorded by the device used by Emma who shows instantaneous and intentional attempts to interact with the intellectual property theft. Interestingly, Joe was in contact with me within the 48 hours following the installation of the device in August 2024. Emma has been spotted searching the query how to unblock a contact in WhatsApp huawei on August 21, 2024 in logs, an act suggesting that she was seeking to contact a co-conspirator she believed she had fallen out with or was experiencing an operational issue and was seeking to communicate discreetly or otherwise. Timeline analysis depicts that early and frequent interactions exist between Emma and key actors, which were important in planning early-stage.</w:t>
      </w:r>
    </w:p>
    <w:p w14:paraId="1AC3EAA7">
      <w:pPr>
        <w:rPr>
          <w:i/>
          <w:iCs/>
        </w:rPr>
      </w:pPr>
      <w:r>
        <w:rPr>
          <w:i/>
          <w:iCs/>
        </w:rPr>
        <w:t>4.1.3 Relevant Apps and Suspicious Actions</w:t>
      </w:r>
    </w:p>
    <w:p w14:paraId="690DC00A">
      <w:r>
        <w:t>WhatsApp, Instagram, and Gmail were the key communication tools contained in the Huawei device. Installation timestamps are related to the planning phase, which also ensures goal configuration. An operation of decryption of WhatsApp databases was technically feasible and provided little substantive information, but the corresponding conversations seem to have been deleted or held over less secure or volatile channels to make recovery less possible. The sequence of digital hygiene that Emma adopted by blocking/unblocking, deleting and using different platforms is evidence of high-level operational awareness to mitigate forensic traceability.</w:t>
      </w:r>
    </w:p>
    <w:p w14:paraId="4F8D2263">
      <w:pPr>
        <w:pStyle w:val="3"/>
      </w:pPr>
      <w:bookmarkStart w:id="86" w:name="_Toc215005949"/>
      <w:bookmarkStart w:id="87" w:name="_Toc216371158"/>
      <w:r>
        <w:t>4.2 Samsung Galaxy A13 - Transacted under Joe</w:t>
      </w:r>
      <w:bookmarkEnd w:id="86"/>
      <w:bookmarkEnd w:id="87"/>
    </w:p>
    <w:p w14:paraId="746D193C">
      <w:pPr>
        <w:rPr>
          <w:i/>
          <w:iCs/>
        </w:rPr>
      </w:pPr>
      <w:r>
        <w:rPr>
          <w:i/>
          <w:iCs/>
        </w:rPr>
        <w:t>4.2.1 Travel and Location Analysis</w:t>
      </w:r>
    </w:p>
    <w:p w14:paraId="186E1ADF">
      <w:r>
        <w:t>The Samsung Galaxy A13 that was used by Joe had offered a lot of evidence regarding the physical movement which is related to an intermediary in a cross-regional operation. The geolocation data in pictures, in travel history and hotel bills was hidden in the pictures, and it charted out an easy-to-follow chronology:</w:t>
      </w:r>
    </w:p>
    <w:p w14:paraId="53098B17">
      <w:pPr>
        <w:numPr>
          <w:ilvl w:val="0"/>
          <w:numId w:val="7"/>
        </w:numPr>
      </w:pPr>
      <w:r>
        <w:t>August 31, 2024: Train to Glasgow, Scotland.</w:t>
      </w:r>
    </w:p>
    <w:p w14:paraId="3029E665">
      <w:pPr>
        <w:numPr>
          <w:ilvl w:val="0"/>
          <w:numId w:val="7"/>
        </w:numPr>
      </w:pPr>
      <w:r>
        <w:t>September 4, 2024: A flight between Swansea and Luton Airport, with a photograph of an Ibis hotel key card (a secret rendezvous) in the background.</w:t>
      </w:r>
    </w:p>
    <w:p w14:paraId="52787FE4">
      <w:pPr>
        <w:numPr>
          <w:ilvl w:val="0"/>
          <w:numId w:val="7"/>
        </w:numPr>
      </w:pPr>
      <w:r>
        <w:t>October 15, 2024: Hotel payment of Paris, France, with payment chargeback to a particular Debit Mastercard (last 3758).</w:t>
      </w:r>
    </w:p>
    <w:p w14:paraId="73CF2771">
      <w:pPr>
        <w:numPr>
          <w:ilvl w:val="0"/>
          <w:numId w:val="7"/>
        </w:numPr>
      </w:pPr>
      <w:r>
        <w:t>December 16, 2024: Parking in Wembley, London, and payment using the same card.</w:t>
      </w:r>
      <w:r>
        <w:br w:type="textWrapping"/>
      </w:r>
      <w:r>
        <w:t>Such pieces of information were crucial in terms of what would physically happen during the conspiracy and reminded that Joe was connected to central operation resources in the illegal exchange.</w:t>
      </w:r>
    </w:p>
    <w:p w14:paraId="6D28FD2E">
      <w:pPr>
        <w:keepNext/>
        <w:jc w:val="center"/>
      </w:pPr>
      <w:r>
        <w:drawing>
          <wp:inline distT="0" distB="0" distL="0" distR="0">
            <wp:extent cx="5731510" cy="3222625"/>
            <wp:effectExtent l="0" t="0" r="2540" b="0"/>
            <wp:docPr id="88778554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85544" name="Picture 2" descr="A screenshot of a computer&#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885B38A">
      <w:pPr>
        <w:pStyle w:val="13"/>
        <w:jc w:val="center"/>
      </w:pPr>
      <w:r>
        <w:t xml:space="preserve">Figure </w:t>
      </w:r>
      <w:r>
        <w:fldChar w:fldCharType="begin"/>
      </w:r>
      <w:r>
        <w:instrText xml:space="preserve"> SEQ Figure \* ARABIC </w:instrText>
      </w:r>
      <w:r>
        <w:fldChar w:fldCharType="separate"/>
      </w:r>
      <w:r>
        <w:t>2</w:t>
      </w:r>
      <w:r>
        <w:fldChar w:fldCharType="end"/>
      </w:r>
      <w:r>
        <w:rPr>
          <w:lang w:val="en-US"/>
        </w:rPr>
        <w:t>: Receipt confirms suspect's London location</w:t>
      </w:r>
    </w:p>
    <w:p w14:paraId="1C458948">
      <w:pPr>
        <w:rPr>
          <w:i/>
          <w:iCs/>
        </w:rPr>
      </w:pPr>
      <w:r>
        <w:rPr>
          <w:i/>
          <w:iCs/>
        </w:rPr>
        <w:t>4.2.2 Financial and Anonymous Payments</w:t>
      </w:r>
    </w:p>
    <w:p w14:paraId="32B041F5">
      <w:r>
        <w:t>The device carried by Joe had photo evidence and electronic records of non-identified payment tools. First was One4all gift cards image having complete card details- usually used in illegal finance during a transaction which will be anonymous and untraceable. The regular billing of travel and hospitality bills, by use of Debit Mastercard 3758 in both UK and international meetings, linked the financial transactions with the time of conspiracy. It was supplemented with the strategy of operational obfuscation with the integration of the anonymous digital payments which, however, made tracing the finances, though not impossible, in a multi-jurisdictional environment.</w:t>
      </w:r>
    </w:p>
    <w:p w14:paraId="5DAF10C4">
      <w:pPr>
        <w:keepNext/>
      </w:pPr>
      <w:r>
        <w:drawing>
          <wp:inline distT="0" distB="0" distL="0" distR="0">
            <wp:extent cx="5731510" cy="3222625"/>
            <wp:effectExtent l="0" t="0" r="2540" b="0"/>
            <wp:docPr id="4472372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37293"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0E3F533">
      <w:pPr>
        <w:pStyle w:val="13"/>
        <w:jc w:val="center"/>
      </w:pPr>
      <w:r>
        <w:t xml:space="preserve">Figure </w:t>
      </w:r>
      <w:r>
        <w:fldChar w:fldCharType="begin"/>
      </w:r>
      <w:r>
        <w:instrText xml:space="preserve"> SEQ Figure \* ARABIC </w:instrText>
      </w:r>
      <w:r>
        <w:fldChar w:fldCharType="separate"/>
      </w:r>
      <w:r>
        <w:t>3</w:t>
      </w:r>
      <w:r>
        <w:fldChar w:fldCharType="end"/>
      </w:r>
      <w:r>
        <w:rPr>
          <w:lang w:val="en-US"/>
        </w:rPr>
        <w:t>: Map view showing clustered device location artifacts</w:t>
      </w:r>
    </w:p>
    <w:p w14:paraId="2EDF33B0">
      <w:pPr>
        <w:rPr>
          <w:i/>
          <w:iCs/>
        </w:rPr>
      </w:pPr>
      <w:r>
        <w:rPr>
          <w:i/>
          <w:iCs/>
        </w:rPr>
        <w:t>4.2.3 Corroborative Evidence</w:t>
      </w:r>
    </w:p>
    <w:p w14:paraId="43CEBF0E">
      <w:r>
        <w:t>Several evidence leads of Joe, whose Samsung phone were used, intersected with Emma and Norman, which helped in proving the cases:</w:t>
      </w:r>
    </w:p>
    <w:p w14:paraId="6D8446F0">
      <w:pPr>
        <w:numPr>
          <w:ilvl w:val="0"/>
          <w:numId w:val="8"/>
        </w:numPr>
      </w:pPr>
      <w:r>
        <w:t>Metadata and messaging history of emails proved the cooperation with Emma and Norman in regard to certain dates and plans.</w:t>
      </w:r>
    </w:p>
    <w:p w14:paraId="06A250A3">
      <w:pPr>
        <w:numPr>
          <w:ilvl w:val="0"/>
          <w:numId w:val="8"/>
        </w:numPr>
      </w:pPr>
      <w:r>
        <w:t>Intersection of geotagged photos, document tags and receipts guaranteed the accuracy in re-building key moments.</w:t>
      </w:r>
    </w:p>
    <w:p w14:paraId="1BFC42FA">
      <w:pPr>
        <w:numPr>
          <w:ilvl w:val="0"/>
          <w:numId w:val="8"/>
        </w:numPr>
      </w:pPr>
      <w:r>
        <w:t>Unclear user identifiers like the profile image which reads J and exclusive patterns of access were an added verification to the uniqueness of the device to Joe.</w:t>
      </w:r>
    </w:p>
    <w:p w14:paraId="37A2286B">
      <w:pPr>
        <w:ind w:left="720"/>
      </w:pPr>
      <w:r>
        <w:t>The cumulative presence of Joe on the Samsung Galaxy A13 demonstrates the logistical, financial, and communicative strategies facilitating the illegal operation, which, in turn, in the direct support of the chains of evidence reenacting the conspiracy.</w:t>
      </w:r>
    </w:p>
    <w:p w14:paraId="62F5622B"/>
    <w:p w14:paraId="7AC3E887">
      <w:pPr>
        <w:pStyle w:val="3"/>
      </w:pPr>
      <w:bookmarkStart w:id="88" w:name="_Toc215005950"/>
      <w:bookmarkStart w:id="89" w:name="_Toc216371159"/>
      <w:r>
        <w:t>4.3 Ulefone Note 14 -Accredited to Norman.</w:t>
      </w:r>
      <w:bookmarkEnd w:id="88"/>
      <w:bookmarkEnd w:id="89"/>
    </w:p>
    <w:p w14:paraId="48BC8C3D">
      <w:pPr>
        <w:rPr>
          <w:i/>
          <w:iCs/>
        </w:rPr>
      </w:pPr>
      <w:r>
        <w:rPr>
          <w:i/>
          <w:iCs/>
        </w:rPr>
        <w:t>4.3.1 Financial Instrument Analysis</w:t>
      </w:r>
    </w:p>
    <w:p w14:paraId="045CCA1E">
      <w:r>
        <w:t>The forensic discovery in the Ulefone Note 14 is two photos of a State Bank of India (SBI) debit card. A close examination will show that this card was meant to be the main mode of payment to the illegal deal. The dead air feature (not a personalized name, but the generic name, which is STATE BANK CUSTOMER) is consistent with the methods of decoupling the financial instruments with the personalities, which hinders the typical tracing of the investigators.</w:t>
      </w:r>
    </w:p>
    <w:p w14:paraId="76C29F16">
      <w:pPr>
        <w:keepNext/>
      </w:pPr>
      <w:r>
        <w:drawing>
          <wp:inline distT="0" distB="0" distL="0" distR="0">
            <wp:extent cx="5731510" cy="3222625"/>
            <wp:effectExtent l="0" t="0" r="2540" b="0"/>
            <wp:docPr id="1303882271" name="Picture 3" descr="A hand holding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82271" name="Picture 3" descr="A hand holding a card&#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35E060E">
      <w:pPr>
        <w:pStyle w:val="13"/>
        <w:jc w:val="center"/>
      </w:pPr>
      <w:r>
        <w:t xml:space="preserve">Figure </w:t>
      </w:r>
      <w:r>
        <w:fldChar w:fldCharType="begin"/>
      </w:r>
      <w:r>
        <w:instrText xml:space="preserve"> SEQ Figure \* ARABIC </w:instrText>
      </w:r>
      <w:r>
        <w:fldChar w:fldCharType="separate"/>
      </w:r>
      <w:r>
        <w:t>4</w:t>
      </w:r>
      <w:r>
        <w:fldChar w:fldCharType="end"/>
      </w:r>
      <w:r>
        <w:rPr>
          <w:lang w:val="en-US"/>
        </w:rPr>
        <w:t>: Anonymous card reveals intent to hide</w:t>
      </w:r>
    </w:p>
    <w:p w14:paraId="691B12B0">
      <w:pPr>
        <w:rPr>
          <w:i/>
          <w:iCs/>
        </w:rPr>
      </w:pPr>
      <w:r>
        <w:rPr>
          <w:i/>
          <w:iCs/>
        </w:rPr>
        <w:t>4.3.2 Data Obfuscation (non-personalized card)</w:t>
      </w:r>
    </w:p>
    <w:p w14:paraId="4EA8CE57">
      <w:r>
        <w:t>The intentional use of non-personalized debit card has a transparent way of anonymizing payments. Norman tried to avoid a registered name, which enabled him to transfer the money with stolen intellectual property as well as to significantly cut the trail of evidence. The availability of these cards images on the local hard disk, and without any related personal contact information, represent a textbook case of criminal obfuscation, a conclusion which makes it possible to attribute the Norman as the buyer/finance component in the conspiracy.</w:t>
      </w:r>
    </w:p>
    <w:p w14:paraId="3D00C8BB">
      <w:pPr>
        <w:keepNext/>
      </w:pPr>
      <w:r>
        <w:drawing>
          <wp:inline distT="0" distB="0" distL="0" distR="0">
            <wp:extent cx="5731510" cy="3222625"/>
            <wp:effectExtent l="0" t="0" r="2540" b="0"/>
            <wp:docPr id="1154014392" name="Picture 4" descr="A hand holding a credit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14392" name="Picture 4" descr="A hand holding a credit card&#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22181B4">
      <w:pPr>
        <w:pStyle w:val="13"/>
        <w:jc w:val="center"/>
      </w:pPr>
      <w:r>
        <w:t xml:space="preserve">Figure </w:t>
      </w:r>
      <w:r>
        <w:fldChar w:fldCharType="begin"/>
      </w:r>
      <w:r>
        <w:instrText xml:space="preserve"> SEQ Figure \* ARABIC </w:instrText>
      </w:r>
      <w:r>
        <w:fldChar w:fldCharType="separate"/>
      </w:r>
      <w:r>
        <w:t>5</w:t>
      </w:r>
      <w:r>
        <w:fldChar w:fldCharType="end"/>
      </w:r>
      <w:r>
        <w:rPr>
          <w:lang w:val="en-US"/>
        </w:rPr>
        <w:t>: Financial evidence found in WhatsApp media</w:t>
      </w:r>
    </w:p>
    <w:p w14:paraId="3A79B314">
      <w:pPr>
        <w:rPr>
          <w:i/>
          <w:iCs/>
        </w:rPr>
      </w:pPr>
      <w:r>
        <w:rPr>
          <w:i/>
          <w:iCs/>
        </w:rPr>
        <w:t>4.3.3 Buyer Role &amp; Intent</w:t>
      </w:r>
    </w:p>
    <w:p w14:paraId="69D7D430">
      <w:r>
        <w:t>Cross-reference with the activity timelines and communications indicate that the device that was used by Norman as its owner existed at the financial heart of the plot. It is not possible to say that there were signs of serious communication logs in the Ulefone Note 14, which implied that the user had a highly compartmentalized way of interaction, only paying the money. This distance of operation is in line with the best practices of criminal groups and confirms the hypothesis that the only way Norman was involved was the facilitation of the sale and the financing of the operation, rather than coordination with other members of the conspiracy.</w:t>
      </w:r>
    </w:p>
    <w:p w14:paraId="17F4320C">
      <w:pPr>
        <w:pStyle w:val="3"/>
      </w:pPr>
      <w:bookmarkStart w:id="90" w:name="_Toc215005951"/>
      <w:bookmarkStart w:id="91" w:name="_Toc216371160"/>
      <w:r>
        <w:t>4.4 Nokia C2 — Unattributed Co-conspirator</w:t>
      </w:r>
      <w:bookmarkEnd w:id="90"/>
      <w:bookmarkEnd w:id="91"/>
    </w:p>
    <w:p w14:paraId="0E30AC76">
      <w:pPr>
        <w:rPr>
          <w:b/>
          <w:bCs/>
        </w:rPr>
      </w:pPr>
      <w:r>
        <w:rPr>
          <w:b/>
          <w:bCs/>
        </w:rPr>
        <w:t>4.4.1 Encrypted File Analysis</w:t>
      </w:r>
    </w:p>
    <w:p w14:paraId="7C54E3E2">
      <w:r>
        <w:t>It is a device that posed one of the greatest technical problems to the investigation a highly password-secured Microsoft Word document, "Open.docx." Although there was massive brute-force cryptanalysis, the document was inaccessible, indicating the use of advanced operational security or an external organizational coordination of the password sharing of conspirators. There was also nothing resembling a WhatsApp key file, which was also restrictive to potential incriminating chat contents.</w:t>
      </w:r>
    </w:p>
    <w:p w14:paraId="68218252">
      <w:pPr>
        <w:rPr>
          <w:b/>
          <w:bCs/>
        </w:rPr>
      </w:pPr>
      <w:r>
        <w:rPr>
          <w:b/>
          <w:bCs/>
        </w:rPr>
        <w:t>4.4.2 Multimedia/Photographic Leads</w:t>
      </w:r>
    </w:p>
    <w:p w14:paraId="68917DD8">
      <w:r>
        <w:t>One untagged image of a male was found without any identification. This possible evidence is vital to this case, because it can show the real user of the Nokia C2 or other conspirator (e.g. Joe or Norman) who is taking part in identity confirmation or issuing instructions. Geotagging imagery and context were not identified to aid identification and image analysis and facial recognition still could be used as a future possibility of study. There were no other multimedia (audio/video) that illustrated clear connections to the essence of the case.</w:t>
      </w:r>
    </w:p>
    <w:p w14:paraId="6A4C5DDC">
      <w:pPr>
        <w:keepNext/>
      </w:pPr>
      <w:r>
        <w:drawing>
          <wp:inline distT="0" distB="0" distL="0" distR="0">
            <wp:extent cx="5731510" cy="3222625"/>
            <wp:effectExtent l="0" t="0" r="2540" b="0"/>
            <wp:docPr id="73825227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52278" name="Picture 5" descr="A screenshot of a computer&#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095C38D">
      <w:pPr>
        <w:pStyle w:val="13"/>
        <w:jc w:val="center"/>
      </w:pPr>
      <w:r>
        <w:t xml:space="preserve">Figure </w:t>
      </w:r>
      <w:r>
        <w:fldChar w:fldCharType="begin"/>
      </w:r>
      <w:r>
        <w:instrText xml:space="preserve"> SEQ Figure \* ARABIC </w:instrText>
      </w:r>
      <w:r>
        <w:fldChar w:fldCharType="separate"/>
      </w:r>
      <w:r>
        <w:t>6</w:t>
      </w:r>
      <w:r>
        <w:fldChar w:fldCharType="end"/>
      </w:r>
      <w:r>
        <w:rPr>
          <w:lang w:val="en-US"/>
        </w:rPr>
        <w:t>: Found a key person of interest</w:t>
      </w:r>
    </w:p>
    <w:p w14:paraId="340B8EEF">
      <w:pPr>
        <w:rPr>
          <w:b/>
          <w:bCs/>
        </w:rPr>
      </w:pPr>
      <w:r>
        <w:rPr>
          <w:b/>
          <w:bCs/>
        </w:rPr>
        <w:t>4.4.3 Unresolved Evidence and Next Steps</w:t>
      </w:r>
    </w:p>
    <w:p w14:paraId="3A7746F5">
      <w:r>
        <w:t>The photo and the encrypted file of the unknown man are the largest blocks of evidence that are still unresolved. These are also strategically essential; their examination may include information regarding the patent, the details of the transaction, or additional identities of the conspirators. Some recommendations to take action would be the focus on the more serious cryptanalysis of the file having the contents of the text of the document named Open.docx and the male image to the facial recognition databases. As well, legal demands targeting subscriber data on corresponding email accounts and monetary footprints are recommended.</w:t>
      </w:r>
    </w:p>
    <w:p w14:paraId="0CEA0092">
      <w:pPr>
        <w:pStyle w:val="13"/>
        <w:keepNext/>
      </w:pPr>
      <w:r>
        <w:t xml:space="preserve">Table </w:t>
      </w:r>
      <w:r>
        <w:fldChar w:fldCharType="begin"/>
      </w:r>
      <w:r>
        <w:instrText xml:space="preserve"> SEQ Table \* ARABIC </w:instrText>
      </w:r>
      <w:r>
        <w:fldChar w:fldCharType="separate"/>
      </w:r>
      <w:r>
        <w:t>1</w:t>
      </w:r>
      <w:r>
        <w:fldChar w:fldCharType="end"/>
      </w:r>
      <w:r>
        <w:rPr>
          <w:lang w:val="en-US"/>
        </w:rPr>
        <w:t>: Evidence Collected</w:t>
      </w:r>
    </w:p>
    <w:tbl>
      <w:tblPr>
        <w:tblStyle w:val="43"/>
        <w:tblW w:w="0" w:type="auto"/>
        <w:tblInd w:w="0" w:type="dxa"/>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Layout w:type="autofit"/>
        <w:tblCellMar>
          <w:top w:w="0" w:type="dxa"/>
          <w:left w:w="108" w:type="dxa"/>
          <w:bottom w:w="0" w:type="dxa"/>
          <w:right w:w="108" w:type="dxa"/>
        </w:tblCellMar>
      </w:tblPr>
      <w:tblGrid>
        <w:gridCol w:w="1551"/>
        <w:gridCol w:w="1473"/>
        <w:gridCol w:w="2326"/>
        <w:gridCol w:w="1803"/>
        <w:gridCol w:w="1863"/>
      </w:tblGrid>
      <w:tr w14:paraId="111818EF">
        <w:tblPrEx>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CellMar>
            <w:top w:w="0" w:type="dxa"/>
            <w:left w:w="108" w:type="dxa"/>
            <w:bottom w:w="0" w:type="dxa"/>
            <w:right w:w="108" w:type="dxa"/>
          </w:tblCellMar>
        </w:tblPrEx>
        <w:tc>
          <w:tcPr>
            <w:tcW w:w="1551" w:type="dxa"/>
            <w:tcBorders>
              <w:top w:val="single" w:color="156082" w:themeColor="accent1" w:sz="4" w:space="0"/>
              <w:left w:val="single" w:color="156082" w:themeColor="accent1" w:sz="4" w:space="0"/>
              <w:bottom w:val="single" w:color="156082" w:themeColor="accent1" w:sz="4" w:space="0"/>
              <w:right w:val="nil"/>
              <w:insideH w:val="single" w:sz="4" w:space="0"/>
              <w:insideV w:val="nil"/>
            </w:tcBorders>
            <w:shd w:val="clear" w:color="auto" w:fill="156082" w:themeFill="accent1"/>
          </w:tcPr>
          <w:p w14:paraId="0824932B">
            <w:pPr>
              <w:spacing w:after="0"/>
              <w:jc w:val="left"/>
              <w:rPr>
                <w:rFonts w:cs="Times New Roman"/>
                <w:b/>
                <w:bCs/>
                <w:color w:val="FFFFFF" w:themeColor="background1"/>
                <w14:textFill>
                  <w14:solidFill>
                    <w14:schemeClr w14:val="bg1"/>
                  </w14:solidFill>
                </w14:textFill>
              </w:rPr>
            </w:pPr>
            <w:r>
              <w:rPr>
                <w:rFonts w:cs="Times New Roman"/>
                <w:b w:val="0"/>
                <w:bCs w:val="0"/>
                <w:color w:val="FFFFFF" w:themeColor="background1"/>
                <w14:textFill>
                  <w14:solidFill>
                    <w14:schemeClr w14:val="bg1"/>
                  </w14:solidFill>
                </w14:textFill>
              </w:rPr>
              <w:t>Device</w:t>
            </w:r>
          </w:p>
        </w:tc>
        <w:tc>
          <w:tcPr>
            <w:tcW w:w="1473" w:type="dxa"/>
            <w:tcBorders>
              <w:top w:val="single" w:color="156082" w:themeColor="accent1" w:sz="4" w:space="0"/>
              <w:bottom w:val="single" w:color="156082" w:themeColor="accent1" w:sz="4" w:space="0"/>
              <w:right w:val="nil"/>
              <w:insideH w:val="single" w:sz="4" w:space="0"/>
              <w:insideV w:val="nil"/>
            </w:tcBorders>
            <w:shd w:val="clear" w:color="auto" w:fill="156082" w:themeFill="accent1"/>
          </w:tcPr>
          <w:p w14:paraId="7E2E9FF3">
            <w:pPr>
              <w:spacing w:after="0"/>
              <w:jc w:val="left"/>
              <w:rPr>
                <w:rFonts w:cs="Times New Roman"/>
                <w:b/>
                <w:bCs/>
                <w:color w:val="FFFFFF" w:themeColor="background1"/>
                <w14:textFill>
                  <w14:solidFill>
                    <w14:schemeClr w14:val="bg1"/>
                  </w14:solidFill>
                </w14:textFill>
              </w:rPr>
            </w:pPr>
            <w:r>
              <w:rPr>
                <w:rFonts w:cs="Times New Roman"/>
                <w:b w:val="0"/>
                <w:bCs w:val="0"/>
                <w:color w:val="FFFFFF" w:themeColor="background1"/>
                <w14:textFill>
                  <w14:solidFill>
                    <w14:schemeClr w14:val="bg1"/>
                  </w14:solidFill>
                </w14:textFill>
              </w:rPr>
              <w:t>User Attribution</w:t>
            </w:r>
          </w:p>
        </w:tc>
        <w:tc>
          <w:tcPr>
            <w:tcW w:w="2326" w:type="dxa"/>
            <w:tcBorders>
              <w:top w:val="single" w:color="156082" w:themeColor="accent1" w:sz="4" w:space="0"/>
              <w:bottom w:val="single" w:color="156082" w:themeColor="accent1" w:sz="4" w:space="0"/>
              <w:right w:val="nil"/>
              <w:insideH w:val="single" w:sz="4" w:space="0"/>
              <w:insideV w:val="nil"/>
            </w:tcBorders>
            <w:shd w:val="clear" w:color="auto" w:fill="156082" w:themeFill="accent1"/>
          </w:tcPr>
          <w:p w14:paraId="5DBB2A7B">
            <w:pPr>
              <w:spacing w:after="0"/>
              <w:jc w:val="left"/>
              <w:rPr>
                <w:rFonts w:cs="Times New Roman"/>
                <w:b/>
                <w:bCs/>
                <w:color w:val="FFFFFF" w:themeColor="background1"/>
                <w14:textFill>
                  <w14:solidFill>
                    <w14:schemeClr w14:val="bg1"/>
                  </w14:solidFill>
                </w14:textFill>
              </w:rPr>
            </w:pPr>
            <w:r>
              <w:rPr>
                <w:rFonts w:cs="Times New Roman"/>
                <w:b w:val="0"/>
                <w:bCs w:val="0"/>
                <w:color w:val="FFFFFF" w:themeColor="background1"/>
                <w14:textFill>
                  <w14:solidFill>
                    <w14:schemeClr w14:val="bg1"/>
                  </w14:solidFill>
                </w14:textFill>
              </w:rPr>
              <w:t>Key Evidence/Artifacts</w:t>
            </w:r>
          </w:p>
        </w:tc>
        <w:tc>
          <w:tcPr>
            <w:tcW w:w="1803" w:type="dxa"/>
            <w:tcBorders>
              <w:top w:val="single" w:color="156082" w:themeColor="accent1" w:sz="4" w:space="0"/>
              <w:bottom w:val="single" w:color="156082" w:themeColor="accent1" w:sz="4" w:space="0"/>
              <w:right w:val="nil"/>
              <w:insideH w:val="single" w:sz="4" w:space="0"/>
              <w:insideV w:val="nil"/>
            </w:tcBorders>
            <w:shd w:val="clear" w:color="auto" w:fill="156082" w:themeFill="accent1"/>
          </w:tcPr>
          <w:p w14:paraId="70599E9A">
            <w:pPr>
              <w:spacing w:after="0"/>
              <w:jc w:val="left"/>
              <w:rPr>
                <w:rFonts w:cs="Times New Roman"/>
                <w:b/>
                <w:bCs/>
                <w:color w:val="FFFFFF" w:themeColor="background1"/>
                <w14:textFill>
                  <w14:solidFill>
                    <w14:schemeClr w14:val="bg1"/>
                  </w14:solidFill>
                </w14:textFill>
              </w:rPr>
            </w:pPr>
            <w:r>
              <w:rPr>
                <w:rFonts w:cs="Times New Roman"/>
                <w:b w:val="0"/>
                <w:bCs w:val="0"/>
                <w:color w:val="FFFFFF" w:themeColor="background1"/>
                <w14:textFill>
                  <w14:solidFill>
                    <w14:schemeClr w14:val="bg1"/>
                  </w14:solidFill>
                </w14:textFill>
              </w:rPr>
              <w:t>Role/Intent</w:t>
            </w:r>
          </w:p>
        </w:tc>
        <w:tc>
          <w:tcPr>
            <w:tcW w:w="1863" w:type="dxa"/>
            <w:tcBorders>
              <w:top w:val="single" w:color="156082" w:themeColor="accent1" w:sz="4" w:space="0"/>
              <w:bottom w:val="single" w:color="156082" w:themeColor="accent1" w:sz="4" w:space="0"/>
              <w:right w:val="single" w:color="156082" w:themeColor="accent1" w:sz="4" w:space="0"/>
              <w:insideH w:val="single" w:sz="4" w:space="0"/>
              <w:insideV w:val="nil"/>
            </w:tcBorders>
            <w:shd w:val="clear" w:color="auto" w:fill="156082" w:themeFill="accent1"/>
          </w:tcPr>
          <w:p w14:paraId="392665B1">
            <w:pPr>
              <w:spacing w:after="0"/>
              <w:jc w:val="left"/>
              <w:rPr>
                <w:rFonts w:cs="Times New Roman"/>
                <w:b/>
                <w:bCs/>
                <w:color w:val="FFFFFF" w:themeColor="background1"/>
                <w14:textFill>
                  <w14:solidFill>
                    <w14:schemeClr w14:val="bg1"/>
                  </w14:solidFill>
                </w14:textFill>
              </w:rPr>
            </w:pPr>
            <w:r>
              <w:rPr>
                <w:rFonts w:cs="Times New Roman"/>
                <w:b w:val="0"/>
                <w:bCs w:val="0"/>
                <w:color w:val="FFFFFF" w:themeColor="background1"/>
                <w14:textFill>
                  <w14:solidFill>
                    <w14:schemeClr w14:val="bg1"/>
                  </w14:solidFill>
                </w14:textFill>
              </w:rPr>
              <w:t>Evidential Issues/Leads</w:t>
            </w:r>
          </w:p>
        </w:tc>
      </w:tr>
      <w:tr w14:paraId="7D3C04D2">
        <w:tblPrEx>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CellMar>
            <w:top w:w="0" w:type="dxa"/>
            <w:left w:w="108" w:type="dxa"/>
            <w:bottom w:w="0" w:type="dxa"/>
            <w:right w:w="108" w:type="dxa"/>
          </w:tblCellMar>
        </w:tblPrEx>
        <w:tc>
          <w:tcPr>
            <w:tcW w:w="1551" w:type="dxa"/>
            <w:shd w:val="clear" w:color="auto" w:fill="C1E4F5" w:themeFill="accent1" w:themeFillTint="33"/>
          </w:tcPr>
          <w:p w14:paraId="6481564C">
            <w:pPr>
              <w:spacing w:after="0"/>
              <w:jc w:val="left"/>
              <w:rPr>
                <w:rFonts w:cs="Times New Roman"/>
                <w:b/>
                <w:bCs/>
              </w:rPr>
            </w:pPr>
            <w:r>
              <w:rPr>
                <w:rFonts w:cs="Times New Roman"/>
                <w:b/>
                <w:bCs/>
              </w:rPr>
              <w:t>Huawei POT-LX1 P Smart</w:t>
            </w:r>
          </w:p>
        </w:tc>
        <w:tc>
          <w:tcPr>
            <w:tcW w:w="1473" w:type="dxa"/>
            <w:shd w:val="clear" w:color="auto" w:fill="C1E4F5" w:themeFill="accent1" w:themeFillTint="33"/>
          </w:tcPr>
          <w:p w14:paraId="50D89AC5">
            <w:pPr>
              <w:spacing w:after="0"/>
              <w:jc w:val="left"/>
              <w:rPr>
                <w:rFonts w:cs="Times New Roman"/>
              </w:rPr>
            </w:pPr>
            <w:r>
              <w:rPr>
                <w:rFonts w:cs="Times New Roman"/>
              </w:rPr>
              <w:t>Emma</w:t>
            </w:r>
          </w:p>
        </w:tc>
        <w:tc>
          <w:tcPr>
            <w:tcW w:w="2326" w:type="dxa"/>
            <w:shd w:val="clear" w:color="auto" w:fill="C1E4F5" w:themeFill="accent1" w:themeFillTint="33"/>
          </w:tcPr>
          <w:p w14:paraId="20B64665">
            <w:pPr>
              <w:spacing w:after="0"/>
              <w:jc w:val="left"/>
              <w:rPr>
                <w:rFonts w:cs="Times New Roman"/>
              </w:rPr>
            </w:pPr>
            <w:r>
              <w:t>Email/account traces, WhatsApp/ Instagram, search logs.</w:t>
            </w:r>
          </w:p>
        </w:tc>
        <w:tc>
          <w:tcPr>
            <w:tcW w:w="1803" w:type="dxa"/>
            <w:shd w:val="clear" w:color="auto" w:fill="C1E4F5" w:themeFill="accent1" w:themeFillTint="33"/>
          </w:tcPr>
          <w:p w14:paraId="0BB74778">
            <w:pPr>
              <w:spacing w:after="0"/>
              <w:jc w:val="left"/>
              <w:rPr>
                <w:rFonts w:cs="Times New Roman"/>
              </w:rPr>
            </w:pPr>
            <w:r>
              <w:t>Fundamental offenders, communications planner.</w:t>
            </w:r>
          </w:p>
        </w:tc>
        <w:tc>
          <w:tcPr>
            <w:tcW w:w="1863" w:type="dxa"/>
            <w:shd w:val="clear" w:color="auto" w:fill="C1E4F5" w:themeFill="accent1" w:themeFillTint="33"/>
          </w:tcPr>
          <w:p w14:paraId="113D719B">
            <w:pPr>
              <w:spacing w:after="0"/>
              <w:jc w:val="left"/>
              <w:rPr>
                <w:rFonts w:cs="Times New Roman"/>
              </w:rPr>
            </w:pPr>
            <w:r>
              <w:t>Deletion of communications, missing WhatsApp partial content.</w:t>
            </w:r>
          </w:p>
        </w:tc>
      </w:tr>
      <w:tr w14:paraId="442C6701">
        <w:tblPrEx>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CellMar>
            <w:top w:w="0" w:type="dxa"/>
            <w:left w:w="108" w:type="dxa"/>
            <w:bottom w:w="0" w:type="dxa"/>
            <w:right w:w="108" w:type="dxa"/>
          </w:tblCellMar>
        </w:tblPrEx>
        <w:tc>
          <w:tcPr>
            <w:tcW w:w="1551" w:type="dxa"/>
          </w:tcPr>
          <w:p w14:paraId="0291F15E">
            <w:pPr>
              <w:spacing w:after="0"/>
              <w:jc w:val="left"/>
              <w:rPr>
                <w:rFonts w:cs="Times New Roman"/>
                <w:b/>
                <w:bCs/>
              </w:rPr>
            </w:pPr>
            <w:r>
              <w:rPr>
                <w:rFonts w:cs="Times New Roman"/>
                <w:b/>
                <w:bCs/>
              </w:rPr>
              <w:t>Samsung Galaxy A13</w:t>
            </w:r>
          </w:p>
        </w:tc>
        <w:tc>
          <w:tcPr>
            <w:tcW w:w="1473" w:type="dxa"/>
          </w:tcPr>
          <w:p w14:paraId="33E5470A">
            <w:pPr>
              <w:spacing w:after="0"/>
              <w:jc w:val="left"/>
              <w:rPr>
                <w:rFonts w:cs="Times New Roman"/>
              </w:rPr>
            </w:pPr>
            <w:r>
              <w:rPr>
                <w:rFonts w:cs="Times New Roman"/>
              </w:rPr>
              <w:t>Joe</w:t>
            </w:r>
          </w:p>
        </w:tc>
        <w:tc>
          <w:tcPr>
            <w:tcW w:w="2326" w:type="dxa"/>
          </w:tcPr>
          <w:p w14:paraId="7DE324B2">
            <w:pPr>
              <w:spacing w:after="0"/>
              <w:jc w:val="left"/>
              <w:rPr>
                <w:rFonts w:cs="Times New Roman"/>
              </w:rPr>
            </w:pPr>
            <w:r>
              <w:t>Photos that are geotagged, receipts and payment cards in the hotel/train.</w:t>
            </w:r>
          </w:p>
        </w:tc>
        <w:tc>
          <w:tcPr>
            <w:tcW w:w="1803" w:type="dxa"/>
          </w:tcPr>
          <w:p w14:paraId="0E03BE3F">
            <w:pPr>
              <w:spacing w:after="0"/>
              <w:jc w:val="left"/>
              <w:rPr>
                <w:rFonts w:cs="Times New Roman"/>
              </w:rPr>
            </w:pPr>
            <w:r>
              <w:t>Reverse service, logistics/finance agent.</w:t>
            </w:r>
          </w:p>
        </w:tc>
        <w:tc>
          <w:tcPr>
            <w:tcW w:w="1863" w:type="dxa"/>
          </w:tcPr>
          <w:p w14:paraId="40A63AD9">
            <w:pPr>
              <w:spacing w:after="0"/>
              <w:jc w:val="left"/>
              <w:rPr>
                <w:rFonts w:cs="Times New Roman"/>
              </w:rPr>
            </w:pPr>
            <w:r>
              <w:t>Untraceable means of payment, oblique funds.</w:t>
            </w:r>
          </w:p>
        </w:tc>
      </w:tr>
      <w:tr w14:paraId="039CF51F">
        <w:tblPrEx>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CellMar>
            <w:top w:w="0" w:type="dxa"/>
            <w:left w:w="108" w:type="dxa"/>
            <w:bottom w:w="0" w:type="dxa"/>
            <w:right w:w="108" w:type="dxa"/>
          </w:tblCellMar>
        </w:tblPrEx>
        <w:tc>
          <w:tcPr>
            <w:tcW w:w="1551" w:type="dxa"/>
            <w:shd w:val="clear" w:color="auto" w:fill="C1E4F5" w:themeFill="accent1" w:themeFillTint="33"/>
          </w:tcPr>
          <w:p w14:paraId="767878D6">
            <w:pPr>
              <w:spacing w:after="0"/>
              <w:jc w:val="left"/>
              <w:rPr>
                <w:rFonts w:cs="Times New Roman"/>
                <w:b/>
                <w:bCs/>
              </w:rPr>
            </w:pPr>
            <w:r>
              <w:rPr>
                <w:rFonts w:cs="Times New Roman"/>
                <w:b/>
                <w:bCs/>
              </w:rPr>
              <w:t>Ulefone Note 14</w:t>
            </w:r>
          </w:p>
        </w:tc>
        <w:tc>
          <w:tcPr>
            <w:tcW w:w="1473" w:type="dxa"/>
            <w:shd w:val="clear" w:color="auto" w:fill="C1E4F5" w:themeFill="accent1" w:themeFillTint="33"/>
          </w:tcPr>
          <w:p w14:paraId="06C0A407">
            <w:pPr>
              <w:spacing w:after="0"/>
              <w:jc w:val="left"/>
              <w:rPr>
                <w:rFonts w:cs="Times New Roman"/>
              </w:rPr>
            </w:pPr>
            <w:r>
              <w:rPr>
                <w:rFonts w:cs="Times New Roman"/>
              </w:rPr>
              <w:t>Norman</w:t>
            </w:r>
          </w:p>
        </w:tc>
        <w:tc>
          <w:tcPr>
            <w:tcW w:w="2326" w:type="dxa"/>
            <w:shd w:val="clear" w:color="auto" w:fill="C1E4F5" w:themeFill="accent1" w:themeFillTint="33"/>
          </w:tcPr>
          <w:p w14:paraId="276164CE">
            <w:pPr>
              <w:spacing w:after="0"/>
              <w:jc w:val="left"/>
              <w:rPr>
                <w:rFonts w:cs="Times New Roman"/>
              </w:rPr>
            </w:pPr>
            <w:r>
              <w:t>Images of uncustomized SBI debit card.</w:t>
            </w:r>
          </w:p>
        </w:tc>
        <w:tc>
          <w:tcPr>
            <w:tcW w:w="1803" w:type="dxa"/>
            <w:shd w:val="clear" w:color="auto" w:fill="C1E4F5" w:themeFill="accent1" w:themeFillTint="33"/>
          </w:tcPr>
          <w:p w14:paraId="5E64F885">
            <w:pPr>
              <w:spacing w:after="0"/>
              <w:jc w:val="left"/>
              <w:rPr>
                <w:rFonts w:cs="Times New Roman"/>
              </w:rPr>
            </w:pPr>
            <w:r>
              <w:t>Buyer/financier</w:t>
            </w:r>
          </w:p>
        </w:tc>
        <w:tc>
          <w:tcPr>
            <w:tcW w:w="1863" w:type="dxa"/>
            <w:shd w:val="clear" w:color="auto" w:fill="C1E4F5" w:themeFill="accent1" w:themeFillTint="33"/>
          </w:tcPr>
          <w:p w14:paraId="629EDD4E">
            <w:pPr>
              <w:spacing w:after="0"/>
              <w:jc w:val="left"/>
              <w:rPr>
                <w:rFonts w:cs="Times New Roman"/>
              </w:rPr>
            </w:pPr>
            <w:r>
              <w:t>Minimal comms, non-personal financial instrument.</w:t>
            </w:r>
          </w:p>
        </w:tc>
      </w:tr>
      <w:tr w14:paraId="4FD13D9C">
        <w:tblPrEx>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CellMar>
            <w:top w:w="0" w:type="dxa"/>
            <w:left w:w="108" w:type="dxa"/>
            <w:bottom w:w="0" w:type="dxa"/>
            <w:right w:w="108" w:type="dxa"/>
          </w:tblCellMar>
        </w:tblPrEx>
        <w:tc>
          <w:tcPr>
            <w:tcW w:w="1551" w:type="dxa"/>
          </w:tcPr>
          <w:p w14:paraId="37745C70">
            <w:pPr>
              <w:spacing w:after="0"/>
              <w:jc w:val="left"/>
              <w:rPr>
                <w:rFonts w:cs="Times New Roman"/>
                <w:b/>
                <w:bCs/>
              </w:rPr>
            </w:pPr>
            <w:r>
              <w:rPr>
                <w:rFonts w:cs="Times New Roman"/>
                <w:b/>
                <w:bCs/>
              </w:rPr>
              <w:t>Nokia C2</w:t>
            </w:r>
          </w:p>
        </w:tc>
        <w:tc>
          <w:tcPr>
            <w:tcW w:w="1473" w:type="dxa"/>
          </w:tcPr>
          <w:p w14:paraId="060AF4AE">
            <w:pPr>
              <w:spacing w:after="0"/>
              <w:jc w:val="left"/>
              <w:rPr>
                <w:rFonts w:cs="Times New Roman"/>
              </w:rPr>
            </w:pPr>
            <w:r>
              <w:rPr>
                <w:rFonts w:cs="Times New Roman"/>
              </w:rPr>
              <w:t>Unattributed (unknown)</w:t>
            </w:r>
          </w:p>
        </w:tc>
        <w:tc>
          <w:tcPr>
            <w:tcW w:w="2326" w:type="dxa"/>
          </w:tcPr>
          <w:p w14:paraId="6D596F54">
            <w:pPr>
              <w:spacing w:after="0"/>
              <w:jc w:val="left"/>
              <w:rPr>
                <w:rFonts w:cs="Times New Roman"/>
              </w:rPr>
            </w:pPr>
            <w:r>
              <w:t>Photo of unidentified male, encrypted Open.Docx file.</w:t>
            </w:r>
          </w:p>
        </w:tc>
        <w:tc>
          <w:tcPr>
            <w:tcW w:w="1803" w:type="dxa"/>
          </w:tcPr>
          <w:p w14:paraId="1B10EB98">
            <w:pPr>
              <w:spacing w:after="0"/>
              <w:jc w:val="left"/>
              <w:rPr>
                <w:rFonts w:cs="Times New Roman"/>
              </w:rPr>
            </w:pPr>
            <w:r>
              <w:t>Co-conspirator or orchestrator (unidentified)</w:t>
            </w:r>
          </w:p>
        </w:tc>
        <w:tc>
          <w:tcPr>
            <w:tcW w:w="1863" w:type="dxa"/>
          </w:tcPr>
          <w:p w14:paraId="732AE648">
            <w:pPr>
              <w:spacing w:after="0"/>
              <w:jc w:val="left"/>
              <w:rPr>
                <w:rFonts w:cs="Times New Roman"/>
              </w:rPr>
            </w:pPr>
            <w:r>
              <w:t>Encryption file impossible to access, user/photo cannot be identified.</w:t>
            </w:r>
          </w:p>
        </w:tc>
      </w:tr>
    </w:tbl>
    <w:p w14:paraId="2935616A"/>
    <w:p w14:paraId="7FE6EDE1">
      <w:pPr>
        <w:pStyle w:val="2"/>
      </w:pPr>
      <w:bookmarkStart w:id="92" w:name="_Toc216371161"/>
      <w:bookmarkStart w:id="93" w:name="_Toc215005952"/>
      <w:r>
        <w:t>5. Correlation of Cross-Devices and of Timeline</w:t>
      </w:r>
      <w:bookmarkEnd w:id="92"/>
      <w:bookmarkEnd w:id="93"/>
    </w:p>
    <w:p w14:paraId="5940D0CA">
      <w:pPr>
        <w:pStyle w:val="3"/>
      </w:pPr>
      <w:bookmarkStart w:id="94" w:name="_Toc216371162"/>
      <w:bookmarkStart w:id="95" w:name="_Toc215005953"/>
      <w:r>
        <w:t>5.1 Experiencing Evidence-Based Narrative Construction</w:t>
      </w:r>
      <w:bookmarkEnd w:id="94"/>
      <w:bookmarkEnd w:id="95"/>
    </w:p>
    <w:p w14:paraId="2696BF8F">
      <w:r>
        <w:t>The story of this investigation is the product of a cross-device analysis which re-enacted the narrative that depicted a multi-stage conspiracy by at least four actors who worked in specific roles intentionally. All the devices were lighted like the various sides of Emma: the Huawei of Emma as command-and-communications, the Samsung as logistics and travel, the Ulefone as financial, the Nokia C2 as an encrypted outpost node of operation.</w:t>
      </w:r>
    </w:p>
    <w:p w14:paraId="003F9331">
      <w:pPr>
        <w:rPr>
          <w:i/>
          <w:iCs/>
        </w:rPr>
      </w:pPr>
      <w:r>
        <w:rPr>
          <w:i/>
          <w:iCs/>
        </w:rPr>
        <w:t>5.1.1 Preparation and Initial Contact</w:t>
      </w:r>
    </w:p>
    <w:p w14:paraId="21FE61CB">
      <w:r>
        <w:t>Emma got the Huawei phone set up and opened communication channels (Gmail, WhatsApp, Instagram) in mid-August 2024. Account data and Gmail records indicate preliminary contact to Joe, the middleman, in less than 48 hours.</w:t>
      </w:r>
    </w:p>
    <w:p w14:paraId="36FA7BEB">
      <w:pPr>
        <w:rPr>
          <w:i/>
          <w:iCs/>
        </w:rPr>
      </w:pPr>
      <w:r>
        <w:rPr>
          <w:i/>
          <w:iCs/>
        </w:rPr>
        <w:t>5.1.2 Coordination, Meetings, and Financial Arrangements</w:t>
      </w:r>
    </w:p>
    <w:p w14:paraId="4270C00F">
      <w:r>
        <w:t>Between the end of August and December 2024, a Samsung device belonging to Joe shows sequential travel (Glasgow, Swansea, Luton Airport, Paris, Wembley) and contains direct receipts and geotagged photos in order of the tasks done within timelines (according to the important meetings). Joe manages logistics on behalf of Emma and sets up meetings with Norman, the financier, which is supported by the fact that on his Ulefone Note 14, there are pictures of the corresponding payment instruments. Images of unknown SBI debit card further support the financial connection as this is yet another form of obfuscation that proves that Norman was doing this to finance the illegal sale with no straight trail.</w:t>
      </w:r>
    </w:p>
    <w:p w14:paraId="36E4178F">
      <w:pPr>
        <w:keepNext/>
      </w:pPr>
      <w:r>
        <w:drawing>
          <wp:inline distT="0" distB="0" distL="0" distR="0">
            <wp:extent cx="5731510" cy="3222625"/>
            <wp:effectExtent l="0" t="0" r="2540" b="0"/>
            <wp:docPr id="8542914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91453" name="Picture 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64BDA5C">
      <w:pPr>
        <w:pStyle w:val="13"/>
        <w:jc w:val="center"/>
      </w:pPr>
      <w:r>
        <w:t xml:space="preserve">Figure </w:t>
      </w:r>
      <w:r>
        <w:fldChar w:fldCharType="begin"/>
      </w:r>
      <w:r>
        <w:instrText xml:space="preserve"> SEQ Figure \* ARABIC </w:instrText>
      </w:r>
      <w:r>
        <w:fldChar w:fldCharType="separate"/>
      </w:r>
      <w:r>
        <w:t>7</w:t>
      </w:r>
      <w:r>
        <w:fldChar w:fldCharType="end"/>
      </w:r>
      <w:r>
        <w:rPr>
          <w:lang w:val="en-US"/>
        </w:rPr>
        <w:t>: Digital forensics tool analyzing mobile chat conversations</w:t>
      </w:r>
    </w:p>
    <w:p w14:paraId="7A84E98B">
      <w:pPr>
        <w:rPr>
          <w:i/>
          <w:iCs/>
        </w:rPr>
      </w:pPr>
      <w:r>
        <w:rPr>
          <w:i/>
          <w:iCs/>
        </w:rPr>
        <w:t>5.1.3 Covert Operations and Data Handling</w:t>
      </w:r>
    </w:p>
    <w:p w14:paraId="5800817D">
      <w:r>
        <w:t>There is covert operational discipline, Emma going out of her way to erase messages and seek ways to manipulate contact, and Norman using a debit card that was not personalized and photographed on his computer, and left little digital trace. The encrypted file, unlike the rest of the encrypted data carried by Nokia C2, is an encrypted open.docx file, and an encrypted key photo, which shows that it was used strategically to store sensitive data or relay information, thus maximizing the secrecy of its operations.</w:t>
      </w:r>
    </w:p>
    <w:p w14:paraId="26748C53">
      <w:pPr>
        <w:pStyle w:val="3"/>
      </w:pPr>
      <w:bookmarkStart w:id="96" w:name="_Toc215005954"/>
      <w:bookmarkStart w:id="97" w:name="_Toc216371163"/>
      <w:r>
        <w:t>5.2 Timeline Visualization</w:t>
      </w:r>
      <w:bookmarkEnd w:id="96"/>
      <w:bookmarkEnd w:id="97"/>
    </w:p>
    <w:p w14:paraId="603825EA">
      <w:pPr>
        <w:numPr>
          <w:ilvl w:val="0"/>
          <w:numId w:val="9"/>
        </w:numPr>
      </w:pPr>
      <w:r>
        <w:t>August 17, 2024: Emma sets up Huawei POT-LX1, setting up secure communication applications.</w:t>
      </w:r>
    </w:p>
    <w:p w14:paraId="65137313">
      <w:pPr>
        <w:numPr>
          <w:ilvl w:val="0"/>
          <w:numId w:val="9"/>
        </w:numPr>
      </w:pPr>
      <w:r>
        <w:t>August 19-21, 2024: Emma calls Joe; WhatsApp unblocking search.</w:t>
      </w:r>
    </w:p>
    <w:p w14:paraId="36327D6A">
      <w:pPr>
        <w:numPr>
          <w:ilvl w:val="0"/>
          <w:numId w:val="9"/>
        </w:numPr>
      </w:pPr>
      <w:r>
        <w:t>Late August-September 2024: Joe begins travelling, receipts and other location evidence demonstrate movement and face to face interactions (Glasgow, Luton).</w:t>
      </w:r>
    </w:p>
    <w:p w14:paraId="4A02195C">
      <w:pPr>
        <w:numPr>
          <w:ilvl w:val="0"/>
          <w:numId w:val="9"/>
        </w:numPr>
      </w:pPr>
      <w:r>
        <w:t>15 October, 2024: Paris sit-down, hotel bill received and paid out with the credit card of Joe.</w:t>
      </w:r>
    </w:p>
    <w:p w14:paraId="4D93ADB2">
      <w:pPr>
        <w:numPr>
          <w:ilvl w:val="0"/>
          <w:numId w:val="9"/>
        </w:numPr>
      </w:pPr>
      <w:r>
        <w:t>December 2024: Norman has financial instruments on his instrument, of co-ordination of payment involved.</w:t>
      </w:r>
    </w:p>
    <w:p w14:paraId="357B663F">
      <w:pPr>
        <w:numPr>
          <w:ilvl w:val="0"/>
          <w:numId w:val="9"/>
        </w:numPr>
      </w:pPr>
      <w:r>
        <w:t>Undated: The encoded file of Nokia C2 is not penetrated by anybody, the image of an unknown male is found.</w:t>
      </w:r>
    </w:p>
    <w:p w14:paraId="305A135F">
      <w:pPr>
        <w:pStyle w:val="3"/>
      </w:pPr>
      <w:bookmarkStart w:id="98" w:name="_Toc215005955"/>
      <w:bookmarkStart w:id="99" w:name="_Toc216371164"/>
      <w:r>
        <w:t>5.3 Actor Role Mapping and Relationship Diagram</w:t>
      </w:r>
      <w:bookmarkEnd w:id="98"/>
      <w:bookmarkEnd w:id="99"/>
    </w:p>
    <w:p w14:paraId="0AA5E561">
      <w:pPr>
        <w:numPr>
          <w:ilvl w:val="0"/>
          <w:numId w:val="10"/>
        </w:numPr>
      </w:pPr>
      <w:r>
        <w:t>Marion: Chief, Headquarters, business relations.</w:t>
      </w:r>
    </w:p>
    <w:p w14:paraId="195D60C1">
      <w:pPr>
        <w:numPr>
          <w:ilvl w:val="0"/>
          <w:numId w:val="10"/>
        </w:numPr>
      </w:pPr>
      <w:r>
        <w:t>Joe: Charity, transport/Londoner.</w:t>
      </w:r>
    </w:p>
    <w:p w14:paraId="2E558D87">
      <w:pPr>
        <w:numPr>
          <w:ilvl w:val="0"/>
          <w:numId w:val="10"/>
        </w:numPr>
      </w:pPr>
      <w:r>
        <w:t>Norman: Purchaser/banker, makes use of unidentified payment.</w:t>
      </w:r>
    </w:p>
    <w:p w14:paraId="23233D7A">
      <w:pPr>
        <w:numPr>
          <w:ilvl w:val="0"/>
          <w:numId w:val="10"/>
        </w:numPr>
      </w:pPr>
      <w:r>
        <w:t>Unknown (Nokia C2): Has important papers/photo, secrecy of operations.</w:t>
      </w:r>
    </w:p>
    <w:p w14:paraId="19FA2519">
      <w:r>
        <w:t>The cyber evidence forms a very obvious flowchart: Emma connects and orchestrates, Joe connects and arranges, Norman banks anonymously and the unidentified accomplice printer gets hold of important documents.</w:t>
      </w:r>
    </w:p>
    <w:p w14:paraId="2C6DF744">
      <w:pPr>
        <w:rPr>
          <w:b/>
          <w:bCs/>
        </w:rPr>
      </w:pPr>
      <w:r>
        <w:rPr>
          <w:b/>
          <w:bCs/>
        </w:rPr>
        <w:t>5.4 Points of Convergence and Discrepancy</w:t>
      </w:r>
    </w:p>
    <w:p w14:paraId="11B3B49D">
      <w:r>
        <w:rPr>
          <w:i/>
          <w:iCs/>
        </w:rPr>
        <w:t>Points of Convergence:</w:t>
      </w:r>
    </w:p>
    <w:p w14:paraId="36249466">
      <w:pPr>
        <w:numPr>
          <w:ilvl w:val="0"/>
          <w:numId w:val="11"/>
        </w:numPr>
      </w:pPr>
      <w:r>
        <w:t>Account consistency, transaction dates and travel receipts.</w:t>
      </w:r>
    </w:p>
    <w:p w14:paraId="345DCAB9">
      <w:pPr>
        <w:numPr>
          <w:ilvl w:val="0"/>
          <w:numId w:val="11"/>
        </w:numPr>
      </w:pPr>
      <w:r>
        <w:t>Messages (emails/chat) are intersected with the use of devices and time.</w:t>
      </w:r>
    </w:p>
    <w:p w14:paraId="0D36E17E">
      <w:pPr>
        <w:numPr>
          <w:ilvl w:val="0"/>
          <w:numId w:val="11"/>
        </w:numPr>
      </w:pPr>
      <w:r>
        <w:t>The transactions and meetings are associated with actors and photographs and payment evidence.</w:t>
      </w:r>
    </w:p>
    <w:p w14:paraId="0D7560CA">
      <w:r>
        <w:rPr>
          <w:i/>
          <w:iCs/>
        </w:rPr>
        <w:t>Points of Discrepancy:</w:t>
      </w:r>
    </w:p>
    <w:p w14:paraId="6B0ED9D5">
      <w:pPr>
        <w:numPr>
          <w:ilvl w:val="0"/>
          <w:numId w:val="12"/>
        </w:numPr>
      </w:pPr>
      <w:r>
        <w:t>The Nokia C2 has encrypted Open.docx files that cannot be opened, leaving a narrative void on the potential nature of identities and the additional instructions or information on the transaction.</w:t>
      </w:r>
    </w:p>
    <w:p w14:paraId="33C79FEA">
      <w:pPr>
        <w:numPr>
          <w:ilvl w:val="0"/>
          <w:numId w:val="12"/>
        </w:numPr>
      </w:pPr>
      <w:r>
        <w:t>The photograph of Nokia C2 of Unknown male is also still unknown, and this is an important lead.</w:t>
      </w:r>
    </w:p>
    <w:p w14:paraId="0C4E9E44">
      <w:pPr>
        <w:numPr>
          <w:ilvl w:val="0"/>
          <w:numId w:val="12"/>
        </w:numPr>
      </w:pPr>
      <w:r>
        <w:t>No substantive chat logs were available on the device of Norman because the operational security was compartmentalized.</w:t>
      </w:r>
    </w:p>
    <w:p w14:paraId="3F1A4A67">
      <w:pPr>
        <w:pStyle w:val="2"/>
      </w:pPr>
      <w:bookmarkStart w:id="100" w:name="_Toc215005956"/>
      <w:bookmarkStart w:id="101" w:name="_Toc216371165"/>
      <w:r>
        <w:t>6. Technical and Legal Assessment</w:t>
      </w:r>
      <w:bookmarkEnd w:id="100"/>
      <w:bookmarkEnd w:id="101"/>
    </w:p>
    <w:p w14:paraId="6EA537FE">
      <w:pPr>
        <w:pStyle w:val="3"/>
      </w:pPr>
      <w:bookmarkStart w:id="102" w:name="_Toc215005957"/>
      <w:bookmarkStart w:id="103" w:name="_Toc216371166"/>
      <w:r>
        <w:t>6.1 Technical Barriers Encountered</w:t>
      </w:r>
      <w:bookmarkEnd w:id="102"/>
      <w:bookmarkEnd w:id="103"/>
    </w:p>
    <w:p w14:paraId="5361FEAA">
      <w:r>
        <w:t xml:space="preserve">The investigation was faced with severe technical challenges. First and foremost, though was advanced encryption: the Nokia C2 did not default encryption (a password-protected Microsoft Word file) which cannot be defeated through brute force and the logical extraction of WhatsApp data on both Huawei and the Nokia telephones was incomplete because of absent or inaccessible key files. Deliberate destruction of communications was also a problem to investigators, as evidence of delete/removal of chats/messages, as well as unsuccessful operational digital hygiene, was detected on the device of Emma, making it difficult to rebuild the entire timeline </w:t>
      </w:r>
      <w:r>
        <w:fldChar w:fldCharType="begin"/>
      </w:r>
      <w:r>
        <w:instrText xml:space="preserve"> ADDIN ZOTERO_ITEM CSL_CITATION {"citationID":"cSmTv21N","properties":{"formattedCitation":"[28]","plainCitation":"[28]","noteIndex":0},"citationItems":[{"id":"2jxAtni8/3SiFfzJo","uris":["http://zotero.org/users/local/0vF7XRbV/items/F77YPYH4"],"itemData":{"id":154,"type":"article-journal","container-title":"ACM Computing Surveys","DOI":"10.1145/3727641","note":"publisher: Association for Computing Machinery (ACM)","title":"A Systematic Literature Review of Secure Instant Messaging Applications from a Digital Forensics Perspective","author":[{"family":"Onik","given":"Abdur Rahman"},{"family":"Brown","given":"Joseph"},{"family":"Walker","given":"Clinton"},{"family":"Baggili","given":"Ibrahim"}],"issued":{"date-parts":[["2025"]]}}}],"schema":"https://github.com/citation-style-language/schema/raw/master/csl-citation.json"} </w:instrText>
      </w:r>
      <w:r>
        <w:fldChar w:fldCharType="separate"/>
      </w:r>
      <w:r>
        <w:rPr>
          <w:rFonts w:cs="Times New Roman"/>
        </w:rPr>
        <w:t>[28]</w:t>
      </w:r>
      <w:r>
        <w:fldChar w:fldCharType="end"/>
      </w:r>
      <w:r>
        <w:t xml:space="preserve">. The usage of compartmentalized devices by Norman led to the lack of direct communications in place, which proves to be the best-practice adversarial tradecraft geared toward frustrating forensics </w:t>
      </w:r>
      <w:r>
        <w:fldChar w:fldCharType="begin"/>
      </w:r>
      <w:r>
        <w:instrText xml:space="preserve"> ADDIN ZOTERO_ITEM CSL_CITATION {"citationID":"EUHopbma","properties":{"formattedCitation":"[29], [30]","plainCitation":"[29], [30]","noteIndex":0},"citationItems":[{"id":"2jxAtni8/gBdqsPLd","uris":["http://zotero.org/users/local/0vF7XRbV/items/IYVIRHBL"],"itemData":{"id":478,"type":"article","abstract":"Event reconstruction is a fundamental part of the digital forensic process, helping to answer key questions like who, what, when, and how. A common way of accomplishing that is to use tools to create timelines, which are then analyzed. However, various challenges exist, such as large volumes of data or contamination. While prior research has focused on simplifying timelines, less attention has been given to tampering, i.e., the deliberate manipulation of evidence, which can lead to errors in interpretation. This article addresses the issue by proposing a framework to assess the tamper resistance of data sources used in event reconstruction. We discuss factors affecting data resilience, introduce a scoring system for evaluation, and illustrate its application with case studies. This work aims to improve the reliability of forensic event reconstruction by considering tamper resistance.","DOI":"10.48550/ARXIV.2412.12814","license":"Creative Commons Attribution Non Commercial Share Alike 4.0 International","note":"version: 1","publisher":"arXiv","source":"DOI.org (Datacite)","title":"Evaluating tamper resistance of digital forensic artifacts during event reconstruction","URL":"https://arxiv.org/abs/2412.12814","author":[{"family":"Vanini","given":"Céline"},{"family":"Hargreaves","given":"Chris"},{"family":"Breitinger","given":"Frank"}],"accessed":{"date-parts":[["2025",11,26]]},"issued":{"date-parts":[["2024"]]}}},{"id":"2jxAtni8/ryOvwlfC","uris":["http://zotero.org/users/local/0vF7XRbV/items/Y6SQQZB4"],"itemData":{"id":477,"type":"article","abstract":"Timestamps play a pivotal role in digital forensic event reconstruction, but due to their non-essential nature, tampering or manipulation of timestamps is possible by users in multiple ways, even on running systems. This has a significant effect on the reliability of the results from applying a timeline analysis as part of an investigation. In this paper, we investigate the problem of users tampering with timestamps on a running (``live'') system. While prior work has shown that digital evidence tampering is hard, we focus on the question of \\emph{why} this is so. By performing a qualitative user study with advanced university students, we observe, for example, a commonly applied multi-step approach in order to deal with second-order traces (traces of traces). We also derive factors that influence the reliability of successful tampering, such as the individual knowledge about temporal traces, and technical restrictions to change them. These insights help to assess the reliability of timestamps from individual artifacts that are relied on for event reconstruction and subsequently reduce the risk of incorrect event reconstruction during investigations.","DOI":"10.48550/ARXIV.2501.00175","license":"Creative Commons Attribution Non Commercial Share Alike 4.0 International","note":"version: 1","publisher":"arXiv","source":"DOI.org (Datacite)","title":"Strategies and Challenges of Timestamp Tampering for Improved Digital Forensic Event Reconstruction (extended version)","URL":"https://arxiv.org/abs/2501.00175","author":[{"family":"Vanini","given":"Céline"},{"family":"Gruber","given":"Jan"},{"family":"Hargreaves","given":"Christopher"},{"family":"Benenson","given":"Zinaida"},{"family":"Freiling","given":"Felix"},{"family":"Breitinger","given":"Frank"}],"accessed":{"date-parts":[["2025",11,26]]},"issued":{"date-parts":[["2025"]]}}}],"schema":"https://github.com/citation-style-language/schema/raw/master/csl-citation.json"} </w:instrText>
      </w:r>
      <w:r>
        <w:fldChar w:fldCharType="separate"/>
      </w:r>
      <w:r>
        <w:rPr>
          <w:rFonts w:cs="Times New Roman"/>
        </w:rPr>
        <w:t>[29], [30]</w:t>
      </w:r>
      <w:r>
        <w:fldChar w:fldCharType="end"/>
      </w:r>
      <w:r>
        <w:t>.</w:t>
      </w:r>
    </w:p>
    <w:p w14:paraId="71738F1B">
      <w:pPr>
        <w:pStyle w:val="3"/>
      </w:pPr>
      <w:bookmarkStart w:id="104" w:name="_Toc215005958"/>
      <w:bookmarkStart w:id="105" w:name="_Toc216371167"/>
      <w:r>
        <w:t>6.2 Data Integrity and Admissibility</w:t>
      </w:r>
      <w:bookmarkEnd w:id="104"/>
      <w:bookmarkEnd w:id="105"/>
    </w:p>
    <w:p w14:paraId="7945E65B">
      <w:r>
        <w:t xml:space="preserve">All evidence collected was admissible and fully compliant with the integrity even with these hurdles. Chain-of-custody procedures were considered solid throughout the entire process: evidence was separate on the seizure stage, scanned by industry-standard equipment (UFED) to image it, and digested through time-tested forensic suites (Autopsy, aLEAPP). All digital assets were hashed to eliminate any manipulation and ensure evidential integrity. The observed procedural discipline guarantees that all results provided can be defended and within the set limits of admissibility in the courts of the UK </w:t>
      </w:r>
      <w:r>
        <w:fldChar w:fldCharType="begin"/>
      </w:r>
      <w:r>
        <w:instrText xml:space="preserve"> ADDIN ZOTERO_ITEM CSL_CITATION {"citationID":"mrCYFmyy","properties":{"formattedCitation":"[31], [32], [33]","plainCitation":"[31], [32], [33]","noteIndex":0},"citationItems":[{"id":"2jxAtni8/Jym4vmzp","uris":["http://zotero.org/users/local/0vF7XRbV/items/9UM6BPQS"],"itemData":{"id":483,"type":"article-journal","abstract":"Abstract\n            Rapid technological advancement can substantially impact the processes of digital forensic investigation and present a myriad of challenges to the investigator. With these challenges, it is necessary to have a standard digital forensic framework as the foundation of any digital investigation. State-of-the-art digital forensic models assume that it is safe to move from one investigation stage to the next. It guides the investigators with the required steps and procedures. This brings a great stride to validate a non-specific framework to be used in most digital investigation procedures. This paper considers a new technique for detecting active peers that participate in a peer-to-peer (P2P) network. As part of our study, we crawled the µTorrent P2P client over ten days in different instances while logging all participating peers. We then employed digital forensic techniques to analyse the popular users and generate evidence within them with high accuracy. We evaluated our approach against the standard Analysis, Design, Development, Implementation, and Evaluation (ADDIE) model for the digital investigation to achieve the credible digital evidence presented in this paper. Finally, we presented a validation case for the ADDIE model using the United States Daubert Test and the United Kingdom’s Forensic Science Regulator Guidance – 218 (FSR-G-218) and Forensic Science Regulator Guidance – 201 (FSR-G-201) to formulate it as a standard digital forensic model.","container-title":"Information Systems Frontiers","DOI":"10.1007/s10796-022-10360-8","ISSN":"1387-3326, 1572-9419","issue":"6","journalAbbreviation":"Inf Syst Front","language":"en","page":"2305-2321","source":"DOI.org (Crossref)","title":"The Case for Validating ADDIE Model as a Digital Forensic Model for Peer-to-Peer Network Investigation","volume":"26","author":[{"family":"Musa","given":"Ahmad Sanda"},{"family":"Awan","given":"Irfan-Ullah"},{"family":"Zahrah","given":"Fatima"}],"issued":{"date-parts":[["2024",12]]}}},{"id":"2jxAtni8/zNteLsPM","uris":["http://zotero.org/users/local/0vF7XRbV/items/VRDZXAV5"],"itemData":{"id":479,"type":"article-journal","container-title":"Forensic Science International: Digital Investigation","DOI":"10.1016/j.fsidi.2022.301470","ISSN":"26662817","journalAbbreviation":"Forensic Science International: Digital Investigation","language":"en","page":"301470","source":"DOI.org (Crossref)","title":"A systematic literature review of blockchain-based Internet of Things (IoT) forensic investigation process models","volume":"42-43","author":[{"family":"Akinbi","given":"Alex"},{"family":"MacDermott","given":"Áine"},{"family":"Ismael","given":"Aras M."}],"issued":{"date-parts":[["2022",10]]}}},{"id":"2jxAtni8/3gM8CVbA","uris":["http://zotero.org/users/local/0vF7XRbV/items/UCHG9VTS"],"itemData":{"id":481,"type":"article-journal","abstract":"In the domain of computer forensics, ensuring the integrity of operations like preservation, acquisition, analysis, and documentation is critical. Discrepancies in these processes can compromise evidence and lead to potential miscarriages of justice. To address this, we developed a generic methodology integrating each forensic transaction into an immutable blockchain entry, establishing transparency and authenticity from data preservation to final reporting. Our framework was designed to manage a wide range of forensic applications across different domains, including technology-focused areas such as the Internet of Things (IoT) and cloud computing, as well as sector-specific fields like healthcare. Centralizing our approach are smart contracts that seamlessly connect forensic applications to the blockchain via specialized APIs. Every action within the forensic process triggers a verifiable transaction on the blockchain, enabling a comprehensive and tamper-proof case presentation in court. Performance evaluations confirmed that our system operates with minimal overhead, ensuring that the integration bolsters the judicial process without hindering forensic investigations.","container-title":"Information","DOI":"10.3390/info15020109","ISSN":"2078-2489","issue":"2","journalAbbreviation":"Information","language":"en","page":"109","source":"DOI.org (Crossref)","title":"ForensicTransMonitor: A Comprehensive Blockchain Approach to Reinvent Digital Forensics and Evidence Management","title-short":"ForensicTransMonitor","volume":"15","author":[{"family":"Alqahtany","given":"Saad Said"},{"family":"Syed","given":"Toqeer Ali"}],"issued":{"date-parts":[["2024",2,13]]}}}],"schema":"https://github.com/citation-style-language/schema/raw/master/csl-citation.json"} </w:instrText>
      </w:r>
      <w:r>
        <w:fldChar w:fldCharType="separate"/>
      </w:r>
      <w:r>
        <w:rPr>
          <w:rFonts w:cs="Times New Roman"/>
        </w:rPr>
        <w:t>[31], [32], [33]</w:t>
      </w:r>
      <w:r>
        <w:fldChar w:fldCharType="end"/>
      </w:r>
      <w:r>
        <w:t>.</w:t>
      </w:r>
    </w:p>
    <w:p w14:paraId="09A33277">
      <w:pPr>
        <w:pStyle w:val="3"/>
      </w:pPr>
      <w:bookmarkStart w:id="106" w:name="_Toc216371168"/>
      <w:bookmarkStart w:id="107" w:name="_Toc215005959"/>
      <w:r>
        <w:t>6.3 Legal Considerations in Evidence Handling</w:t>
      </w:r>
      <w:bookmarkEnd w:id="106"/>
      <w:bookmarkEnd w:id="107"/>
    </w:p>
    <w:p w14:paraId="54D3A704">
      <w:r>
        <w:t xml:space="preserve">The gain in compliance with the law was observed during the forensic lifecycle. Agreement or due sanction to search and seizure was presumed to have existed to collect devices. Reliability is based on the use of special purpose, court-validated forensic tools and comprehensive chain-of-custody records and is at the core of achieving legal standards in both local (Computer Misuse Act, GDPR) and international evidential standards. It was also noted that there are weaknesses of logical (not physical) extractions in analysis because the courts should be made to understand that some encrypted or deleted information will not be retrieved thereby affecting the case of the prosecution or the defence slightly </w:t>
      </w:r>
      <w:r>
        <w:fldChar w:fldCharType="begin"/>
      </w:r>
      <w:r>
        <w:instrText xml:space="preserve"> ADDIN ZOTERO_ITEM CSL_CITATION {"citationID":"wlqBuHL7","properties":{"formattedCitation":"[34], [35]","plainCitation":"[34], [35]","noteIndex":0},"citationItems":[{"id":"2jxAtni8/pnNnXHWf","uris":["http://zotero.org/users/local/0vF7XRbV/items/JGAA3HGX"],"itemData":{"id":486,"type":"article-journal","container-title":"Sensors and Materials","DOI":"10.18494/SAM4871","ISSN":"0914-4935, 2435-0869","issue":"6","language":"en","page":"2315","source":"DOI.org (Crossref)","title":"Digital Forensics According to International Organization for Standardization /International Organization for Standardization 27050 and Digital Evidence Forensics Standard Operating Procedure: Use of Sensor Technology","title-short":"Digital Forensics According to International Organization for Standardization /International Organization for Standardization 27050 and Digital Evidence Forensics Standard Operating Procedure","volume":"36","author":[{"family":"Lin","given":"Chao-Meng"},{"family":"Lin","given":"I-Long"}],"issued":{"date-parts":[["2024",6,18]]}}},{"id":"2jxAtni8/UsEmzoyP","uris":["http://zotero.org/users/local/0vF7XRbV/items/GE2SBJ3K"],"itemData":{"id":407,"type":"article-journal","container-title":"Journal of Internet Services and Information Security","DOI":"10.58346/jisis.2024.i2.005","issue":"2","page":"68-84","title":"Unlocking Digital Evidence: Recent Challenges and Strategies in Mobile Device Forensic Analysis","volume":"14","author":[{"family":"Fakiha","given":"Bandr"}],"issued":{"date-parts":[["2024"]]}}}],"schema":"https://github.com/citation-style-language/schema/raw/master/csl-citation.json"} </w:instrText>
      </w:r>
      <w:r>
        <w:fldChar w:fldCharType="separate"/>
      </w:r>
      <w:r>
        <w:rPr>
          <w:rFonts w:cs="Times New Roman"/>
        </w:rPr>
        <w:t>[34], [35]</w:t>
      </w:r>
      <w:r>
        <w:fldChar w:fldCharType="end"/>
      </w:r>
      <w:r>
        <w:t>.</w:t>
      </w:r>
    </w:p>
    <w:p w14:paraId="56BB2F99">
      <w:pPr>
        <w:rPr>
          <w:b/>
          <w:bCs/>
        </w:rPr>
      </w:pPr>
      <w:r>
        <w:rPr>
          <w:b/>
          <w:bCs/>
        </w:rPr>
        <w:t>6.4 Risks and Implications</w:t>
      </w:r>
    </w:p>
    <w:p w14:paraId="661DF70B">
      <w:r>
        <w:t xml:space="preserve">The presence of residual risks is made by inaccessibility of encrypted material and a planned lack of communications in certain devices. These gaps can also hide important instructions or financial tracks or additional identities of the party, which restricts the scope of the investigation. There also exists a remaining threat that the defense would be able to object to the sufficiency of evidence based on technical acquisition lapses or system shortfalls. That that said, high-quality evidence coverage, careful processing, and all-card correlations between devices give an impressive basis to investigative and legal procedures, whereas cracking encrypted messages or discovering the identities of some formers is to remain high-priority activities </w:t>
      </w:r>
      <w:r>
        <w:fldChar w:fldCharType="begin"/>
      </w:r>
      <w:r>
        <w:instrText xml:space="preserve"> ADDIN ZOTERO_ITEM CSL_CITATION {"citationID":"NS7Hv7O0","properties":{"formattedCitation":"[26], [36], [37]","plainCitation":"[26], [36], [37]","noteIndex":0},"citationItems":[{"id":"2jxAtni8/Be1nVOTK","uris":["http://zotero.org/users/local/0vF7XRbV/items/C4M9TPM3"],"itemData":{"id":418,"type":"article-journal","container-title":"ACM Computing Surveys","DOI":"10.1145/3727641","note":"publisher: Association for Computing Machinery (ACM)","title":"A Systematic Literature Review of Secure Instant Messaging Applications from a Digital Forensics Perspective","author":[{"family":"Onik","given":"Abdur Rahman"},{"family":"Brown","given":"Joseph"},{"family":"Walker","given":"Clinton"},{"family":"Baggili","given":"Ibrahim"}],"issued":{"date-parts":[["2025"]]}}},{"id":"2jxAtni8/2kn7Mo5e","uris":["http://zotero.org/users/local/0vF7XRbV/items/53T4RGLS"],"itemData":{"id":488,"type":"article","abstract":"Digital forensics and cloud forensics are increasingly important fields that face a range of challenges. This study aims to assess the general challenges faced in these fields. A literature review was conducted to identify the major challenges in digital and cloud forensics, including data acquisition, data analysis, data preservation, privacy concerns, and legal issues. The challenges were analyzed in detail, considering the reasons why they are challenges, the impact they have on digital and cloud forensics, and any potential solutions. The study concludes that the challenges faced in digital and cloud forensics are significant and varied, and that addressing these challenges is critical for the effective and efficient use of digital and cloud forensics in investigations. This study provides a valuable overview of the current state of digital and cloud forensic challenges and can help guide future research in this important field.","DOI":"10.48550/ARXIV.2305.03059","license":"arXiv.org perpetual, non-exclusive license","note":"version: 1","publisher":"arXiv","source":"DOI.org (Datacite)","title":"Digital and Cloud Forensic Challenges","URL":"https://arxiv.org/abs/2305.03059","author":[{"family":"Alenezi","given":"Ahmed MohanRaj"}],"accessed":{"date-parts":[["2025",11,26]]},"issued":{"date-parts":[["2023"]]}}},{"id":"2jxAtni8/YoSOCyXM","uris":["http://zotero.org/users/local/0vF7XRbV/items/JXVN326G"],"itemData":{"id":489,"type":"article-journal","abstract":"This article delves into Microsoft Azure’s cyber forensic capabilities, focusing on the unique challenges in cloud security incident investigation. Cloud services are growing in popularity, and Azure’s shared responsibility model, multi-tenant nature, and dynamically scalable resources offer unique advantages and complexities for digital forensics. These factors complicate forensic evidence collection, preservation, and analysis. Data collection, logging, and virtual machine analysis are covered, considering physical infrastructure restrictions and cloud data transience. It evaluates Azure-native and third-party forensic tools and recommends methods that ensure effective investigations while adhering to legal and regulatory standards. It also describes how AI and machine learning automate data analysis in forensic investigations, improving speed and accuracy. This integration advances cyber forensic methods and sets new standards for future innovations. Unified Audit Logs (UALs) in Azure are examined, focusing on how Azure Data Explorer and Kusto Query Language (KQL) can effectively parse and query large datasets and unstructured data to detect sophisticated cyber threats. The findings provide a framework for other organizations to improve forensic analysis, advancing cloud cyber forensics while bridging theoretical practices and practical applications, enhancing organizations’ ability to combat increasingly sophisticated cybercrime.","container-title":"Electronics","DOI":"10.3390/electronics13224546","ISSN":"2079-9292","issue":"22","journalAbbreviation":"Electronics","language":"en","page":"4546","source":"DOI.org (Crossref)","title":"Forensic Investigation Capabilities of Microsoft Azure: A Comprehensive Analysis and Its Significance in Advancing Cloud Cyber Forensics","title-short":"Forensic Investigation Capabilities of Microsoft Azure","volume":"13","author":[{"family":"Morić","given":"Zlatan"},{"family":"Dakić","given":"Vedran"},{"family":"Kapulica","given":"Ana"},{"family":"Regvart","given":"Damir"}],"issued":{"date-parts":[["2024",11,19]]}}}],"schema":"https://github.com/citation-style-language/schema/raw/master/csl-citation.json"} </w:instrText>
      </w:r>
      <w:r>
        <w:fldChar w:fldCharType="separate"/>
      </w:r>
      <w:r>
        <w:rPr>
          <w:rFonts w:cs="Times New Roman"/>
        </w:rPr>
        <w:t>[26], [36], [37]</w:t>
      </w:r>
      <w:r>
        <w:fldChar w:fldCharType="end"/>
      </w:r>
      <w:r>
        <w:t>.</w:t>
      </w:r>
    </w:p>
    <w:p w14:paraId="269B4181">
      <w:pPr>
        <w:pStyle w:val="2"/>
      </w:pPr>
      <w:bookmarkStart w:id="108" w:name="_Toc216371169"/>
      <w:r>
        <w:t>7. Documentation of Device Acquisition Process</w:t>
      </w:r>
      <w:bookmarkEnd w:id="108"/>
    </w:p>
    <w:p w14:paraId="2D2CC9E8">
      <w:pPr>
        <w:keepNext/>
      </w:pPr>
      <w:r>
        <w:drawing>
          <wp:inline distT="0" distB="0" distL="0" distR="0">
            <wp:extent cx="5731510" cy="3223895"/>
            <wp:effectExtent l="0" t="0" r="2540" b="0"/>
            <wp:docPr id="825666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66920"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A4A8D2B">
      <w:pPr>
        <w:pStyle w:val="13"/>
        <w:jc w:val="center"/>
      </w:pPr>
      <w:r>
        <w:t xml:space="preserve">Figure </w:t>
      </w:r>
      <w:r>
        <w:fldChar w:fldCharType="begin"/>
      </w:r>
      <w:r>
        <w:instrText xml:space="preserve"> SEQ Figure \* ARABIC </w:instrText>
      </w:r>
      <w:r>
        <w:fldChar w:fldCharType="separate"/>
      </w:r>
      <w:r>
        <w:t>8</w:t>
      </w:r>
      <w:r>
        <w:fldChar w:fldCharType="end"/>
      </w:r>
      <w:r>
        <w:rPr>
          <w:lang w:val="en-US"/>
        </w:rPr>
        <w:t xml:space="preserve">: </w:t>
      </w:r>
      <w:r>
        <w:t>UFED Home screen for Acquisition</w:t>
      </w:r>
    </w:p>
    <w:p w14:paraId="091673D4">
      <w:pPr>
        <w:keepNext/>
      </w:pPr>
      <w:r>
        <w:drawing>
          <wp:inline distT="0" distB="0" distL="0" distR="0">
            <wp:extent cx="5731510" cy="3223895"/>
            <wp:effectExtent l="0" t="0" r="2540" b="0"/>
            <wp:docPr id="116602192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21921" name="Picture 2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665140">
      <w:pPr>
        <w:pStyle w:val="13"/>
        <w:jc w:val="center"/>
      </w:pPr>
      <w:r>
        <w:t xml:space="preserve">Figure </w:t>
      </w:r>
      <w:r>
        <w:fldChar w:fldCharType="begin"/>
      </w:r>
      <w:r>
        <w:instrText xml:space="preserve"> SEQ Figure \* ARABIC </w:instrText>
      </w:r>
      <w:r>
        <w:fldChar w:fldCharType="separate"/>
      </w:r>
      <w:r>
        <w:t>9</w:t>
      </w:r>
      <w:r>
        <w:fldChar w:fldCharType="end"/>
      </w:r>
      <w:r>
        <w:rPr>
          <w:lang w:val="en-US"/>
        </w:rPr>
        <w:t>: Entering case details in UFED</w:t>
      </w:r>
    </w:p>
    <w:p w14:paraId="1947D7CC">
      <w:pPr>
        <w:keepNext/>
      </w:pPr>
      <w:r>
        <w:drawing>
          <wp:inline distT="0" distB="0" distL="0" distR="0">
            <wp:extent cx="5731510" cy="3223895"/>
            <wp:effectExtent l="0" t="0" r="2540" b="0"/>
            <wp:docPr id="153336108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61083" name="Picture 5" descr="A screenshot of a computer&#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2E74E3">
      <w:pPr>
        <w:pStyle w:val="13"/>
        <w:jc w:val="center"/>
        <w:rPr>
          <w:lang w:val="en-US"/>
        </w:rPr>
      </w:pPr>
      <w:r>
        <w:t xml:space="preserve">Figure </w:t>
      </w:r>
      <w:r>
        <w:fldChar w:fldCharType="begin"/>
      </w:r>
      <w:r>
        <w:instrText xml:space="preserve"> SEQ Figure \* ARABIC </w:instrText>
      </w:r>
      <w:r>
        <w:fldChar w:fldCharType="separate"/>
      </w:r>
      <w:r>
        <w:t>10</w:t>
      </w:r>
      <w:r>
        <w:fldChar w:fldCharType="end"/>
      </w:r>
      <w:r>
        <w:rPr>
          <w:lang w:val="en-US"/>
        </w:rPr>
        <w:t xml:space="preserve">: </w:t>
      </w:r>
      <w:r>
        <w:t>UFED Choose Action screen</w:t>
      </w:r>
    </w:p>
    <w:p w14:paraId="3547291E">
      <w:pPr>
        <w:keepNext/>
      </w:pPr>
      <w:r>
        <w:drawing>
          <wp:inline distT="0" distB="0" distL="0" distR="0">
            <wp:extent cx="5731510" cy="3223895"/>
            <wp:effectExtent l="0" t="0" r="2540" b="0"/>
            <wp:docPr id="15578063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06376" name="Picture 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013919">
      <w:pPr>
        <w:pStyle w:val="13"/>
        <w:jc w:val="center"/>
      </w:pPr>
      <w:r>
        <w:t xml:space="preserve">Figure </w:t>
      </w:r>
      <w:r>
        <w:fldChar w:fldCharType="begin"/>
      </w:r>
      <w:r>
        <w:instrText xml:space="preserve"> SEQ Figure \* ARABIC </w:instrText>
      </w:r>
      <w:r>
        <w:fldChar w:fldCharType="separate"/>
      </w:r>
      <w:r>
        <w:t>11</w:t>
      </w:r>
      <w:r>
        <w:fldChar w:fldCharType="end"/>
      </w:r>
      <w:r>
        <w:rPr>
          <w:lang w:val="en-US"/>
        </w:rPr>
        <w:t>: UFED Auto Detect device connection</w:t>
      </w:r>
    </w:p>
    <w:p w14:paraId="77F81559">
      <w:pPr>
        <w:keepNext/>
      </w:pPr>
      <w:r>
        <w:drawing>
          <wp:inline distT="0" distB="0" distL="0" distR="0">
            <wp:extent cx="5731510" cy="3223895"/>
            <wp:effectExtent l="0" t="0" r="2540" b="0"/>
            <wp:docPr id="180962214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22144" name="Picture 8" descr="A screenshot of a computer&#10;&#10;AI-generated content may be incorrect."/>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57EA0D">
      <w:pPr>
        <w:pStyle w:val="13"/>
        <w:jc w:val="center"/>
      </w:pPr>
      <w:r>
        <w:t xml:space="preserve">Figure </w:t>
      </w:r>
      <w:r>
        <w:fldChar w:fldCharType="begin"/>
      </w:r>
      <w:r>
        <w:instrText xml:space="preserve"> SEQ Figure \* ARABIC </w:instrText>
      </w:r>
      <w:r>
        <w:fldChar w:fldCharType="separate"/>
      </w:r>
      <w:r>
        <w:t>12</w:t>
      </w:r>
      <w:r>
        <w:fldChar w:fldCharType="end"/>
      </w:r>
      <w:r>
        <w:rPr>
          <w:lang w:val="en-US"/>
        </w:rPr>
        <w:t>: UFED Suggested device profile</w:t>
      </w:r>
    </w:p>
    <w:p w14:paraId="5EBAABCB">
      <w:pPr>
        <w:keepNext/>
      </w:pPr>
      <w:r>
        <w:drawing>
          <wp:inline distT="0" distB="0" distL="0" distR="0">
            <wp:extent cx="5731510" cy="3223895"/>
            <wp:effectExtent l="0" t="0" r="2540" b="0"/>
            <wp:docPr id="8788489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48974" name="Picture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A5D77FE">
      <w:pPr>
        <w:pStyle w:val="13"/>
        <w:jc w:val="center"/>
      </w:pPr>
      <w:r>
        <w:t xml:space="preserve">Figure </w:t>
      </w:r>
      <w:r>
        <w:fldChar w:fldCharType="begin"/>
      </w:r>
      <w:r>
        <w:instrText xml:space="preserve"> SEQ Figure \* ARABIC </w:instrText>
      </w:r>
      <w:r>
        <w:fldChar w:fldCharType="separate"/>
      </w:r>
      <w:r>
        <w:t>13</w:t>
      </w:r>
      <w:r>
        <w:fldChar w:fldCharType="end"/>
      </w:r>
      <w:r>
        <w:rPr>
          <w:lang w:val="en-US"/>
        </w:rPr>
        <w:t>: Choosing extraction type options</w:t>
      </w:r>
    </w:p>
    <w:p w14:paraId="2ED11EAC">
      <w:pPr>
        <w:keepNext/>
      </w:pPr>
      <w:r>
        <w:drawing>
          <wp:inline distT="0" distB="0" distL="0" distR="0">
            <wp:extent cx="5731510" cy="3223895"/>
            <wp:effectExtent l="0" t="0" r="2540" b="0"/>
            <wp:docPr id="165428445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84459" name="Picture 10" descr="A screenshot of a comput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926655">
      <w:pPr>
        <w:pStyle w:val="13"/>
        <w:jc w:val="center"/>
      </w:pPr>
      <w:r>
        <w:t xml:space="preserve">Figure </w:t>
      </w:r>
      <w:r>
        <w:fldChar w:fldCharType="begin"/>
      </w:r>
      <w:r>
        <w:instrText xml:space="preserve"> SEQ Figure \* ARABIC </w:instrText>
      </w:r>
      <w:r>
        <w:fldChar w:fldCharType="separate"/>
      </w:r>
      <w:r>
        <w:t>14</w:t>
      </w:r>
      <w:r>
        <w:fldChar w:fldCharType="end"/>
      </w:r>
      <w:r>
        <w:rPr>
          <w:lang w:val="en-US"/>
        </w:rPr>
        <w:t>: Select multimedia types for extraction</w:t>
      </w:r>
    </w:p>
    <w:p w14:paraId="366C870C">
      <w:pPr>
        <w:keepNext/>
      </w:pPr>
      <w:r>
        <w:drawing>
          <wp:inline distT="0" distB="0" distL="0" distR="0">
            <wp:extent cx="5731510" cy="3223895"/>
            <wp:effectExtent l="0" t="0" r="2540" b="0"/>
            <wp:docPr id="8692343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34383" name="Picture 1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85ABBA">
      <w:pPr>
        <w:pStyle w:val="13"/>
        <w:jc w:val="center"/>
      </w:pPr>
      <w:r>
        <w:t xml:space="preserve">Figure </w:t>
      </w:r>
      <w:r>
        <w:fldChar w:fldCharType="begin"/>
      </w:r>
      <w:r>
        <w:instrText xml:space="preserve"> SEQ Figure \* ARABIC </w:instrText>
      </w:r>
      <w:r>
        <w:fldChar w:fldCharType="separate"/>
      </w:r>
      <w:r>
        <w:t>15</w:t>
      </w:r>
      <w:r>
        <w:fldChar w:fldCharType="end"/>
      </w:r>
      <w:r>
        <w:rPr>
          <w:lang w:val="en-US"/>
        </w:rPr>
        <w:t>: Selecting extraction location</w:t>
      </w:r>
    </w:p>
    <w:p w14:paraId="2F19ECA4">
      <w:pPr>
        <w:keepNext/>
      </w:pPr>
      <w:r>
        <w:drawing>
          <wp:inline distT="0" distB="0" distL="0" distR="0">
            <wp:extent cx="5731510" cy="3223895"/>
            <wp:effectExtent l="0" t="0" r="2540" b="0"/>
            <wp:docPr id="14011938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93879" name="Picture 1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9822FA">
      <w:pPr>
        <w:pStyle w:val="13"/>
        <w:jc w:val="center"/>
      </w:pPr>
      <w:r>
        <w:t xml:space="preserve">Figure </w:t>
      </w:r>
      <w:r>
        <w:fldChar w:fldCharType="begin"/>
      </w:r>
      <w:r>
        <w:instrText xml:space="preserve"> SEQ Figure \* ARABIC </w:instrText>
      </w:r>
      <w:r>
        <w:fldChar w:fldCharType="separate"/>
      </w:r>
      <w:r>
        <w:t>16</w:t>
      </w:r>
      <w:r>
        <w:fldChar w:fldCharType="end"/>
      </w:r>
      <w:r>
        <w:rPr>
          <w:lang w:val="en-US"/>
        </w:rPr>
        <w:t>: Waiting for device to connect</w:t>
      </w:r>
    </w:p>
    <w:p w14:paraId="37828AAA">
      <w:pPr>
        <w:keepNext/>
      </w:pPr>
      <w:r>
        <w:drawing>
          <wp:inline distT="0" distB="0" distL="0" distR="0">
            <wp:extent cx="5731510" cy="3223895"/>
            <wp:effectExtent l="0" t="0" r="2540" b="0"/>
            <wp:docPr id="4020158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15869" name="Picture 1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0E7E4A">
      <w:pPr>
        <w:pStyle w:val="13"/>
        <w:jc w:val="center"/>
      </w:pPr>
      <w:r>
        <w:t xml:space="preserve">Figure </w:t>
      </w:r>
      <w:r>
        <w:fldChar w:fldCharType="begin"/>
      </w:r>
      <w:r>
        <w:instrText xml:space="preserve"> SEQ Figure \* ARABIC </w:instrText>
      </w:r>
      <w:r>
        <w:fldChar w:fldCharType="separate"/>
      </w:r>
      <w:r>
        <w:t>17</w:t>
      </w:r>
      <w:r>
        <w:fldChar w:fldCharType="end"/>
      </w:r>
      <w:r>
        <w:rPr>
          <w:lang w:val="en-US"/>
        </w:rPr>
        <w:t>: Device detected and info summary</w:t>
      </w:r>
    </w:p>
    <w:p w14:paraId="150FB141">
      <w:pPr>
        <w:keepNext/>
      </w:pPr>
      <w:r>
        <w:drawing>
          <wp:inline distT="0" distB="0" distL="0" distR="0">
            <wp:extent cx="5731510" cy="3223895"/>
            <wp:effectExtent l="0" t="0" r="2540" b="0"/>
            <wp:docPr id="10679155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15531" name="Picture 1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0FD253">
      <w:pPr>
        <w:pStyle w:val="13"/>
      </w:pPr>
      <w:r>
        <w:t xml:space="preserve">Figure </w:t>
      </w:r>
      <w:r>
        <w:fldChar w:fldCharType="begin"/>
      </w:r>
      <w:r>
        <w:instrText xml:space="preserve"> SEQ Figure \* ARABIC </w:instrText>
      </w:r>
      <w:r>
        <w:fldChar w:fldCharType="separate"/>
      </w:r>
      <w:r>
        <w:t>18</w:t>
      </w:r>
      <w:r>
        <w:fldChar w:fldCharType="end"/>
      </w:r>
      <w:r>
        <w:rPr>
          <w:lang w:val="en-US"/>
        </w:rPr>
        <w:t>: Extraction process summary report</w:t>
      </w:r>
    </w:p>
    <w:p w14:paraId="7804671B">
      <w:pPr>
        <w:keepNext/>
      </w:pPr>
      <w:r>
        <w:drawing>
          <wp:inline distT="0" distB="0" distL="0" distR="0">
            <wp:extent cx="5731510" cy="3223895"/>
            <wp:effectExtent l="0" t="0" r="2540" b="0"/>
            <wp:docPr id="1692016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01601" name="Picture 15"/>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F47669">
      <w:pPr>
        <w:pStyle w:val="13"/>
        <w:jc w:val="center"/>
      </w:pPr>
      <w:r>
        <w:t xml:space="preserve">Figure </w:t>
      </w:r>
      <w:r>
        <w:fldChar w:fldCharType="begin"/>
      </w:r>
      <w:r>
        <w:instrText xml:space="preserve"> SEQ Figure \* ARABIC </w:instrText>
      </w:r>
      <w:r>
        <w:fldChar w:fldCharType="separate"/>
      </w:r>
      <w:r>
        <w:t>19</w:t>
      </w:r>
      <w:r>
        <w:fldChar w:fldCharType="end"/>
      </w:r>
      <w:r>
        <w:rPr>
          <w:lang w:val="en-US"/>
        </w:rPr>
        <w:t>: Content type selection for device</w:t>
      </w:r>
    </w:p>
    <w:p w14:paraId="4C6F80DF">
      <w:pPr>
        <w:keepNext/>
      </w:pPr>
      <w:r>
        <w:drawing>
          <wp:inline distT="0" distB="0" distL="0" distR="0">
            <wp:extent cx="5731510" cy="3223895"/>
            <wp:effectExtent l="0" t="0" r="2540" b="0"/>
            <wp:docPr id="3122625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62530" name="Picture 1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AFC5F9">
      <w:pPr>
        <w:pStyle w:val="13"/>
        <w:jc w:val="center"/>
      </w:pPr>
      <w:r>
        <w:t xml:space="preserve">Figure </w:t>
      </w:r>
      <w:r>
        <w:fldChar w:fldCharType="begin"/>
      </w:r>
      <w:r>
        <w:instrText xml:space="preserve"> SEQ Figure \* ARABIC </w:instrText>
      </w:r>
      <w:r>
        <w:fldChar w:fldCharType="separate"/>
      </w:r>
      <w:r>
        <w:t>20</w:t>
      </w:r>
      <w:r>
        <w:fldChar w:fldCharType="end"/>
      </w:r>
      <w:r>
        <w:rPr>
          <w:lang w:val="en-US"/>
        </w:rPr>
        <w:t>: Extraction data types warning</w:t>
      </w:r>
    </w:p>
    <w:p w14:paraId="2E4ACEEE">
      <w:pPr>
        <w:keepNext/>
      </w:pPr>
      <w:r>
        <w:drawing>
          <wp:inline distT="0" distB="0" distL="0" distR="0">
            <wp:extent cx="5731510" cy="3223895"/>
            <wp:effectExtent l="0" t="0" r="2540" b="0"/>
            <wp:docPr id="200267874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78749" name="Picture 17"/>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F1427A">
      <w:pPr>
        <w:pStyle w:val="13"/>
        <w:jc w:val="center"/>
      </w:pPr>
      <w:r>
        <w:t xml:space="preserve">Figure </w:t>
      </w:r>
      <w:r>
        <w:fldChar w:fldCharType="begin"/>
      </w:r>
      <w:r>
        <w:instrText xml:space="preserve"> SEQ Figure \* ARABIC </w:instrText>
      </w:r>
      <w:r>
        <w:fldChar w:fldCharType="separate"/>
      </w:r>
      <w:r>
        <w:t>21</w:t>
      </w:r>
      <w:r>
        <w:fldChar w:fldCharType="end"/>
      </w:r>
      <w:r>
        <w:rPr>
          <w:lang w:val="en-US"/>
        </w:rPr>
        <w:t>: Extraction confirmation with source instructions</w:t>
      </w:r>
    </w:p>
    <w:p w14:paraId="708FF6C4">
      <w:pPr>
        <w:keepNext/>
      </w:pPr>
      <w:r>
        <w:drawing>
          <wp:inline distT="0" distB="0" distL="0" distR="0">
            <wp:extent cx="5731510" cy="3223895"/>
            <wp:effectExtent l="0" t="0" r="2540" b="0"/>
            <wp:docPr id="210867558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75580" name="Picture 18"/>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FAC319">
      <w:pPr>
        <w:pStyle w:val="13"/>
        <w:jc w:val="center"/>
      </w:pPr>
      <w:r>
        <w:t xml:space="preserve">Figure </w:t>
      </w:r>
      <w:r>
        <w:fldChar w:fldCharType="begin"/>
      </w:r>
      <w:r>
        <w:instrText xml:space="preserve"> SEQ Figure \* ARABIC </w:instrText>
      </w:r>
      <w:r>
        <w:fldChar w:fldCharType="separate"/>
      </w:r>
      <w:r>
        <w:t>22</w:t>
      </w:r>
      <w:r>
        <w:fldChar w:fldCharType="end"/>
      </w:r>
      <w:r>
        <w:rPr>
          <w:lang w:val="en-US"/>
        </w:rPr>
        <w:t>: Extraction options for call logs and files</w:t>
      </w:r>
    </w:p>
    <w:p w14:paraId="781B86B2">
      <w:pPr>
        <w:keepNext/>
      </w:pPr>
      <w:r>
        <w:drawing>
          <wp:inline distT="0" distB="0" distL="0" distR="0">
            <wp:extent cx="5731510" cy="3223895"/>
            <wp:effectExtent l="0" t="0" r="2540" b="0"/>
            <wp:docPr id="9601297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29768" name="Picture 19"/>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0B5B17">
      <w:pPr>
        <w:pStyle w:val="13"/>
        <w:jc w:val="center"/>
      </w:pPr>
      <w:r>
        <w:t xml:space="preserve">Figure </w:t>
      </w:r>
      <w:r>
        <w:fldChar w:fldCharType="begin"/>
      </w:r>
      <w:r>
        <w:instrText xml:space="preserve"> SEQ Figure \* ARABIC </w:instrText>
      </w:r>
      <w:r>
        <w:fldChar w:fldCharType="separate"/>
      </w:r>
      <w:r>
        <w:t>23</w:t>
      </w:r>
      <w:r>
        <w:fldChar w:fldCharType="end"/>
      </w:r>
      <w:r>
        <w:rPr>
          <w:lang w:val="en-US"/>
        </w:rPr>
        <w:t>: Source instructions for connection settings</w:t>
      </w:r>
    </w:p>
    <w:p w14:paraId="75B26814">
      <w:pPr>
        <w:keepNext/>
      </w:pPr>
      <w:r>
        <w:drawing>
          <wp:inline distT="0" distB="0" distL="0" distR="0">
            <wp:extent cx="5731510" cy="3223895"/>
            <wp:effectExtent l="0" t="0" r="2540" b="0"/>
            <wp:docPr id="137898607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86072" name="Picture 20"/>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4FC897">
      <w:pPr>
        <w:pStyle w:val="13"/>
        <w:jc w:val="center"/>
      </w:pPr>
      <w:r>
        <w:t xml:space="preserve">Figure </w:t>
      </w:r>
      <w:r>
        <w:fldChar w:fldCharType="begin"/>
      </w:r>
      <w:r>
        <w:instrText xml:space="preserve"> SEQ Figure \* ARABIC </w:instrText>
      </w:r>
      <w:r>
        <w:fldChar w:fldCharType="separate"/>
      </w:r>
      <w:r>
        <w:t>24</w:t>
      </w:r>
      <w:r>
        <w:fldChar w:fldCharType="end"/>
      </w:r>
      <w:r>
        <w:rPr>
          <w:lang w:val="en-US"/>
        </w:rPr>
        <w:t>: Selecting data types for extraction</w:t>
      </w:r>
    </w:p>
    <w:p w14:paraId="07CF367B">
      <w:pPr>
        <w:keepNext/>
      </w:pPr>
      <w:r>
        <w:drawing>
          <wp:inline distT="0" distB="0" distL="0" distR="0">
            <wp:extent cx="5731510" cy="3223895"/>
            <wp:effectExtent l="0" t="0" r="2540" b="0"/>
            <wp:docPr id="17489512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951212" name="Picture 21"/>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69B632">
      <w:pPr>
        <w:pStyle w:val="13"/>
        <w:jc w:val="center"/>
      </w:pPr>
      <w:r>
        <w:t xml:space="preserve">Figure </w:t>
      </w:r>
      <w:r>
        <w:fldChar w:fldCharType="begin"/>
      </w:r>
      <w:r>
        <w:instrText xml:space="preserve"> SEQ Figure \* ARABIC </w:instrText>
      </w:r>
      <w:r>
        <w:fldChar w:fldCharType="separate"/>
      </w:r>
      <w:r>
        <w:t>25</w:t>
      </w:r>
      <w:r>
        <w:fldChar w:fldCharType="end"/>
      </w:r>
      <w:r>
        <w:rPr>
          <w:lang w:val="en-US"/>
        </w:rPr>
        <w:t>: Select additional extraction content types</w:t>
      </w:r>
    </w:p>
    <w:p w14:paraId="797F67C3">
      <w:pPr>
        <w:keepNext/>
      </w:pPr>
      <w:r>
        <w:drawing>
          <wp:inline distT="0" distB="0" distL="0" distR="0">
            <wp:extent cx="5731510" cy="3223895"/>
            <wp:effectExtent l="0" t="0" r="2540" b="0"/>
            <wp:docPr id="16342286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28634" name="Picture 22"/>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BCAE9C">
      <w:pPr>
        <w:pStyle w:val="13"/>
        <w:jc w:val="center"/>
        <w:rPr>
          <w:lang w:val="en-US"/>
        </w:rPr>
      </w:pPr>
      <w:r>
        <w:t xml:space="preserve">Figure </w:t>
      </w:r>
      <w:r>
        <w:fldChar w:fldCharType="begin"/>
      </w:r>
      <w:r>
        <w:instrText xml:space="preserve"> SEQ Figure \* ARABIC </w:instrText>
      </w:r>
      <w:r>
        <w:fldChar w:fldCharType="separate"/>
      </w:r>
      <w:r>
        <w:t>26</w:t>
      </w:r>
      <w:r>
        <w:fldChar w:fldCharType="end"/>
      </w:r>
      <w:r>
        <w:rPr>
          <w:lang w:val="en-US"/>
        </w:rPr>
        <w:t>: Extraction process completed notice</w:t>
      </w:r>
    </w:p>
    <w:p w14:paraId="0F70BCBF">
      <w:pPr>
        <w:keepNext/>
      </w:pPr>
      <w:r>
        <w:rPr>
          <w:lang w:val="en-US"/>
        </w:rPr>
        <w:drawing>
          <wp:inline distT="0" distB="0" distL="0" distR="0">
            <wp:extent cx="5731510" cy="3222625"/>
            <wp:effectExtent l="0" t="0" r="2540" b="0"/>
            <wp:docPr id="3165918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591873" name="Picture 7"/>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6DD83E9">
      <w:pPr>
        <w:pStyle w:val="13"/>
        <w:jc w:val="center"/>
        <w:rPr>
          <w:lang w:val="en-US"/>
        </w:rPr>
      </w:pPr>
      <w:r>
        <w:t xml:space="preserve">Figure </w:t>
      </w:r>
      <w:r>
        <w:fldChar w:fldCharType="begin"/>
      </w:r>
      <w:r>
        <w:instrText xml:space="preserve"> SEQ Figure \* ARABIC </w:instrText>
      </w:r>
      <w:r>
        <w:fldChar w:fldCharType="separate"/>
      </w:r>
      <w:r>
        <w:t>27</w:t>
      </w:r>
      <w:r>
        <w:fldChar w:fldCharType="end"/>
      </w:r>
      <w:r>
        <w:rPr>
          <w:lang w:val="en-US"/>
        </w:rPr>
        <w:t>: SHA256 hash validates integrity of acquired evidence of Huawei</w:t>
      </w:r>
    </w:p>
    <w:p w14:paraId="52286F44">
      <w:pPr>
        <w:keepNext/>
      </w:pPr>
      <w:r>
        <w:rPr>
          <w:lang w:val="en-US"/>
        </w:rPr>
        <w:drawing>
          <wp:inline distT="0" distB="0" distL="0" distR="0">
            <wp:extent cx="5731510" cy="3222625"/>
            <wp:effectExtent l="0" t="0" r="2540" b="0"/>
            <wp:docPr id="150940078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00788" name="Picture 8" descr="A screenshot of a computer&#10;&#10;AI-generated content may be incorrect."/>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4A33C70">
      <w:pPr>
        <w:pStyle w:val="13"/>
        <w:jc w:val="center"/>
        <w:rPr>
          <w:lang w:val="en-US"/>
        </w:rPr>
      </w:pPr>
      <w:r>
        <w:t xml:space="preserve">Figure </w:t>
      </w:r>
      <w:r>
        <w:fldChar w:fldCharType="begin"/>
      </w:r>
      <w:r>
        <w:instrText xml:space="preserve"> SEQ Figure \* ARABIC </w:instrText>
      </w:r>
      <w:r>
        <w:fldChar w:fldCharType="separate"/>
      </w:r>
      <w:r>
        <w:t>28</w:t>
      </w:r>
      <w:r>
        <w:fldChar w:fldCharType="end"/>
      </w:r>
      <w:r>
        <w:rPr>
          <w:lang w:val="en-US"/>
        </w:rPr>
        <w:t>: SHA256 hash validates integrity of acquired evidence of Nokia</w:t>
      </w:r>
    </w:p>
    <w:p w14:paraId="39BB6F35">
      <w:pPr>
        <w:keepNext/>
      </w:pPr>
      <w:r>
        <w:rPr>
          <w:lang w:val="en-US"/>
        </w:rPr>
        <w:drawing>
          <wp:inline distT="0" distB="0" distL="0" distR="0">
            <wp:extent cx="5731510" cy="3210560"/>
            <wp:effectExtent l="0" t="0" r="2540" b="8890"/>
            <wp:docPr id="197283322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33228" name="Picture 9" descr="A screenshot of a computer&#10;&#10;AI-generated content may be incorrect."/>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0F630208">
      <w:pPr>
        <w:pStyle w:val="13"/>
        <w:jc w:val="center"/>
        <w:rPr>
          <w:lang w:val="en-US"/>
        </w:rPr>
      </w:pPr>
      <w:r>
        <w:t xml:space="preserve">Figure </w:t>
      </w:r>
      <w:r>
        <w:fldChar w:fldCharType="begin"/>
      </w:r>
      <w:r>
        <w:instrText xml:space="preserve"> SEQ Figure \* ARABIC </w:instrText>
      </w:r>
      <w:r>
        <w:fldChar w:fldCharType="separate"/>
      </w:r>
      <w:r>
        <w:t>29</w:t>
      </w:r>
      <w:r>
        <w:fldChar w:fldCharType="end"/>
      </w:r>
      <w:r>
        <w:rPr>
          <w:lang w:val="en-US"/>
        </w:rPr>
        <w:t>: SHA256 hash validates integrity of acquired evidence of Note 14</w:t>
      </w:r>
    </w:p>
    <w:p w14:paraId="0C835970">
      <w:pPr>
        <w:pStyle w:val="2"/>
      </w:pPr>
      <w:bookmarkStart w:id="109" w:name="_Toc215005960"/>
      <w:bookmarkStart w:id="110" w:name="_Toc216371170"/>
      <w:r>
        <w:t>8. Forensic Collection Information</w:t>
      </w:r>
      <w:bookmarkEnd w:id="109"/>
      <w:bookmarkEnd w:id="110"/>
    </w:p>
    <w:p w14:paraId="260ACB19">
      <w:pPr>
        <w:keepNext/>
        <w:jc w:val="center"/>
      </w:pPr>
      <w:r>
        <w:drawing>
          <wp:inline distT="0" distB="0" distL="0" distR="0">
            <wp:extent cx="5731510" cy="3890010"/>
            <wp:effectExtent l="0" t="0" r="2540" b="0"/>
            <wp:docPr id="18994001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00120" name="Picture 1" descr="A screenshot of a computer&#10;&#10;AI-generated content may be incorrect."/>
                    <pic:cNvPicPr>
                      <a:picLocks noChangeAspect="1"/>
                    </pic:cNvPicPr>
                  </pic:nvPicPr>
                  <pic:blipFill>
                    <a:blip r:embed="rId35"/>
                    <a:stretch>
                      <a:fillRect/>
                    </a:stretch>
                  </pic:blipFill>
                  <pic:spPr>
                    <a:xfrm>
                      <a:off x="0" y="0"/>
                      <a:ext cx="5731510" cy="3890010"/>
                    </a:xfrm>
                    <a:prstGeom prst="rect">
                      <a:avLst/>
                    </a:prstGeom>
                  </pic:spPr>
                </pic:pic>
              </a:graphicData>
            </a:graphic>
          </wp:inline>
        </w:drawing>
      </w:r>
    </w:p>
    <w:p w14:paraId="071E3469">
      <w:pPr>
        <w:pStyle w:val="13"/>
        <w:jc w:val="center"/>
        <w:rPr>
          <w:lang w:val="en-US"/>
        </w:rPr>
      </w:pPr>
      <w:r>
        <w:t xml:space="preserve">Figure </w:t>
      </w:r>
      <w:r>
        <w:fldChar w:fldCharType="begin"/>
      </w:r>
      <w:r>
        <w:instrText xml:space="preserve"> SEQ Figure \* ARABIC </w:instrText>
      </w:r>
      <w:r>
        <w:fldChar w:fldCharType="separate"/>
      </w:r>
      <w:r>
        <w:t>30</w:t>
      </w:r>
      <w:r>
        <w:fldChar w:fldCharType="end"/>
      </w:r>
      <w:r>
        <w:rPr>
          <w:lang w:val="en-US"/>
        </w:rPr>
        <w:t>: Digital forensic extraction report overview of Huawei Kirin Live</w:t>
      </w:r>
    </w:p>
    <w:p w14:paraId="03DEA553">
      <w:pPr>
        <w:keepNext/>
      </w:pPr>
      <w:r>
        <w:rPr>
          <w:lang w:val="en-US"/>
        </w:rPr>
        <w:drawing>
          <wp:inline distT="0" distB="0" distL="0" distR="0">
            <wp:extent cx="5731510" cy="2548890"/>
            <wp:effectExtent l="0" t="0" r="2540" b="3810"/>
            <wp:docPr id="17335121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12179" name="Picture 1" descr="A screenshot of a computer&#10;&#10;AI-generated content may be incorrect."/>
                    <pic:cNvPicPr>
                      <a:picLocks noChangeAspect="1"/>
                    </pic:cNvPicPr>
                  </pic:nvPicPr>
                  <pic:blipFill>
                    <a:blip r:embed="rId36"/>
                    <a:stretch>
                      <a:fillRect/>
                    </a:stretch>
                  </pic:blipFill>
                  <pic:spPr>
                    <a:xfrm>
                      <a:off x="0" y="0"/>
                      <a:ext cx="5731510" cy="2548890"/>
                    </a:xfrm>
                    <a:prstGeom prst="rect">
                      <a:avLst/>
                    </a:prstGeom>
                  </pic:spPr>
                </pic:pic>
              </a:graphicData>
            </a:graphic>
          </wp:inline>
        </w:drawing>
      </w:r>
    </w:p>
    <w:p w14:paraId="7B5A300F">
      <w:pPr>
        <w:pStyle w:val="13"/>
        <w:jc w:val="center"/>
        <w:rPr>
          <w:lang w:val="en-US"/>
        </w:rPr>
      </w:pPr>
      <w:r>
        <w:t xml:space="preserve">Figure </w:t>
      </w:r>
      <w:r>
        <w:fldChar w:fldCharType="begin"/>
      </w:r>
      <w:r>
        <w:instrText xml:space="preserve"> SEQ Figure \* ARABIC </w:instrText>
      </w:r>
      <w:r>
        <w:fldChar w:fldCharType="separate"/>
      </w:r>
      <w:r>
        <w:t>31</w:t>
      </w:r>
      <w:r>
        <w:fldChar w:fldCharType="end"/>
      </w:r>
      <w:r>
        <w:rPr>
          <w:lang w:val="en-US"/>
        </w:rPr>
        <w:t>: Preliminary Device Report summarizing Note 14</w:t>
      </w:r>
    </w:p>
    <w:p w14:paraId="37AADAC7">
      <w:pPr>
        <w:keepNext/>
        <w:jc w:val="center"/>
      </w:pPr>
      <w:r>
        <w:rPr>
          <w:lang w:val="en-US"/>
        </w:rPr>
        <w:drawing>
          <wp:inline distT="0" distB="0" distL="0" distR="0">
            <wp:extent cx="5114925" cy="5422265"/>
            <wp:effectExtent l="0" t="0" r="0" b="6985"/>
            <wp:docPr id="124946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67571" name="Picture 1"/>
                    <pic:cNvPicPr>
                      <a:picLocks noChangeAspect="1"/>
                    </pic:cNvPicPr>
                  </pic:nvPicPr>
                  <pic:blipFill>
                    <a:blip r:embed="rId37"/>
                    <a:stretch>
                      <a:fillRect/>
                    </a:stretch>
                  </pic:blipFill>
                  <pic:spPr>
                    <a:xfrm>
                      <a:off x="0" y="0"/>
                      <a:ext cx="5116553" cy="5424363"/>
                    </a:xfrm>
                    <a:prstGeom prst="rect">
                      <a:avLst/>
                    </a:prstGeom>
                  </pic:spPr>
                </pic:pic>
              </a:graphicData>
            </a:graphic>
          </wp:inline>
        </w:drawing>
      </w:r>
    </w:p>
    <w:p w14:paraId="67C62AAC">
      <w:pPr>
        <w:pStyle w:val="13"/>
        <w:jc w:val="center"/>
        <w:rPr>
          <w:lang w:val="en-US"/>
        </w:rPr>
      </w:pPr>
      <w:r>
        <w:t xml:space="preserve">Figure </w:t>
      </w:r>
      <w:r>
        <w:fldChar w:fldCharType="begin"/>
      </w:r>
      <w:r>
        <w:instrText xml:space="preserve"> SEQ Figure \* ARABIC </w:instrText>
      </w:r>
      <w:r>
        <w:fldChar w:fldCharType="separate"/>
      </w:r>
      <w:r>
        <w:t>32</w:t>
      </w:r>
      <w:r>
        <w:fldChar w:fldCharType="end"/>
      </w:r>
      <w:r>
        <w:rPr>
          <w:lang w:val="en-US"/>
        </w:rPr>
        <w:t>: Preliminary Device Report summarizing Huawei POT-LX1 smartphone</w:t>
      </w:r>
    </w:p>
    <w:p w14:paraId="23D9C712">
      <w:pPr>
        <w:keepNext/>
        <w:jc w:val="center"/>
      </w:pPr>
      <w:r>
        <w:rPr>
          <w:lang w:val="en-US"/>
        </w:rPr>
        <w:drawing>
          <wp:inline distT="0" distB="0" distL="0" distR="0">
            <wp:extent cx="5524500" cy="2591435"/>
            <wp:effectExtent l="0" t="0" r="0" b="0"/>
            <wp:docPr id="798394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94531" name="Picture 1" descr="A screenshot of a computer&#10;&#10;AI-generated content may be incorrect."/>
                    <pic:cNvPicPr>
                      <a:picLocks noChangeAspect="1"/>
                    </pic:cNvPicPr>
                  </pic:nvPicPr>
                  <pic:blipFill>
                    <a:blip r:embed="rId38"/>
                    <a:stretch>
                      <a:fillRect/>
                    </a:stretch>
                  </pic:blipFill>
                  <pic:spPr>
                    <a:xfrm>
                      <a:off x="0" y="0"/>
                      <a:ext cx="5525790" cy="2592089"/>
                    </a:xfrm>
                    <a:prstGeom prst="rect">
                      <a:avLst/>
                    </a:prstGeom>
                  </pic:spPr>
                </pic:pic>
              </a:graphicData>
            </a:graphic>
          </wp:inline>
        </w:drawing>
      </w:r>
    </w:p>
    <w:p w14:paraId="16460FDB">
      <w:pPr>
        <w:pStyle w:val="13"/>
        <w:jc w:val="center"/>
        <w:rPr>
          <w:lang w:val="en-US"/>
        </w:rPr>
      </w:pPr>
      <w:r>
        <w:t xml:space="preserve">Figure </w:t>
      </w:r>
      <w:r>
        <w:fldChar w:fldCharType="begin"/>
      </w:r>
      <w:r>
        <w:instrText xml:space="preserve"> SEQ Figure \* ARABIC </w:instrText>
      </w:r>
      <w:r>
        <w:fldChar w:fldCharType="separate"/>
      </w:r>
      <w:r>
        <w:t>33</w:t>
      </w:r>
      <w:r>
        <w:fldChar w:fldCharType="end"/>
      </w:r>
      <w:r>
        <w:rPr>
          <w:lang w:val="en-US"/>
        </w:rPr>
        <w:t>: Preliminary Device Report summarizing Nokia</w:t>
      </w:r>
    </w:p>
    <w:p w14:paraId="2CCD47B5">
      <w:pPr>
        <w:keepNext/>
        <w:jc w:val="center"/>
      </w:pPr>
      <w:r>
        <w:drawing>
          <wp:inline distT="0" distB="0" distL="0" distR="0">
            <wp:extent cx="5629275" cy="3853180"/>
            <wp:effectExtent l="0" t="0" r="0" b="0"/>
            <wp:docPr id="9073972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97217" name="Picture 1" descr="A screenshot of a computer&#10;&#10;AI-generated content may be incorrect."/>
                    <pic:cNvPicPr>
                      <a:picLocks noChangeAspect="1"/>
                    </pic:cNvPicPr>
                  </pic:nvPicPr>
                  <pic:blipFill>
                    <a:blip r:embed="rId39"/>
                    <a:stretch>
                      <a:fillRect/>
                    </a:stretch>
                  </pic:blipFill>
                  <pic:spPr>
                    <a:xfrm>
                      <a:off x="0" y="0"/>
                      <a:ext cx="5632355" cy="3855785"/>
                    </a:xfrm>
                    <a:prstGeom prst="rect">
                      <a:avLst/>
                    </a:prstGeom>
                  </pic:spPr>
                </pic:pic>
              </a:graphicData>
            </a:graphic>
          </wp:inline>
        </w:drawing>
      </w:r>
    </w:p>
    <w:p w14:paraId="5A44C0FF">
      <w:pPr>
        <w:pStyle w:val="13"/>
        <w:jc w:val="center"/>
      </w:pPr>
      <w:r>
        <w:t xml:space="preserve">Figure </w:t>
      </w:r>
      <w:r>
        <w:fldChar w:fldCharType="begin"/>
      </w:r>
      <w:r>
        <w:instrText xml:space="preserve"> SEQ Figure \* ARABIC </w:instrText>
      </w:r>
      <w:r>
        <w:fldChar w:fldCharType="separate"/>
      </w:r>
      <w:r>
        <w:t>34</w:t>
      </w:r>
      <w:r>
        <w:fldChar w:fldCharType="end"/>
      </w:r>
      <w:r>
        <w:rPr>
          <w:lang w:val="en-US"/>
        </w:rPr>
        <w:t>: Digital forensic extraction report overview of Huawei Andriod Backup APK</w:t>
      </w:r>
    </w:p>
    <w:p w14:paraId="1AACD31A">
      <w:pPr>
        <w:keepNext/>
        <w:jc w:val="center"/>
      </w:pPr>
      <w:r>
        <w:drawing>
          <wp:inline distT="0" distB="0" distL="0" distR="0">
            <wp:extent cx="4672965" cy="4181475"/>
            <wp:effectExtent l="0" t="0" r="0" b="0"/>
            <wp:docPr id="1229512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12493" name="Picture 1"/>
                    <pic:cNvPicPr>
                      <a:picLocks noChangeAspect="1"/>
                    </pic:cNvPicPr>
                  </pic:nvPicPr>
                  <pic:blipFill>
                    <a:blip r:embed="rId40"/>
                    <a:stretch>
                      <a:fillRect/>
                    </a:stretch>
                  </pic:blipFill>
                  <pic:spPr>
                    <a:xfrm>
                      <a:off x="0" y="0"/>
                      <a:ext cx="4686224" cy="4192990"/>
                    </a:xfrm>
                    <a:prstGeom prst="rect">
                      <a:avLst/>
                    </a:prstGeom>
                  </pic:spPr>
                </pic:pic>
              </a:graphicData>
            </a:graphic>
          </wp:inline>
        </w:drawing>
      </w:r>
    </w:p>
    <w:p w14:paraId="732B4577">
      <w:pPr>
        <w:pStyle w:val="13"/>
        <w:jc w:val="center"/>
        <w:rPr>
          <w:lang w:val="en-US"/>
        </w:rPr>
      </w:pPr>
      <w:r>
        <w:t xml:space="preserve">Figure </w:t>
      </w:r>
      <w:r>
        <w:fldChar w:fldCharType="begin"/>
      </w:r>
      <w:r>
        <w:instrText xml:space="preserve"> SEQ Figure \* ARABIC </w:instrText>
      </w:r>
      <w:r>
        <w:fldChar w:fldCharType="separate"/>
      </w:r>
      <w:r>
        <w:t>35</w:t>
      </w:r>
      <w:r>
        <w:fldChar w:fldCharType="end"/>
      </w:r>
      <w:r>
        <w:rPr>
          <w:lang w:val="en-US"/>
        </w:rPr>
        <w:t>: Digital forensic extraction report overview of Nokia C2 2nd Edition</w:t>
      </w:r>
    </w:p>
    <w:p w14:paraId="5A6234D5">
      <w:pPr>
        <w:keepNext/>
      </w:pPr>
      <w:r>
        <w:rPr>
          <w:lang w:val="en-US"/>
        </w:rPr>
        <w:drawing>
          <wp:inline distT="0" distB="0" distL="0" distR="0">
            <wp:extent cx="5731510" cy="2661285"/>
            <wp:effectExtent l="0" t="0" r="2540" b="5715"/>
            <wp:docPr id="50928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87551" name="Picture 1"/>
                    <pic:cNvPicPr>
                      <a:picLocks noChangeAspect="1"/>
                    </pic:cNvPicPr>
                  </pic:nvPicPr>
                  <pic:blipFill>
                    <a:blip r:embed="rId41"/>
                    <a:stretch>
                      <a:fillRect/>
                    </a:stretch>
                  </pic:blipFill>
                  <pic:spPr>
                    <a:xfrm>
                      <a:off x="0" y="0"/>
                      <a:ext cx="5731510" cy="2661285"/>
                    </a:xfrm>
                    <a:prstGeom prst="rect">
                      <a:avLst/>
                    </a:prstGeom>
                  </pic:spPr>
                </pic:pic>
              </a:graphicData>
            </a:graphic>
          </wp:inline>
        </w:drawing>
      </w:r>
    </w:p>
    <w:p w14:paraId="5C1D734B">
      <w:pPr>
        <w:pStyle w:val="13"/>
        <w:jc w:val="center"/>
        <w:rPr>
          <w:lang w:val="en-US"/>
        </w:rPr>
      </w:pPr>
      <w:r>
        <w:t xml:space="preserve">Figure </w:t>
      </w:r>
      <w:r>
        <w:fldChar w:fldCharType="begin"/>
      </w:r>
      <w:r>
        <w:instrText xml:space="preserve"> SEQ Figure \* ARABIC </w:instrText>
      </w:r>
      <w:r>
        <w:fldChar w:fldCharType="separate"/>
      </w:r>
      <w:r>
        <w:t>36</w:t>
      </w:r>
      <w:r>
        <w:fldChar w:fldCharType="end"/>
      </w:r>
      <w:r>
        <w:rPr>
          <w:lang w:val="en-US"/>
        </w:rPr>
        <w:t>: Preliminary Device Report summarizing of Samsung</w:t>
      </w:r>
    </w:p>
    <w:p w14:paraId="5E14C8D6">
      <w:pPr>
        <w:keepNext/>
        <w:jc w:val="center"/>
      </w:pPr>
      <w:r>
        <w:drawing>
          <wp:inline distT="0" distB="0" distL="0" distR="0">
            <wp:extent cx="5505450" cy="4055745"/>
            <wp:effectExtent l="0" t="0" r="0" b="1905"/>
            <wp:docPr id="11153790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79031" name="Picture 1" descr="A screenshot of a computer&#10;&#10;AI-generated content may be incorrect."/>
                    <pic:cNvPicPr>
                      <a:picLocks noChangeAspect="1"/>
                    </pic:cNvPicPr>
                  </pic:nvPicPr>
                  <pic:blipFill>
                    <a:blip r:embed="rId42"/>
                    <a:stretch>
                      <a:fillRect/>
                    </a:stretch>
                  </pic:blipFill>
                  <pic:spPr>
                    <a:xfrm>
                      <a:off x="0" y="0"/>
                      <a:ext cx="5508515" cy="4058456"/>
                    </a:xfrm>
                    <a:prstGeom prst="rect">
                      <a:avLst/>
                    </a:prstGeom>
                  </pic:spPr>
                </pic:pic>
              </a:graphicData>
            </a:graphic>
          </wp:inline>
        </w:drawing>
      </w:r>
    </w:p>
    <w:p w14:paraId="5E699514">
      <w:pPr>
        <w:pStyle w:val="13"/>
        <w:jc w:val="center"/>
      </w:pPr>
      <w:r>
        <w:t xml:space="preserve">Figure </w:t>
      </w:r>
      <w:r>
        <w:fldChar w:fldCharType="begin"/>
      </w:r>
      <w:r>
        <w:instrText xml:space="preserve"> SEQ Figure \* ARABIC </w:instrText>
      </w:r>
      <w:r>
        <w:fldChar w:fldCharType="separate"/>
      </w:r>
      <w:r>
        <w:t>37</w:t>
      </w:r>
      <w:r>
        <w:fldChar w:fldCharType="end"/>
      </w:r>
      <w:r>
        <w:rPr>
          <w:lang w:val="en-US"/>
        </w:rPr>
        <w:t>: Digital forensic extraction report overview of Samsung SM-A137F</w:t>
      </w:r>
    </w:p>
    <w:p w14:paraId="13890A38">
      <w:pPr>
        <w:keepNext/>
        <w:jc w:val="center"/>
      </w:pPr>
      <w:r>
        <w:drawing>
          <wp:inline distT="0" distB="0" distL="0" distR="0">
            <wp:extent cx="5391150" cy="3973830"/>
            <wp:effectExtent l="0" t="0" r="0" b="7620"/>
            <wp:docPr id="196866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6934" name="Picture 1" descr="A screenshot of a computer&#10;&#10;AI-generated content may be incorrect."/>
                    <pic:cNvPicPr>
                      <a:picLocks noChangeAspect="1"/>
                    </pic:cNvPicPr>
                  </pic:nvPicPr>
                  <pic:blipFill>
                    <a:blip r:embed="rId43"/>
                    <a:stretch>
                      <a:fillRect/>
                    </a:stretch>
                  </pic:blipFill>
                  <pic:spPr>
                    <a:xfrm>
                      <a:off x="0" y="0"/>
                      <a:ext cx="5397454" cy="3979023"/>
                    </a:xfrm>
                    <a:prstGeom prst="rect">
                      <a:avLst/>
                    </a:prstGeom>
                  </pic:spPr>
                </pic:pic>
              </a:graphicData>
            </a:graphic>
          </wp:inline>
        </w:drawing>
      </w:r>
    </w:p>
    <w:p w14:paraId="0B59B3AE">
      <w:pPr>
        <w:pStyle w:val="13"/>
        <w:jc w:val="center"/>
      </w:pPr>
      <w:r>
        <w:t xml:space="preserve">Figure </w:t>
      </w:r>
      <w:r>
        <w:fldChar w:fldCharType="begin"/>
      </w:r>
      <w:r>
        <w:instrText xml:space="preserve"> SEQ Figure \* ARABIC </w:instrText>
      </w:r>
      <w:r>
        <w:fldChar w:fldCharType="separate"/>
      </w:r>
      <w:r>
        <w:t>38</w:t>
      </w:r>
      <w:r>
        <w:fldChar w:fldCharType="end"/>
      </w:r>
      <w:r>
        <w:rPr>
          <w:lang w:val="en-US"/>
        </w:rPr>
        <w:t>: Digital forensic extraction report overview of Note 14</w:t>
      </w:r>
    </w:p>
    <w:p w14:paraId="0B4EC992">
      <w:pPr>
        <w:pStyle w:val="2"/>
      </w:pPr>
      <w:bookmarkStart w:id="111" w:name="_Toc216371171"/>
      <w:bookmarkStart w:id="112" w:name="_Toc215005961"/>
      <w:r>
        <w:t>9. Conclusions</w:t>
      </w:r>
      <w:bookmarkEnd w:id="111"/>
      <w:bookmarkEnd w:id="112"/>
    </w:p>
    <w:p w14:paraId="689791B8">
      <w:r>
        <w:t>Their respective embedded roles of the three indispensable organs of the criminal system, of Emma (the perpetrator), Joe (the intermediary), and Norman (the buyer/financier) with none of them able to exist independently of each other having their own dedicated devices to communicate, to logistical and to payment assignments were all well established with high degree of level of confidence through the forensic practice of theft and further attempted sale of the QT-AI-2025 patent. The exchange of evidence in four devices revealed the organization of a preconvened plan of encrypted messages exchange, each travel plan of the organization and use of anonymous payment means showed the involvement and motive of the actors.</w:t>
      </w:r>
    </w:p>
    <w:p w14:paraId="19BE3C14">
      <w:r>
        <w:t>The mentioned qualities highlight the power of digital evidence due to the user attribution, evidence support provided by device-related evidence (account logins, emails, receipts, emails) and high chain-of-custody. Even though some of these money and communication fibers might not be noticed by extremely intricate encryption and discipline skills, the pecking of multi-source convergence is a set of prosecutable opinions.</w:t>
      </w:r>
    </w:p>
    <w:p w14:paraId="321384E3">
      <w:r>
        <w:t>Some questions remain open: the encrypted document in the open.docx format that is on the Nokia C2 should be considered an important lead yet, so should the photo of an unknown male. The major procedures which must be taken are decryption of this file and identity of the unknown user should be verified. These exceptions provide insight into the ancient detective dilemma of computer worlds that are encrypted and anonymous even with an intricately planned investigation.</w:t>
      </w:r>
    </w:p>
    <w:p w14:paraId="31DDC617">
      <w:pPr>
        <w:pStyle w:val="2"/>
      </w:pPr>
      <w:bookmarkStart w:id="113" w:name="_Toc215005962"/>
      <w:bookmarkStart w:id="114" w:name="_Toc216371172"/>
      <w:r>
        <w:t>10. Recommendations</w:t>
      </w:r>
      <w:bookmarkEnd w:id="113"/>
      <w:bookmarkEnd w:id="114"/>
    </w:p>
    <w:p w14:paraId="24054117">
      <w:pPr>
        <w:pStyle w:val="3"/>
      </w:pPr>
      <w:bookmarkStart w:id="115" w:name="_Toc216371173"/>
      <w:bookmarkStart w:id="116" w:name="_Toc215005963"/>
      <w:r>
        <w:t>10.1 Identification of Unknown Conspirators</w:t>
      </w:r>
      <w:bookmarkEnd w:id="115"/>
      <w:bookmarkEnd w:id="116"/>
    </w:p>
    <w:p w14:paraId="789ED5EF">
      <w:r>
        <w:t>Focus more on the advanced facial recognition analysis of the unidentified face of the male on the Nokia C2 runner; result should be combined with the national/international law enforcement databanks possibly leading to the ultimate co-conspirator. At the same time, allocate increased cryptographic resources to the process of trying to decrypt the file named Open.docx - a potentially significant piece of information to validate transaction details, instructions or more identities.</w:t>
      </w:r>
    </w:p>
    <w:p w14:paraId="00823614">
      <w:pPr>
        <w:pStyle w:val="3"/>
      </w:pPr>
      <w:bookmarkStart w:id="117" w:name="_Toc216371174"/>
      <w:bookmarkStart w:id="118" w:name="_Toc215005964"/>
      <w:r>
        <w:t>10.2 Legal Actions and Next Steps</w:t>
      </w:r>
      <w:bookmarkEnd w:id="117"/>
      <w:bookmarkEnd w:id="118"/>
    </w:p>
    <w:p w14:paraId="1E61414F">
      <w:r>
        <w:t>Gather legal demands to acquire subscriber and metadata logs of email accounts that were used (especially dovp59@gmail.com and josephrehan464@gmail.com) and histories of financial dealings on the SBI debit card on the Ulefone of Norman and the Mastercard ending 3758 of Joe. Such legal investigations could seal serious gaps in evidence and allow prosecutors or other obstructions to related networks. It is advisable that witnesses have close interaction with data protection and international liaison officers to help in fastening cross-border evidence requests or warrants.</w:t>
      </w:r>
    </w:p>
    <w:p w14:paraId="14133557">
      <w:pPr>
        <w:pStyle w:val="3"/>
      </w:pPr>
      <w:bookmarkStart w:id="119" w:name="_Toc216371175"/>
      <w:bookmarkStart w:id="120" w:name="_Toc215005965"/>
      <w:r>
        <w:t>10.3 Lessons for Future Investigations</w:t>
      </w:r>
      <w:bookmarkEnd w:id="119"/>
      <w:bookmarkEnd w:id="120"/>
    </w:p>
    <w:p w14:paraId="3D200181">
      <w:r>
        <w:t>The case brings to the attention the necessity to collect data device and cloud-based information, invest in the initial phases in equipment to aid in decryption and remain responsive to operational compartmentalization and anonymization practices. The forensics professionals should comply with the principle of unbroken chain-of-custody procedures, take into consideration the ever-evolving sets of tools usage in breaking over new obstacles in encryption, work out the multidisciplinary relations between the technical experts, juridical experts, and investigative professionals which would enhance the probability of actionable and admissible findings in court.</w:t>
      </w:r>
      <w:r>
        <w:br w:type="page"/>
      </w:r>
    </w:p>
    <w:p w14:paraId="6DDA3338">
      <w:pPr>
        <w:pStyle w:val="2"/>
      </w:pPr>
      <w:bookmarkStart w:id="121" w:name="_Toc216371176"/>
      <w:r>
        <w:t>References</w:t>
      </w:r>
      <w:bookmarkEnd w:id="121"/>
    </w:p>
    <w:p w14:paraId="75004A47">
      <w:pPr>
        <w:pStyle w:val="46"/>
        <w:rPr>
          <w:rFonts w:cs="Times New Roman"/>
        </w:rPr>
      </w:pPr>
      <w:r>
        <w:fldChar w:fldCharType="begin"/>
      </w:r>
      <w:r>
        <w:instrText xml:space="preserve"> ADDIN ZOTERO_BIBL {"uncited":[],"omitted":[],"custom":[]} CSL_BIBLIOGRAPHY </w:instrText>
      </w:r>
      <w:r>
        <w:fldChar w:fldCharType="separate"/>
      </w:r>
      <w:r>
        <w:rPr>
          <w:rFonts w:cs="Times New Roman"/>
        </w:rPr>
        <w:t>[1]</w:t>
      </w:r>
      <w:r>
        <w:rPr>
          <w:rFonts w:cs="Times New Roman"/>
        </w:rPr>
        <w:tab/>
      </w:r>
      <w:r>
        <w:rPr>
          <w:rFonts w:cs="Times New Roman"/>
        </w:rPr>
        <w:t xml:space="preserve">Z. Baig and Reza Montasari, “Assessing Current and Emerging Challenges in the Field of Digital Forensics,” </w:t>
      </w:r>
      <w:r>
        <w:rPr>
          <w:rFonts w:cs="Times New Roman"/>
          <w:i/>
          <w:iCs/>
        </w:rPr>
        <w:t>Adv. Sci. Technol. Secur. Appl.</w:t>
      </w:r>
      <w:r>
        <w:rPr>
          <w:rFonts w:cs="Times New Roman"/>
        </w:rPr>
        <w:t xml:space="preserve">, pp. 117–126, 2023, doi: </w:t>
      </w:r>
      <w:r>
        <w:fldChar w:fldCharType="begin"/>
      </w:r>
      <w:r>
        <w:instrText xml:space="preserve"> HYPERLINK "https://doi.org/10.1007/978-3-031-40118-3_8" </w:instrText>
      </w:r>
      <w:r>
        <w:fldChar w:fldCharType="separate"/>
      </w:r>
      <w:r>
        <w:rPr>
          <w:rStyle w:val="17"/>
          <w:rFonts w:cs="Times New Roman"/>
        </w:rPr>
        <w:t>10.1007/978-3-031-40118-3_8</w:t>
      </w:r>
      <w:r>
        <w:rPr>
          <w:rStyle w:val="17"/>
          <w:rFonts w:cs="Times New Roman"/>
        </w:rPr>
        <w:fldChar w:fldCharType="end"/>
      </w:r>
      <w:r>
        <w:rPr>
          <w:rFonts w:cs="Times New Roman"/>
        </w:rPr>
        <w:t>.</w:t>
      </w:r>
    </w:p>
    <w:p w14:paraId="272E6B66">
      <w:pPr>
        <w:pStyle w:val="46"/>
        <w:rPr>
          <w:rFonts w:cs="Times New Roman"/>
        </w:rPr>
      </w:pPr>
      <w:r>
        <w:rPr>
          <w:rFonts w:cs="Times New Roman"/>
        </w:rPr>
        <w:t>[2]</w:t>
      </w:r>
      <w:r>
        <w:rPr>
          <w:rFonts w:cs="Times New Roman"/>
        </w:rPr>
        <w:tab/>
      </w:r>
      <w:r>
        <w:rPr>
          <w:rFonts w:cs="Times New Roman"/>
        </w:rPr>
        <w:t xml:space="preserve">E. Elton, Ibrahim Halidu Saidu, Taiwo Ibitomi, and Bello Sambo Sanusi, “Digital Forensics in the Era of Cybercrime: Emerging Trends and Challenges for Forensic Accountants in Nigeria,” </w:t>
      </w:r>
      <w:r>
        <w:rPr>
          <w:rFonts w:cs="Times New Roman"/>
          <w:i/>
          <w:iCs/>
        </w:rPr>
        <w:t>Eur. J. Account. Audit. Finance Res.</w:t>
      </w:r>
      <w:r>
        <w:rPr>
          <w:rFonts w:cs="Times New Roman"/>
        </w:rPr>
        <w:t xml:space="preserve">, vol. 11, no. 9, pp. 85–100, 2023, doi: </w:t>
      </w:r>
      <w:r>
        <w:fldChar w:fldCharType="begin"/>
      </w:r>
      <w:r>
        <w:instrText xml:space="preserve"> HYPERLINK "https://doi.org/10.37745/ejaafr.2013/vol11n985100" </w:instrText>
      </w:r>
      <w:r>
        <w:fldChar w:fldCharType="separate"/>
      </w:r>
      <w:r>
        <w:rPr>
          <w:rStyle w:val="17"/>
          <w:rFonts w:cs="Times New Roman"/>
        </w:rPr>
        <w:t>10.37745/ejaafr.2013/vol11n985100</w:t>
      </w:r>
      <w:r>
        <w:rPr>
          <w:rStyle w:val="17"/>
          <w:rFonts w:cs="Times New Roman"/>
        </w:rPr>
        <w:fldChar w:fldCharType="end"/>
      </w:r>
      <w:r>
        <w:rPr>
          <w:rFonts w:cs="Times New Roman"/>
        </w:rPr>
        <w:t>.</w:t>
      </w:r>
    </w:p>
    <w:p w14:paraId="3ADAE738">
      <w:pPr>
        <w:pStyle w:val="46"/>
        <w:rPr>
          <w:rFonts w:cs="Times New Roman"/>
        </w:rPr>
      </w:pPr>
      <w:r>
        <w:rPr>
          <w:rFonts w:cs="Times New Roman"/>
        </w:rPr>
        <w:t>[3]</w:t>
      </w:r>
      <w:r>
        <w:rPr>
          <w:rFonts w:cs="Times New Roman"/>
        </w:rPr>
        <w:tab/>
      </w:r>
      <w:r>
        <w:rPr>
          <w:rFonts w:cs="Times New Roman"/>
        </w:rPr>
        <w:t xml:space="preserve">Joyce Chepkemoi Chepkwony and Dr. Andrew Kipkebut, “Preserving Digital Evidence in Real Time Cloud Environment for Integrity and Legal Admissibility,” </w:t>
      </w:r>
      <w:r>
        <w:rPr>
          <w:rFonts w:cs="Times New Roman"/>
          <w:i/>
          <w:iCs/>
        </w:rPr>
        <w:t>Int. J. Res. Appl. Sci. Eng. Technol.</w:t>
      </w:r>
      <w:r>
        <w:rPr>
          <w:rFonts w:cs="Times New Roman"/>
        </w:rPr>
        <w:t xml:space="preserve">, vol. 12, no. 1, pp. 1543–1548, 2024, doi: </w:t>
      </w:r>
      <w:r>
        <w:fldChar w:fldCharType="begin"/>
      </w:r>
      <w:r>
        <w:instrText xml:space="preserve"> HYPERLINK "https://doi.org/10.22214/ijraset.2024.58149" </w:instrText>
      </w:r>
      <w:r>
        <w:fldChar w:fldCharType="separate"/>
      </w:r>
      <w:r>
        <w:rPr>
          <w:rStyle w:val="17"/>
          <w:rFonts w:cs="Times New Roman"/>
        </w:rPr>
        <w:t>10.22214/ijraset.2024.58149</w:t>
      </w:r>
      <w:r>
        <w:rPr>
          <w:rStyle w:val="17"/>
          <w:rFonts w:cs="Times New Roman"/>
        </w:rPr>
        <w:fldChar w:fldCharType="end"/>
      </w:r>
      <w:r>
        <w:rPr>
          <w:rFonts w:cs="Times New Roman"/>
        </w:rPr>
        <w:t>.</w:t>
      </w:r>
    </w:p>
    <w:p w14:paraId="7AE52DE6">
      <w:pPr>
        <w:pStyle w:val="46"/>
        <w:rPr>
          <w:rFonts w:cs="Times New Roman"/>
        </w:rPr>
      </w:pPr>
      <w:r>
        <w:rPr>
          <w:rFonts w:cs="Times New Roman"/>
        </w:rPr>
        <w:t>[4]</w:t>
      </w:r>
      <w:r>
        <w:rPr>
          <w:rFonts w:cs="Times New Roman"/>
        </w:rPr>
        <w:tab/>
      </w:r>
      <w:r>
        <w:rPr>
          <w:rFonts w:cs="Times New Roman"/>
        </w:rPr>
        <w:t xml:space="preserve">Oshoke Samson Igonor, M. B. Amin, and S. Garg, “The Application of Blockchain Technology in the Field of Digital Forensics: A Literature Review,” </w:t>
      </w:r>
      <w:r>
        <w:rPr>
          <w:rFonts w:cs="Times New Roman"/>
          <w:i/>
          <w:iCs/>
        </w:rPr>
        <w:t>Blockchains</w:t>
      </w:r>
      <w:r>
        <w:rPr>
          <w:rFonts w:cs="Times New Roman"/>
        </w:rPr>
        <w:t xml:space="preserve">, vol. 3, no. 1, pp. 5–5, 2025, doi: </w:t>
      </w:r>
      <w:r>
        <w:fldChar w:fldCharType="begin"/>
      </w:r>
      <w:r>
        <w:instrText xml:space="preserve"> HYPERLINK "https://doi.org/10.3390/blockchains3010005" </w:instrText>
      </w:r>
      <w:r>
        <w:fldChar w:fldCharType="separate"/>
      </w:r>
      <w:r>
        <w:rPr>
          <w:rStyle w:val="17"/>
          <w:rFonts w:cs="Times New Roman"/>
        </w:rPr>
        <w:t>10.3390/blockchains3010005</w:t>
      </w:r>
      <w:r>
        <w:rPr>
          <w:rStyle w:val="17"/>
          <w:rFonts w:cs="Times New Roman"/>
        </w:rPr>
        <w:fldChar w:fldCharType="end"/>
      </w:r>
      <w:r>
        <w:rPr>
          <w:rFonts w:cs="Times New Roman"/>
        </w:rPr>
        <w:t>.</w:t>
      </w:r>
    </w:p>
    <w:p w14:paraId="451ED999">
      <w:pPr>
        <w:pStyle w:val="46"/>
        <w:rPr>
          <w:rFonts w:cs="Times New Roman"/>
        </w:rPr>
      </w:pPr>
      <w:r>
        <w:rPr>
          <w:rFonts w:cs="Times New Roman"/>
        </w:rPr>
        <w:t>[5]</w:t>
      </w:r>
      <w:r>
        <w:rPr>
          <w:rFonts w:cs="Times New Roman"/>
        </w:rPr>
        <w:tab/>
      </w:r>
      <w:r>
        <w:rPr>
          <w:rFonts w:cs="Times New Roman"/>
        </w:rPr>
        <w:t xml:space="preserve">M. Nouh, J. R. C. Nurse, H. Webb, and M. Goldsmith, “Cybercrime Investigators are Users Too! Understanding the Socio-Technical Challenges Faced by Law Enforcement,” </w:t>
      </w:r>
      <w:r>
        <w:rPr>
          <w:rFonts w:cs="Times New Roman"/>
          <w:i/>
          <w:iCs/>
        </w:rPr>
        <w:t>Proc. 2019 Workshop Usable Secur.</w:t>
      </w:r>
      <w:r>
        <w:rPr>
          <w:rFonts w:cs="Times New Roman"/>
        </w:rPr>
        <w:t xml:space="preserve">, 2019, doi: </w:t>
      </w:r>
      <w:r>
        <w:fldChar w:fldCharType="begin"/>
      </w:r>
      <w:r>
        <w:instrText xml:space="preserve"> HYPERLINK "https://doi.org/10.14722/usec.2019.23032" </w:instrText>
      </w:r>
      <w:r>
        <w:fldChar w:fldCharType="separate"/>
      </w:r>
      <w:r>
        <w:rPr>
          <w:rStyle w:val="17"/>
          <w:rFonts w:cs="Times New Roman"/>
        </w:rPr>
        <w:t>10.14722/usec.2019.23032</w:t>
      </w:r>
      <w:r>
        <w:rPr>
          <w:rStyle w:val="17"/>
          <w:rFonts w:cs="Times New Roman"/>
        </w:rPr>
        <w:fldChar w:fldCharType="end"/>
      </w:r>
      <w:r>
        <w:rPr>
          <w:rFonts w:cs="Times New Roman"/>
        </w:rPr>
        <w:t>.</w:t>
      </w:r>
    </w:p>
    <w:p w14:paraId="4B8EA4F6">
      <w:pPr>
        <w:pStyle w:val="46"/>
        <w:rPr>
          <w:rFonts w:cs="Times New Roman"/>
        </w:rPr>
      </w:pPr>
      <w:r>
        <w:rPr>
          <w:rFonts w:cs="Times New Roman"/>
        </w:rPr>
        <w:t>[6]</w:t>
      </w:r>
      <w:r>
        <w:rPr>
          <w:rFonts w:cs="Times New Roman"/>
        </w:rPr>
        <w:tab/>
      </w:r>
      <w:r>
        <w:rPr>
          <w:rFonts w:cs="Times New Roman"/>
        </w:rPr>
        <w:t xml:space="preserve">G. Tully, N. Cohen, D. Compton, G. Davies, R. Isbell, and T. Watson, “Quality standards for digital forensics: Learning from experience in England &amp; Wales,” </w:t>
      </w:r>
      <w:r>
        <w:rPr>
          <w:rFonts w:cs="Times New Roman"/>
          <w:i/>
          <w:iCs/>
        </w:rPr>
        <w:t>Forensic Sci. Int. Digit. Investig.</w:t>
      </w:r>
      <w:r>
        <w:rPr>
          <w:rFonts w:cs="Times New Roman"/>
        </w:rPr>
        <w:t xml:space="preserve">, vol. 32, p. 200905, 2020, doi: </w:t>
      </w:r>
      <w:r>
        <w:fldChar w:fldCharType="begin"/>
      </w:r>
      <w:r>
        <w:instrText xml:space="preserve"> HYPERLINK "https://doi.org/10.1016/j.fsidi.2020.200905" </w:instrText>
      </w:r>
      <w:r>
        <w:fldChar w:fldCharType="separate"/>
      </w:r>
      <w:r>
        <w:rPr>
          <w:rStyle w:val="17"/>
          <w:rFonts w:cs="Times New Roman"/>
        </w:rPr>
        <w:t>10.1016/j.fsidi.2020.200905</w:t>
      </w:r>
      <w:r>
        <w:rPr>
          <w:rStyle w:val="17"/>
          <w:rFonts w:cs="Times New Roman"/>
        </w:rPr>
        <w:fldChar w:fldCharType="end"/>
      </w:r>
      <w:r>
        <w:rPr>
          <w:rFonts w:cs="Times New Roman"/>
        </w:rPr>
        <w:t>.</w:t>
      </w:r>
    </w:p>
    <w:p w14:paraId="3A5B5E2A">
      <w:pPr>
        <w:pStyle w:val="46"/>
        <w:rPr>
          <w:rFonts w:cs="Times New Roman"/>
        </w:rPr>
      </w:pPr>
      <w:r>
        <w:rPr>
          <w:rFonts w:cs="Times New Roman"/>
        </w:rPr>
        <w:t>[7]</w:t>
      </w:r>
      <w:r>
        <w:rPr>
          <w:rFonts w:cs="Times New Roman"/>
        </w:rPr>
        <w:tab/>
      </w:r>
      <w:r>
        <w:rPr>
          <w:rFonts w:cs="Times New Roman"/>
        </w:rPr>
        <w:t xml:space="preserve">B. Fakiha, “Unlocking Digital Evidence: Recent Challenges and Strategies in Mobile Device Forensic Analysis,” </w:t>
      </w:r>
      <w:r>
        <w:rPr>
          <w:rFonts w:cs="Times New Roman"/>
          <w:i/>
          <w:iCs/>
        </w:rPr>
        <w:t>J. Internet Serv. Inf. Secur.</w:t>
      </w:r>
      <w:r>
        <w:rPr>
          <w:rFonts w:cs="Times New Roman"/>
        </w:rPr>
        <w:t xml:space="preserve">, vol. 14, no. 2, pp. 68–84, 2024, doi: </w:t>
      </w:r>
      <w:r>
        <w:fldChar w:fldCharType="begin"/>
      </w:r>
      <w:r>
        <w:instrText xml:space="preserve"> HYPERLINK "https://doi.org/10.58346/jisis.2024.i2.005" </w:instrText>
      </w:r>
      <w:r>
        <w:fldChar w:fldCharType="separate"/>
      </w:r>
      <w:r>
        <w:rPr>
          <w:rStyle w:val="17"/>
          <w:rFonts w:cs="Times New Roman"/>
        </w:rPr>
        <w:t>10.58346/jisis.2024.i2.005</w:t>
      </w:r>
      <w:r>
        <w:rPr>
          <w:rStyle w:val="17"/>
          <w:rFonts w:cs="Times New Roman"/>
        </w:rPr>
        <w:fldChar w:fldCharType="end"/>
      </w:r>
      <w:r>
        <w:rPr>
          <w:rFonts w:cs="Times New Roman"/>
        </w:rPr>
        <w:t>.</w:t>
      </w:r>
    </w:p>
    <w:p w14:paraId="5E384134">
      <w:pPr>
        <w:pStyle w:val="46"/>
        <w:rPr>
          <w:rFonts w:cs="Times New Roman"/>
        </w:rPr>
      </w:pPr>
      <w:r>
        <w:rPr>
          <w:rFonts w:cs="Times New Roman"/>
        </w:rPr>
        <w:t>[8]</w:t>
      </w:r>
      <w:r>
        <w:rPr>
          <w:rFonts w:cs="Times New Roman"/>
        </w:rPr>
        <w:tab/>
      </w:r>
      <w:r>
        <w:rPr>
          <w:rFonts w:cs="Times New Roman"/>
        </w:rPr>
        <w:t xml:space="preserve">P. Reedy, “Interpol review of digital evidence for 2019–2022,” </w:t>
      </w:r>
      <w:r>
        <w:rPr>
          <w:rFonts w:cs="Times New Roman"/>
          <w:i/>
          <w:iCs/>
        </w:rPr>
        <w:t>Forensic Sci. Int. Synergy</w:t>
      </w:r>
      <w:r>
        <w:rPr>
          <w:rFonts w:cs="Times New Roman"/>
        </w:rPr>
        <w:t xml:space="preserve">, vol. 6, p. 100313, 2023, doi: </w:t>
      </w:r>
      <w:r>
        <w:fldChar w:fldCharType="begin"/>
      </w:r>
      <w:r>
        <w:instrText xml:space="preserve"> HYPERLINK "https://doi.org/10.1016/j.fsisyn.2022.100313" </w:instrText>
      </w:r>
      <w:r>
        <w:fldChar w:fldCharType="separate"/>
      </w:r>
      <w:r>
        <w:rPr>
          <w:rStyle w:val="17"/>
          <w:rFonts w:cs="Times New Roman"/>
        </w:rPr>
        <w:t>10.1016/j.fsisyn.2022.100313</w:t>
      </w:r>
      <w:r>
        <w:rPr>
          <w:rStyle w:val="17"/>
          <w:rFonts w:cs="Times New Roman"/>
        </w:rPr>
        <w:fldChar w:fldCharType="end"/>
      </w:r>
      <w:r>
        <w:rPr>
          <w:rFonts w:cs="Times New Roman"/>
        </w:rPr>
        <w:t>.</w:t>
      </w:r>
    </w:p>
    <w:p w14:paraId="2F2A60D4">
      <w:pPr>
        <w:pStyle w:val="46"/>
        <w:rPr>
          <w:rFonts w:cs="Times New Roman"/>
        </w:rPr>
      </w:pPr>
      <w:r>
        <w:rPr>
          <w:rFonts w:cs="Times New Roman"/>
        </w:rPr>
        <w:t>[9]</w:t>
      </w:r>
      <w:r>
        <w:rPr>
          <w:rFonts w:cs="Times New Roman"/>
        </w:rPr>
        <w:tab/>
      </w:r>
      <w:r>
        <w:rPr>
          <w:rFonts w:cs="Times New Roman"/>
        </w:rPr>
        <w:t xml:space="preserve">K. K. Sindhu and B. B. Meshram, “Digital Forensics and Cyber Crime Datamining,” </w:t>
      </w:r>
      <w:r>
        <w:rPr>
          <w:rFonts w:cs="Times New Roman"/>
          <w:i/>
          <w:iCs/>
        </w:rPr>
        <w:t>J. Inf. Secur.</w:t>
      </w:r>
      <w:r>
        <w:rPr>
          <w:rFonts w:cs="Times New Roman"/>
        </w:rPr>
        <w:t xml:space="preserve">, vol. 03, no. 03, pp. 196–201, 2012, doi: </w:t>
      </w:r>
      <w:r>
        <w:fldChar w:fldCharType="begin"/>
      </w:r>
      <w:r>
        <w:instrText xml:space="preserve"> HYPERLINK "https://doi.org/10.4236/jis.2012.33024" </w:instrText>
      </w:r>
      <w:r>
        <w:fldChar w:fldCharType="separate"/>
      </w:r>
      <w:r>
        <w:rPr>
          <w:rStyle w:val="17"/>
          <w:rFonts w:cs="Times New Roman"/>
        </w:rPr>
        <w:t>10.4236/jis.2012.33024</w:t>
      </w:r>
      <w:r>
        <w:rPr>
          <w:rStyle w:val="17"/>
          <w:rFonts w:cs="Times New Roman"/>
        </w:rPr>
        <w:fldChar w:fldCharType="end"/>
      </w:r>
      <w:r>
        <w:rPr>
          <w:rFonts w:cs="Times New Roman"/>
        </w:rPr>
        <w:t>.</w:t>
      </w:r>
    </w:p>
    <w:p w14:paraId="07D15EF0">
      <w:pPr>
        <w:pStyle w:val="46"/>
        <w:rPr>
          <w:rFonts w:cs="Times New Roman"/>
        </w:rPr>
      </w:pPr>
      <w:r>
        <w:rPr>
          <w:rFonts w:cs="Times New Roman"/>
        </w:rPr>
        <w:t>[10]</w:t>
      </w:r>
      <w:r>
        <w:rPr>
          <w:rFonts w:cs="Times New Roman"/>
        </w:rPr>
        <w:tab/>
      </w:r>
      <w:r>
        <w:rPr>
          <w:rFonts w:cs="Times New Roman"/>
        </w:rPr>
        <w:t xml:space="preserve">I. Kotsiuba, I. Skarga-Bandurova, A. Giannakoulias, and O. Bulda, “Basic Forensic Procedures for Cyber Crime Investigation in Smart Grid Networks,” IEEE Xplore. Accessed: Jan. 01, 2020. [Online]. Available: </w:t>
      </w:r>
      <w:r>
        <w:fldChar w:fldCharType="begin"/>
      </w:r>
      <w:r>
        <w:instrText xml:space="preserve"> HYPERLINK "https://ieeexplore.ieee.org/abstract/document/9006215" </w:instrText>
      </w:r>
      <w:r>
        <w:fldChar w:fldCharType="separate"/>
      </w:r>
      <w:r>
        <w:rPr>
          <w:rStyle w:val="17"/>
        </w:rPr>
        <w:t>https://ieeexplore.ieee.org/abstract/document/9006215</w:t>
      </w:r>
      <w:r>
        <w:rPr>
          <w:rStyle w:val="17"/>
        </w:rPr>
        <w:fldChar w:fldCharType="end"/>
      </w:r>
    </w:p>
    <w:p w14:paraId="0633E054">
      <w:pPr>
        <w:pStyle w:val="46"/>
        <w:rPr>
          <w:rFonts w:cs="Times New Roman"/>
        </w:rPr>
      </w:pPr>
      <w:r>
        <w:rPr>
          <w:rFonts w:cs="Times New Roman"/>
        </w:rPr>
        <w:t>[11]</w:t>
      </w:r>
      <w:r>
        <w:rPr>
          <w:rFonts w:cs="Times New Roman"/>
        </w:rPr>
        <w:tab/>
      </w:r>
      <w:r>
        <w:rPr>
          <w:rFonts w:cs="Times New Roman"/>
        </w:rPr>
        <w:t xml:space="preserve">S. Zhao, X.-T. Yuan, X.-H. Wang, Y.-J. Ai, and F.-P. Li, “Research Progress and Hotspots in Microbial Remediation for Polluted Soils,” </w:t>
      </w:r>
      <w:r>
        <w:rPr>
          <w:rFonts w:cs="Times New Roman"/>
          <w:i/>
          <w:iCs/>
        </w:rPr>
        <w:t>Sustainability</w:t>
      </w:r>
      <w:r>
        <w:rPr>
          <w:rFonts w:cs="Times New Roman"/>
        </w:rPr>
        <w:t xml:space="preserve">, vol. 16, no. 17, p. 7458, Aug. 2024, doi: </w:t>
      </w:r>
      <w:r>
        <w:fldChar w:fldCharType="begin"/>
      </w:r>
      <w:r>
        <w:instrText xml:space="preserve"> HYPERLINK "https://doi.org/10.3390/su16177458" </w:instrText>
      </w:r>
      <w:r>
        <w:fldChar w:fldCharType="separate"/>
      </w:r>
      <w:r>
        <w:rPr>
          <w:rStyle w:val="17"/>
          <w:rFonts w:cs="Times New Roman"/>
        </w:rPr>
        <w:t>10.3390/su16177458</w:t>
      </w:r>
      <w:r>
        <w:rPr>
          <w:rStyle w:val="17"/>
          <w:rFonts w:cs="Times New Roman"/>
        </w:rPr>
        <w:fldChar w:fldCharType="end"/>
      </w:r>
      <w:r>
        <w:rPr>
          <w:rFonts w:cs="Times New Roman"/>
        </w:rPr>
        <w:t>.</w:t>
      </w:r>
    </w:p>
    <w:p w14:paraId="0F31A067">
      <w:pPr>
        <w:pStyle w:val="46"/>
        <w:rPr>
          <w:rFonts w:cs="Times New Roman"/>
        </w:rPr>
      </w:pPr>
      <w:r>
        <w:rPr>
          <w:rFonts w:cs="Times New Roman"/>
        </w:rPr>
        <w:t>[12]</w:t>
      </w:r>
      <w:r>
        <w:rPr>
          <w:rFonts w:cs="Times New Roman"/>
        </w:rPr>
        <w:tab/>
      </w:r>
      <w:r>
        <w:rPr>
          <w:rFonts w:cs="Times New Roman"/>
        </w:rPr>
        <w:t xml:space="preserve">C. Rizzo, S. Amata, G. Emmola, S. Buscemi, A. Pace, and A. P. Piccionello, “Preparation and Modification of New Functional Materials for Organic Pollutant Elimination,” in </w:t>
      </w:r>
      <w:r>
        <w:rPr>
          <w:rFonts w:cs="Times New Roman"/>
          <w:i/>
          <w:iCs/>
        </w:rPr>
        <w:t>Advanced Materials for Emerging Water Pollutant Removal</w:t>
      </w:r>
      <w:r>
        <w:rPr>
          <w:rFonts w:cs="Times New Roman"/>
        </w:rPr>
        <w:t xml:space="preserve">, P. S. Goh, D. Kanakaraju, A. Iqbal, and A. F. Ismail, Eds., Royal Society of Chemistry, 2024, pp. 1–23. doi: </w:t>
      </w:r>
      <w:r>
        <w:fldChar w:fldCharType="begin"/>
      </w:r>
      <w:r>
        <w:instrText xml:space="preserve"> HYPERLINK "https://doi.org/10.1039/9781837675425-00001" </w:instrText>
      </w:r>
      <w:r>
        <w:fldChar w:fldCharType="separate"/>
      </w:r>
      <w:r>
        <w:rPr>
          <w:rStyle w:val="17"/>
          <w:rFonts w:cs="Times New Roman"/>
        </w:rPr>
        <w:t>10.1039/9781837675425-00001</w:t>
      </w:r>
      <w:r>
        <w:rPr>
          <w:rStyle w:val="17"/>
          <w:rFonts w:cs="Times New Roman"/>
        </w:rPr>
        <w:fldChar w:fldCharType="end"/>
      </w:r>
      <w:r>
        <w:rPr>
          <w:rFonts w:cs="Times New Roman"/>
        </w:rPr>
        <w:t>.</w:t>
      </w:r>
    </w:p>
    <w:p w14:paraId="7DE3577F">
      <w:pPr>
        <w:pStyle w:val="46"/>
        <w:rPr>
          <w:rFonts w:cs="Times New Roman"/>
        </w:rPr>
      </w:pPr>
      <w:r>
        <w:rPr>
          <w:rFonts w:cs="Times New Roman"/>
        </w:rPr>
        <w:t>[13]</w:t>
      </w:r>
      <w:r>
        <w:rPr>
          <w:rFonts w:cs="Times New Roman"/>
        </w:rPr>
        <w:tab/>
      </w:r>
      <w:r>
        <w:rPr>
          <w:rFonts w:cs="Times New Roman"/>
        </w:rPr>
        <w:t xml:space="preserve">A. Talekar, A. Patil, P. Deore, P. Patil, and M. Mali, “ForenSift: Gen-AI powered integrated Digital Forensics and Incident Response platform using LangChain Framework,” </w:t>
      </w:r>
      <w:r>
        <w:rPr>
          <w:rFonts w:cs="Times New Roman"/>
          <w:i/>
          <w:iCs/>
        </w:rPr>
        <w:t>Int. J. Multidiscip. Res.</w:t>
      </w:r>
      <w:r>
        <w:rPr>
          <w:rFonts w:cs="Times New Roman"/>
        </w:rPr>
        <w:t xml:space="preserve">, vol. 6, no. 6, p. 31692, Nov. 2024, doi: </w:t>
      </w:r>
      <w:r>
        <w:fldChar w:fldCharType="begin"/>
      </w:r>
      <w:r>
        <w:instrText xml:space="preserve"> HYPERLINK "https://doi.org/10.36948/ijfmr.2024.v06i06.31692" </w:instrText>
      </w:r>
      <w:r>
        <w:fldChar w:fldCharType="separate"/>
      </w:r>
      <w:r>
        <w:rPr>
          <w:rStyle w:val="17"/>
          <w:rFonts w:cs="Times New Roman"/>
        </w:rPr>
        <w:t>10.36948/ijfmr.2024.v06i06.31692</w:t>
      </w:r>
      <w:r>
        <w:rPr>
          <w:rStyle w:val="17"/>
          <w:rFonts w:cs="Times New Roman"/>
        </w:rPr>
        <w:fldChar w:fldCharType="end"/>
      </w:r>
      <w:r>
        <w:rPr>
          <w:rFonts w:cs="Times New Roman"/>
        </w:rPr>
        <w:t>.</w:t>
      </w:r>
    </w:p>
    <w:p w14:paraId="15A0994D">
      <w:pPr>
        <w:pStyle w:val="46"/>
        <w:rPr>
          <w:rFonts w:cs="Times New Roman"/>
        </w:rPr>
      </w:pPr>
      <w:r>
        <w:rPr>
          <w:rFonts w:cs="Times New Roman"/>
        </w:rPr>
        <w:t>[14]</w:t>
      </w:r>
      <w:r>
        <w:rPr>
          <w:rFonts w:cs="Times New Roman"/>
        </w:rPr>
        <w:tab/>
      </w:r>
      <w:r>
        <w:rPr>
          <w:rFonts w:cs="Times New Roman"/>
        </w:rPr>
        <w:t xml:space="preserve">Taiwo Blessing Ogunseyi and Oluwasola Mary Adedayo, “Cryptographic Techniques for Data Privacy in Digital Forensics,” </w:t>
      </w:r>
      <w:r>
        <w:rPr>
          <w:rFonts w:cs="Times New Roman"/>
          <w:i/>
          <w:iCs/>
        </w:rPr>
        <w:t>IEEE Access</w:t>
      </w:r>
      <w:r>
        <w:rPr>
          <w:rFonts w:cs="Times New Roman"/>
        </w:rPr>
        <w:t xml:space="preserve">, vol. 11, pp. 142392–142410, 2023, doi: </w:t>
      </w:r>
      <w:r>
        <w:fldChar w:fldCharType="begin"/>
      </w:r>
      <w:r>
        <w:instrText xml:space="preserve"> HYPERLINK "https://doi.org/10.1109/access.2023.3343360" </w:instrText>
      </w:r>
      <w:r>
        <w:fldChar w:fldCharType="separate"/>
      </w:r>
      <w:r>
        <w:rPr>
          <w:rStyle w:val="17"/>
          <w:rFonts w:cs="Times New Roman"/>
        </w:rPr>
        <w:t>10.1109/access.2023.3343360</w:t>
      </w:r>
      <w:r>
        <w:rPr>
          <w:rStyle w:val="17"/>
          <w:rFonts w:cs="Times New Roman"/>
        </w:rPr>
        <w:fldChar w:fldCharType="end"/>
      </w:r>
      <w:r>
        <w:rPr>
          <w:rFonts w:cs="Times New Roman"/>
        </w:rPr>
        <w:t>.</w:t>
      </w:r>
    </w:p>
    <w:p w14:paraId="4D25E3AE">
      <w:pPr>
        <w:pStyle w:val="46"/>
        <w:rPr>
          <w:rFonts w:cs="Times New Roman"/>
        </w:rPr>
      </w:pPr>
      <w:r>
        <w:rPr>
          <w:rFonts w:cs="Times New Roman"/>
        </w:rPr>
        <w:t>[15]</w:t>
      </w:r>
      <w:r>
        <w:rPr>
          <w:rFonts w:cs="Times New Roman"/>
        </w:rPr>
        <w:tab/>
      </w:r>
      <w:r>
        <w:rPr>
          <w:rFonts w:cs="Times New Roman"/>
        </w:rPr>
        <w:t xml:space="preserve">K. Dheenadhayalan, J. J. Devapitchai, R. Surianarayanan, and S. Usha, “A Review of Current Applications of AI and Machine Learning Methods for Financial Statement Analysis:,” in </w:t>
      </w:r>
      <w:r>
        <w:rPr>
          <w:rFonts w:cs="Times New Roman"/>
          <w:i/>
          <w:iCs/>
        </w:rPr>
        <w:t>Advances in Finance, Accounting, and Economics</w:t>
      </w:r>
      <w:r>
        <w:rPr>
          <w:rFonts w:cs="Times New Roman"/>
        </w:rPr>
        <w:t xml:space="preserve">, H. Chen, Ed., IGI Global, 2025, pp. 211–230. doi: </w:t>
      </w:r>
      <w:r>
        <w:fldChar w:fldCharType="begin"/>
      </w:r>
      <w:r>
        <w:instrText xml:space="preserve"> HYPERLINK "https://doi.org/10.4018/979-8-3693-8186-1.ch008" </w:instrText>
      </w:r>
      <w:r>
        <w:fldChar w:fldCharType="separate"/>
      </w:r>
      <w:r>
        <w:rPr>
          <w:rStyle w:val="17"/>
          <w:rFonts w:cs="Times New Roman"/>
        </w:rPr>
        <w:t>10.4018/979-8-3693-8186-1.ch008</w:t>
      </w:r>
      <w:r>
        <w:rPr>
          <w:rStyle w:val="17"/>
          <w:rFonts w:cs="Times New Roman"/>
        </w:rPr>
        <w:fldChar w:fldCharType="end"/>
      </w:r>
      <w:r>
        <w:rPr>
          <w:rFonts w:cs="Times New Roman"/>
        </w:rPr>
        <w:t>.</w:t>
      </w:r>
    </w:p>
    <w:p w14:paraId="419C79B4">
      <w:pPr>
        <w:pStyle w:val="46"/>
        <w:rPr>
          <w:rFonts w:cs="Times New Roman"/>
        </w:rPr>
      </w:pPr>
      <w:r>
        <w:rPr>
          <w:rFonts w:cs="Times New Roman"/>
        </w:rPr>
        <w:t>[16]</w:t>
      </w:r>
      <w:r>
        <w:rPr>
          <w:rFonts w:cs="Times New Roman"/>
        </w:rPr>
        <w:tab/>
      </w:r>
      <w:r>
        <w:rPr>
          <w:rFonts w:cs="Times New Roman"/>
        </w:rPr>
        <w:t xml:space="preserve">M. E. Moudni and Elhoussaine Ziyati, “Advances and Challenges in Cloud Data Storage Security: A Systematic Review,” </w:t>
      </w:r>
      <w:r>
        <w:rPr>
          <w:rFonts w:cs="Times New Roman"/>
          <w:i/>
          <w:iCs/>
        </w:rPr>
        <w:t>Int. J. Saf. Secur. Eng.</w:t>
      </w:r>
      <w:r>
        <w:rPr>
          <w:rFonts w:cs="Times New Roman"/>
        </w:rPr>
        <w:t xml:space="preserve">, vol. 15, no. 4, pp. 653–675, 2025, doi: </w:t>
      </w:r>
      <w:r>
        <w:fldChar w:fldCharType="begin"/>
      </w:r>
      <w:r>
        <w:instrText xml:space="preserve"> HYPERLINK "https://doi.org/10.18280/ijsse.150403" </w:instrText>
      </w:r>
      <w:r>
        <w:fldChar w:fldCharType="separate"/>
      </w:r>
      <w:r>
        <w:rPr>
          <w:rStyle w:val="17"/>
          <w:rFonts w:cs="Times New Roman"/>
        </w:rPr>
        <w:t>10.18280/ijsse.150403</w:t>
      </w:r>
      <w:r>
        <w:rPr>
          <w:rStyle w:val="17"/>
          <w:rFonts w:cs="Times New Roman"/>
        </w:rPr>
        <w:fldChar w:fldCharType="end"/>
      </w:r>
      <w:r>
        <w:rPr>
          <w:rFonts w:cs="Times New Roman"/>
        </w:rPr>
        <w:t>.</w:t>
      </w:r>
    </w:p>
    <w:p w14:paraId="2AF5D305">
      <w:pPr>
        <w:pStyle w:val="46"/>
        <w:rPr>
          <w:rFonts w:cs="Times New Roman"/>
        </w:rPr>
      </w:pPr>
      <w:r>
        <w:rPr>
          <w:rFonts w:cs="Times New Roman"/>
        </w:rPr>
        <w:t>[17]</w:t>
      </w:r>
      <w:r>
        <w:rPr>
          <w:rFonts w:cs="Times New Roman"/>
        </w:rPr>
        <w:tab/>
      </w:r>
      <w:r>
        <w:rPr>
          <w:rFonts w:cs="Times New Roman"/>
        </w:rPr>
        <w:t xml:space="preserve">V. Franssen, “Cross-border gathering of electronic evidence in the EU: toward more direct cooperation under the e-Evidence Regulation,” </w:t>
      </w:r>
      <w:r>
        <w:rPr>
          <w:rFonts w:cs="Times New Roman"/>
          <w:i/>
          <w:iCs/>
        </w:rPr>
        <w:t>Edw. Elgar Publ. EBooks</w:t>
      </w:r>
      <w:r>
        <w:rPr>
          <w:rFonts w:cs="Times New Roman"/>
        </w:rPr>
        <w:t xml:space="preserve">, pp. 184–211, 2024, doi: </w:t>
      </w:r>
      <w:r>
        <w:fldChar w:fldCharType="begin"/>
      </w:r>
      <w:r>
        <w:instrText xml:space="preserve"> HYPERLINK "https://doi.org/10.4337/9781800886438.00016" </w:instrText>
      </w:r>
      <w:r>
        <w:fldChar w:fldCharType="separate"/>
      </w:r>
      <w:r>
        <w:rPr>
          <w:rStyle w:val="17"/>
          <w:rFonts w:cs="Times New Roman"/>
        </w:rPr>
        <w:t>10.4337/9781800886438.00016</w:t>
      </w:r>
      <w:r>
        <w:rPr>
          <w:rStyle w:val="17"/>
          <w:rFonts w:cs="Times New Roman"/>
        </w:rPr>
        <w:fldChar w:fldCharType="end"/>
      </w:r>
      <w:r>
        <w:rPr>
          <w:rFonts w:cs="Times New Roman"/>
        </w:rPr>
        <w:t>.</w:t>
      </w:r>
    </w:p>
    <w:p w14:paraId="33AD3E7C">
      <w:pPr>
        <w:pStyle w:val="46"/>
        <w:rPr>
          <w:rFonts w:cs="Times New Roman"/>
        </w:rPr>
      </w:pPr>
      <w:r>
        <w:rPr>
          <w:rFonts w:cs="Times New Roman"/>
        </w:rPr>
        <w:t>[18]</w:t>
      </w:r>
      <w:r>
        <w:rPr>
          <w:rFonts w:cs="Times New Roman"/>
        </w:rPr>
        <w:tab/>
      </w:r>
      <w:r>
        <w:rPr>
          <w:rFonts w:cs="Times New Roman"/>
        </w:rPr>
        <w:t xml:space="preserve">L. Klasén, N. Fock, and R. Forchheimer, “The invisible evidence: Digital forensics as key to solving crimes in the digital age,” </w:t>
      </w:r>
      <w:r>
        <w:rPr>
          <w:rFonts w:cs="Times New Roman"/>
          <w:i/>
          <w:iCs/>
        </w:rPr>
        <w:t>Forensic Sci. Int.</w:t>
      </w:r>
      <w:r>
        <w:rPr>
          <w:rFonts w:cs="Times New Roman"/>
        </w:rPr>
        <w:t xml:space="preserve">, vol. 362, pp. 112133–112133, 2024, doi: </w:t>
      </w:r>
      <w:r>
        <w:fldChar w:fldCharType="begin"/>
      </w:r>
      <w:r>
        <w:instrText xml:space="preserve"> HYPERLINK "https://doi.org/10.1016/j.forsciint.2024.112133" </w:instrText>
      </w:r>
      <w:r>
        <w:fldChar w:fldCharType="separate"/>
      </w:r>
      <w:r>
        <w:rPr>
          <w:rStyle w:val="17"/>
          <w:rFonts w:cs="Times New Roman"/>
        </w:rPr>
        <w:t>10.1016/j.forsciint.2024.112133</w:t>
      </w:r>
      <w:r>
        <w:rPr>
          <w:rStyle w:val="17"/>
          <w:rFonts w:cs="Times New Roman"/>
        </w:rPr>
        <w:fldChar w:fldCharType="end"/>
      </w:r>
      <w:r>
        <w:rPr>
          <w:rFonts w:cs="Times New Roman"/>
        </w:rPr>
        <w:t>.</w:t>
      </w:r>
    </w:p>
    <w:p w14:paraId="1842E275">
      <w:pPr>
        <w:pStyle w:val="46"/>
        <w:rPr>
          <w:rFonts w:cs="Times New Roman"/>
        </w:rPr>
      </w:pPr>
      <w:r>
        <w:rPr>
          <w:rFonts w:cs="Times New Roman"/>
        </w:rPr>
        <w:t>[19]</w:t>
      </w:r>
      <w:r>
        <w:rPr>
          <w:rFonts w:cs="Times New Roman"/>
        </w:rPr>
        <w:tab/>
      </w:r>
      <w:r>
        <w:rPr>
          <w:rFonts w:cs="Times New Roman"/>
        </w:rPr>
        <w:t xml:space="preserve">A. Fukami, R. Stoykova, and Z. Geradts, “A new model for forensic data extraction from encrypted mobile devices,” </w:t>
      </w:r>
      <w:r>
        <w:rPr>
          <w:rFonts w:cs="Times New Roman"/>
          <w:i/>
          <w:iCs/>
        </w:rPr>
        <w:t>Forensic Sci. Int. Digit. Investig.</w:t>
      </w:r>
      <w:r>
        <w:rPr>
          <w:rFonts w:cs="Times New Roman"/>
        </w:rPr>
        <w:t xml:space="preserve">, vol. 38, p. 301169, 2021, doi: </w:t>
      </w:r>
      <w:r>
        <w:fldChar w:fldCharType="begin"/>
      </w:r>
      <w:r>
        <w:instrText xml:space="preserve"> HYPERLINK "https://doi.org/10.1016/j.fsidi.2021.301169" </w:instrText>
      </w:r>
      <w:r>
        <w:fldChar w:fldCharType="separate"/>
      </w:r>
      <w:r>
        <w:rPr>
          <w:rStyle w:val="17"/>
          <w:rFonts w:cs="Times New Roman"/>
        </w:rPr>
        <w:t>10.1016/j.fsidi.2021.301169</w:t>
      </w:r>
      <w:r>
        <w:rPr>
          <w:rStyle w:val="17"/>
          <w:rFonts w:cs="Times New Roman"/>
        </w:rPr>
        <w:fldChar w:fldCharType="end"/>
      </w:r>
      <w:r>
        <w:rPr>
          <w:rFonts w:cs="Times New Roman"/>
        </w:rPr>
        <w:t>.</w:t>
      </w:r>
    </w:p>
    <w:p w14:paraId="58F659F3">
      <w:pPr>
        <w:pStyle w:val="46"/>
        <w:rPr>
          <w:rFonts w:cs="Times New Roman"/>
        </w:rPr>
      </w:pPr>
      <w:r>
        <w:rPr>
          <w:rFonts w:cs="Times New Roman"/>
        </w:rPr>
        <w:t>[20]</w:t>
      </w:r>
      <w:r>
        <w:rPr>
          <w:rFonts w:cs="Times New Roman"/>
        </w:rPr>
        <w:tab/>
      </w:r>
      <w:r>
        <w:rPr>
          <w:rFonts w:cs="Times New Roman"/>
        </w:rPr>
        <w:t xml:space="preserve">A. Makate, M. Muduva, R. Chiwariro, A. K. Agrawal, and P. Khatri, “Android Smart Phone Forensics using Open Source Tools,” </w:t>
      </w:r>
      <w:r>
        <w:rPr>
          <w:rFonts w:cs="Times New Roman"/>
          <w:i/>
          <w:iCs/>
        </w:rPr>
        <w:t>Int. J. Res. Appl. Sci. Eng. Technol.</w:t>
      </w:r>
      <w:r>
        <w:rPr>
          <w:rFonts w:cs="Times New Roman"/>
        </w:rPr>
        <w:t xml:space="preserve">, vol. 11, no. 10, pp. 935–942, 2023, doi: </w:t>
      </w:r>
      <w:r>
        <w:fldChar w:fldCharType="begin"/>
      </w:r>
      <w:r>
        <w:instrText xml:space="preserve"> HYPERLINK "https://doi.org/10.22214/ijraset.2023.56106" </w:instrText>
      </w:r>
      <w:r>
        <w:fldChar w:fldCharType="separate"/>
      </w:r>
      <w:r>
        <w:rPr>
          <w:rStyle w:val="17"/>
          <w:rFonts w:cs="Times New Roman"/>
        </w:rPr>
        <w:t>10.22214/ijraset.2023.56106</w:t>
      </w:r>
      <w:r>
        <w:rPr>
          <w:rStyle w:val="17"/>
          <w:rFonts w:cs="Times New Roman"/>
        </w:rPr>
        <w:fldChar w:fldCharType="end"/>
      </w:r>
      <w:r>
        <w:rPr>
          <w:rFonts w:cs="Times New Roman"/>
        </w:rPr>
        <w:t>.</w:t>
      </w:r>
    </w:p>
    <w:p w14:paraId="7DE5A8FF">
      <w:pPr>
        <w:pStyle w:val="46"/>
        <w:rPr>
          <w:rFonts w:cs="Times New Roman"/>
        </w:rPr>
      </w:pPr>
      <w:r>
        <w:rPr>
          <w:rFonts w:cs="Times New Roman"/>
        </w:rPr>
        <w:t>[21]</w:t>
      </w:r>
      <w:r>
        <w:rPr>
          <w:rFonts w:cs="Times New Roman"/>
        </w:rPr>
        <w:tab/>
      </w:r>
      <w:r>
        <w:rPr>
          <w:rFonts w:cs="Times New Roman"/>
        </w:rPr>
        <w:t xml:space="preserve">A. Miller and A. Singh, “Chain of Custody and Evidence Integrity Verification Using Blockchain Technology,” </w:t>
      </w:r>
      <w:r>
        <w:rPr>
          <w:rFonts w:cs="Times New Roman"/>
          <w:i/>
          <w:iCs/>
        </w:rPr>
        <w:t>Int. Conf. Cyber Warf. Secur.</w:t>
      </w:r>
      <w:r>
        <w:rPr>
          <w:rFonts w:cs="Times New Roman"/>
        </w:rPr>
        <w:t xml:space="preserve">, vol. 19, no. 1, pp. 168–176, Mar. 2024, doi: </w:t>
      </w:r>
      <w:r>
        <w:fldChar w:fldCharType="begin"/>
      </w:r>
      <w:r>
        <w:instrText xml:space="preserve"> HYPERLINK "https://doi.org/10.34190/iccws.19.1.2025" </w:instrText>
      </w:r>
      <w:r>
        <w:fldChar w:fldCharType="separate"/>
      </w:r>
      <w:r>
        <w:rPr>
          <w:rStyle w:val="17"/>
          <w:rFonts w:cs="Times New Roman"/>
        </w:rPr>
        <w:t>10.34190/iccws.19.1.2025</w:t>
      </w:r>
      <w:r>
        <w:rPr>
          <w:rStyle w:val="17"/>
          <w:rFonts w:cs="Times New Roman"/>
        </w:rPr>
        <w:fldChar w:fldCharType="end"/>
      </w:r>
      <w:r>
        <w:rPr>
          <w:rFonts w:cs="Times New Roman"/>
        </w:rPr>
        <w:t>.</w:t>
      </w:r>
    </w:p>
    <w:p w14:paraId="6E914A27">
      <w:pPr>
        <w:pStyle w:val="46"/>
        <w:rPr>
          <w:rFonts w:cs="Times New Roman"/>
        </w:rPr>
      </w:pPr>
      <w:r>
        <w:rPr>
          <w:rFonts w:cs="Times New Roman"/>
        </w:rPr>
        <w:t>[22]</w:t>
      </w:r>
      <w:r>
        <w:rPr>
          <w:rFonts w:cs="Times New Roman"/>
        </w:rPr>
        <w:tab/>
      </w:r>
      <w:r>
        <w:rPr>
          <w:rFonts w:cs="Times New Roman"/>
        </w:rPr>
        <w:t xml:space="preserve">A. J. Akbarfam, G. Dorai, and H. Maleki, “Secure Cross-Chain Provenance for Digital Forensics Collaboration,” 2024, </w:t>
      </w:r>
      <w:r>
        <w:rPr>
          <w:rFonts w:cs="Times New Roman"/>
          <w:i/>
          <w:iCs/>
        </w:rPr>
        <w:t>arXiv</w:t>
      </w:r>
      <w:r>
        <w:rPr>
          <w:rFonts w:cs="Times New Roman"/>
        </w:rPr>
        <w:t xml:space="preserve">. doi: </w:t>
      </w:r>
      <w:r>
        <w:fldChar w:fldCharType="begin"/>
      </w:r>
      <w:r>
        <w:instrText xml:space="preserve"> HYPERLINK "https://doi.org/10.48550/ARXIV.2406.11729" </w:instrText>
      </w:r>
      <w:r>
        <w:fldChar w:fldCharType="separate"/>
      </w:r>
      <w:r>
        <w:rPr>
          <w:rStyle w:val="17"/>
          <w:rFonts w:cs="Times New Roman"/>
        </w:rPr>
        <w:t>10.48550/ARXIV.2406.11729</w:t>
      </w:r>
      <w:r>
        <w:rPr>
          <w:rStyle w:val="17"/>
          <w:rFonts w:cs="Times New Roman"/>
        </w:rPr>
        <w:fldChar w:fldCharType="end"/>
      </w:r>
      <w:r>
        <w:rPr>
          <w:rFonts w:cs="Times New Roman"/>
        </w:rPr>
        <w:t>.</w:t>
      </w:r>
    </w:p>
    <w:p w14:paraId="56D69C66">
      <w:pPr>
        <w:pStyle w:val="46"/>
        <w:rPr>
          <w:rFonts w:cs="Times New Roman"/>
        </w:rPr>
      </w:pPr>
      <w:r>
        <w:rPr>
          <w:rFonts w:cs="Times New Roman"/>
        </w:rPr>
        <w:t>[23]</w:t>
      </w:r>
      <w:r>
        <w:rPr>
          <w:rFonts w:cs="Times New Roman"/>
        </w:rPr>
        <w:tab/>
      </w:r>
      <w:r>
        <w:rPr>
          <w:rFonts w:cs="Times New Roman"/>
        </w:rPr>
        <w:t xml:space="preserve">D.-O. Jaquet-Chiffelle, L. Pfeiffer, L. Brocard, E. Benoist, and N. Foukia, “Horodocs: A scalable, sustainable, robust and privacy compliant system to securely timestamp digital evidence and documents,” </w:t>
      </w:r>
      <w:r>
        <w:rPr>
          <w:rFonts w:cs="Times New Roman"/>
          <w:i/>
          <w:iCs/>
        </w:rPr>
        <w:t>Forensic Sci. Int. Digit. Investig.</w:t>
      </w:r>
      <w:r>
        <w:rPr>
          <w:rFonts w:cs="Times New Roman"/>
        </w:rPr>
        <w:t xml:space="preserve">, vol. 53, p. 301913, June 2025, doi: </w:t>
      </w:r>
      <w:r>
        <w:fldChar w:fldCharType="begin"/>
      </w:r>
      <w:r>
        <w:instrText xml:space="preserve"> HYPERLINK "https://doi.org/10.1016/j.fsidi.2025.301913" </w:instrText>
      </w:r>
      <w:r>
        <w:fldChar w:fldCharType="separate"/>
      </w:r>
      <w:r>
        <w:rPr>
          <w:rStyle w:val="17"/>
          <w:rFonts w:cs="Times New Roman"/>
        </w:rPr>
        <w:t>10.1016/j.fsidi.2025.301913</w:t>
      </w:r>
      <w:r>
        <w:rPr>
          <w:rStyle w:val="17"/>
          <w:rFonts w:cs="Times New Roman"/>
        </w:rPr>
        <w:fldChar w:fldCharType="end"/>
      </w:r>
      <w:r>
        <w:rPr>
          <w:rFonts w:cs="Times New Roman"/>
        </w:rPr>
        <w:t>.</w:t>
      </w:r>
    </w:p>
    <w:p w14:paraId="023AD3FE">
      <w:pPr>
        <w:pStyle w:val="46"/>
        <w:rPr>
          <w:rFonts w:cs="Times New Roman"/>
        </w:rPr>
      </w:pPr>
      <w:r>
        <w:rPr>
          <w:rFonts w:cs="Times New Roman"/>
        </w:rPr>
        <w:t>[24]</w:t>
      </w:r>
      <w:r>
        <w:rPr>
          <w:rFonts w:cs="Times New Roman"/>
        </w:rPr>
        <w:tab/>
      </w:r>
      <w:r>
        <w:rPr>
          <w:rFonts w:cs="Times New Roman"/>
        </w:rPr>
        <w:t xml:space="preserve">E. Ramadhani and S. I. Isnaindar, “Digital Forensics in Google Drive: Techniques for Extracting and Analyzing Digital Artifacts,” </w:t>
      </w:r>
      <w:r>
        <w:rPr>
          <w:rFonts w:cs="Times New Roman"/>
          <w:i/>
          <w:iCs/>
        </w:rPr>
        <w:t>Int. J. Saf. Secur. Eng.</w:t>
      </w:r>
      <w:r>
        <w:rPr>
          <w:rFonts w:cs="Times New Roman"/>
        </w:rPr>
        <w:t xml:space="preserve">, vol. 14, no. 4, pp. 1203–1211, Aug. 2024, doi: </w:t>
      </w:r>
      <w:r>
        <w:fldChar w:fldCharType="begin"/>
      </w:r>
      <w:r>
        <w:instrText xml:space="preserve"> HYPERLINK "https://doi.org/10.18280/ijsse.140417" </w:instrText>
      </w:r>
      <w:r>
        <w:fldChar w:fldCharType="separate"/>
      </w:r>
      <w:r>
        <w:rPr>
          <w:rStyle w:val="17"/>
          <w:rFonts w:cs="Times New Roman"/>
        </w:rPr>
        <w:t>10.18280/ijsse.140417</w:t>
      </w:r>
      <w:r>
        <w:rPr>
          <w:rStyle w:val="17"/>
          <w:rFonts w:cs="Times New Roman"/>
        </w:rPr>
        <w:fldChar w:fldCharType="end"/>
      </w:r>
      <w:r>
        <w:rPr>
          <w:rFonts w:cs="Times New Roman"/>
        </w:rPr>
        <w:t>.</w:t>
      </w:r>
    </w:p>
    <w:p w14:paraId="25E37012">
      <w:pPr>
        <w:pStyle w:val="46"/>
        <w:rPr>
          <w:rFonts w:cs="Times New Roman"/>
        </w:rPr>
      </w:pPr>
      <w:r>
        <w:rPr>
          <w:rFonts w:cs="Times New Roman"/>
        </w:rPr>
        <w:t>[25]</w:t>
      </w:r>
      <w:r>
        <w:rPr>
          <w:rFonts w:cs="Times New Roman"/>
        </w:rPr>
        <w:tab/>
      </w:r>
      <w:r>
        <w:rPr>
          <w:rFonts w:cs="Times New Roman"/>
        </w:rPr>
        <w:t xml:space="preserve">J. Geus, J. Ottmann, and F. Freiling, “Systematic Evaluation of Forensic Data Acquisition using Smartphone Local Backup,” 2024, </w:t>
      </w:r>
      <w:r>
        <w:rPr>
          <w:rFonts w:cs="Times New Roman"/>
          <w:i/>
          <w:iCs/>
        </w:rPr>
        <w:t>arXiv</w:t>
      </w:r>
      <w:r>
        <w:rPr>
          <w:rFonts w:cs="Times New Roman"/>
        </w:rPr>
        <w:t>. doi: 10.48550/ARXIV.2404.12808.</w:t>
      </w:r>
    </w:p>
    <w:p w14:paraId="214F303F">
      <w:pPr>
        <w:pStyle w:val="46"/>
        <w:rPr>
          <w:rFonts w:cs="Times New Roman"/>
        </w:rPr>
      </w:pPr>
      <w:r>
        <w:rPr>
          <w:rFonts w:cs="Times New Roman"/>
        </w:rPr>
        <w:t>[26]</w:t>
      </w:r>
      <w:r>
        <w:rPr>
          <w:rFonts w:cs="Times New Roman"/>
        </w:rPr>
        <w:tab/>
      </w:r>
      <w:r>
        <w:rPr>
          <w:rFonts w:cs="Times New Roman"/>
        </w:rPr>
        <w:t xml:space="preserve">A. M. Alenezi, “Digital and Cloud Forensic Challenges,” 2023, </w:t>
      </w:r>
      <w:r>
        <w:rPr>
          <w:rFonts w:cs="Times New Roman"/>
          <w:i/>
          <w:iCs/>
        </w:rPr>
        <w:t>arXiv</w:t>
      </w:r>
      <w:r>
        <w:rPr>
          <w:rFonts w:cs="Times New Roman"/>
        </w:rPr>
        <w:t xml:space="preserve">. doi: </w:t>
      </w:r>
      <w:r>
        <w:fldChar w:fldCharType="begin"/>
      </w:r>
      <w:r>
        <w:instrText xml:space="preserve"> HYPERLINK "https://doi.org/10.48550/ARXIV.2305.03059" </w:instrText>
      </w:r>
      <w:r>
        <w:fldChar w:fldCharType="separate"/>
      </w:r>
      <w:r>
        <w:rPr>
          <w:rStyle w:val="17"/>
          <w:rFonts w:cs="Times New Roman"/>
        </w:rPr>
        <w:t>10.48550/ARXIV.2305.03059</w:t>
      </w:r>
      <w:r>
        <w:rPr>
          <w:rStyle w:val="17"/>
          <w:rFonts w:cs="Times New Roman"/>
        </w:rPr>
        <w:fldChar w:fldCharType="end"/>
      </w:r>
      <w:r>
        <w:rPr>
          <w:rFonts w:cs="Times New Roman"/>
        </w:rPr>
        <w:t>.</w:t>
      </w:r>
    </w:p>
    <w:p w14:paraId="75FA92DC">
      <w:pPr>
        <w:pStyle w:val="46"/>
        <w:rPr>
          <w:rFonts w:cs="Times New Roman"/>
        </w:rPr>
      </w:pPr>
      <w:r>
        <w:rPr>
          <w:rFonts w:cs="Times New Roman"/>
        </w:rPr>
        <w:t>[27]</w:t>
      </w:r>
      <w:r>
        <w:rPr>
          <w:rFonts w:cs="Times New Roman"/>
        </w:rPr>
        <w:tab/>
      </w:r>
      <w:r>
        <w:rPr>
          <w:rFonts w:cs="Times New Roman"/>
        </w:rPr>
        <w:t xml:space="preserve">T. Sutikno and I. Busthomi, “Capabilities of cellebrite universal forensics extraction device in mobile device forensics,” </w:t>
      </w:r>
      <w:r>
        <w:rPr>
          <w:rFonts w:cs="Times New Roman"/>
          <w:i/>
          <w:iCs/>
        </w:rPr>
        <w:t>Comput. Sci. Inf. Technol.</w:t>
      </w:r>
      <w:r>
        <w:rPr>
          <w:rFonts w:cs="Times New Roman"/>
        </w:rPr>
        <w:t xml:space="preserve">, vol. 5, no. 3, pp. 254–264, 2024, doi: </w:t>
      </w:r>
      <w:r>
        <w:fldChar w:fldCharType="begin"/>
      </w:r>
      <w:r>
        <w:instrText xml:space="preserve"> HYPERLINK "https://doi.org/10.11591/csit.v5i3.p254-264" </w:instrText>
      </w:r>
      <w:r>
        <w:fldChar w:fldCharType="separate"/>
      </w:r>
      <w:r>
        <w:rPr>
          <w:rStyle w:val="17"/>
          <w:rFonts w:cs="Times New Roman"/>
        </w:rPr>
        <w:t>10.11591/csit.v5i3.p254-264</w:t>
      </w:r>
      <w:r>
        <w:rPr>
          <w:rStyle w:val="17"/>
          <w:rFonts w:cs="Times New Roman"/>
        </w:rPr>
        <w:fldChar w:fldCharType="end"/>
      </w:r>
      <w:r>
        <w:rPr>
          <w:rFonts w:cs="Times New Roman"/>
        </w:rPr>
        <w:t>.</w:t>
      </w:r>
    </w:p>
    <w:p w14:paraId="28E1080C">
      <w:pPr>
        <w:pStyle w:val="46"/>
        <w:rPr>
          <w:rFonts w:cs="Times New Roman"/>
        </w:rPr>
      </w:pPr>
      <w:r>
        <w:rPr>
          <w:rFonts w:cs="Times New Roman"/>
        </w:rPr>
        <w:t>[28]</w:t>
      </w:r>
      <w:r>
        <w:rPr>
          <w:rFonts w:cs="Times New Roman"/>
        </w:rPr>
        <w:tab/>
      </w:r>
      <w:r>
        <w:rPr>
          <w:rFonts w:cs="Times New Roman"/>
        </w:rPr>
        <w:t xml:space="preserve">A. R. Onik, J. Brown, C. Walker, and I. Baggili, “A Systematic Literature Review of Secure Instant Messaging Applications from a Digital Forensics Perspective,” </w:t>
      </w:r>
      <w:r>
        <w:rPr>
          <w:rFonts w:cs="Times New Roman"/>
          <w:i/>
          <w:iCs/>
        </w:rPr>
        <w:t>ACM Comput. Surv.</w:t>
      </w:r>
      <w:r>
        <w:rPr>
          <w:rFonts w:cs="Times New Roman"/>
        </w:rPr>
        <w:t xml:space="preserve">, 2025, doi: </w:t>
      </w:r>
      <w:r>
        <w:fldChar w:fldCharType="begin"/>
      </w:r>
      <w:r>
        <w:instrText xml:space="preserve"> HYPERLINK "https://doi.org/10.1145/3727641" </w:instrText>
      </w:r>
      <w:r>
        <w:fldChar w:fldCharType="separate"/>
      </w:r>
      <w:r>
        <w:rPr>
          <w:rStyle w:val="17"/>
          <w:rFonts w:cs="Times New Roman"/>
        </w:rPr>
        <w:t>10.1145/3727641</w:t>
      </w:r>
      <w:r>
        <w:rPr>
          <w:rStyle w:val="17"/>
          <w:rFonts w:cs="Times New Roman"/>
        </w:rPr>
        <w:fldChar w:fldCharType="end"/>
      </w:r>
      <w:r>
        <w:rPr>
          <w:rFonts w:cs="Times New Roman"/>
        </w:rPr>
        <w:t>.</w:t>
      </w:r>
    </w:p>
    <w:p w14:paraId="5BFE6D3B">
      <w:pPr>
        <w:pStyle w:val="46"/>
        <w:rPr>
          <w:rFonts w:cs="Times New Roman"/>
        </w:rPr>
      </w:pPr>
      <w:r>
        <w:rPr>
          <w:rFonts w:cs="Times New Roman"/>
        </w:rPr>
        <w:t>[29]</w:t>
      </w:r>
      <w:r>
        <w:rPr>
          <w:rFonts w:cs="Times New Roman"/>
        </w:rPr>
        <w:tab/>
      </w:r>
      <w:r>
        <w:rPr>
          <w:rFonts w:cs="Times New Roman"/>
        </w:rPr>
        <w:t xml:space="preserve">C. Vanini, C. Hargreaves, and F. Breitinger, “Evaluating tamper resistance of digital forensic artifacts during event reconstruction,” 2024, </w:t>
      </w:r>
      <w:r>
        <w:rPr>
          <w:rFonts w:cs="Times New Roman"/>
          <w:i/>
          <w:iCs/>
        </w:rPr>
        <w:t>arXiv</w:t>
      </w:r>
      <w:r>
        <w:rPr>
          <w:rFonts w:cs="Times New Roman"/>
        </w:rPr>
        <w:t xml:space="preserve">. doi: </w:t>
      </w:r>
      <w:r>
        <w:fldChar w:fldCharType="begin"/>
      </w:r>
      <w:r>
        <w:instrText xml:space="preserve"> HYPERLINK "https://doi.org/10.48550/ARXIV.2412.12814" </w:instrText>
      </w:r>
      <w:r>
        <w:fldChar w:fldCharType="separate"/>
      </w:r>
      <w:r>
        <w:rPr>
          <w:rStyle w:val="17"/>
          <w:rFonts w:cs="Times New Roman"/>
        </w:rPr>
        <w:t>10.48550/ARXIV.2412.12814</w:t>
      </w:r>
      <w:r>
        <w:rPr>
          <w:rStyle w:val="17"/>
          <w:rFonts w:cs="Times New Roman"/>
        </w:rPr>
        <w:fldChar w:fldCharType="end"/>
      </w:r>
      <w:r>
        <w:rPr>
          <w:rFonts w:cs="Times New Roman"/>
        </w:rPr>
        <w:t>.</w:t>
      </w:r>
    </w:p>
    <w:p w14:paraId="4AB1451A">
      <w:pPr>
        <w:pStyle w:val="46"/>
        <w:rPr>
          <w:rFonts w:cs="Times New Roman"/>
        </w:rPr>
      </w:pPr>
      <w:r>
        <w:rPr>
          <w:rFonts w:cs="Times New Roman"/>
        </w:rPr>
        <w:t>[30]</w:t>
      </w:r>
      <w:r>
        <w:rPr>
          <w:rFonts w:cs="Times New Roman"/>
        </w:rPr>
        <w:tab/>
      </w:r>
      <w:r>
        <w:rPr>
          <w:rFonts w:cs="Times New Roman"/>
        </w:rPr>
        <w:t xml:space="preserve">C. Vanini, J. Gruber, C. Hargreaves, Z. Benenson, F. Freiling, and F. Breitinger, “Strategies and Challenges of Timestamp Tampering for Improved Digital Forensic Event Reconstruction (extended version),” 2025, </w:t>
      </w:r>
      <w:r>
        <w:rPr>
          <w:rFonts w:cs="Times New Roman"/>
          <w:i/>
          <w:iCs/>
        </w:rPr>
        <w:t>arXiv</w:t>
      </w:r>
      <w:r>
        <w:rPr>
          <w:rFonts w:cs="Times New Roman"/>
        </w:rPr>
        <w:t xml:space="preserve">. doi: </w:t>
      </w:r>
      <w:r>
        <w:fldChar w:fldCharType="begin"/>
      </w:r>
      <w:r>
        <w:instrText xml:space="preserve"> HYPERLINK "https://doi.org/10.48550/ARXIV.2501.00175" </w:instrText>
      </w:r>
      <w:r>
        <w:fldChar w:fldCharType="separate"/>
      </w:r>
      <w:r>
        <w:rPr>
          <w:rStyle w:val="17"/>
          <w:rFonts w:cs="Times New Roman"/>
        </w:rPr>
        <w:t>10.48550/ARXIV.2501.00175</w:t>
      </w:r>
      <w:r>
        <w:rPr>
          <w:rStyle w:val="17"/>
          <w:rFonts w:cs="Times New Roman"/>
        </w:rPr>
        <w:fldChar w:fldCharType="end"/>
      </w:r>
      <w:r>
        <w:rPr>
          <w:rFonts w:cs="Times New Roman"/>
        </w:rPr>
        <w:t>.</w:t>
      </w:r>
    </w:p>
    <w:p w14:paraId="0DB4DA07">
      <w:pPr>
        <w:pStyle w:val="46"/>
        <w:rPr>
          <w:rFonts w:cs="Times New Roman"/>
        </w:rPr>
      </w:pPr>
      <w:r>
        <w:rPr>
          <w:rFonts w:cs="Times New Roman"/>
        </w:rPr>
        <w:t>[31]</w:t>
      </w:r>
      <w:r>
        <w:rPr>
          <w:rFonts w:cs="Times New Roman"/>
        </w:rPr>
        <w:tab/>
      </w:r>
      <w:r>
        <w:rPr>
          <w:rFonts w:cs="Times New Roman"/>
        </w:rPr>
        <w:t xml:space="preserve">A. S. Musa, I.-U. Awan, and F. Zahrah, “The Case for Validating ADDIE Model as a Digital Forensic Model for Peer-to-Peer Network Investigation,” </w:t>
      </w:r>
      <w:r>
        <w:rPr>
          <w:rFonts w:cs="Times New Roman"/>
          <w:i/>
          <w:iCs/>
        </w:rPr>
        <w:t>Inf. Syst. Front.</w:t>
      </w:r>
      <w:r>
        <w:rPr>
          <w:rFonts w:cs="Times New Roman"/>
        </w:rPr>
        <w:t xml:space="preserve">, vol. 26, no. 6, pp. 2305–2321, Dec. 2024, doi: </w:t>
      </w:r>
      <w:r>
        <w:fldChar w:fldCharType="begin"/>
      </w:r>
      <w:r>
        <w:instrText xml:space="preserve"> HYPERLINK "https://doi.org/10.1007/s10796-022-10360-8" </w:instrText>
      </w:r>
      <w:r>
        <w:fldChar w:fldCharType="separate"/>
      </w:r>
      <w:r>
        <w:rPr>
          <w:rStyle w:val="17"/>
          <w:rFonts w:cs="Times New Roman"/>
        </w:rPr>
        <w:t>10.1007/s10796-022-10360-8</w:t>
      </w:r>
      <w:r>
        <w:rPr>
          <w:rStyle w:val="17"/>
          <w:rFonts w:cs="Times New Roman"/>
        </w:rPr>
        <w:fldChar w:fldCharType="end"/>
      </w:r>
      <w:r>
        <w:rPr>
          <w:rFonts w:cs="Times New Roman"/>
        </w:rPr>
        <w:t>.</w:t>
      </w:r>
    </w:p>
    <w:p w14:paraId="6E1D0160">
      <w:pPr>
        <w:pStyle w:val="46"/>
        <w:rPr>
          <w:rFonts w:cs="Times New Roman"/>
        </w:rPr>
      </w:pPr>
      <w:r>
        <w:rPr>
          <w:rFonts w:cs="Times New Roman"/>
        </w:rPr>
        <w:t>[32]</w:t>
      </w:r>
      <w:r>
        <w:rPr>
          <w:rFonts w:cs="Times New Roman"/>
        </w:rPr>
        <w:tab/>
      </w:r>
      <w:r>
        <w:rPr>
          <w:rFonts w:cs="Times New Roman"/>
        </w:rPr>
        <w:t xml:space="preserve">A. Akinbi, Á. MacDermott, and A. M. Ismael, “A systematic literature review of blockchain-based Internet of Things (IoT) forensic investigation process models,” </w:t>
      </w:r>
      <w:r>
        <w:rPr>
          <w:rFonts w:cs="Times New Roman"/>
          <w:i/>
          <w:iCs/>
        </w:rPr>
        <w:t>Forensic Sci. Int. Digit. Investig.</w:t>
      </w:r>
      <w:r>
        <w:rPr>
          <w:rFonts w:cs="Times New Roman"/>
        </w:rPr>
        <w:t xml:space="preserve">, vol. 42–43, p. 301470, Oct. 2022, doi: </w:t>
      </w:r>
      <w:r>
        <w:fldChar w:fldCharType="begin"/>
      </w:r>
      <w:r>
        <w:instrText xml:space="preserve"> HYPERLINK "https://doi.org/10.1016/j.fsidi.2022.301470" </w:instrText>
      </w:r>
      <w:r>
        <w:fldChar w:fldCharType="separate"/>
      </w:r>
      <w:r>
        <w:rPr>
          <w:rStyle w:val="17"/>
          <w:rFonts w:cs="Times New Roman"/>
        </w:rPr>
        <w:t>10.1016/j.fsidi.2022.301470</w:t>
      </w:r>
      <w:r>
        <w:rPr>
          <w:rStyle w:val="17"/>
          <w:rFonts w:cs="Times New Roman"/>
        </w:rPr>
        <w:fldChar w:fldCharType="end"/>
      </w:r>
      <w:r>
        <w:rPr>
          <w:rFonts w:cs="Times New Roman"/>
        </w:rPr>
        <w:t>.</w:t>
      </w:r>
    </w:p>
    <w:p w14:paraId="69CAC0F9">
      <w:pPr>
        <w:pStyle w:val="46"/>
        <w:rPr>
          <w:rFonts w:cs="Times New Roman"/>
        </w:rPr>
      </w:pPr>
      <w:r>
        <w:rPr>
          <w:rFonts w:cs="Times New Roman"/>
        </w:rPr>
        <w:t>[33]</w:t>
      </w:r>
      <w:r>
        <w:rPr>
          <w:rFonts w:cs="Times New Roman"/>
        </w:rPr>
        <w:tab/>
      </w:r>
      <w:r>
        <w:rPr>
          <w:rFonts w:cs="Times New Roman"/>
        </w:rPr>
        <w:t xml:space="preserve">S. S. Alqahtany and T. A. Syed, “ForensicTransMonitor: A Comprehensive Blockchain Approach to Reinvent Digital Forensics and Evidence Management,” </w:t>
      </w:r>
      <w:r>
        <w:rPr>
          <w:rFonts w:cs="Times New Roman"/>
          <w:i/>
          <w:iCs/>
        </w:rPr>
        <w:t>Information</w:t>
      </w:r>
      <w:r>
        <w:rPr>
          <w:rFonts w:cs="Times New Roman"/>
        </w:rPr>
        <w:t xml:space="preserve">, vol. 15, no. 2, p. 109, Feb. 2024, doi: </w:t>
      </w:r>
      <w:r>
        <w:fldChar w:fldCharType="begin"/>
      </w:r>
      <w:r>
        <w:instrText xml:space="preserve"> HYPERLINK "https://doi.org/10.3390/info15020109" </w:instrText>
      </w:r>
      <w:r>
        <w:fldChar w:fldCharType="separate"/>
      </w:r>
      <w:r>
        <w:rPr>
          <w:rStyle w:val="17"/>
          <w:rFonts w:cs="Times New Roman"/>
        </w:rPr>
        <w:t>10.3390/info15020109</w:t>
      </w:r>
      <w:r>
        <w:rPr>
          <w:rStyle w:val="17"/>
          <w:rFonts w:cs="Times New Roman"/>
        </w:rPr>
        <w:fldChar w:fldCharType="end"/>
      </w:r>
      <w:r>
        <w:rPr>
          <w:rFonts w:cs="Times New Roman"/>
        </w:rPr>
        <w:t>.</w:t>
      </w:r>
    </w:p>
    <w:p w14:paraId="225A0F76">
      <w:pPr>
        <w:pStyle w:val="46"/>
        <w:rPr>
          <w:rFonts w:cs="Times New Roman"/>
        </w:rPr>
      </w:pPr>
      <w:r>
        <w:rPr>
          <w:rFonts w:cs="Times New Roman"/>
        </w:rPr>
        <w:t>[34]</w:t>
      </w:r>
      <w:r>
        <w:rPr>
          <w:rFonts w:cs="Times New Roman"/>
        </w:rPr>
        <w:tab/>
      </w:r>
      <w:r>
        <w:rPr>
          <w:rFonts w:cs="Times New Roman"/>
        </w:rPr>
        <w:t xml:space="preserve">C.-M. Lin and I.-L. Lin, “Digital Forensics According to International Organization for Standardization /International Organization for Standardization 27050 and Digital Evidence Forensics Standard Operating Procedure: Use of Sensor Technology,” </w:t>
      </w:r>
      <w:r>
        <w:rPr>
          <w:rFonts w:cs="Times New Roman"/>
          <w:i/>
          <w:iCs/>
        </w:rPr>
        <w:t>Sens. Mater.</w:t>
      </w:r>
      <w:r>
        <w:rPr>
          <w:rFonts w:cs="Times New Roman"/>
        </w:rPr>
        <w:t xml:space="preserve">, vol. 36, no. 6, p. 2315, June 2024, doi: </w:t>
      </w:r>
      <w:r>
        <w:fldChar w:fldCharType="begin"/>
      </w:r>
      <w:r>
        <w:instrText xml:space="preserve"> HYPERLINK "https://doi.org/10.18494/SAM4871" </w:instrText>
      </w:r>
      <w:r>
        <w:fldChar w:fldCharType="separate"/>
      </w:r>
      <w:r>
        <w:rPr>
          <w:rStyle w:val="17"/>
          <w:rFonts w:cs="Times New Roman"/>
        </w:rPr>
        <w:t>10.18494/SAM4871</w:t>
      </w:r>
      <w:r>
        <w:rPr>
          <w:rStyle w:val="17"/>
          <w:rFonts w:cs="Times New Roman"/>
        </w:rPr>
        <w:fldChar w:fldCharType="end"/>
      </w:r>
      <w:r>
        <w:rPr>
          <w:rFonts w:cs="Times New Roman"/>
        </w:rPr>
        <w:t>.</w:t>
      </w:r>
    </w:p>
    <w:p w14:paraId="740FF722">
      <w:pPr>
        <w:pStyle w:val="46"/>
        <w:rPr>
          <w:rFonts w:cs="Times New Roman"/>
        </w:rPr>
      </w:pPr>
      <w:r>
        <w:rPr>
          <w:rFonts w:cs="Times New Roman"/>
        </w:rPr>
        <w:t>[35]</w:t>
      </w:r>
      <w:r>
        <w:rPr>
          <w:rFonts w:cs="Times New Roman"/>
        </w:rPr>
        <w:tab/>
      </w:r>
      <w:r>
        <w:rPr>
          <w:rFonts w:cs="Times New Roman"/>
        </w:rPr>
        <w:t xml:space="preserve">B. Fakiha, “Unlocking Digital Evidence: Recent Challenges and Strategies in Mobile Device Forensic Analysis,” </w:t>
      </w:r>
      <w:r>
        <w:rPr>
          <w:rFonts w:cs="Times New Roman"/>
          <w:i/>
          <w:iCs/>
        </w:rPr>
        <w:t>J. Internet Serv. Inf. Secur.</w:t>
      </w:r>
      <w:r>
        <w:rPr>
          <w:rFonts w:cs="Times New Roman"/>
        </w:rPr>
        <w:t xml:space="preserve">, vol. 14, no. 2, pp. 68–84, 2024, doi: </w:t>
      </w:r>
      <w:r>
        <w:fldChar w:fldCharType="begin"/>
      </w:r>
      <w:r>
        <w:instrText xml:space="preserve"> HYPERLINK "https://doi.org/10.58346/jisis.2024.i2.005" </w:instrText>
      </w:r>
      <w:r>
        <w:fldChar w:fldCharType="separate"/>
      </w:r>
      <w:r>
        <w:rPr>
          <w:rStyle w:val="17"/>
          <w:rFonts w:cs="Times New Roman"/>
        </w:rPr>
        <w:t>10.58346/jisis.2024.i2.005</w:t>
      </w:r>
      <w:r>
        <w:rPr>
          <w:rStyle w:val="17"/>
          <w:rFonts w:cs="Times New Roman"/>
        </w:rPr>
        <w:fldChar w:fldCharType="end"/>
      </w:r>
      <w:r>
        <w:rPr>
          <w:rFonts w:cs="Times New Roman"/>
        </w:rPr>
        <w:t>.</w:t>
      </w:r>
    </w:p>
    <w:p w14:paraId="2388C851">
      <w:pPr>
        <w:pStyle w:val="46"/>
        <w:rPr>
          <w:rFonts w:cs="Times New Roman"/>
        </w:rPr>
      </w:pPr>
      <w:r>
        <w:rPr>
          <w:rFonts w:cs="Times New Roman"/>
        </w:rPr>
        <w:t>[36]</w:t>
      </w:r>
      <w:r>
        <w:rPr>
          <w:rFonts w:cs="Times New Roman"/>
        </w:rPr>
        <w:tab/>
      </w:r>
      <w:r>
        <w:rPr>
          <w:rFonts w:cs="Times New Roman"/>
        </w:rPr>
        <w:t xml:space="preserve">A. R. Onik, J. Brown, C. Walker, and I. Baggili, “A Systematic Literature Review of Secure Instant Messaging Applications from a Digital Forensics Perspective,” </w:t>
      </w:r>
      <w:r>
        <w:rPr>
          <w:rFonts w:cs="Times New Roman"/>
          <w:i/>
          <w:iCs/>
        </w:rPr>
        <w:t>ACM Comput. Surv.</w:t>
      </w:r>
      <w:r>
        <w:rPr>
          <w:rFonts w:cs="Times New Roman"/>
        </w:rPr>
        <w:t xml:space="preserve">, 2025, doi: </w:t>
      </w:r>
      <w:r>
        <w:fldChar w:fldCharType="begin"/>
      </w:r>
      <w:r>
        <w:instrText xml:space="preserve"> HYPERLINK "https://doi.org/10.1145/3727641" </w:instrText>
      </w:r>
      <w:r>
        <w:fldChar w:fldCharType="separate"/>
      </w:r>
      <w:r>
        <w:rPr>
          <w:rStyle w:val="17"/>
          <w:rFonts w:cs="Times New Roman"/>
        </w:rPr>
        <w:t>10.1145/3727641</w:t>
      </w:r>
      <w:r>
        <w:rPr>
          <w:rStyle w:val="17"/>
          <w:rFonts w:cs="Times New Roman"/>
        </w:rPr>
        <w:fldChar w:fldCharType="end"/>
      </w:r>
      <w:r>
        <w:rPr>
          <w:rFonts w:cs="Times New Roman"/>
        </w:rPr>
        <w:t>.</w:t>
      </w:r>
    </w:p>
    <w:p w14:paraId="517993BB">
      <w:pPr>
        <w:pStyle w:val="46"/>
        <w:rPr>
          <w:rFonts w:cs="Times New Roman"/>
        </w:rPr>
      </w:pPr>
      <w:r>
        <w:rPr>
          <w:rFonts w:cs="Times New Roman"/>
        </w:rPr>
        <w:t>[37]</w:t>
      </w:r>
      <w:r>
        <w:rPr>
          <w:rFonts w:cs="Times New Roman"/>
        </w:rPr>
        <w:tab/>
      </w:r>
      <w:r>
        <w:rPr>
          <w:rFonts w:cs="Times New Roman"/>
        </w:rPr>
        <w:t xml:space="preserve">Z. Morić, V. Dakić, A. Kapulica, and D. Regvart, “Forensic Investigation Capabilities of Microsoft Azure: A Comprehensive Analysis and Its Significance in Advancing Cloud Cyber Forensics,” </w:t>
      </w:r>
      <w:r>
        <w:rPr>
          <w:rFonts w:cs="Times New Roman"/>
          <w:i/>
          <w:iCs/>
        </w:rPr>
        <w:t>Electronics</w:t>
      </w:r>
      <w:r>
        <w:rPr>
          <w:rFonts w:cs="Times New Roman"/>
        </w:rPr>
        <w:t xml:space="preserve">, vol. 13, no. 22, p. 4546, Nov. 2024, doi: </w:t>
      </w:r>
      <w:r>
        <w:fldChar w:fldCharType="begin"/>
      </w:r>
      <w:r>
        <w:instrText xml:space="preserve"> HYPERLINK "https://doi.org/10.3390/electronics13224546" </w:instrText>
      </w:r>
      <w:r>
        <w:fldChar w:fldCharType="separate"/>
      </w:r>
      <w:r>
        <w:rPr>
          <w:rStyle w:val="17"/>
          <w:rFonts w:cs="Times New Roman"/>
        </w:rPr>
        <w:t>10.3390/electronics13224546</w:t>
      </w:r>
      <w:r>
        <w:rPr>
          <w:rStyle w:val="17"/>
          <w:rFonts w:cs="Times New Roman"/>
        </w:rPr>
        <w:fldChar w:fldCharType="end"/>
      </w:r>
      <w:r>
        <w:rPr>
          <w:rFonts w:cs="Times New Roman"/>
        </w:rPr>
        <w:t>.</w:t>
      </w:r>
    </w:p>
    <w:p w14:paraId="1AA12B6F">
      <w:r>
        <w:fldChar w:fldCharType="end"/>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altName w:val="Segoe Print"/>
    <w:panose1 w:val="00000400000000000000"/>
    <w:charset w:val="00"/>
    <w:family w:val="roman"/>
    <w:pitch w:val="default"/>
    <w:sig w:usb0="00000000" w:usb1="00000000" w:usb2="00000000" w:usb3="00000000" w:csb0="00000001"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590510"/>
    <w:multiLevelType w:val="multilevel"/>
    <w:tmpl w:val="125905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462E2A"/>
    <w:multiLevelType w:val="multilevel"/>
    <w:tmpl w:val="1D462E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
    <w:nsid w:val="20A465B6"/>
    <w:multiLevelType w:val="multilevel"/>
    <w:tmpl w:val="20A465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9667216"/>
    <w:multiLevelType w:val="multilevel"/>
    <w:tmpl w:val="2966721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4">
    <w:nsid w:val="35427484"/>
    <w:multiLevelType w:val="multilevel"/>
    <w:tmpl w:val="3542748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A4D4E7F"/>
    <w:multiLevelType w:val="multilevel"/>
    <w:tmpl w:val="3A4D4E7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6">
    <w:nsid w:val="3E0B7EBC"/>
    <w:multiLevelType w:val="multilevel"/>
    <w:tmpl w:val="3E0B7E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7">
    <w:nsid w:val="4CCD1907"/>
    <w:multiLevelType w:val="multilevel"/>
    <w:tmpl w:val="4CCD19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8">
    <w:nsid w:val="67794FC9"/>
    <w:multiLevelType w:val="multilevel"/>
    <w:tmpl w:val="67794FC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9">
    <w:nsid w:val="68B23CCB"/>
    <w:multiLevelType w:val="multilevel"/>
    <w:tmpl w:val="68B23CC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0">
    <w:nsid w:val="6F6132B5"/>
    <w:multiLevelType w:val="multilevel"/>
    <w:tmpl w:val="6F6132B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1">
    <w:nsid w:val="7C3C5AED"/>
    <w:multiLevelType w:val="multilevel"/>
    <w:tmpl w:val="7C3C5AE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2"/>
  </w:num>
  <w:num w:numId="2">
    <w:abstractNumId w:val="4"/>
  </w:num>
  <w:num w:numId="3">
    <w:abstractNumId w:val="0"/>
  </w:num>
  <w:num w:numId="4">
    <w:abstractNumId w:val="1"/>
  </w:num>
  <w:num w:numId="5">
    <w:abstractNumId w:val="6"/>
  </w:num>
  <w:num w:numId="6">
    <w:abstractNumId w:val="11"/>
  </w:num>
  <w:num w:numId="7">
    <w:abstractNumId w:val="10"/>
  </w:num>
  <w:num w:numId="8">
    <w:abstractNumId w:val="3"/>
  </w:num>
  <w:num w:numId="9">
    <w:abstractNumId w:val="5"/>
  </w:num>
  <w:num w:numId="10">
    <w:abstractNumId w:val="8"/>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057"/>
    <w:rsid w:val="00002EA4"/>
    <w:rsid w:val="00005CBC"/>
    <w:rsid w:val="0000611A"/>
    <w:rsid w:val="000306D9"/>
    <w:rsid w:val="0003312C"/>
    <w:rsid w:val="000552D6"/>
    <w:rsid w:val="0005555F"/>
    <w:rsid w:val="00057212"/>
    <w:rsid w:val="00060155"/>
    <w:rsid w:val="00060720"/>
    <w:rsid w:val="0006278E"/>
    <w:rsid w:val="00063FDA"/>
    <w:rsid w:val="00072EFE"/>
    <w:rsid w:val="00080DF1"/>
    <w:rsid w:val="000906BC"/>
    <w:rsid w:val="00090AAD"/>
    <w:rsid w:val="00092AAD"/>
    <w:rsid w:val="00092C35"/>
    <w:rsid w:val="000A135A"/>
    <w:rsid w:val="000A46AA"/>
    <w:rsid w:val="000B2CE4"/>
    <w:rsid w:val="000E468C"/>
    <w:rsid w:val="000F1B6A"/>
    <w:rsid w:val="000F2330"/>
    <w:rsid w:val="00101BE9"/>
    <w:rsid w:val="001057EC"/>
    <w:rsid w:val="00116041"/>
    <w:rsid w:val="00116A65"/>
    <w:rsid w:val="00124FEB"/>
    <w:rsid w:val="001516F2"/>
    <w:rsid w:val="00153506"/>
    <w:rsid w:val="00161178"/>
    <w:rsid w:val="001666F8"/>
    <w:rsid w:val="00172FAC"/>
    <w:rsid w:val="00186AD0"/>
    <w:rsid w:val="001914CC"/>
    <w:rsid w:val="00191D09"/>
    <w:rsid w:val="00196F2F"/>
    <w:rsid w:val="001A701C"/>
    <w:rsid w:val="001C1CCD"/>
    <w:rsid w:val="001C7743"/>
    <w:rsid w:val="0020119A"/>
    <w:rsid w:val="0021433C"/>
    <w:rsid w:val="00226621"/>
    <w:rsid w:val="0022734A"/>
    <w:rsid w:val="00234B08"/>
    <w:rsid w:val="00235D71"/>
    <w:rsid w:val="002373DF"/>
    <w:rsid w:val="00241CE7"/>
    <w:rsid w:val="002451CD"/>
    <w:rsid w:val="0024527B"/>
    <w:rsid w:val="002456A7"/>
    <w:rsid w:val="002470AA"/>
    <w:rsid w:val="0025317D"/>
    <w:rsid w:val="00255F1C"/>
    <w:rsid w:val="0025704A"/>
    <w:rsid w:val="002814BA"/>
    <w:rsid w:val="00283EA0"/>
    <w:rsid w:val="00287E05"/>
    <w:rsid w:val="00294491"/>
    <w:rsid w:val="002A5F9F"/>
    <w:rsid w:val="002B3641"/>
    <w:rsid w:val="002B4661"/>
    <w:rsid w:val="002C0B94"/>
    <w:rsid w:val="002E7BCF"/>
    <w:rsid w:val="002F2D5D"/>
    <w:rsid w:val="002F5A28"/>
    <w:rsid w:val="003005D6"/>
    <w:rsid w:val="00302582"/>
    <w:rsid w:val="00325AD0"/>
    <w:rsid w:val="00333E39"/>
    <w:rsid w:val="00334DD7"/>
    <w:rsid w:val="003370A6"/>
    <w:rsid w:val="00347695"/>
    <w:rsid w:val="0035416E"/>
    <w:rsid w:val="00354227"/>
    <w:rsid w:val="00361BF7"/>
    <w:rsid w:val="0037084E"/>
    <w:rsid w:val="00377527"/>
    <w:rsid w:val="00382346"/>
    <w:rsid w:val="003A3CA0"/>
    <w:rsid w:val="003B0032"/>
    <w:rsid w:val="003B5763"/>
    <w:rsid w:val="003C13E4"/>
    <w:rsid w:val="003E2057"/>
    <w:rsid w:val="003E3604"/>
    <w:rsid w:val="003E37BF"/>
    <w:rsid w:val="003E73C4"/>
    <w:rsid w:val="00401D57"/>
    <w:rsid w:val="004027AC"/>
    <w:rsid w:val="00410F99"/>
    <w:rsid w:val="00421A4B"/>
    <w:rsid w:val="00424A15"/>
    <w:rsid w:val="004276BA"/>
    <w:rsid w:val="00441957"/>
    <w:rsid w:val="00471FFF"/>
    <w:rsid w:val="00473C30"/>
    <w:rsid w:val="00481D82"/>
    <w:rsid w:val="00493A5F"/>
    <w:rsid w:val="004B3640"/>
    <w:rsid w:val="004C2E07"/>
    <w:rsid w:val="004D0EC9"/>
    <w:rsid w:val="004E2556"/>
    <w:rsid w:val="004E596E"/>
    <w:rsid w:val="004E5A16"/>
    <w:rsid w:val="004E6061"/>
    <w:rsid w:val="004E6383"/>
    <w:rsid w:val="004F4F8F"/>
    <w:rsid w:val="004F5114"/>
    <w:rsid w:val="004F79D9"/>
    <w:rsid w:val="00507B4C"/>
    <w:rsid w:val="00510ED3"/>
    <w:rsid w:val="00517375"/>
    <w:rsid w:val="00520DE0"/>
    <w:rsid w:val="00521436"/>
    <w:rsid w:val="0053044A"/>
    <w:rsid w:val="00533711"/>
    <w:rsid w:val="00555575"/>
    <w:rsid w:val="0055757E"/>
    <w:rsid w:val="00572B28"/>
    <w:rsid w:val="005750F5"/>
    <w:rsid w:val="00575B1B"/>
    <w:rsid w:val="00585215"/>
    <w:rsid w:val="00594477"/>
    <w:rsid w:val="00595F46"/>
    <w:rsid w:val="00596A54"/>
    <w:rsid w:val="005B38A9"/>
    <w:rsid w:val="005B7076"/>
    <w:rsid w:val="005C1080"/>
    <w:rsid w:val="005C291D"/>
    <w:rsid w:val="005C4AEF"/>
    <w:rsid w:val="005C712B"/>
    <w:rsid w:val="005F1E25"/>
    <w:rsid w:val="0060440F"/>
    <w:rsid w:val="006130FB"/>
    <w:rsid w:val="00643AB6"/>
    <w:rsid w:val="00661FA5"/>
    <w:rsid w:val="0066263A"/>
    <w:rsid w:val="00667828"/>
    <w:rsid w:val="00673CDA"/>
    <w:rsid w:val="006775CC"/>
    <w:rsid w:val="00696369"/>
    <w:rsid w:val="006A2698"/>
    <w:rsid w:val="006B01F8"/>
    <w:rsid w:val="006B116C"/>
    <w:rsid w:val="006B5242"/>
    <w:rsid w:val="006B79BC"/>
    <w:rsid w:val="006C244F"/>
    <w:rsid w:val="006D0515"/>
    <w:rsid w:val="006E7CDD"/>
    <w:rsid w:val="006F0D44"/>
    <w:rsid w:val="00700172"/>
    <w:rsid w:val="00710D56"/>
    <w:rsid w:val="00712679"/>
    <w:rsid w:val="00722A9D"/>
    <w:rsid w:val="00723824"/>
    <w:rsid w:val="00734D34"/>
    <w:rsid w:val="007402F8"/>
    <w:rsid w:val="00757A15"/>
    <w:rsid w:val="00762EA1"/>
    <w:rsid w:val="007677CA"/>
    <w:rsid w:val="00770120"/>
    <w:rsid w:val="007807E5"/>
    <w:rsid w:val="007939F9"/>
    <w:rsid w:val="007B219F"/>
    <w:rsid w:val="007D6756"/>
    <w:rsid w:val="007E3984"/>
    <w:rsid w:val="007F4624"/>
    <w:rsid w:val="007F77F7"/>
    <w:rsid w:val="00805531"/>
    <w:rsid w:val="00813D61"/>
    <w:rsid w:val="008322A3"/>
    <w:rsid w:val="00853B34"/>
    <w:rsid w:val="00857B19"/>
    <w:rsid w:val="0086155B"/>
    <w:rsid w:val="00865404"/>
    <w:rsid w:val="008849A8"/>
    <w:rsid w:val="00897F9B"/>
    <w:rsid w:val="008A0AF1"/>
    <w:rsid w:val="008B0D24"/>
    <w:rsid w:val="008D4AAF"/>
    <w:rsid w:val="008F2F71"/>
    <w:rsid w:val="00913FC3"/>
    <w:rsid w:val="00917A67"/>
    <w:rsid w:val="00927AC4"/>
    <w:rsid w:val="009358A4"/>
    <w:rsid w:val="00941A3F"/>
    <w:rsid w:val="009514BC"/>
    <w:rsid w:val="00955221"/>
    <w:rsid w:val="009629B5"/>
    <w:rsid w:val="009806AA"/>
    <w:rsid w:val="0098259D"/>
    <w:rsid w:val="00985748"/>
    <w:rsid w:val="009A4B31"/>
    <w:rsid w:val="009A57CB"/>
    <w:rsid w:val="009B2137"/>
    <w:rsid w:val="009C06A5"/>
    <w:rsid w:val="009C4927"/>
    <w:rsid w:val="009C5629"/>
    <w:rsid w:val="009D7E25"/>
    <w:rsid w:val="009E19F9"/>
    <w:rsid w:val="009E782D"/>
    <w:rsid w:val="00A13368"/>
    <w:rsid w:val="00A4147F"/>
    <w:rsid w:val="00A519E0"/>
    <w:rsid w:val="00A62B82"/>
    <w:rsid w:val="00A72CB1"/>
    <w:rsid w:val="00A758F7"/>
    <w:rsid w:val="00A93B72"/>
    <w:rsid w:val="00AA1414"/>
    <w:rsid w:val="00AA51B6"/>
    <w:rsid w:val="00AA6267"/>
    <w:rsid w:val="00AB241A"/>
    <w:rsid w:val="00AB50F7"/>
    <w:rsid w:val="00AC699E"/>
    <w:rsid w:val="00AE2D0B"/>
    <w:rsid w:val="00AE5284"/>
    <w:rsid w:val="00B03CB9"/>
    <w:rsid w:val="00B1293A"/>
    <w:rsid w:val="00B22ABF"/>
    <w:rsid w:val="00B274C3"/>
    <w:rsid w:val="00B5300A"/>
    <w:rsid w:val="00B7489C"/>
    <w:rsid w:val="00B92519"/>
    <w:rsid w:val="00BA042F"/>
    <w:rsid w:val="00BA055E"/>
    <w:rsid w:val="00BA0655"/>
    <w:rsid w:val="00BB43B7"/>
    <w:rsid w:val="00BD43BB"/>
    <w:rsid w:val="00BD684A"/>
    <w:rsid w:val="00BD7A5F"/>
    <w:rsid w:val="00BF2AF1"/>
    <w:rsid w:val="00BF462D"/>
    <w:rsid w:val="00C00C81"/>
    <w:rsid w:val="00C026CD"/>
    <w:rsid w:val="00C03DC4"/>
    <w:rsid w:val="00C33F18"/>
    <w:rsid w:val="00C345F3"/>
    <w:rsid w:val="00C40590"/>
    <w:rsid w:val="00C40736"/>
    <w:rsid w:val="00C40C0E"/>
    <w:rsid w:val="00C526F3"/>
    <w:rsid w:val="00C634C0"/>
    <w:rsid w:val="00C65E5A"/>
    <w:rsid w:val="00C71F09"/>
    <w:rsid w:val="00C748B2"/>
    <w:rsid w:val="00C74FC7"/>
    <w:rsid w:val="00C77BE0"/>
    <w:rsid w:val="00C94732"/>
    <w:rsid w:val="00CB2DBF"/>
    <w:rsid w:val="00CB6984"/>
    <w:rsid w:val="00CE359C"/>
    <w:rsid w:val="00CE5AE5"/>
    <w:rsid w:val="00CE711B"/>
    <w:rsid w:val="00CE7451"/>
    <w:rsid w:val="00D07590"/>
    <w:rsid w:val="00D137FB"/>
    <w:rsid w:val="00D30339"/>
    <w:rsid w:val="00D34A58"/>
    <w:rsid w:val="00D455D8"/>
    <w:rsid w:val="00D5062B"/>
    <w:rsid w:val="00D77C2E"/>
    <w:rsid w:val="00D83F0E"/>
    <w:rsid w:val="00D92773"/>
    <w:rsid w:val="00D93807"/>
    <w:rsid w:val="00DA0350"/>
    <w:rsid w:val="00DB0292"/>
    <w:rsid w:val="00DC479B"/>
    <w:rsid w:val="00DD1BFB"/>
    <w:rsid w:val="00DD589A"/>
    <w:rsid w:val="00DD5D8D"/>
    <w:rsid w:val="00DF32A6"/>
    <w:rsid w:val="00E0282E"/>
    <w:rsid w:val="00E06008"/>
    <w:rsid w:val="00E312E5"/>
    <w:rsid w:val="00E44385"/>
    <w:rsid w:val="00E45AEF"/>
    <w:rsid w:val="00E5368B"/>
    <w:rsid w:val="00E66810"/>
    <w:rsid w:val="00EA1DAE"/>
    <w:rsid w:val="00EA3F21"/>
    <w:rsid w:val="00EB0D88"/>
    <w:rsid w:val="00EC1934"/>
    <w:rsid w:val="00EC2F21"/>
    <w:rsid w:val="00EC3205"/>
    <w:rsid w:val="00EC4B82"/>
    <w:rsid w:val="00EF00AA"/>
    <w:rsid w:val="00EF7489"/>
    <w:rsid w:val="00EF7AD9"/>
    <w:rsid w:val="00F019CB"/>
    <w:rsid w:val="00F118C6"/>
    <w:rsid w:val="00F27601"/>
    <w:rsid w:val="00F30756"/>
    <w:rsid w:val="00F33078"/>
    <w:rsid w:val="00F33101"/>
    <w:rsid w:val="00F378BC"/>
    <w:rsid w:val="00F61711"/>
    <w:rsid w:val="00F619E2"/>
    <w:rsid w:val="00F776A6"/>
    <w:rsid w:val="00F938CF"/>
    <w:rsid w:val="00F97487"/>
    <w:rsid w:val="00FA562B"/>
    <w:rsid w:val="00FC31EB"/>
    <w:rsid w:val="00FD012E"/>
    <w:rsid w:val="658F3B76"/>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1"/>
      <w:lang w:val="en-GB" w:eastAsia="en-US" w:bidi="hi-IN"/>
      <w14:ligatures w14:val="standardContextual"/>
    </w:rPr>
  </w:style>
  <w:style w:type="paragraph" w:styleId="2">
    <w:name w:val="heading 1"/>
    <w:basedOn w:val="1"/>
    <w:next w:val="1"/>
    <w:link w:val="23"/>
    <w:autoRedefine/>
    <w:qFormat/>
    <w:uiPriority w:val="9"/>
    <w:pPr>
      <w:keepNext/>
      <w:keepLines/>
      <w:spacing w:before="360" w:after="80"/>
      <w:outlineLvl w:val="0"/>
    </w:pPr>
    <w:rPr>
      <w:rFonts w:eastAsiaTheme="majorEastAsia" w:cstheme="majorBidi"/>
      <w:b/>
      <w:sz w:val="28"/>
      <w:szCs w:val="36"/>
    </w:rPr>
  </w:style>
  <w:style w:type="paragraph" w:styleId="3">
    <w:name w:val="heading 2"/>
    <w:basedOn w:val="1"/>
    <w:next w:val="1"/>
    <w:link w:val="24"/>
    <w:autoRedefine/>
    <w:unhideWhenUsed/>
    <w:qFormat/>
    <w:uiPriority w:val="9"/>
    <w:pPr>
      <w:keepNext/>
      <w:keepLines/>
      <w:spacing w:before="160" w:after="80"/>
      <w:outlineLvl w:val="1"/>
    </w:pPr>
    <w:rPr>
      <w:rFonts w:eastAsiaTheme="majorEastAsia" w:cstheme="majorBidi"/>
      <w:b/>
      <w:szCs w:val="29"/>
    </w:rPr>
  </w:style>
  <w:style w:type="paragraph" w:styleId="4">
    <w:name w:val="heading 3"/>
    <w:basedOn w:val="1"/>
    <w:next w:val="1"/>
    <w:link w:val="25"/>
    <w:autoRedefine/>
    <w:semiHidden/>
    <w:unhideWhenUsed/>
    <w:qFormat/>
    <w:uiPriority w:val="9"/>
    <w:pPr>
      <w:keepNext/>
      <w:keepLines/>
      <w:spacing w:before="160" w:after="80"/>
      <w:outlineLvl w:val="2"/>
    </w:pPr>
    <w:rPr>
      <w:rFonts w:eastAsiaTheme="majorEastAsia" w:cstheme="majorBidi"/>
      <w:i/>
      <w:szCs w:val="25"/>
    </w:rPr>
  </w:style>
  <w:style w:type="paragraph" w:styleId="5">
    <w:name w:val="heading 4"/>
    <w:basedOn w:val="1"/>
    <w:next w:val="1"/>
    <w:link w:val="26"/>
    <w:semiHidden/>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0E2841" w:themeColor="text2"/>
      <w:sz w:val="18"/>
      <w:szCs w:val="16"/>
      <w14:textFill>
        <w14:solidFill>
          <w14:schemeClr w14:val="tx2"/>
        </w14:solidFill>
      </w14:textFill>
    </w:rPr>
  </w:style>
  <w:style w:type="character" w:styleId="14">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5">
    <w:name w:val="footer"/>
    <w:basedOn w:val="1"/>
    <w:link w:val="45"/>
    <w:unhideWhenUsed/>
    <w:qFormat/>
    <w:uiPriority w:val="99"/>
    <w:pPr>
      <w:tabs>
        <w:tab w:val="center" w:pos="4513"/>
        <w:tab w:val="right" w:pos="9026"/>
      </w:tabs>
      <w:spacing w:after="0" w:line="240" w:lineRule="auto"/>
    </w:pPr>
  </w:style>
  <w:style w:type="paragraph" w:styleId="16">
    <w:name w:val="header"/>
    <w:basedOn w:val="1"/>
    <w:link w:val="44"/>
    <w:unhideWhenUsed/>
    <w:uiPriority w:val="99"/>
    <w:pPr>
      <w:tabs>
        <w:tab w:val="center" w:pos="4513"/>
        <w:tab w:val="right" w:pos="9026"/>
      </w:tabs>
      <w:spacing w:after="0" w:line="240" w:lineRule="auto"/>
    </w:pPr>
  </w:style>
  <w:style w:type="character" w:styleId="17">
    <w:name w:val="Hyperlink"/>
    <w:basedOn w:val="11"/>
    <w:unhideWhenUsed/>
    <w:qFormat/>
    <w:uiPriority w:val="99"/>
    <w:rPr>
      <w:color w:val="467886" w:themeColor="hyperlink"/>
      <w:u w:val="single"/>
      <w14:textFill>
        <w14:solidFill>
          <w14:schemeClr w14:val="hlink"/>
        </w14:solidFill>
      </w14:textFill>
    </w:rPr>
  </w:style>
  <w:style w:type="paragraph" w:styleId="18">
    <w:name w:val="Subtitle"/>
    <w:basedOn w:val="1"/>
    <w:next w:val="1"/>
    <w:link w:val="33"/>
    <w:qFormat/>
    <w:uiPriority w:val="11"/>
    <w:rPr>
      <w:rFonts w:asciiTheme="minorHAnsi" w:hAnsiTheme="minorHAnsi" w:eastAsiaTheme="majorEastAsia" w:cstheme="majorBidi"/>
      <w:color w:val="595959" w:themeColor="text1" w:themeTint="A6"/>
      <w:spacing w:val="15"/>
      <w:sz w:val="28"/>
      <w:szCs w:val="25"/>
      <w14:textFill>
        <w14:solidFill>
          <w14:schemeClr w14:val="tx1">
            <w14:lumMod w14:val="65000"/>
            <w14:lumOff w14:val="35000"/>
          </w14:schemeClr>
        </w14:solidFill>
      </w14:textFill>
    </w:rPr>
  </w:style>
  <w:style w:type="table" w:styleId="19">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0"/>
    </w:rPr>
  </w:style>
  <w:style w:type="paragraph" w:styleId="21">
    <w:name w:val="toc 1"/>
    <w:basedOn w:val="1"/>
    <w:next w:val="1"/>
    <w:autoRedefine/>
    <w:unhideWhenUsed/>
    <w:qFormat/>
    <w:uiPriority w:val="39"/>
    <w:pPr>
      <w:spacing w:after="100"/>
    </w:pPr>
  </w:style>
  <w:style w:type="paragraph" w:styleId="22">
    <w:name w:val="toc 2"/>
    <w:basedOn w:val="1"/>
    <w:next w:val="1"/>
    <w:autoRedefine/>
    <w:unhideWhenUsed/>
    <w:qFormat/>
    <w:uiPriority w:val="39"/>
    <w:pPr>
      <w:spacing w:after="100"/>
      <w:ind w:left="240"/>
    </w:pPr>
  </w:style>
  <w:style w:type="character" w:customStyle="1" w:styleId="23">
    <w:name w:val="Heading 1 Char"/>
    <w:basedOn w:val="11"/>
    <w:link w:val="2"/>
    <w:uiPriority w:val="9"/>
    <w:rPr>
      <w:rFonts w:ascii="Times New Roman" w:hAnsi="Times New Roman" w:eastAsiaTheme="majorEastAsia" w:cstheme="majorBidi"/>
      <w:b/>
      <w:sz w:val="28"/>
      <w:szCs w:val="36"/>
    </w:rPr>
  </w:style>
  <w:style w:type="character" w:customStyle="1" w:styleId="24">
    <w:name w:val="Heading 2 Char"/>
    <w:basedOn w:val="11"/>
    <w:link w:val="3"/>
    <w:uiPriority w:val="9"/>
    <w:rPr>
      <w:rFonts w:ascii="Times New Roman" w:hAnsi="Times New Roman" w:eastAsiaTheme="majorEastAsia" w:cstheme="majorBidi"/>
      <w:b/>
      <w:szCs w:val="29"/>
    </w:rPr>
  </w:style>
  <w:style w:type="character" w:customStyle="1" w:styleId="25">
    <w:name w:val="Heading 3 Char"/>
    <w:basedOn w:val="11"/>
    <w:link w:val="4"/>
    <w:semiHidden/>
    <w:uiPriority w:val="9"/>
    <w:rPr>
      <w:rFonts w:ascii="Times New Roman" w:hAnsi="Times New Roman" w:eastAsiaTheme="majorEastAsia" w:cstheme="majorBidi"/>
      <w:i/>
      <w:szCs w:val="25"/>
    </w:rPr>
  </w:style>
  <w:style w:type="character" w:customStyle="1" w:styleId="26">
    <w:name w:val="Heading 4 Char"/>
    <w:basedOn w:val="11"/>
    <w:link w:val="5"/>
    <w:semiHidden/>
    <w:uiPriority w:val="9"/>
    <w:rPr>
      <w:rFonts w:eastAsiaTheme="majorEastAsia" w:cstheme="majorBidi"/>
      <w:i/>
      <w:iCs/>
      <w:color w:val="104862" w:themeColor="accent1" w:themeShade="BF"/>
    </w:rPr>
  </w:style>
  <w:style w:type="character" w:customStyle="1" w:styleId="27">
    <w:name w:val="Heading 5 Char"/>
    <w:basedOn w:val="11"/>
    <w:link w:val="6"/>
    <w:semiHidden/>
    <w:uiPriority w:val="9"/>
    <w:rPr>
      <w:rFonts w:eastAsiaTheme="majorEastAsia" w:cstheme="majorBidi"/>
      <w:color w:val="104862" w:themeColor="accent1" w:themeShade="BF"/>
    </w:rPr>
  </w:style>
  <w:style w:type="character" w:customStyle="1" w:styleId="28">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20"/>
    <w:uiPriority w:val="10"/>
    <w:rPr>
      <w:rFonts w:asciiTheme="majorHAnsi" w:hAnsiTheme="majorHAnsi" w:eastAsiaTheme="majorEastAsia" w:cstheme="majorBidi"/>
      <w:spacing w:val="-10"/>
      <w:kern w:val="28"/>
      <w:sz w:val="56"/>
      <w:szCs w:val="50"/>
    </w:rPr>
  </w:style>
  <w:style w:type="character" w:customStyle="1" w:styleId="33">
    <w:name w:val="Subtitle Char"/>
    <w:basedOn w:val="11"/>
    <w:link w:val="18"/>
    <w:uiPriority w:val="11"/>
    <w:rPr>
      <w:rFonts w:eastAsiaTheme="majorEastAsia" w:cstheme="majorBidi"/>
      <w:color w:val="595959" w:themeColor="text1" w:themeTint="A6"/>
      <w:spacing w:val="15"/>
      <w:sz w:val="28"/>
      <w:szCs w:val="25"/>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uiPriority w:val="29"/>
    <w:rPr>
      <w:rFonts w:ascii="Times New Roman" w:hAnsi="Times New Roman"/>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Intense Quote Char"/>
    <w:basedOn w:val="11"/>
    <w:link w:val="38"/>
    <w:uiPriority w:val="30"/>
    <w:rPr>
      <w:rFonts w:ascii="Times New Roman" w:hAnsi="Times New Roman"/>
      <w:i/>
      <w:iCs/>
      <w:color w:val="104862" w:themeColor="accent1" w:themeShade="BF"/>
    </w:rPr>
  </w:style>
  <w:style w:type="character" w:customStyle="1" w:styleId="40">
    <w:name w:val="Intense Reference"/>
    <w:basedOn w:val="11"/>
    <w:qFormat/>
    <w:uiPriority w:val="32"/>
    <w:rPr>
      <w:b/>
      <w:bCs/>
      <w:smallCaps/>
      <w:color w:val="104862" w:themeColor="accent1" w:themeShade="BF"/>
      <w:spacing w:val="5"/>
    </w:rPr>
  </w:style>
  <w:style w:type="paragraph" w:customStyle="1" w:styleId="41">
    <w:name w:val="TOC Heading"/>
    <w:basedOn w:val="2"/>
    <w:next w:val="1"/>
    <w:unhideWhenUsed/>
    <w:qFormat/>
    <w:uiPriority w:val="39"/>
    <w:pPr>
      <w:spacing w:before="240" w:after="0" w:line="259" w:lineRule="auto"/>
      <w:jc w:val="left"/>
      <w:outlineLvl w:val="9"/>
    </w:pPr>
    <w:rPr>
      <w:rFonts w:asciiTheme="majorHAnsi" w:hAnsiTheme="majorHAnsi"/>
      <w:b w:val="0"/>
      <w:color w:val="104862" w:themeColor="accent1" w:themeShade="BF"/>
      <w:kern w:val="0"/>
      <w:sz w:val="32"/>
      <w:szCs w:val="32"/>
      <w:lang w:eastAsia="en-GB"/>
      <w14:ligatures w14:val="none"/>
    </w:rPr>
  </w:style>
  <w:style w:type="character" w:customStyle="1" w:styleId="42">
    <w:name w:val="Unresolved Mention"/>
    <w:basedOn w:val="11"/>
    <w:semiHidden/>
    <w:unhideWhenUsed/>
    <w:qFormat/>
    <w:uiPriority w:val="99"/>
    <w:rPr>
      <w:color w:val="605E5C"/>
      <w:shd w:val="clear" w:color="auto" w:fill="E1DFDD"/>
    </w:rPr>
  </w:style>
  <w:style w:type="table" w:customStyle="1" w:styleId="43">
    <w:name w:val="Grid Table 4 Accent 1"/>
    <w:basedOn w:val="12"/>
    <w:qFormat/>
    <w:uiPriority w:val="49"/>
    <w:pPr>
      <w:spacing w:after="0" w:line="240" w:lineRule="auto"/>
    </w:pPr>
    <w:tblPr>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14:textFill>
          <w14:solidFill>
            <w14:schemeClr w14:val="bg1"/>
          </w14:solidFill>
        </w14:textFill>
      </w:r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cPr>
        <w:tcBorders>
          <w:top w:val="double" w:color="156082" w:themeColor="accent1" w:sz="4" w:space="0"/>
        </w:tcBorders>
      </w:tcPr>
    </w:tblStylePr>
    <w:tblStylePr w:type="firstCol">
      <w:rPr>
        <w:b/>
        <w:bCs/>
      </w:rPr>
    </w:tblStylePr>
    <w:tblStylePr w:type="lastCol">
      <w:rPr>
        <w:b/>
        <w:bCs/>
      </w:rPr>
    </w:tblStylePr>
    <w:tblStylePr w:type="band1Vert">
      <w:tcPr>
        <w:shd w:val="clear" w:color="auto" w:fill="C1E4F5" w:themeFill="accent1" w:themeFillTint="33"/>
      </w:tcPr>
    </w:tblStylePr>
    <w:tblStylePr w:type="band1Horz">
      <w:tcPr>
        <w:shd w:val="clear" w:color="auto" w:fill="C1E4F5" w:themeFill="accent1" w:themeFillTint="33"/>
      </w:tcPr>
    </w:tblStylePr>
  </w:style>
  <w:style w:type="character" w:customStyle="1" w:styleId="44">
    <w:name w:val="Header Char"/>
    <w:basedOn w:val="11"/>
    <w:link w:val="16"/>
    <w:qFormat/>
    <w:uiPriority w:val="99"/>
    <w:rPr>
      <w:rFonts w:ascii="Times New Roman" w:hAnsi="Times New Roman"/>
    </w:rPr>
  </w:style>
  <w:style w:type="character" w:customStyle="1" w:styleId="45">
    <w:name w:val="Footer Char"/>
    <w:basedOn w:val="11"/>
    <w:link w:val="15"/>
    <w:qFormat/>
    <w:uiPriority w:val="99"/>
    <w:rPr>
      <w:rFonts w:ascii="Times New Roman" w:hAnsi="Times New Roman"/>
    </w:rPr>
  </w:style>
  <w:style w:type="paragraph" w:customStyle="1" w:styleId="46">
    <w:name w:val="Bibliography"/>
    <w:basedOn w:val="1"/>
    <w:next w:val="1"/>
    <w:unhideWhenUsed/>
    <w:uiPriority w:val="37"/>
    <w:pPr>
      <w:tabs>
        <w:tab w:val="left" w:pos="504"/>
      </w:tabs>
      <w:spacing w:after="0" w:line="240" w:lineRule="auto"/>
      <w:ind w:left="504" w:hanging="504"/>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6" Type="http://schemas.openxmlformats.org/officeDocument/2006/relationships/fontTable" Target="fontTable.xml"/><Relationship Id="rId45" Type="http://schemas.openxmlformats.org/officeDocument/2006/relationships/customXml" Target="../customXml/item1.xml"/><Relationship Id="rId44" Type="http://schemas.openxmlformats.org/officeDocument/2006/relationships/numbering" Target="numbering.xml"/><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C3FDE-528A-458E-9DF9-48387CB75882}">
  <ds:schemaRefs/>
</ds:datastoreItem>
</file>

<file path=docProps/app.xml><?xml version="1.0" encoding="utf-8"?>
<Properties xmlns="http://schemas.openxmlformats.org/officeDocument/2006/extended-properties" xmlns:vt="http://schemas.openxmlformats.org/officeDocument/2006/docPropsVTypes">
  <Template>Normal</Template>
  <Pages>44</Pages>
  <Words>15642</Words>
  <Characters>89164</Characters>
  <Lines>743</Lines>
  <Paragraphs>209</Paragraphs>
  <TotalTime>0</TotalTime>
  <ScaleCrop>false</ScaleCrop>
  <LinksUpToDate>false</LinksUpToDate>
  <CharactersWithSpaces>104597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2025-12-11T19:15:00Z</dcterms:created>
  <dcterms:modified xsi:type="dcterms:W3CDTF">2025-12-11T19:17:41Z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id="2jxAtni8"/&gt;&lt;style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y fmtid="{D5CDD505-2E9C-101B-9397-08002B2CF9AE}" pid="4" name="KSOProductBuildVer">
    <vt:lpwstr>1033-12.2.0.23155</vt:lpwstr>
  </property>
  <property fmtid="{D5CDD505-2E9C-101B-9397-08002B2CF9AE}" pid="5" name="ICV">
    <vt:lpwstr>4628A2E91E6947F8B578A6E1EDA0DB84_12</vt:lpwstr>
  </property>
</Properties>
</file>