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3BD3F" w14:textId="3FD60266" w:rsidR="00E46818" w:rsidRDefault="00455750" w:rsidP="003D2879">
      <w:pPr>
        <w:pStyle w:val="Nornal"/>
        <w:spacing w:after="0" w:line="240" w:lineRule="auto"/>
        <w:rPr>
          <w:rFonts w:ascii="Trebuchet MS" w:hAnsi="Trebuchet MS"/>
        </w:rPr>
      </w:pPr>
      <w:r>
        <w:rPr>
          <w:rFonts w:ascii="Trebuchet MS" w:hAnsi="Trebuchet MS"/>
        </w:rPr>
        <w:t>(AC 1.1)</w:t>
      </w:r>
    </w:p>
    <w:p w14:paraId="4555E14A" w14:textId="77777777" w:rsidR="00182829" w:rsidRDefault="00182829">
      <w:pPr>
        <w:pStyle w:val="Nornal"/>
        <w:spacing w:after="0" w:line="240" w:lineRule="auto"/>
        <w:rPr>
          <w:rFonts w:ascii="Trebuchet MS" w:hAnsi="Trebuchet MS"/>
        </w:rPr>
      </w:pPr>
    </w:p>
    <w:p w14:paraId="49D56CF9" w14:textId="395390C8" w:rsidR="00182829" w:rsidRDefault="00182829" w:rsidP="00182829">
      <w:pPr>
        <w:pStyle w:val="Nornal"/>
        <w:spacing w:after="0" w:line="240" w:lineRule="auto"/>
        <w:rPr>
          <w:rFonts w:ascii="Trebuchet MS" w:hAnsi="Trebuchet MS"/>
        </w:rPr>
      </w:pPr>
      <w:r>
        <w:rPr>
          <w:rFonts w:ascii="Trebuchet MS" w:hAnsi="Trebuchet MS"/>
        </w:rPr>
        <w:t>The principles of reward can help shape the implementation of an effective reward structure, which directly impacts organisational culture and performance. The main principles of reward include but aren’t limited to equity</w:t>
      </w:r>
      <w:r w:rsidR="008375BB">
        <w:rPr>
          <w:rFonts w:ascii="Trebuchet MS" w:hAnsi="Trebuchet MS"/>
        </w:rPr>
        <w:t xml:space="preserve"> and performance</w:t>
      </w:r>
      <w:r>
        <w:rPr>
          <w:rFonts w:ascii="Trebuchet MS" w:hAnsi="Trebuchet MS"/>
        </w:rPr>
        <w:t xml:space="preserve">, </w:t>
      </w:r>
      <w:r w:rsidR="008375BB">
        <w:rPr>
          <w:rFonts w:ascii="Trebuchet MS" w:hAnsi="Trebuchet MS"/>
        </w:rPr>
        <w:t>competitiveness</w:t>
      </w:r>
      <w:r>
        <w:rPr>
          <w:rFonts w:ascii="Trebuchet MS" w:hAnsi="Trebuchet MS"/>
        </w:rPr>
        <w:t xml:space="preserve"> and transparency</w:t>
      </w:r>
      <w:r w:rsidR="00A355F8">
        <w:rPr>
          <w:rFonts w:ascii="Trebuchet MS" w:hAnsi="Trebuchet MS"/>
        </w:rPr>
        <w:t xml:space="preserve"> (Cotton, 2024)</w:t>
      </w:r>
      <w:r>
        <w:rPr>
          <w:rFonts w:ascii="Trebuchet MS" w:hAnsi="Trebuchet MS"/>
        </w:rPr>
        <w:t>.</w:t>
      </w:r>
    </w:p>
    <w:p w14:paraId="7166BDFD" w14:textId="77777777" w:rsidR="00182829" w:rsidRDefault="00182829" w:rsidP="00182829">
      <w:pPr>
        <w:pStyle w:val="Nornal"/>
        <w:spacing w:after="0" w:line="240" w:lineRule="auto"/>
        <w:rPr>
          <w:rFonts w:ascii="Trebuchet MS" w:hAnsi="Trebuchet MS"/>
        </w:rPr>
      </w:pPr>
    </w:p>
    <w:p w14:paraId="6ED0901D" w14:textId="6318480C" w:rsidR="00182829" w:rsidRDefault="00182829" w:rsidP="00182829">
      <w:pPr>
        <w:pStyle w:val="Nornal"/>
        <w:spacing w:after="0" w:line="240" w:lineRule="auto"/>
        <w:rPr>
          <w:rFonts w:ascii="Trebuchet MS" w:eastAsia="Trebuchet MS" w:hAnsi="Trebuchet MS" w:cs="Trebuchet MS"/>
        </w:rPr>
      </w:pPr>
      <w:r>
        <w:rPr>
          <w:rFonts w:ascii="Trebuchet MS" w:hAnsi="Trebuchet MS"/>
        </w:rPr>
        <w:t xml:space="preserve">Ensuring a reward is equitable, means an employer ensures that the employee </w:t>
      </w:r>
      <w:r w:rsidR="00621D9E">
        <w:rPr>
          <w:rFonts w:ascii="Trebuchet MS" w:hAnsi="Trebuchet MS"/>
        </w:rPr>
        <w:t xml:space="preserve">is rewarded </w:t>
      </w:r>
      <w:r w:rsidR="003D2879">
        <w:rPr>
          <w:rFonts w:ascii="Trebuchet MS" w:hAnsi="Trebuchet MS"/>
        </w:rPr>
        <w:t xml:space="preserve">the </w:t>
      </w:r>
      <w:r w:rsidR="00621D9E">
        <w:rPr>
          <w:rFonts w:ascii="Trebuchet MS" w:hAnsi="Trebuchet MS"/>
        </w:rPr>
        <w:t xml:space="preserve">relative value of their contribution or </w:t>
      </w:r>
      <w:r w:rsidR="008375BB">
        <w:rPr>
          <w:rFonts w:ascii="Trebuchet MS" w:hAnsi="Trebuchet MS"/>
        </w:rPr>
        <w:t>performance</w:t>
      </w:r>
      <w:r w:rsidR="00621D9E" w:rsidRPr="00621D9E">
        <w:rPr>
          <w:rFonts w:ascii="Trebuchet MS" w:hAnsi="Trebuchet MS"/>
        </w:rPr>
        <w:t xml:space="preserve"> </w:t>
      </w:r>
      <w:r w:rsidR="00621D9E">
        <w:rPr>
          <w:rFonts w:ascii="Trebuchet MS" w:hAnsi="Trebuchet MS"/>
        </w:rPr>
        <w:t xml:space="preserve">(Armstrong &amp; Taylor, 2020). This directly impacts organisational performance and culture by ensuring employees are accountable for their performance within the </w:t>
      </w:r>
      <w:proofErr w:type="spellStart"/>
      <w:r w:rsidR="00621D9E">
        <w:rPr>
          <w:rFonts w:ascii="Trebuchet MS" w:hAnsi="Trebuchet MS"/>
        </w:rPr>
        <w:t>organisation</w:t>
      </w:r>
      <w:proofErr w:type="spellEnd"/>
      <w:r w:rsidR="00621D9E">
        <w:rPr>
          <w:rFonts w:ascii="Trebuchet MS" w:hAnsi="Trebuchet MS"/>
        </w:rPr>
        <w:t xml:space="preserve"> as well as their own reward value. </w:t>
      </w:r>
      <w:r w:rsidR="00621D9E">
        <w:rPr>
          <w:rFonts w:ascii="Trebuchet MS" w:eastAsia="Trebuchet MS" w:hAnsi="Trebuchet MS" w:cs="Trebuchet MS"/>
        </w:rPr>
        <w:t xml:space="preserve">Methods such as performance-related pay or recognition bonuses may be used, which motivates employees to </w:t>
      </w:r>
      <w:r w:rsidR="008375BB">
        <w:rPr>
          <w:rFonts w:ascii="Trebuchet MS" w:eastAsia="Trebuchet MS" w:hAnsi="Trebuchet MS" w:cs="Trebuchet MS"/>
        </w:rPr>
        <w:t>perform</w:t>
      </w:r>
      <w:r w:rsidR="00621D9E">
        <w:rPr>
          <w:rFonts w:ascii="Trebuchet MS" w:eastAsia="Trebuchet MS" w:hAnsi="Trebuchet MS" w:cs="Trebuchet MS"/>
        </w:rPr>
        <w:t xml:space="preserve"> well, as they will likely only be rewarded if they exceed set targets/goals </w:t>
      </w:r>
      <w:r w:rsidR="00621D9E">
        <w:rPr>
          <w:rFonts w:ascii="Trebuchet MS" w:hAnsi="Trebuchet MS"/>
        </w:rPr>
        <w:t>(Armstrong &amp; Taylor, 2020)</w:t>
      </w:r>
    </w:p>
    <w:p w14:paraId="37615A5A" w14:textId="77777777" w:rsidR="00621D9E" w:rsidRDefault="00621D9E" w:rsidP="00182829">
      <w:pPr>
        <w:pStyle w:val="Nornal"/>
        <w:spacing w:after="0" w:line="240" w:lineRule="auto"/>
        <w:rPr>
          <w:rFonts w:ascii="Trebuchet MS" w:eastAsia="Trebuchet MS" w:hAnsi="Trebuchet MS" w:cs="Trebuchet MS"/>
        </w:rPr>
      </w:pPr>
    </w:p>
    <w:p w14:paraId="5CB188F1" w14:textId="6BDAE4D0" w:rsidR="00621D9E" w:rsidRDefault="00621D9E" w:rsidP="00182829">
      <w:pPr>
        <w:pStyle w:val="Nornal"/>
        <w:spacing w:after="0" w:line="240" w:lineRule="auto"/>
        <w:rPr>
          <w:rFonts w:ascii="Trebuchet MS" w:eastAsia="Trebuchet MS" w:hAnsi="Trebuchet MS" w:cs="Trebuchet MS"/>
        </w:rPr>
      </w:pPr>
      <w:r>
        <w:rPr>
          <w:rFonts w:ascii="Trebuchet MS" w:eastAsia="Trebuchet MS" w:hAnsi="Trebuchet MS" w:cs="Trebuchet MS"/>
        </w:rPr>
        <w:t xml:space="preserve">Competitiveness means that the </w:t>
      </w:r>
      <w:proofErr w:type="gramStart"/>
      <w:r>
        <w:rPr>
          <w:rFonts w:ascii="Trebuchet MS" w:eastAsia="Trebuchet MS" w:hAnsi="Trebuchet MS" w:cs="Trebuchet MS"/>
        </w:rPr>
        <w:t>reward</w:t>
      </w:r>
      <w:r w:rsidR="003D2879">
        <w:rPr>
          <w:rFonts w:ascii="Trebuchet MS" w:eastAsia="Trebuchet MS" w:hAnsi="Trebuchet MS" w:cs="Trebuchet MS"/>
        </w:rPr>
        <w:t>s</w:t>
      </w:r>
      <w:proofErr w:type="gramEnd"/>
      <w:r w:rsidR="003D2879">
        <w:rPr>
          <w:rFonts w:ascii="Trebuchet MS" w:eastAsia="Trebuchet MS" w:hAnsi="Trebuchet MS" w:cs="Trebuchet MS"/>
        </w:rPr>
        <w:t xml:space="preserve"> on </w:t>
      </w:r>
      <w:r>
        <w:rPr>
          <w:rFonts w:ascii="Trebuchet MS" w:eastAsia="Trebuchet MS" w:hAnsi="Trebuchet MS" w:cs="Trebuchet MS"/>
        </w:rPr>
        <w:t xml:space="preserve">offer </w:t>
      </w:r>
      <w:r w:rsidR="003D2879">
        <w:rPr>
          <w:rFonts w:ascii="Trebuchet MS" w:eastAsia="Trebuchet MS" w:hAnsi="Trebuchet MS" w:cs="Trebuchet MS"/>
        </w:rPr>
        <w:t>allow</w:t>
      </w:r>
      <w:r>
        <w:rPr>
          <w:rFonts w:ascii="Trebuchet MS" w:eastAsia="Trebuchet MS" w:hAnsi="Trebuchet MS" w:cs="Trebuchet MS"/>
        </w:rPr>
        <w:t xml:space="preserve">s the </w:t>
      </w:r>
      <w:proofErr w:type="spellStart"/>
      <w:r>
        <w:rPr>
          <w:rFonts w:ascii="Trebuchet MS" w:eastAsia="Trebuchet MS" w:hAnsi="Trebuchet MS" w:cs="Trebuchet MS"/>
        </w:rPr>
        <w:t>organisation</w:t>
      </w:r>
      <w:proofErr w:type="spellEnd"/>
      <w:r w:rsidR="003D2879">
        <w:rPr>
          <w:rFonts w:ascii="Trebuchet MS" w:eastAsia="Trebuchet MS" w:hAnsi="Trebuchet MS" w:cs="Trebuchet MS"/>
        </w:rPr>
        <w:t xml:space="preserve"> to </w:t>
      </w:r>
      <w:r>
        <w:rPr>
          <w:rFonts w:ascii="Trebuchet MS" w:eastAsia="Trebuchet MS" w:hAnsi="Trebuchet MS" w:cs="Trebuchet MS"/>
        </w:rPr>
        <w:t xml:space="preserve">attract and retain top talent. If the reward is not </w:t>
      </w:r>
      <w:r w:rsidR="008375BB">
        <w:rPr>
          <w:rFonts w:ascii="Trebuchet MS" w:eastAsia="Trebuchet MS" w:hAnsi="Trebuchet MS" w:cs="Trebuchet MS"/>
        </w:rPr>
        <w:t>substantial</w:t>
      </w:r>
      <w:r>
        <w:rPr>
          <w:rFonts w:ascii="Trebuchet MS" w:eastAsia="Trebuchet MS" w:hAnsi="Trebuchet MS" w:cs="Trebuchet MS"/>
        </w:rPr>
        <w:t xml:space="preserve">, it is likely that employees will leave and existing employees will become demotivated, which in turn harms both the culture and performance of the </w:t>
      </w:r>
      <w:proofErr w:type="spellStart"/>
      <w:r w:rsidR="00A355F8">
        <w:rPr>
          <w:rFonts w:ascii="Trebuchet MS" w:eastAsia="Trebuchet MS" w:hAnsi="Trebuchet MS" w:cs="Trebuchet MS"/>
        </w:rPr>
        <w:t>organisation</w:t>
      </w:r>
      <w:proofErr w:type="spellEnd"/>
      <w:r w:rsidR="008375BB">
        <w:rPr>
          <w:rFonts w:ascii="Trebuchet MS" w:eastAsia="Trebuchet MS" w:hAnsi="Trebuchet MS" w:cs="Trebuchet MS"/>
        </w:rPr>
        <w:t xml:space="preserve"> </w:t>
      </w:r>
      <w:r w:rsidR="008375BB">
        <w:t>(Hure, 2024)</w:t>
      </w:r>
      <w:r>
        <w:rPr>
          <w:rFonts w:ascii="Trebuchet MS" w:eastAsia="Trebuchet MS" w:hAnsi="Trebuchet MS" w:cs="Trebuchet MS"/>
        </w:rPr>
        <w:t>.</w:t>
      </w:r>
      <w:r w:rsidR="008375BB">
        <w:rPr>
          <w:rFonts w:ascii="Trebuchet MS" w:eastAsia="Trebuchet MS" w:hAnsi="Trebuchet MS" w:cs="Trebuchet MS"/>
        </w:rPr>
        <w:t xml:space="preserve"> </w:t>
      </w:r>
      <w:r w:rsidR="00A355F8">
        <w:rPr>
          <w:rFonts w:ascii="Trebuchet MS" w:eastAsia="Trebuchet MS" w:hAnsi="Trebuchet MS" w:cs="Trebuchet MS"/>
        </w:rPr>
        <w:t>As a</w:t>
      </w:r>
      <w:r w:rsidR="008375BB">
        <w:rPr>
          <w:rFonts w:ascii="Trebuchet MS" w:eastAsia="Trebuchet MS" w:hAnsi="Trebuchet MS" w:cs="Trebuchet MS"/>
        </w:rPr>
        <w:t>ttracting and retaining top talent is crucial for boosting productivity and enhancing the organisational culture</w:t>
      </w:r>
      <w:r w:rsidR="00A355F8">
        <w:rPr>
          <w:rFonts w:ascii="Trebuchet MS" w:eastAsia="Trebuchet MS" w:hAnsi="Trebuchet MS" w:cs="Trebuchet MS"/>
        </w:rPr>
        <w:t xml:space="preserve">, rewards may be tailored to follow specific trends such as increasing focus on offering non-financial rewards such as career development and progression for employees </w:t>
      </w:r>
      <w:r w:rsidR="00A355F8">
        <w:t>(Institute of Directors, 2024)</w:t>
      </w:r>
      <w:r w:rsidR="00A355F8">
        <w:rPr>
          <w:rFonts w:ascii="Trebuchet MS" w:eastAsia="Trebuchet MS" w:hAnsi="Trebuchet MS" w:cs="Trebuchet MS"/>
        </w:rPr>
        <w:t>.</w:t>
      </w:r>
    </w:p>
    <w:p w14:paraId="0D0D1D65" w14:textId="77777777" w:rsidR="00621D9E" w:rsidRDefault="00621D9E" w:rsidP="00182829">
      <w:pPr>
        <w:pStyle w:val="Nornal"/>
        <w:spacing w:after="0" w:line="240" w:lineRule="auto"/>
        <w:rPr>
          <w:rFonts w:ascii="Trebuchet MS" w:eastAsia="Trebuchet MS" w:hAnsi="Trebuchet MS" w:cs="Trebuchet MS"/>
        </w:rPr>
      </w:pPr>
    </w:p>
    <w:p w14:paraId="267228C1" w14:textId="30DE8FE3" w:rsidR="00621D9E" w:rsidRDefault="00621D9E" w:rsidP="00182829">
      <w:pPr>
        <w:pStyle w:val="Nornal"/>
        <w:spacing w:after="0" w:line="240" w:lineRule="auto"/>
        <w:rPr>
          <w:rFonts w:ascii="Trebuchet MS" w:hAnsi="Trebuchet MS"/>
        </w:rPr>
      </w:pPr>
      <w:r>
        <w:rPr>
          <w:rFonts w:ascii="Trebuchet MS" w:eastAsia="Trebuchet MS" w:hAnsi="Trebuchet MS" w:cs="Trebuchet MS"/>
        </w:rPr>
        <w:t xml:space="preserve">As well as this, the transparency of the reward system depends on how clear the communication around the reward system processes/procedure is. If employees have a strong understanding of how the reward system works, they are more likely to </w:t>
      </w:r>
      <w:r w:rsidR="003D2879">
        <w:rPr>
          <w:rFonts w:ascii="Trebuchet MS" w:eastAsia="Trebuchet MS" w:hAnsi="Trebuchet MS" w:cs="Trebuchet MS"/>
        </w:rPr>
        <w:t>r</w:t>
      </w:r>
      <w:r>
        <w:rPr>
          <w:rFonts w:ascii="Trebuchet MS" w:eastAsia="Trebuchet MS" w:hAnsi="Trebuchet MS" w:cs="Trebuchet MS"/>
        </w:rPr>
        <w:t>eceive it as fair. If the system lacks transparency</w:t>
      </w:r>
      <w:r w:rsidR="008375BB">
        <w:rPr>
          <w:rFonts w:ascii="Trebuchet MS" w:eastAsia="Trebuchet MS" w:hAnsi="Trebuchet MS" w:cs="Trebuchet MS"/>
        </w:rPr>
        <w:t xml:space="preserve"> and there is no clear correlation between effort and reward</w:t>
      </w:r>
      <w:r>
        <w:rPr>
          <w:rFonts w:ascii="Trebuchet MS" w:eastAsia="Trebuchet MS" w:hAnsi="Trebuchet MS" w:cs="Trebuchet MS"/>
        </w:rPr>
        <w:t>, this can leave room for employees to receive the reward system as biased</w:t>
      </w:r>
      <w:r w:rsidR="008375BB">
        <w:rPr>
          <w:rFonts w:ascii="Trebuchet MS" w:eastAsia="Trebuchet MS" w:hAnsi="Trebuchet MS" w:cs="Trebuchet MS"/>
        </w:rPr>
        <w:t xml:space="preserve">, increasing dissatisfaction and decreasing motivation </w:t>
      </w:r>
      <w:r w:rsidR="008375BB">
        <w:rPr>
          <w:rFonts w:ascii="Trebuchet MS" w:hAnsi="Trebuchet MS"/>
        </w:rPr>
        <w:t>(Cotton, 2024).</w:t>
      </w:r>
    </w:p>
    <w:p w14:paraId="05C89825" w14:textId="77777777" w:rsidR="00A355F8" w:rsidRDefault="00A355F8" w:rsidP="00182829">
      <w:pPr>
        <w:pStyle w:val="Nornal"/>
        <w:spacing w:after="0" w:line="240" w:lineRule="auto"/>
        <w:rPr>
          <w:rFonts w:ascii="Trebuchet MS" w:hAnsi="Trebuchet MS"/>
        </w:rPr>
      </w:pPr>
    </w:p>
    <w:p w14:paraId="7BB43FD8" w14:textId="22C6DC73" w:rsidR="008375BB" w:rsidRPr="00182829" w:rsidRDefault="008375BB" w:rsidP="00182829">
      <w:pPr>
        <w:pStyle w:val="Nornal"/>
        <w:spacing w:after="0" w:line="240" w:lineRule="auto"/>
        <w:rPr>
          <w:rFonts w:ascii="Trebuchet MS" w:hAnsi="Trebuchet MS"/>
        </w:rPr>
      </w:pPr>
      <w:r>
        <w:rPr>
          <w:rFonts w:ascii="Trebuchet MS" w:hAnsi="Trebuchet MS"/>
        </w:rPr>
        <w:t xml:space="preserve">As a whole, </w:t>
      </w:r>
      <w:proofErr w:type="gramStart"/>
      <w:r>
        <w:rPr>
          <w:rFonts w:ascii="Trebuchet MS" w:hAnsi="Trebuchet MS"/>
        </w:rPr>
        <w:t>it can be seen that when</w:t>
      </w:r>
      <w:proofErr w:type="gramEnd"/>
      <w:r>
        <w:rPr>
          <w:rFonts w:ascii="Trebuchet MS" w:hAnsi="Trebuchet MS"/>
        </w:rPr>
        <w:t xml:space="preserve"> the reward system lacks the key principles, it can have detrimental effects on organisational performance and culture. It breeds room for a misalignment in employee and organisational goals as well as employee dissatisfaction and an overall distrust in the </w:t>
      </w:r>
      <w:proofErr w:type="spellStart"/>
      <w:r>
        <w:rPr>
          <w:rFonts w:ascii="Trebuchet MS" w:hAnsi="Trebuchet MS"/>
        </w:rPr>
        <w:t>organisation</w:t>
      </w:r>
      <w:proofErr w:type="spellEnd"/>
      <w:r w:rsidR="00A355F8">
        <w:rPr>
          <w:rFonts w:ascii="Trebuchet MS" w:hAnsi="Trebuchet MS"/>
        </w:rPr>
        <w:t xml:space="preserve"> (Cotton, 2024)</w:t>
      </w:r>
      <w:r>
        <w:rPr>
          <w:rFonts w:ascii="Trebuchet MS" w:hAnsi="Trebuchet MS"/>
        </w:rPr>
        <w:t xml:space="preserve">. </w:t>
      </w:r>
    </w:p>
    <w:p w14:paraId="37530063" w14:textId="77777777" w:rsidR="00182829" w:rsidRDefault="00182829">
      <w:pPr>
        <w:pStyle w:val="Nornal"/>
        <w:spacing w:after="0" w:line="240" w:lineRule="auto"/>
        <w:rPr>
          <w:rFonts w:ascii="Trebuchet MS" w:hAnsi="Trebuchet MS"/>
        </w:rPr>
      </w:pPr>
    </w:p>
    <w:p w14:paraId="47E09DB0" w14:textId="77777777" w:rsidR="00182829" w:rsidRDefault="00182829">
      <w:pPr>
        <w:pStyle w:val="Nornal"/>
        <w:spacing w:after="0" w:line="240" w:lineRule="auto"/>
        <w:rPr>
          <w:rFonts w:ascii="Trebuchet MS" w:hAnsi="Trebuchet MS"/>
        </w:rPr>
      </w:pPr>
    </w:p>
    <w:p w14:paraId="6A0F8B74" w14:textId="77777777" w:rsidR="00E46818" w:rsidRDefault="00E46818">
      <w:pPr>
        <w:pStyle w:val="Nornal"/>
        <w:spacing w:after="0" w:line="240" w:lineRule="auto"/>
        <w:rPr>
          <w:rFonts w:ascii="Trebuchet MS" w:eastAsia="Trebuchet MS" w:hAnsi="Trebuchet MS" w:cs="Trebuchet MS"/>
        </w:rPr>
      </w:pPr>
    </w:p>
    <w:p w14:paraId="69B41EF8" w14:textId="6D4C8C51" w:rsidR="00E46818" w:rsidRDefault="007B6149" w:rsidP="003D2879">
      <w:pPr>
        <w:pStyle w:val="Nornal"/>
        <w:spacing w:after="0" w:line="240" w:lineRule="auto"/>
        <w:rPr>
          <w:rFonts w:ascii="Trebuchet MS" w:hAnsi="Trebuchet MS"/>
        </w:rPr>
      </w:pPr>
      <w:r>
        <w:rPr>
          <w:rFonts w:ascii="Trebuchet MS" w:hAnsi="Trebuchet MS"/>
        </w:rPr>
        <w:t xml:space="preserve"> (AC 1.2)</w:t>
      </w:r>
    </w:p>
    <w:p w14:paraId="3E150A4D" w14:textId="77777777" w:rsidR="00E46818" w:rsidRDefault="00E46818">
      <w:pPr>
        <w:pStyle w:val="Nornal"/>
        <w:spacing w:after="0" w:line="240" w:lineRule="auto"/>
        <w:ind w:left="720"/>
        <w:rPr>
          <w:rFonts w:ascii="Trebuchet MS" w:eastAsia="Trebuchet MS" w:hAnsi="Trebuchet MS" w:cs="Trebuchet MS"/>
        </w:rPr>
      </w:pPr>
    </w:p>
    <w:p w14:paraId="48390FA1"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Extrinsic reward can be defined is tangible and external to the employee such as extra paid time off, whereas intrinsic reward is intangible and internal to the employee such as praise for completing a work-related course (Indeed, 2024).</w:t>
      </w:r>
    </w:p>
    <w:p w14:paraId="50195D4B" w14:textId="77777777" w:rsidR="00E46818" w:rsidRDefault="00E46818">
      <w:pPr>
        <w:pStyle w:val="Nornal"/>
        <w:spacing w:after="0" w:line="240" w:lineRule="auto"/>
        <w:rPr>
          <w:rFonts w:ascii="Trebuchet MS" w:eastAsia="Trebuchet MS" w:hAnsi="Trebuchet MS" w:cs="Trebuchet MS"/>
        </w:rPr>
      </w:pPr>
    </w:p>
    <w:p w14:paraId="781CDCDC" w14:textId="77777777" w:rsidR="00E46818" w:rsidRDefault="007B6149">
      <w:pPr>
        <w:pStyle w:val="Nornal"/>
        <w:spacing w:after="0" w:line="240" w:lineRule="auto"/>
        <w:rPr>
          <w:rFonts w:ascii="Trebuchet MS" w:eastAsia="Trebuchet MS" w:hAnsi="Trebuchet MS" w:cs="Trebuchet MS"/>
        </w:rPr>
      </w:pPr>
      <w:proofErr w:type="gramStart"/>
      <w:r>
        <w:rPr>
          <w:rFonts w:ascii="Trebuchet MS" w:hAnsi="Trebuchet MS"/>
        </w:rPr>
        <w:t>It is clear that extrinsic</w:t>
      </w:r>
      <w:proofErr w:type="gramEnd"/>
      <w:r>
        <w:rPr>
          <w:rFonts w:ascii="Trebuchet MS" w:hAnsi="Trebuchet MS"/>
        </w:rPr>
        <w:t xml:space="preserve"> reward leads to improved employee contribution ad organisational performance when looking at Vroom’s Expectancy Theory, it can be seen that there is a clear link between motivation, performance and reward. Vroom (1964) suggested that an individual’s </w:t>
      </w:r>
      <w:proofErr w:type="spellStart"/>
      <w:r>
        <w:rPr>
          <w:rFonts w:ascii="Trebuchet MS" w:hAnsi="Trebuchet MS"/>
        </w:rPr>
        <w:t>behaviour</w:t>
      </w:r>
      <w:proofErr w:type="spellEnd"/>
      <w:r>
        <w:rPr>
          <w:rFonts w:ascii="Trebuchet MS" w:hAnsi="Trebuchet MS"/>
        </w:rPr>
        <w:t xml:space="preserve"> is motivated by anticipated results, and that the intensity of their work is driven by the belief that their effort would lead to the desired outcome such as a performance related bonus (Sutton, 2024).  </w:t>
      </w:r>
    </w:p>
    <w:p w14:paraId="0651E33B" w14:textId="77777777" w:rsidR="00E46818" w:rsidRDefault="00E46818">
      <w:pPr>
        <w:pStyle w:val="Nornal"/>
        <w:spacing w:after="0" w:line="240" w:lineRule="auto"/>
        <w:rPr>
          <w:rFonts w:ascii="Trebuchet MS" w:eastAsia="Trebuchet MS" w:hAnsi="Trebuchet MS" w:cs="Trebuchet MS"/>
        </w:rPr>
      </w:pPr>
    </w:p>
    <w:p w14:paraId="0E86F2ED" w14:textId="4D9D5BC8" w:rsidR="00E46818" w:rsidRDefault="007B6149">
      <w:pPr>
        <w:pStyle w:val="Nornal"/>
        <w:spacing w:after="0" w:line="240" w:lineRule="auto"/>
        <w:rPr>
          <w:rFonts w:ascii="Trebuchet MS" w:eastAsia="Trebuchet MS" w:hAnsi="Trebuchet MS" w:cs="Trebuchet MS"/>
        </w:rPr>
      </w:pPr>
      <w:r>
        <w:rPr>
          <w:rFonts w:ascii="Trebuchet MS" w:hAnsi="Trebuchet MS"/>
        </w:rPr>
        <w:t>Extrinsic reward such as base pay are what an employee receives for fulfilling their job requirement, it is likely that if someone is re</w:t>
      </w:r>
      <w:r w:rsidR="003D2879">
        <w:rPr>
          <w:rFonts w:ascii="Trebuchet MS" w:hAnsi="Trebuchet MS"/>
        </w:rPr>
        <w:t>mun</w:t>
      </w:r>
      <w:r>
        <w:rPr>
          <w:rFonts w:ascii="Trebuchet MS" w:hAnsi="Trebuchet MS"/>
        </w:rPr>
        <w:t xml:space="preserve">erated well for their role, they are likely to be more motivated to fulfil their job requirements and more, in turn helping to boost organisational performance (Antoni </w:t>
      </w:r>
      <w:r>
        <w:rPr>
          <w:rFonts w:ascii="Trebuchet MS" w:hAnsi="Trebuchet MS"/>
          <w:i/>
          <w:iCs/>
        </w:rPr>
        <w:t xml:space="preserve">et al, </w:t>
      </w:r>
      <w:r>
        <w:rPr>
          <w:rFonts w:ascii="Trebuchet MS" w:hAnsi="Trebuchet MS"/>
        </w:rPr>
        <w:t xml:space="preserve">2017). If roles are </w:t>
      </w:r>
      <w:proofErr w:type="spellStart"/>
      <w:r>
        <w:rPr>
          <w:rFonts w:ascii="Trebuchet MS" w:hAnsi="Trebuchet MS"/>
        </w:rPr>
        <w:t>re</w:t>
      </w:r>
      <w:r w:rsidR="003D2879">
        <w:rPr>
          <w:rFonts w:ascii="Trebuchet MS" w:hAnsi="Trebuchet MS"/>
        </w:rPr>
        <w:t>mu</w:t>
      </w:r>
      <w:r>
        <w:rPr>
          <w:rFonts w:ascii="Trebuchet MS" w:hAnsi="Trebuchet MS"/>
        </w:rPr>
        <w:t>erated</w:t>
      </w:r>
      <w:proofErr w:type="spellEnd"/>
      <w:r>
        <w:rPr>
          <w:rFonts w:ascii="Trebuchet MS" w:hAnsi="Trebuchet MS"/>
        </w:rPr>
        <w:t xml:space="preserve"> poorly, </w:t>
      </w:r>
      <w:r>
        <w:rPr>
          <w:rFonts w:ascii="Trebuchet MS" w:hAnsi="Trebuchet MS"/>
        </w:rPr>
        <w:lastRenderedPageBreak/>
        <w:t xml:space="preserve">employees are less likely to give their full effort and potential to the </w:t>
      </w:r>
      <w:proofErr w:type="spellStart"/>
      <w:r>
        <w:rPr>
          <w:rFonts w:ascii="Trebuchet MS" w:hAnsi="Trebuchet MS"/>
        </w:rPr>
        <w:t>organisation</w:t>
      </w:r>
      <w:proofErr w:type="spellEnd"/>
      <w:r>
        <w:rPr>
          <w:rFonts w:ascii="Trebuchet MS" w:hAnsi="Trebuchet MS"/>
        </w:rPr>
        <w:t xml:space="preserve">, be retained or attracted in the first place as this is an extremely important factor for both existing employees and potential candidates (Costello, 2023). </w:t>
      </w:r>
    </w:p>
    <w:p w14:paraId="6A22332E" w14:textId="77777777" w:rsidR="00E46818" w:rsidRDefault="00E46818">
      <w:pPr>
        <w:pStyle w:val="Nornal"/>
        <w:spacing w:after="0" w:line="240" w:lineRule="auto"/>
        <w:rPr>
          <w:rFonts w:ascii="Trebuchet MS" w:eastAsia="Trebuchet MS" w:hAnsi="Trebuchet MS" w:cs="Trebuchet MS"/>
        </w:rPr>
      </w:pPr>
    </w:p>
    <w:p w14:paraId="3D1257AF"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On the other hand, it is important to note the importance of intrinsic reward. Herzberg’s Two-Factor Theory suggests that intrinsic rewards are the most potent in driving job satisfaction and motivation depending on an individual’s values and needs. Noting that ‘hygiene’ factors (extrinsic) such as salary can cause dissatisfaction if not adequate (Nickerson, 2023). </w:t>
      </w:r>
    </w:p>
    <w:p w14:paraId="03BAA49A" w14:textId="77777777" w:rsidR="00E46818" w:rsidRDefault="00E46818">
      <w:pPr>
        <w:pStyle w:val="Nornal"/>
        <w:spacing w:after="0" w:line="240" w:lineRule="auto"/>
        <w:rPr>
          <w:rFonts w:ascii="Trebuchet MS" w:eastAsia="Trebuchet MS" w:hAnsi="Trebuchet MS" w:cs="Trebuchet MS"/>
        </w:rPr>
      </w:pPr>
    </w:p>
    <w:p w14:paraId="2A495B1F"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Intrinsic rewards such as recognition enable employees to feel good and acknowledged for the effort they have put in and as humans, our desire to achieve this motivates us. This will not only impact the employee that receives the recognition, but also the wider team and can be </w:t>
      </w:r>
      <w:proofErr w:type="spellStart"/>
      <w:r>
        <w:rPr>
          <w:rFonts w:ascii="Trebuchet MS" w:hAnsi="Trebuchet MS"/>
        </w:rPr>
        <w:t>utilised</w:t>
      </w:r>
      <w:proofErr w:type="spellEnd"/>
      <w:r>
        <w:rPr>
          <w:rFonts w:ascii="Trebuchet MS" w:hAnsi="Trebuchet MS"/>
        </w:rPr>
        <w:t xml:space="preserve"> longer term than that of extrinsic rewards like bonuses due to the reduced cost (Cotton et al, 2022). Intrinsic rewards also help to nurture confidence and help stimulate a feeling of belonging within the </w:t>
      </w:r>
      <w:proofErr w:type="spellStart"/>
      <w:r>
        <w:rPr>
          <w:rFonts w:ascii="Trebuchet MS" w:hAnsi="Trebuchet MS"/>
        </w:rPr>
        <w:t>organisation</w:t>
      </w:r>
      <w:proofErr w:type="spellEnd"/>
      <w:r>
        <w:rPr>
          <w:rFonts w:ascii="Trebuchet MS" w:hAnsi="Trebuchet MS"/>
        </w:rPr>
        <w:t>, which will also help retain employees and sustain organisational performance (Indeed, 2024).</w:t>
      </w:r>
    </w:p>
    <w:p w14:paraId="5B39906C" w14:textId="77777777" w:rsidR="00E46818" w:rsidRDefault="00E46818">
      <w:pPr>
        <w:pStyle w:val="Nornal"/>
        <w:spacing w:after="0" w:line="240" w:lineRule="auto"/>
        <w:rPr>
          <w:rFonts w:ascii="Trebuchet MS" w:eastAsia="Trebuchet MS" w:hAnsi="Trebuchet MS" w:cs="Trebuchet MS"/>
        </w:rPr>
      </w:pPr>
    </w:p>
    <w:p w14:paraId="4A66691C"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There needs to be a mix of both extrinsic and intrinsic reward to ensure improved employee contribution and organisational performance. It may be useful for Eco-Insulate UK to implement a performance bonus or something similar and to place more importance on introducing more intrinsic rewards such as recognition or flexibility in the workplace that can be used longer term. </w:t>
      </w:r>
    </w:p>
    <w:p w14:paraId="52FD0865" w14:textId="28D6DAD4" w:rsidR="00E46818" w:rsidRDefault="00E46818">
      <w:pPr>
        <w:pStyle w:val="Nornal"/>
        <w:spacing w:after="0" w:line="240" w:lineRule="auto"/>
        <w:rPr>
          <w:rFonts w:ascii="Trebuchet MS" w:eastAsia="Trebuchet MS" w:hAnsi="Trebuchet MS" w:cs="Trebuchet MS"/>
          <w:color w:val="5A8A39"/>
        </w:rPr>
      </w:pPr>
    </w:p>
    <w:p w14:paraId="5037DC5D" w14:textId="77777777" w:rsidR="00E46818" w:rsidRDefault="00E46818">
      <w:pPr>
        <w:pStyle w:val="Nornal"/>
        <w:spacing w:after="0" w:line="240" w:lineRule="auto"/>
        <w:rPr>
          <w:rFonts w:ascii="Trebuchet MS" w:eastAsia="Trebuchet MS" w:hAnsi="Trebuchet MS" w:cs="Trebuchet MS"/>
        </w:rPr>
      </w:pPr>
    </w:p>
    <w:p w14:paraId="0A0DB52E" w14:textId="77777777" w:rsidR="00E46818" w:rsidRDefault="00E46818">
      <w:pPr>
        <w:pStyle w:val="Nornal"/>
        <w:spacing w:after="0" w:line="240" w:lineRule="auto"/>
        <w:rPr>
          <w:rFonts w:ascii="Trebuchet MS" w:eastAsia="Trebuchet MS" w:hAnsi="Trebuchet MS" w:cs="Trebuchet MS"/>
        </w:rPr>
      </w:pPr>
    </w:p>
    <w:p w14:paraId="4AEC4D93" w14:textId="5595C251" w:rsidR="00E46818" w:rsidRDefault="007B6149" w:rsidP="003D2879">
      <w:pPr>
        <w:pStyle w:val="Nornal"/>
        <w:spacing w:after="0" w:line="240" w:lineRule="auto"/>
        <w:rPr>
          <w:rFonts w:ascii="Trebuchet MS" w:hAnsi="Trebuchet MS"/>
        </w:rPr>
      </w:pPr>
      <w:r>
        <w:rPr>
          <w:rFonts w:ascii="Trebuchet MS" w:hAnsi="Trebuchet MS"/>
        </w:rPr>
        <w:t xml:space="preserve"> (AC 2.1)</w:t>
      </w:r>
    </w:p>
    <w:p w14:paraId="6668CC27" w14:textId="77777777" w:rsidR="00E46818" w:rsidRDefault="00E46818">
      <w:pPr>
        <w:pStyle w:val="Nornal"/>
        <w:spacing w:after="0" w:line="240" w:lineRule="auto"/>
        <w:rPr>
          <w:rFonts w:ascii="Trebuchet MS" w:eastAsia="Trebuchet MS" w:hAnsi="Trebuchet MS" w:cs="Trebuchet MS"/>
        </w:rPr>
      </w:pPr>
    </w:p>
    <w:p w14:paraId="5D6CE682"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A pay structure is a collection of grades, levels, or bands linking related jobs within a hierarchy or series. The grade then falls within this structure highlighting an employee’s exact salary within a specific range (CIPD, 2024).</w:t>
      </w:r>
    </w:p>
    <w:p w14:paraId="35D3EA1C" w14:textId="77777777" w:rsidR="00E46818" w:rsidRDefault="00E46818">
      <w:pPr>
        <w:pStyle w:val="Nornal"/>
        <w:spacing w:after="0" w:line="240" w:lineRule="auto"/>
        <w:rPr>
          <w:rFonts w:ascii="Trebuchet MS" w:eastAsia="Trebuchet MS" w:hAnsi="Trebuchet MS" w:cs="Trebuchet MS"/>
        </w:rPr>
      </w:pPr>
    </w:p>
    <w:p w14:paraId="1DC908B2" w14:textId="280DD027" w:rsidR="00E46818" w:rsidRDefault="007B6149">
      <w:pPr>
        <w:pStyle w:val="Nornal"/>
        <w:spacing w:after="0" w:line="240" w:lineRule="auto"/>
        <w:rPr>
          <w:rFonts w:ascii="Trebuchet MS" w:eastAsia="Trebuchet MS" w:hAnsi="Trebuchet MS" w:cs="Trebuchet MS"/>
        </w:rPr>
      </w:pPr>
      <w:r>
        <w:rPr>
          <w:rFonts w:ascii="Trebuchet MS" w:hAnsi="Trebuchet MS"/>
        </w:rPr>
        <w:t>These structures can be divided into formal and informal structures. An example of a formal structure is a broad-banded pay structure, this can be defined as a structure that uses narrow pay bands to allow for greater pay flexibility and progression than a narrow-graded structure would. Narrow graded structures usually include 10 or more grades with a range of jobs of equivalent worth within each grade band. The pay progression here is usually linked to length of service, being less flexible and</w:t>
      </w:r>
      <w:r w:rsidR="003D2879">
        <w:rPr>
          <w:rFonts w:ascii="Trebuchet MS" w:hAnsi="Trebuchet MS"/>
        </w:rPr>
        <w:t xml:space="preserve"> can</w:t>
      </w:r>
      <w:r>
        <w:rPr>
          <w:rFonts w:ascii="Trebuchet MS" w:hAnsi="Trebuchet MS"/>
        </w:rPr>
        <w:t xml:space="preserve"> cause issues around ‘grade drift’ for some roles</w:t>
      </w:r>
      <w:r w:rsidR="003D2879">
        <w:rPr>
          <w:rFonts w:ascii="Trebuchet MS" w:hAnsi="Trebuchet MS"/>
        </w:rPr>
        <w:t xml:space="preserve"> </w:t>
      </w:r>
      <w:r>
        <w:rPr>
          <w:rFonts w:ascii="Trebuchet MS" w:hAnsi="Trebuchet MS"/>
        </w:rPr>
        <w:t>(CIPD, 2024). If this becomes an issue, broad grading</w:t>
      </w:r>
      <w:r w:rsidR="003D2879">
        <w:rPr>
          <w:rFonts w:ascii="Trebuchet MS" w:hAnsi="Trebuchet MS"/>
        </w:rPr>
        <w:t xml:space="preserve"> could be used,</w:t>
      </w:r>
      <w:r>
        <w:rPr>
          <w:rFonts w:ascii="Trebuchet MS" w:hAnsi="Trebuchet MS"/>
        </w:rPr>
        <w:t xml:space="preserve"> which increases the number of grades whilst narrowing the pay bands.</w:t>
      </w:r>
    </w:p>
    <w:p w14:paraId="445F43F2" w14:textId="77777777" w:rsidR="00E46818" w:rsidRDefault="00E46818">
      <w:pPr>
        <w:pStyle w:val="Nornal"/>
        <w:spacing w:after="0" w:line="240" w:lineRule="auto"/>
        <w:rPr>
          <w:rFonts w:ascii="Trebuchet MS" w:eastAsia="Trebuchet MS" w:hAnsi="Trebuchet MS" w:cs="Trebuchet MS"/>
        </w:rPr>
      </w:pPr>
    </w:p>
    <w:p w14:paraId="15BE65FF" w14:textId="34F726BC" w:rsidR="00E46818" w:rsidRDefault="007B6149">
      <w:pPr>
        <w:pStyle w:val="Nornal"/>
        <w:spacing w:after="0" w:line="240" w:lineRule="auto"/>
        <w:rPr>
          <w:rFonts w:ascii="Trebuchet MS" w:eastAsia="Trebuchet MS" w:hAnsi="Trebuchet MS" w:cs="Trebuchet MS"/>
        </w:rPr>
      </w:pPr>
      <w:r>
        <w:rPr>
          <w:rFonts w:ascii="Trebuchet MS" w:hAnsi="Trebuchet MS"/>
        </w:rPr>
        <w:t xml:space="preserve"> Another example of a formal pay structure is the grouping together of roles within pay and grading structure </w:t>
      </w:r>
      <w:proofErr w:type="spellStart"/>
      <w:r>
        <w:rPr>
          <w:rFonts w:ascii="Trebuchet MS" w:hAnsi="Trebuchet MS"/>
        </w:rPr>
        <w:t>dependant</w:t>
      </w:r>
      <w:proofErr w:type="spellEnd"/>
      <w:r>
        <w:rPr>
          <w:rFonts w:ascii="Trebuchet MS" w:hAnsi="Trebuchet MS"/>
        </w:rPr>
        <w:t xml:space="preserve"> what job family they are in. These structures usually have around six to eight levels similar to that of a broad graded structure to help facilitate higher pay rates for specific </w:t>
      </w:r>
      <w:proofErr w:type="gramStart"/>
      <w:r>
        <w:rPr>
          <w:rFonts w:ascii="Trebuchet MS" w:hAnsi="Trebuchet MS"/>
        </w:rPr>
        <w:t>sought after</w:t>
      </w:r>
      <w:proofErr w:type="gramEnd"/>
      <w:r>
        <w:rPr>
          <w:rFonts w:ascii="Trebuchet MS" w:hAnsi="Trebuchet MS"/>
        </w:rPr>
        <w:t xml:space="preserve"> roles (CIPD, 2024).</w:t>
      </w:r>
    </w:p>
    <w:p w14:paraId="445B9B43" w14:textId="77777777" w:rsidR="00E46818" w:rsidRDefault="00E46818">
      <w:pPr>
        <w:pStyle w:val="Nornal"/>
        <w:spacing w:after="0" w:line="240" w:lineRule="auto"/>
        <w:rPr>
          <w:rFonts w:ascii="Trebuchet MS" w:eastAsia="Trebuchet MS" w:hAnsi="Trebuchet MS" w:cs="Trebuchet MS"/>
        </w:rPr>
      </w:pPr>
    </w:p>
    <w:p w14:paraId="096038F4" w14:textId="5E4DC604" w:rsidR="00E46818" w:rsidRDefault="007B6149">
      <w:pPr>
        <w:pStyle w:val="Nornal"/>
        <w:spacing w:after="0" w:line="240" w:lineRule="auto"/>
        <w:rPr>
          <w:rFonts w:ascii="Trebuchet MS" w:eastAsia="Trebuchet MS" w:hAnsi="Trebuchet MS" w:cs="Trebuchet MS"/>
        </w:rPr>
      </w:pPr>
      <w:r>
        <w:rPr>
          <w:rFonts w:ascii="Trebuchet MS" w:hAnsi="Trebuchet MS"/>
        </w:rPr>
        <w:t xml:space="preserve">In comparison, informal pay structures such as individual pay rates/spot rates are where there is a single pay rate for each job or person. These are usually applied where there is need for a ‘rate’ for a specific job i.e. at a senior level where a benefit package </w:t>
      </w:r>
      <w:proofErr w:type="gramStart"/>
      <w:r>
        <w:rPr>
          <w:rFonts w:ascii="Trebuchet MS" w:hAnsi="Trebuchet MS"/>
        </w:rPr>
        <w:t>has to</w:t>
      </w:r>
      <w:proofErr w:type="gramEnd"/>
      <w:r>
        <w:rPr>
          <w:rFonts w:ascii="Trebuchet MS" w:hAnsi="Trebuchet MS"/>
        </w:rPr>
        <w:t xml:space="preserve"> be designed to attract and retain. Linking closely to this, there </w:t>
      </w:r>
      <w:r w:rsidR="003D2879">
        <w:rPr>
          <w:rFonts w:ascii="Trebuchet MS" w:hAnsi="Trebuchet MS"/>
        </w:rPr>
        <w:t>are</w:t>
      </w:r>
      <w:r>
        <w:rPr>
          <w:rFonts w:ascii="Trebuchet MS" w:hAnsi="Trebuchet MS"/>
        </w:rPr>
        <w:t xml:space="preserve"> individual pay ranges, where a structure containing different salaries or grades may be allocated to an individual or role to allow for progression as there would be no other formal progression without this (CIPD, 2024). </w:t>
      </w:r>
    </w:p>
    <w:p w14:paraId="4B75936D" w14:textId="77777777" w:rsidR="00E46818" w:rsidRDefault="00E46818">
      <w:pPr>
        <w:pStyle w:val="Nornal"/>
        <w:spacing w:after="0" w:line="240" w:lineRule="auto"/>
        <w:rPr>
          <w:rFonts w:ascii="Trebuchet MS" w:eastAsia="Trebuchet MS" w:hAnsi="Trebuchet MS" w:cs="Trebuchet MS"/>
        </w:rPr>
      </w:pPr>
    </w:p>
    <w:p w14:paraId="78A58B92" w14:textId="77777777" w:rsidR="00E46818" w:rsidRDefault="007B6149">
      <w:pPr>
        <w:pStyle w:val="Nornal"/>
        <w:spacing w:after="0" w:line="240" w:lineRule="auto"/>
        <w:rPr>
          <w:rFonts w:ascii="Trebuchet MS" w:eastAsia="Trebuchet MS" w:hAnsi="Trebuchet MS" w:cs="Trebuchet MS"/>
        </w:rPr>
      </w:pPr>
      <w:r>
        <w:rPr>
          <w:rFonts w:ascii="Trebuchet MS" w:hAnsi="Trebuchet MS"/>
        </w:rPr>
        <w:lastRenderedPageBreak/>
        <w:t xml:space="preserve">Whilst formal grades and structures tend to be more uniform and provide structure, informal grades and structures can be more flexible with less structure. Both have their role in the workplace; however, it may be a good option for Eco-Insulate UK to look at adopting a formal pay structure that offers pay progression as part of designing their reward and recognition </w:t>
      </w:r>
      <w:proofErr w:type="spellStart"/>
      <w:r>
        <w:rPr>
          <w:rFonts w:ascii="Trebuchet MS" w:hAnsi="Trebuchet MS"/>
        </w:rPr>
        <w:t>programme</w:t>
      </w:r>
      <w:proofErr w:type="spellEnd"/>
      <w:r>
        <w:rPr>
          <w:rFonts w:ascii="Trebuchet MS" w:hAnsi="Trebuchet MS"/>
        </w:rPr>
        <w:t>.</w:t>
      </w:r>
    </w:p>
    <w:p w14:paraId="01E84B1E" w14:textId="77777777" w:rsidR="00E46818" w:rsidRDefault="00E46818">
      <w:pPr>
        <w:pStyle w:val="Nornal"/>
        <w:spacing w:after="0" w:line="240" w:lineRule="auto"/>
        <w:rPr>
          <w:rFonts w:ascii="Trebuchet MS" w:eastAsia="Trebuchet MS" w:hAnsi="Trebuchet MS" w:cs="Trebuchet MS"/>
        </w:rPr>
      </w:pPr>
    </w:p>
    <w:p w14:paraId="479660BD" w14:textId="68B266E9" w:rsidR="00E46818" w:rsidRDefault="007B6149" w:rsidP="003D2879">
      <w:pPr>
        <w:pStyle w:val="Nornal"/>
        <w:spacing w:after="0" w:line="240" w:lineRule="auto"/>
        <w:rPr>
          <w:rFonts w:ascii="Trebuchet MS" w:hAnsi="Trebuchet MS"/>
        </w:rPr>
      </w:pPr>
      <w:r>
        <w:rPr>
          <w:rFonts w:ascii="Trebuchet MS" w:hAnsi="Trebuchet MS"/>
        </w:rPr>
        <w:t xml:space="preserve"> (AC 2.2)</w:t>
      </w:r>
    </w:p>
    <w:p w14:paraId="6F0A1E42" w14:textId="77777777" w:rsidR="00E46818" w:rsidRDefault="00E46818">
      <w:pPr>
        <w:pStyle w:val="Nornal"/>
        <w:spacing w:after="0" w:line="240" w:lineRule="auto"/>
        <w:rPr>
          <w:rFonts w:ascii="Trebuchet MS" w:eastAsia="Trebuchet MS" w:hAnsi="Trebuchet MS" w:cs="Trebuchet MS"/>
        </w:rPr>
      </w:pPr>
    </w:p>
    <w:p w14:paraId="7237B486"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Contingent rewards can be defined as a motivation-based system, rewarding those that meet specific goals or outcomes (Smith, 2017). Some examples of contingent rewards are performance-related pay and tenure/service-related pay.</w:t>
      </w:r>
    </w:p>
    <w:p w14:paraId="5E155DC2" w14:textId="77777777" w:rsidR="00E46818" w:rsidRDefault="00E46818">
      <w:pPr>
        <w:pStyle w:val="Nornal"/>
        <w:spacing w:after="0" w:line="240" w:lineRule="auto"/>
        <w:rPr>
          <w:rFonts w:ascii="Trebuchet MS" w:eastAsia="Trebuchet MS" w:hAnsi="Trebuchet MS" w:cs="Trebuchet MS"/>
        </w:rPr>
      </w:pPr>
    </w:p>
    <w:p w14:paraId="74BAB6A9"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Starting with performance-related pay, which is usually a reward based around the achievement of key metrics such as sales targets. When looking at the impact this has on individual performance, employees are likely to feel more motivated when they can see a clear connection between the effort they put in and the reward they receive. However, the pressure and stress caused by the key metrics can sometimes lead to burnout, having an adverse effect individual, and in some cases, team performance (Mohammed, 2024). </w:t>
      </w:r>
    </w:p>
    <w:p w14:paraId="39FE73C5" w14:textId="77777777" w:rsidR="00E46818" w:rsidRDefault="00E46818">
      <w:pPr>
        <w:pStyle w:val="Nornal"/>
        <w:spacing w:after="0" w:line="240" w:lineRule="auto"/>
        <w:rPr>
          <w:rFonts w:ascii="Trebuchet MS" w:eastAsia="Trebuchet MS" w:hAnsi="Trebuchet MS" w:cs="Trebuchet MS"/>
        </w:rPr>
      </w:pPr>
    </w:p>
    <w:p w14:paraId="71AC2880"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Despite this, performance-related pay can have a positive impact on team performance when it is team-based is that it helps share accountability and encourage collaboration (Armstrong, 2016). It is important for Eco- Insulate UK to remember that if they choose to implement this type of team-based contingent reward, that if there are unequal perceptions of effort within the team, it can lead to conflict and disengagement that ultimately impacts </w:t>
      </w:r>
      <w:proofErr w:type="gramStart"/>
      <w:r>
        <w:rPr>
          <w:rFonts w:ascii="Trebuchet MS" w:hAnsi="Trebuchet MS"/>
        </w:rPr>
        <w:t>performance as a whole</w:t>
      </w:r>
      <w:proofErr w:type="gramEnd"/>
      <w:r>
        <w:rPr>
          <w:rFonts w:ascii="Trebuchet MS" w:hAnsi="Trebuchet MS"/>
        </w:rPr>
        <w:t xml:space="preserve"> (Dessler, 2021).</w:t>
      </w:r>
    </w:p>
    <w:p w14:paraId="6DA51177" w14:textId="77777777" w:rsidR="00E46818" w:rsidRDefault="00E46818">
      <w:pPr>
        <w:pStyle w:val="Nornal"/>
        <w:spacing w:after="0" w:line="240" w:lineRule="auto"/>
        <w:rPr>
          <w:rFonts w:ascii="Trebuchet MS" w:eastAsia="Trebuchet MS" w:hAnsi="Trebuchet MS" w:cs="Trebuchet MS"/>
        </w:rPr>
      </w:pPr>
    </w:p>
    <w:p w14:paraId="709C0162"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When looking at organisational performance, </w:t>
      </w:r>
      <w:proofErr w:type="gramStart"/>
      <w:r>
        <w:rPr>
          <w:rFonts w:ascii="Trebuchet MS" w:hAnsi="Trebuchet MS"/>
        </w:rPr>
        <w:t>it can be seen that performance</w:t>
      </w:r>
      <w:proofErr w:type="gramEnd"/>
      <w:r>
        <w:rPr>
          <w:rFonts w:ascii="Trebuchet MS" w:hAnsi="Trebuchet MS"/>
        </w:rPr>
        <w:t xml:space="preserve"> related pay can boost the achievement of organisational objectives, by motivating employees, in turn, increasing productivity and driving organisational success. However, an overemphasis on financial rewards can </w:t>
      </w:r>
      <w:proofErr w:type="gramStart"/>
      <w:r>
        <w:rPr>
          <w:rFonts w:ascii="Trebuchet MS" w:hAnsi="Trebuchet MS"/>
        </w:rPr>
        <w:t>actually have</w:t>
      </w:r>
      <w:proofErr w:type="gramEnd"/>
      <w:r>
        <w:rPr>
          <w:rFonts w:ascii="Trebuchet MS" w:hAnsi="Trebuchet MS"/>
        </w:rPr>
        <w:t xml:space="preserve"> the opposite effect as it becomes expected and can undermine intrinsic rewards that may be given as it can be seen that extrinsic rewards are not always linked to great performance (Nickerson, 2023).</w:t>
      </w:r>
    </w:p>
    <w:p w14:paraId="2BEDEFE2" w14:textId="77777777" w:rsidR="00E46818" w:rsidRDefault="00E46818">
      <w:pPr>
        <w:pStyle w:val="Nornal"/>
        <w:spacing w:after="0" w:line="240" w:lineRule="auto"/>
        <w:rPr>
          <w:rFonts w:ascii="Trebuchet MS" w:eastAsia="Trebuchet MS" w:hAnsi="Trebuchet MS" w:cs="Trebuchet MS"/>
        </w:rPr>
      </w:pPr>
    </w:p>
    <w:p w14:paraId="62187E80"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Secondly, tenure/service-related pay is normally rewarding an employee for their loyalty and long service period with the company. For individuals, this can encourage retention within an </w:t>
      </w:r>
      <w:proofErr w:type="spellStart"/>
      <w:r>
        <w:rPr>
          <w:rFonts w:ascii="Trebuchet MS" w:hAnsi="Trebuchet MS"/>
        </w:rPr>
        <w:t>organisation</w:t>
      </w:r>
      <w:proofErr w:type="spellEnd"/>
      <w:r>
        <w:rPr>
          <w:rFonts w:ascii="Trebuchet MS" w:hAnsi="Trebuchet MS"/>
        </w:rPr>
        <w:t xml:space="preserve"> as they feel valued for the long-term commitment that they have shown which is likely to boost their job satisfaction (Armstrong and Taylor, 2020). However, if this is the only type of contingent reward </w:t>
      </w:r>
      <w:proofErr w:type="spellStart"/>
      <w:r>
        <w:rPr>
          <w:rFonts w:ascii="Trebuchet MS" w:hAnsi="Trebuchet MS"/>
        </w:rPr>
        <w:t>utilised</w:t>
      </w:r>
      <w:proofErr w:type="spellEnd"/>
      <w:r>
        <w:rPr>
          <w:rFonts w:ascii="Trebuchet MS" w:hAnsi="Trebuchet MS"/>
        </w:rPr>
        <w:t>, it may mean employees feel demotivated if they perform well yet are not rewarded beyond less productive colleagues with the same length of service (Dessler, 2021).</w:t>
      </w:r>
    </w:p>
    <w:p w14:paraId="60B9E6B0" w14:textId="77777777" w:rsidR="00E46818" w:rsidRDefault="00E46818">
      <w:pPr>
        <w:pStyle w:val="Nornal"/>
        <w:spacing w:after="0" w:line="240" w:lineRule="auto"/>
        <w:rPr>
          <w:rFonts w:ascii="Trebuchet MS" w:eastAsia="Trebuchet MS" w:hAnsi="Trebuchet MS" w:cs="Trebuchet MS"/>
        </w:rPr>
      </w:pPr>
    </w:p>
    <w:p w14:paraId="56D3E73F"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For the team, rewarding long-serving employees can encourage knowledge sharing helping to develop stable, experienced and cohesive teams withing the </w:t>
      </w:r>
      <w:proofErr w:type="spellStart"/>
      <w:r>
        <w:rPr>
          <w:rFonts w:ascii="Trebuchet MS" w:hAnsi="Trebuchet MS"/>
        </w:rPr>
        <w:t>organisation</w:t>
      </w:r>
      <w:proofErr w:type="spellEnd"/>
      <w:r>
        <w:t xml:space="preserve"> </w:t>
      </w:r>
      <w:r>
        <w:rPr>
          <w:rFonts w:ascii="Trebuchet MS" w:hAnsi="Trebuchet MS"/>
        </w:rPr>
        <w:t>(Bauer, 2024). The longer an employee has been in the company, the more likely they are to know the nature of the business and their role, which can also mean more mentorship takes place. Despite this, there is always the issue that long-serving employees may be more resistant to change or struggle to adapt to new practices, which can negatively hinder team performance (</w:t>
      </w:r>
      <w:proofErr w:type="spellStart"/>
      <w:r>
        <w:rPr>
          <w:rFonts w:ascii="Trebuchet MS" w:hAnsi="Trebuchet MS"/>
        </w:rPr>
        <w:t>ObservationSpider</w:t>
      </w:r>
      <w:proofErr w:type="spellEnd"/>
      <w:r>
        <w:rPr>
          <w:rFonts w:ascii="Trebuchet MS" w:hAnsi="Trebuchet MS"/>
        </w:rPr>
        <w:t>, 2024).</w:t>
      </w:r>
    </w:p>
    <w:p w14:paraId="1A5B38A7" w14:textId="77777777" w:rsidR="00E46818" w:rsidRDefault="00E46818">
      <w:pPr>
        <w:pStyle w:val="Nornal"/>
        <w:spacing w:after="0" w:line="240" w:lineRule="auto"/>
        <w:rPr>
          <w:rFonts w:ascii="Trebuchet MS" w:eastAsia="Trebuchet MS" w:hAnsi="Trebuchet MS" w:cs="Trebuchet MS"/>
        </w:rPr>
      </w:pPr>
    </w:p>
    <w:p w14:paraId="38990D33"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Naturally, service-related pay will also ensure the </w:t>
      </w:r>
      <w:proofErr w:type="spellStart"/>
      <w:r>
        <w:rPr>
          <w:rFonts w:ascii="Trebuchet MS" w:hAnsi="Trebuchet MS"/>
        </w:rPr>
        <w:t>organisation</w:t>
      </w:r>
      <w:proofErr w:type="spellEnd"/>
      <w:r>
        <w:rPr>
          <w:rFonts w:ascii="Trebuchet MS" w:hAnsi="Trebuchet MS"/>
        </w:rPr>
        <w:t xml:space="preserve"> retains experienced and valued employees, helping to lower turnover costs and contributing to a stable organisational culture (Armstrong and Taylor, 2020). When employees have job security, they are more likely to perform well, boosting overall organisational performance (Lucky et al, 2013). On the contrary, placing a heavy emphasis on length of service may leave </w:t>
      </w:r>
      <w:r>
        <w:rPr>
          <w:rFonts w:ascii="Trebuchet MS" w:hAnsi="Trebuchet MS"/>
        </w:rPr>
        <w:lastRenderedPageBreak/>
        <w:t>new and younger employees feeling undervalued which could divide the workforce, negatively impacting organisational performance</w:t>
      </w:r>
      <w:r>
        <w:t xml:space="preserve"> </w:t>
      </w:r>
      <w:r>
        <w:rPr>
          <w:rFonts w:ascii="Trebuchet MS" w:hAnsi="Trebuchet MS"/>
        </w:rPr>
        <w:t>(Gonzales, 2024).</w:t>
      </w:r>
    </w:p>
    <w:p w14:paraId="629C2FA6" w14:textId="77777777" w:rsidR="00E46818" w:rsidRDefault="00E46818">
      <w:pPr>
        <w:pStyle w:val="Nornal"/>
        <w:spacing w:after="0" w:line="240" w:lineRule="auto"/>
        <w:ind w:left="720"/>
        <w:rPr>
          <w:rFonts w:ascii="Trebuchet MS" w:eastAsia="Trebuchet MS" w:hAnsi="Trebuchet MS" w:cs="Trebuchet MS"/>
        </w:rPr>
      </w:pPr>
    </w:p>
    <w:p w14:paraId="1CDCD025" w14:textId="539B8F6E" w:rsidR="00E46818" w:rsidRDefault="003D2879" w:rsidP="003D2879">
      <w:pPr>
        <w:pStyle w:val="Nornal"/>
        <w:spacing w:after="0" w:line="240" w:lineRule="auto"/>
        <w:rPr>
          <w:rFonts w:ascii="Trebuchet MS" w:hAnsi="Trebuchet MS"/>
        </w:rPr>
      </w:pPr>
      <w:r>
        <w:rPr>
          <w:rFonts w:ascii="Trebuchet MS" w:hAnsi="Trebuchet MS"/>
        </w:rPr>
        <w:t>(</w:t>
      </w:r>
      <w:r w:rsidR="007B6149">
        <w:rPr>
          <w:rFonts w:ascii="Trebuchet MS" w:hAnsi="Trebuchet MS"/>
        </w:rPr>
        <w:t>AC 2.3)</w:t>
      </w:r>
    </w:p>
    <w:p w14:paraId="5E29D0F0" w14:textId="77777777" w:rsidR="00E46818" w:rsidRDefault="00E46818">
      <w:pPr>
        <w:pStyle w:val="Nornal"/>
        <w:spacing w:after="0" w:line="240" w:lineRule="auto"/>
        <w:rPr>
          <w:rFonts w:ascii="Trebuchet MS" w:eastAsia="Trebuchet MS" w:hAnsi="Trebuchet MS" w:cs="Trebuchet MS"/>
        </w:rPr>
      </w:pPr>
    </w:p>
    <w:p w14:paraId="05417B8E"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There are multiple different types of benefit an </w:t>
      </w:r>
      <w:proofErr w:type="spellStart"/>
      <w:r>
        <w:rPr>
          <w:rFonts w:ascii="Trebuchet MS" w:hAnsi="Trebuchet MS"/>
        </w:rPr>
        <w:t>organisation</w:t>
      </w:r>
      <w:proofErr w:type="spellEnd"/>
      <w:r>
        <w:rPr>
          <w:rFonts w:ascii="Trebuchet MS" w:hAnsi="Trebuchet MS"/>
        </w:rPr>
        <w:t xml:space="preserve"> can offer, including sick pay, health care, share ownership and profit sharing. Each of these benefits can help reap a range of merits for both the </w:t>
      </w:r>
      <w:proofErr w:type="spellStart"/>
      <w:r>
        <w:rPr>
          <w:rFonts w:ascii="Trebuchet MS" w:hAnsi="Trebuchet MS"/>
        </w:rPr>
        <w:t>organisation</w:t>
      </w:r>
      <w:proofErr w:type="spellEnd"/>
      <w:r>
        <w:rPr>
          <w:rFonts w:ascii="Trebuchet MS" w:hAnsi="Trebuchet MS"/>
        </w:rPr>
        <w:t xml:space="preserve"> and its employees. </w:t>
      </w:r>
    </w:p>
    <w:p w14:paraId="3C2DAD6F" w14:textId="77777777" w:rsidR="00E46818" w:rsidRDefault="00E46818">
      <w:pPr>
        <w:pStyle w:val="Nornal"/>
        <w:spacing w:after="0" w:line="240" w:lineRule="auto"/>
        <w:rPr>
          <w:rFonts w:ascii="Trebuchet MS" w:eastAsia="Trebuchet MS" w:hAnsi="Trebuchet MS" w:cs="Trebuchet MS"/>
        </w:rPr>
      </w:pPr>
    </w:p>
    <w:p w14:paraId="3F6353AA" w14:textId="40759EA6" w:rsidR="00E46818" w:rsidRDefault="007B6149">
      <w:pPr>
        <w:pStyle w:val="Nornal"/>
        <w:spacing w:after="0" w:line="240" w:lineRule="auto"/>
        <w:rPr>
          <w:rFonts w:ascii="Trebuchet MS" w:eastAsia="Trebuchet MS" w:hAnsi="Trebuchet MS" w:cs="Trebuchet MS"/>
        </w:rPr>
      </w:pPr>
      <w:r>
        <w:rPr>
          <w:rFonts w:ascii="Trebuchet MS" w:hAnsi="Trebuchet MS"/>
        </w:rPr>
        <w:t>Compensating employees for periods they are off work due to sickness will mean that employees do not have to rely on statutory sick pay but instead will have a set duration of re</w:t>
      </w:r>
      <w:r w:rsidR="003D2879">
        <w:rPr>
          <w:rFonts w:ascii="Trebuchet MS" w:hAnsi="Trebuchet MS"/>
        </w:rPr>
        <w:t>mun</w:t>
      </w:r>
      <w:r>
        <w:rPr>
          <w:rFonts w:ascii="Trebuchet MS" w:hAnsi="Trebuchet MS"/>
        </w:rPr>
        <w:t xml:space="preserve">erated ‘sickness days’ that can be used when an employee is not fit enough to be in work. This allows the employee to have increased financial stability, ensuring a steady income when they are unwell, in turn, reducing presenteeism within the workplace as </w:t>
      </w:r>
      <w:r w:rsidR="003D2879">
        <w:rPr>
          <w:rFonts w:ascii="Trebuchet MS" w:hAnsi="Trebuchet MS"/>
        </w:rPr>
        <w:t xml:space="preserve">fewer </w:t>
      </w:r>
      <w:r>
        <w:rPr>
          <w:rFonts w:ascii="Trebuchet MS" w:hAnsi="Trebuchet MS"/>
        </w:rPr>
        <w:t>employees will feel a need to work when they are unwell</w:t>
      </w:r>
      <w:r>
        <w:t xml:space="preserve"> </w:t>
      </w:r>
      <w:r>
        <w:rPr>
          <w:rFonts w:ascii="Trebuchet MS" w:hAnsi="Trebuchet MS"/>
        </w:rPr>
        <w:t xml:space="preserve">(Stolk &amp; Whitmore, 2020). This then helps minimize the risk of spreading illnesses around the </w:t>
      </w:r>
      <w:proofErr w:type="spellStart"/>
      <w:r>
        <w:rPr>
          <w:rFonts w:ascii="Trebuchet MS" w:hAnsi="Trebuchet MS"/>
        </w:rPr>
        <w:t>organisation</w:t>
      </w:r>
      <w:proofErr w:type="spellEnd"/>
      <w:r>
        <w:rPr>
          <w:rFonts w:ascii="Trebuchet MS" w:hAnsi="Trebuchet MS"/>
        </w:rPr>
        <w:t xml:space="preserve"> which could reduce productivity widely if multiple employees are off at the same time. </w:t>
      </w:r>
    </w:p>
    <w:p w14:paraId="608D8084" w14:textId="77777777" w:rsidR="00E46818" w:rsidRDefault="00E46818">
      <w:pPr>
        <w:pStyle w:val="Body"/>
        <w:rPr>
          <w:rFonts w:ascii="Trebuchet MS" w:eastAsia="Trebuchet MS" w:hAnsi="Trebuchet MS" w:cs="Trebuchet MS"/>
        </w:rPr>
      </w:pPr>
    </w:p>
    <w:p w14:paraId="2F88270A" w14:textId="77777777" w:rsidR="00E46818" w:rsidRDefault="007B6149">
      <w:pPr>
        <w:pStyle w:val="Body"/>
        <w:rPr>
          <w:rFonts w:ascii="Trebuchet MS" w:eastAsia="Trebuchet MS" w:hAnsi="Trebuchet MS" w:cs="Trebuchet MS"/>
        </w:rPr>
      </w:pPr>
      <w:r>
        <w:rPr>
          <w:rFonts w:ascii="Trebuchet MS" w:hAnsi="Trebuchet MS"/>
          <w:lang w:val="en-US"/>
        </w:rPr>
        <w:t xml:space="preserve">As well as this, by offering sickness pay, it also improves employee loyalty to the </w:t>
      </w:r>
      <w:proofErr w:type="spellStart"/>
      <w:r>
        <w:rPr>
          <w:rFonts w:ascii="Trebuchet MS" w:hAnsi="Trebuchet MS"/>
          <w:lang w:val="en-US"/>
        </w:rPr>
        <w:t>organisation</w:t>
      </w:r>
      <w:proofErr w:type="spellEnd"/>
      <w:r>
        <w:rPr>
          <w:rFonts w:ascii="Trebuchet MS" w:hAnsi="Trebuchet MS"/>
          <w:lang w:val="en-US"/>
        </w:rPr>
        <w:t xml:space="preserve"> as it shows the employee that the </w:t>
      </w:r>
      <w:proofErr w:type="spellStart"/>
      <w:r>
        <w:rPr>
          <w:rFonts w:ascii="Trebuchet MS" w:hAnsi="Trebuchet MS"/>
          <w:lang w:val="en-US"/>
        </w:rPr>
        <w:t>organisation</w:t>
      </w:r>
      <w:proofErr w:type="spellEnd"/>
      <w:r>
        <w:rPr>
          <w:rFonts w:ascii="Trebuchet MS" w:hAnsi="Trebuchet MS"/>
          <w:lang w:val="en-US"/>
        </w:rPr>
        <w:t xml:space="preserve"> care about them and actively encourage them to take responsibility over their health without the fear of losing any income (Nadin et al., 2024). This may be a good place for Eco-Insulate to start when creating their benefit package as it can be relatively quick and easy to implement.</w:t>
      </w:r>
    </w:p>
    <w:p w14:paraId="154E715E" w14:textId="77777777" w:rsidR="00E46818" w:rsidRDefault="00E46818">
      <w:pPr>
        <w:pStyle w:val="Body"/>
        <w:rPr>
          <w:rFonts w:ascii="Trebuchet MS" w:eastAsia="Trebuchet MS" w:hAnsi="Trebuchet MS" w:cs="Trebuchet MS"/>
        </w:rPr>
      </w:pPr>
    </w:p>
    <w:p w14:paraId="7D5FE89B" w14:textId="77777777" w:rsidR="00E46818" w:rsidRDefault="007B6149">
      <w:pPr>
        <w:pStyle w:val="Body"/>
        <w:rPr>
          <w:rFonts w:ascii="Trebuchet MS" w:eastAsia="Trebuchet MS" w:hAnsi="Trebuchet MS" w:cs="Trebuchet MS"/>
        </w:rPr>
      </w:pPr>
      <w:r>
        <w:rPr>
          <w:rFonts w:ascii="Trebuchet MS" w:hAnsi="Trebuchet MS"/>
          <w:lang w:val="en-US"/>
        </w:rPr>
        <w:t xml:space="preserve">Alongside this, </w:t>
      </w:r>
      <w:proofErr w:type="spellStart"/>
      <w:r>
        <w:rPr>
          <w:rFonts w:ascii="Trebuchet MS" w:hAnsi="Trebuchet MS"/>
          <w:lang w:val="en-US"/>
        </w:rPr>
        <w:t>organisations</w:t>
      </w:r>
      <w:proofErr w:type="spellEnd"/>
      <w:r>
        <w:rPr>
          <w:rFonts w:ascii="Trebuchet MS" w:hAnsi="Trebuchet MS"/>
          <w:lang w:val="en-US"/>
        </w:rPr>
        <w:t xml:space="preserve"> can also offer health care benefits such as an EAP service. An EAP provides employees with support and practical advice on issues that might be impacting their wellbeing and performance both in work and outside. (BUPA, 2024). Ultimately, EAPs help support employees so that they are more likely to be engaged and able to perform to the best of their ability at their role, reducing any room for absenteeism due to issues like financial stress or grief (Schooley, 2024). This will also help attract new talent to the </w:t>
      </w:r>
      <w:proofErr w:type="spellStart"/>
      <w:r>
        <w:rPr>
          <w:rFonts w:ascii="Trebuchet MS" w:hAnsi="Trebuchet MS"/>
          <w:lang w:val="en-US"/>
        </w:rPr>
        <w:t>organisation</w:t>
      </w:r>
      <w:proofErr w:type="spellEnd"/>
      <w:r>
        <w:rPr>
          <w:rFonts w:ascii="Trebuchet MS" w:hAnsi="Trebuchet MS"/>
          <w:lang w:val="en-US"/>
        </w:rPr>
        <w:t xml:space="preserve"> when part of a comprehensive healthcare benefit package, as over half of candidates are more likely to choose a job role with these benefits (ABI, 2024).</w:t>
      </w:r>
    </w:p>
    <w:p w14:paraId="636B6AC2" w14:textId="77777777" w:rsidR="00E46818" w:rsidRDefault="00E46818">
      <w:pPr>
        <w:pStyle w:val="Body"/>
        <w:rPr>
          <w:rFonts w:ascii="Trebuchet MS" w:eastAsia="Trebuchet MS" w:hAnsi="Trebuchet MS" w:cs="Trebuchet MS"/>
        </w:rPr>
      </w:pPr>
    </w:p>
    <w:p w14:paraId="2AEB7642" w14:textId="77777777" w:rsidR="00E46818" w:rsidRDefault="007B6149">
      <w:pPr>
        <w:pStyle w:val="Body"/>
        <w:rPr>
          <w:rFonts w:ascii="Trebuchet MS" w:eastAsia="Trebuchet MS" w:hAnsi="Trebuchet MS" w:cs="Trebuchet MS"/>
        </w:rPr>
      </w:pPr>
      <w:r>
        <w:rPr>
          <w:rFonts w:ascii="Trebuchet MS" w:hAnsi="Trebuchet MS"/>
          <w:lang w:val="en-US"/>
        </w:rPr>
        <w:t>Other benefits such as share-ownership also have merits. Share-ownership allows employees to own a percentage of the company, this can not only increase organisational performance due to the employees being more motivated to ensure the success of the company due to owning a percentage of it (Institute of Directors, 2017), this can help foster a positive workplace culture as employees are given a sense of belonging. As well as this, there are also some significant tax benefits for both employers and employees so can help save money for both parties meaning that there is more capital to spend on other benefits (Institute of Directors, 2017). This may be less suitable for Eco-Insulate UK to offer its employees straight away as it is an SME not a large global company such as General Electric Aviation, who do offer this, but it could be considered for the future.</w:t>
      </w:r>
    </w:p>
    <w:p w14:paraId="26249D64" w14:textId="77777777" w:rsidR="00E46818" w:rsidRDefault="00E46818">
      <w:pPr>
        <w:pStyle w:val="Body"/>
        <w:rPr>
          <w:rFonts w:ascii="Trebuchet MS" w:eastAsia="Trebuchet MS" w:hAnsi="Trebuchet MS" w:cs="Trebuchet MS"/>
        </w:rPr>
      </w:pPr>
    </w:p>
    <w:p w14:paraId="65B6CFE1" w14:textId="757656FC" w:rsidR="00E46818" w:rsidRDefault="00E46818">
      <w:pPr>
        <w:pStyle w:val="Body"/>
        <w:rPr>
          <w:rFonts w:ascii="Trebuchet MS" w:eastAsia="Trebuchet MS" w:hAnsi="Trebuchet MS" w:cs="Trebuchet MS"/>
        </w:rPr>
      </w:pPr>
    </w:p>
    <w:p w14:paraId="04BA4614" w14:textId="57F3E7F9" w:rsidR="00E46818" w:rsidRDefault="007B6149" w:rsidP="003D2879">
      <w:pPr>
        <w:pStyle w:val="Nornal"/>
        <w:spacing w:after="0" w:line="240" w:lineRule="auto"/>
        <w:rPr>
          <w:rFonts w:ascii="Trebuchet MS" w:hAnsi="Trebuchet MS"/>
        </w:rPr>
      </w:pPr>
      <w:r>
        <w:rPr>
          <w:rFonts w:ascii="Trebuchet MS" w:hAnsi="Trebuchet MS"/>
        </w:rPr>
        <w:t xml:space="preserve"> (AC 2.4)</w:t>
      </w:r>
    </w:p>
    <w:p w14:paraId="791F2E86" w14:textId="77777777" w:rsidR="00E46818" w:rsidRDefault="00E46818">
      <w:pPr>
        <w:pStyle w:val="Nornal"/>
        <w:spacing w:after="0" w:line="240" w:lineRule="auto"/>
        <w:rPr>
          <w:rFonts w:ascii="Trebuchet MS" w:eastAsia="Trebuchet MS" w:hAnsi="Trebuchet MS" w:cs="Trebuchet MS"/>
        </w:rPr>
      </w:pPr>
    </w:p>
    <w:p w14:paraId="3C48D2E6"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There are two main types of recognition, formal and informal. Formal is more structured, usually following a process or rules that must be abided by to achieve the reward. Informal is less structured and more spontaneous to </w:t>
      </w:r>
      <w:proofErr w:type="spellStart"/>
      <w:r>
        <w:rPr>
          <w:rFonts w:ascii="Trebuchet MS" w:hAnsi="Trebuchet MS"/>
        </w:rPr>
        <w:t>emphasise</w:t>
      </w:r>
      <w:proofErr w:type="spellEnd"/>
      <w:r>
        <w:rPr>
          <w:rFonts w:ascii="Trebuchet MS" w:hAnsi="Trebuchet MS"/>
        </w:rPr>
        <w:t xml:space="preserve"> a </w:t>
      </w:r>
      <w:proofErr w:type="spellStart"/>
      <w:r>
        <w:rPr>
          <w:rFonts w:ascii="Trebuchet MS" w:hAnsi="Trebuchet MS"/>
        </w:rPr>
        <w:t>behaviour</w:t>
      </w:r>
      <w:proofErr w:type="spellEnd"/>
      <w:r>
        <w:rPr>
          <w:rFonts w:ascii="Trebuchet MS" w:hAnsi="Trebuchet MS"/>
        </w:rPr>
        <w:t xml:space="preserve"> or action (</w:t>
      </w:r>
      <w:proofErr w:type="spellStart"/>
      <w:r>
        <w:rPr>
          <w:rFonts w:ascii="Trebuchet MS" w:hAnsi="Trebuchet MS"/>
        </w:rPr>
        <w:t>Altrum</w:t>
      </w:r>
      <w:proofErr w:type="spellEnd"/>
      <w:r>
        <w:rPr>
          <w:rFonts w:ascii="Trebuchet MS" w:hAnsi="Trebuchet MS"/>
        </w:rPr>
        <w:t>, 2024).</w:t>
      </w:r>
    </w:p>
    <w:p w14:paraId="50CFA3EF" w14:textId="77777777" w:rsidR="00E46818" w:rsidRDefault="00E46818">
      <w:pPr>
        <w:pStyle w:val="Nornal"/>
        <w:spacing w:after="0" w:line="240" w:lineRule="auto"/>
        <w:rPr>
          <w:rFonts w:ascii="Trebuchet MS" w:eastAsia="Trebuchet MS" w:hAnsi="Trebuchet MS" w:cs="Trebuchet MS"/>
        </w:rPr>
      </w:pPr>
    </w:p>
    <w:p w14:paraId="48D0F49F"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Recognition can be given in many forms, however some of the most popular include cash rewards, day-to-day recognition and non-cash recognition. Cash rewards may vary in amount, usually from £50 - £500 can be given to employees who exceed performance targets or to </w:t>
      </w:r>
      <w:proofErr w:type="spellStart"/>
      <w:r>
        <w:rPr>
          <w:rFonts w:ascii="Trebuchet MS" w:hAnsi="Trebuchet MS"/>
        </w:rPr>
        <w:t>recognise</w:t>
      </w:r>
      <w:proofErr w:type="spellEnd"/>
      <w:r>
        <w:rPr>
          <w:rFonts w:ascii="Trebuchet MS" w:hAnsi="Trebuchet MS"/>
        </w:rPr>
        <w:t xml:space="preserve"> any other achievements, at Eco- Insulate UK, this may be hitting a production target. The merits of this type of recognition are the immediate motivation it can create amongst employees as they can see performance is tied to a tangible financial benefit (Arkes et al., 2022). </w:t>
      </w:r>
    </w:p>
    <w:p w14:paraId="134547B7" w14:textId="77777777" w:rsidR="00E46818" w:rsidRDefault="00E46818">
      <w:pPr>
        <w:pStyle w:val="Nornal"/>
        <w:spacing w:after="0" w:line="240" w:lineRule="auto"/>
        <w:rPr>
          <w:rFonts w:ascii="Trebuchet MS" w:eastAsia="Trebuchet MS" w:hAnsi="Trebuchet MS" w:cs="Trebuchet MS"/>
        </w:rPr>
      </w:pPr>
    </w:p>
    <w:p w14:paraId="63DCE3B0"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On the other hand, there are also non-cash rewards which are again given to </w:t>
      </w:r>
      <w:proofErr w:type="spellStart"/>
      <w:r>
        <w:rPr>
          <w:rFonts w:ascii="Trebuchet MS" w:hAnsi="Trebuchet MS"/>
        </w:rPr>
        <w:t>recognise</w:t>
      </w:r>
      <w:proofErr w:type="spellEnd"/>
      <w:r>
        <w:rPr>
          <w:rFonts w:ascii="Trebuchet MS" w:hAnsi="Trebuchet MS"/>
        </w:rPr>
        <w:t xml:space="preserve"> achievements or </w:t>
      </w:r>
      <w:proofErr w:type="spellStart"/>
      <w:r>
        <w:rPr>
          <w:rFonts w:ascii="Trebuchet MS" w:hAnsi="Trebuchet MS"/>
        </w:rPr>
        <w:t>behaviours</w:t>
      </w:r>
      <w:proofErr w:type="spellEnd"/>
      <w:r>
        <w:rPr>
          <w:rFonts w:ascii="Trebuchet MS" w:hAnsi="Trebuchet MS"/>
        </w:rPr>
        <w:t>. This may include tickets to a concert, a gift hamper or vouchers for a shop. This can often be seen as more personable that just a cash sum and can be tweaked each time to suit the specific employee being rewarded. For example, an employee who doesn’t go to concerts may prefer a voucher to go shopping with (Armstrong &amp; Taylor, 2020). This is likely to have more memorability than a cash reward, so is often worth the time involved with finding a suitable reward for each person (Silverman, 2004).</w:t>
      </w:r>
    </w:p>
    <w:p w14:paraId="2C17B739" w14:textId="77777777" w:rsidR="00E46818" w:rsidRDefault="00E46818">
      <w:pPr>
        <w:pStyle w:val="Nornal"/>
        <w:spacing w:after="0" w:line="240" w:lineRule="auto"/>
        <w:rPr>
          <w:rFonts w:ascii="Trebuchet MS" w:eastAsia="Trebuchet MS" w:hAnsi="Trebuchet MS" w:cs="Trebuchet MS"/>
        </w:rPr>
      </w:pPr>
    </w:p>
    <w:p w14:paraId="24DCC8D8"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Lastly, day-to-day recognition refers to frequent and ongoing recognition that rewards </w:t>
      </w:r>
      <w:proofErr w:type="spellStart"/>
      <w:r>
        <w:rPr>
          <w:rFonts w:ascii="Trebuchet MS" w:hAnsi="Trebuchet MS"/>
        </w:rPr>
        <w:t>behaviours</w:t>
      </w:r>
      <w:proofErr w:type="spellEnd"/>
      <w:r>
        <w:rPr>
          <w:rFonts w:ascii="Trebuchet MS" w:hAnsi="Trebuchet MS"/>
        </w:rPr>
        <w:t xml:space="preserve"> or actions that support the </w:t>
      </w:r>
      <w:proofErr w:type="spellStart"/>
      <w:r>
        <w:rPr>
          <w:rFonts w:ascii="Trebuchet MS" w:hAnsi="Trebuchet MS"/>
        </w:rPr>
        <w:t>organisation’s</w:t>
      </w:r>
      <w:proofErr w:type="spellEnd"/>
      <w:r>
        <w:rPr>
          <w:rFonts w:ascii="Trebuchet MS" w:hAnsi="Trebuchet MS"/>
        </w:rPr>
        <w:t xml:space="preserve"> values. This celebration of efforts helps to boost team morale and performance. </w:t>
      </w:r>
      <w:proofErr w:type="gramStart"/>
      <w:r>
        <w:rPr>
          <w:rFonts w:ascii="Trebuchet MS" w:hAnsi="Trebuchet MS"/>
        </w:rPr>
        <w:t>As well as,</w:t>
      </w:r>
      <w:proofErr w:type="gramEnd"/>
      <w:r>
        <w:rPr>
          <w:rFonts w:ascii="Trebuchet MS" w:hAnsi="Trebuchet MS"/>
        </w:rPr>
        <w:t xml:space="preserve"> directly improve workplace culture as employees feel </w:t>
      </w:r>
      <w:proofErr w:type="spellStart"/>
      <w:r>
        <w:rPr>
          <w:rFonts w:ascii="Trebuchet MS" w:hAnsi="Trebuchet MS"/>
        </w:rPr>
        <w:t>recognised</w:t>
      </w:r>
      <w:proofErr w:type="spellEnd"/>
      <w:r>
        <w:rPr>
          <w:rFonts w:ascii="Trebuchet MS" w:hAnsi="Trebuchet MS"/>
        </w:rPr>
        <w:t xml:space="preserve"> for their hard work and efforts (Institute of Directors, 2023). For Eco-Insulate UK, this is a low cost and easy method to implement instantly to help breed gratification in the workplace</w:t>
      </w:r>
    </w:p>
    <w:p w14:paraId="4511D6B8" w14:textId="77777777" w:rsidR="00E46818" w:rsidRDefault="00E46818">
      <w:pPr>
        <w:pStyle w:val="Nornal"/>
        <w:spacing w:after="0" w:line="240" w:lineRule="auto"/>
        <w:rPr>
          <w:rFonts w:ascii="Trebuchet MS" w:eastAsia="Trebuchet MS" w:hAnsi="Trebuchet MS" w:cs="Trebuchet MS"/>
        </w:rPr>
      </w:pPr>
    </w:p>
    <w:p w14:paraId="586718EC" w14:textId="77777777" w:rsidR="00E46818" w:rsidRDefault="00E46818">
      <w:pPr>
        <w:pStyle w:val="Nornal"/>
        <w:spacing w:after="0" w:line="240" w:lineRule="auto"/>
        <w:rPr>
          <w:rFonts w:ascii="Trebuchet MS" w:eastAsia="Trebuchet MS" w:hAnsi="Trebuchet MS" w:cs="Trebuchet MS"/>
        </w:rPr>
      </w:pPr>
    </w:p>
    <w:p w14:paraId="15B93B31" w14:textId="50B19148" w:rsidR="00E46818" w:rsidRDefault="00455750" w:rsidP="003D2879">
      <w:pPr>
        <w:pStyle w:val="Nornal"/>
        <w:spacing w:after="0" w:line="240" w:lineRule="auto"/>
        <w:rPr>
          <w:rFonts w:ascii="Trebuchet MS" w:hAnsi="Trebuchet MS"/>
        </w:rPr>
      </w:pPr>
      <w:r>
        <w:rPr>
          <w:rFonts w:ascii="Trebuchet MS" w:hAnsi="Trebuchet MS"/>
        </w:rPr>
        <w:t>(AC 3.1)</w:t>
      </w:r>
    </w:p>
    <w:p w14:paraId="7E2088F6" w14:textId="77777777" w:rsidR="00E46818" w:rsidRDefault="00E46818" w:rsidP="00455750">
      <w:pPr>
        <w:pStyle w:val="Nornal"/>
        <w:spacing w:after="0" w:line="240" w:lineRule="auto"/>
        <w:ind w:left="720"/>
        <w:rPr>
          <w:rFonts w:ascii="Trebuchet MS" w:eastAsia="Trebuchet MS" w:hAnsi="Trebuchet MS" w:cs="Trebuchet MS"/>
        </w:rPr>
      </w:pPr>
    </w:p>
    <w:p w14:paraId="41332E1E" w14:textId="1240F2BD" w:rsidR="00E46818" w:rsidRDefault="007B6149">
      <w:pPr>
        <w:pStyle w:val="Nornal"/>
        <w:spacing w:after="0" w:line="240" w:lineRule="auto"/>
        <w:rPr>
          <w:rFonts w:ascii="Trebuchet MS" w:eastAsia="Trebuchet MS" w:hAnsi="Trebuchet MS" w:cs="Trebuchet MS"/>
        </w:rPr>
      </w:pPr>
      <w:r>
        <w:rPr>
          <w:rFonts w:ascii="Trebuchet MS" w:hAnsi="Trebuchet MS"/>
        </w:rPr>
        <w:t xml:space="preserve">The reward environment within an </w:t>
      </w:r>
      <w:proofErr w:type="spellStart"/>
      <w:r>
        <w:rPr>
          <w:rFonts w:ascii="Trebuchet MS" w:hAnsi="Trebuchet MS"/>
        </w:rPr>
        <w:t>organisation</w:t>
      </w:r>
      <w:proofErr w:type="spellEnd"/>
      <w:r>
        <w:rPr>
          <w:rFonts w:ascii="Trebuchet MS" w:hAnsi="Trebuchet MS"/>
        </w:rPr>
        <w:t xml:space="preserve"> can be impacted </w:t>
      </w:r>
      <w:r w:rsidR="003D2879">
        <w:rPr>
          <w:rFonts w:ascii="Trebuchet MS" w:hAnsi="Trebuchet MS"/>
        </w:rPr>
        <w:t>by</w:t>
      </w:r>
      <w:r>
        <w:rPr>
          <w:rFonts w:ascii="Trebuchet MS" w:hAnsi="Trebuchet MS"/>
        </w:rPr>
        <w:t xml:space="preserve"> a myriad of internal and external factors. External factors such as the economic outlook can directly impact an </w:t>
      </w:r>
      <w:proofErr w:type="spellStart"/>
      <w:r>
        <w:rPr>
          <w:rFonts w:ascii="Trebuchet MS" w:hAnsi="Trebuchet MS"/>
        </w:rPr>
        <w:t>organisation’s</w:t>
      </w:r>
      <w:proofErr w:type="spellEnd"/>
      <w:r>
        <w:rPr>
          <w:rFonts w:ascii="Trebuchet MS" w:hAnsi="Trebuchet MS"/>
        </w:rPr>
        <w:t xml:space="preserve"> ability to supply and offer a competitive reward package. When the economy is growing, </w:t>
      </w:r>
      <w:proofErr w:type="spellStart"/>
      <w:r>
        <w:rPr>
          <w:rFonts w:ascii="Trebuchet MS" w:hAnsi="Trebuchet MS"/>
        </w:rPr>
        <w:t>organisations</w:t>
      </w:r>
      <w:proofErr w:type="spellEnd"/>
      <w:r>
        <w:rPr>
          <w:rFonts w:ascii="Trebuchet MS" w:hAnsi="Trebuchet MS"/>
        </w:rPr>
        <w:t xml:space="preserve"> will likely be able to offer enhanced benefits and salaries to attract and retain employees. </w:t>
      </w:r>
    </w:p>
    <w:p w14:paraId="637D0C30" w14:textId="77777777" w:rsidR="00E46818" w:rsidRDefault="00E46818">
      <w:pPr>
        <w:pStyle w:val="Nornal"/>
        <w:spacing w:after="0" w:line="240" w:lineRule="auto"/>
        <w:rPr>
          <w:rFonts w:ascii="Trebuchet MS" w:eastAsia="Trebuchet MS" w:hAnsi="Trebuchet MS" w:cs="Trebuchet MS"/>
        </w:rPr>
      </w:pPr>
    </w:p>
    <w:p w14:paraId="4F497EBA"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However, when the economy is shrinking, it means that </w:t>
      </w:r>
      <w:proofErr w:type="spellStart"/>
      <w:r>
        <w:rPr>
          <w:rFonts w:ascii="Trebuchet MS" w:hAnsi="Trebuchet MS"/>
        </w:rPr>
        <w:t>organisations</w:t>
      </w:r>
      <w:proofErr w:type="spellEnd"/>
      <w:r>
        <w:rPr>
          <w:rFonts w:ascii="Trebuchet MS" w:hAnsi="Trebuchet MS"/>
        </w:rPr>
        <w:t xml:space="preserve"> have less ability to offer competitive benefits and reward packages (BBC, 2024). In tight </w:t>
      </w:r>
      <w:proofErr w:type="spellStart"/>
      <w:r>
        <w:rPr>
          <w:rFonts w:ascii="Trebuchet MS" w:hAnsi="Trebuchet MS"/>
        </w:rPr>
        <w:t>labour</w:t>
      </w:r>
      <w:proofErr w:type="spellEnd"/>
      <w:r>
        <w:rPr>
          <w:rFonts w:ascii="Trebuchet MS" w:hAnsi="Trebuchet MS"/>
        </w:rPr>
        <w:t xml:space="preserve"> markets where there is low unemployment, an </w:t>
      </w:r>
      <w:proofErr w:type="spellStart"/>
      <w:r>
        <w:rPr>
          <w:rFonts w:ascii="Trebuchet MS" w:hAnsi="Trebuchet MS"/>
        </w:rPr>
        <w:t>organisation</w:t>
      </w:r>
      <w:proofErr w:type="spellEnd"/>
      <w:r>
        <w:rPr>
          <w:rFonts w:ascii="Trebuchet MS" w:hAnsi="Trebuchet MS"/>
        </w:rPr>
        <w:t xml:space="preserve"> is likely to face pressure to increase salaries and offer more benefits in industries where skilled </w:t>
      </w:r>
      <w:proofErr w:type="spellStart"/>
      <w:r>
        <w:rPr>
          <w:rFonts w:ascii="Trebuchet MS" w:hAnsi="Trebuchet MS"/>
        </w:rPr>
        <w:t>labour</w:t>
      </w:r>
      <w:proofErr w:type="spellEnd"/>
      <w:r>
        <w:rPr>
          <w:rFonts w:ascii="Trebuchet MS" w:hAnsi="Trebuchet MS"/>
        </w:rPr>
        <w:t xml:space="preserve"> shortages drive wage inflation (CIPD, 2024). As the UK is currently in a recession, this now means</w:t>
      </w:r>
    </w:p>
    <w:p w14:paraId="518F97FC" w14:textId="77777777" w:rsidR="00E46818" w:rsidRDefault="00E46818">
      <w:pPr>
        <w:pStyle w:val="Nornal"/>
        <w:spacing w:after="0" w:line="240" w:lineRule="auto"/>
        <w:rPr>
          <w:rFonts w:ascii="Trebuchet MS" w:eastAsia="Trebuchet MS" w:hAnsi="Trebuchet MS" w:cs="Trebuchet MS"/>
        </w:rPr>
      </w:pPr>
    </w:p>
    <w:p w14:paraId="0CC68667"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As well as this, industrial trends can also cause reward structures to vary depending on the nature of the work and the market expectations. For example, public sector </w:t>
      </w:r>
      <w:proofErr w:type="spellStart"/>
      <w:r>
        <w:rPr>
          <w:rFonts w:ascii="Trebuchet MS" w:hAnsi="Trebuchet MS"/>
        </w:rPr>
        <w:t>organisations</w:t>
      </w:r>
      <w:proofErr w:type="spellEnd"/>
      <w:r>
        <w:rPr>
          <w:rFonts w:ascii="Trebuchet MS" w:hAnsi="Trebuchet MS"/>
        </w:rPr>
        <w:t xml:space="preserve"> such as local councils, tend to place more emphasis on non-financial rewards such as pension benefits whereas, private sector </w:t>
      </w:r>
      <w:proofErr w:type="spellStart"/>
      <w:r>
        <w:rPr>
          <w:rFonts w:ascii="Trebuchet MS" w:hAnsi="Trebuchet MS"/>
        </w:rPr>
        <w:t>organisations</w:t>
      </w:r>
      <w:proofErr w:type="spellEnd"/>
      <w:r>
        <w:rPr>
          <w:rFonts w:ascii="Trebuchet MS" w:hAnsi="Trebuchet MS"/>
        </w:rPr>
        <w:t xml:space="preserve"> tend to focus more on financial based incentives such as performance incentives like bonuses (Cotton, 2024). As trends can change, this can alter an employee’s view of whether the reward is fair and equitable. In turn, this will impact the </w:t>
      </w:r>
      <w:proofErr w:type="spellStart"/>
      <w:r>
        <w:rPr>
          <w:rFonts w:ascii="Trebuchet MS" w:hAnsi="Trebuchet MS"/>
        </w:rPr>
        <w:t>organisations’</w:t>
      </w:r>
      <w:proofErr w:type="spellEnd"/>
      <w:r>
        <w:rPr>
          <w:rFonts w:ascii="Trebuchet MS" w:hAnsi="Trebuchet MS"/>
        </w:rPr>
        <w:t xml:space="preserve"> ability to attract and retain employees (Cotton, 2024).</w:t>
      </w:r>
    </w:p>
    <w:p w14:paraId="371EC774" w14:textId="77777777" w:rsidR="00E46818" w:rsidRDefault="00E46818">
      <w:pPr>
        <w:pStyle w:val="Nornal"/>
        <w:spacing w:after="0" w:line="240" w:lineRule="auto"/>
        <w:rPr>
          <w:rFonts w:ascii="Trebuchet MS" w:eastAsia="Trebuchet MS" w:hAnsi="Trebuchet MS" w:cs="Trebuchet MS"/>
        </w:rPr>
      </w:pPr>
    </w:p>
    <w:p w14:paraId="32D68329" w14:textId="6CE1F42C" w:rsidR="00E46818" w:rsidRDefault="007B6149">
      <w:pPr>
        <w:pStyle w:val="Nornal"/>
        <w:spacing w:after="0" w:line="240" w:lineRule="auto"/>
        <w:rPr>
          <w:rFonts w:ascii="Trebuchet MS" w:eastAsia="Trebuchet MS" w:hAnsi="Trebuchet MS" w:cs="Trebuchet MS"/>
        </w:rPr>
      </w:pPr>
      <w:r>
        <w:rPr>
          <w:rFonts w:ascii="Trebuchet MS" w:hAnsi="Trebuchet MS"/>
        </w:rPr>
        <w:t>Internal factors such as the psychological contract, which is intangible and built on the everyday actions and statements made by one party and how they are interpreted by the other (Peters, 2024). In most cases, employees expect their reward to align with their contributions and efforts and when this occurs, it helps foster trust and commitment (Peters, 2024). If this contract is broken, it can lead to disengagement, reduced moral</w:t>
      </w:r>
      <w:r w:rsidR="00455750">
        <w:rPr>
          <w:rFonts w:ascii="Trebuchet MS" w:hAnsi="Trebuchet MS"/>
        </w:rPr>
        <w:t>e</w:t>
      </w:r>
      <w:r>
        <w:rPr>
          <w:rFonts w:ascii="Trebuchet MS" w:hAnsi="Trebuchet MS"/>
        </w:rPr>
        <w:t xml:space="preserve"> </w:t>
      </w:r>
      <w:r>
        <w:rPr>
          <w:rFonts w:ascii="Trebuchet MS" w:hAnsi="Trebuchet MS"/>
        </w:rPr>
        <w:lastRenderedPageBreak/>
        <w:t xml:space="preserve">and attrition, so it is important that an </w:t>
      </w:r>
      <w:proofErr w:type="spellStart"/>
      <w:r>
        <w:rPr>
          <w:rFonts w:ascii="Trebuchet MS" w:hAnsi="Trebuchet MS"/>
        </w:rPr>
        <w:t>organisation</w:t>
      </w:r>
      <w:proofErr w:type="spellEnd"/>
      <w:r>
        <w:rPr>
          <w:rFonts w:ascii="Trebuchet MS" w:hAnsi="Trebuchet MS"/>
        </w:rPr>
        <w:t xml:space="preserve"> doesn’t fail to deliver anything that is expected such as pay rises or bonuses </w:t>
      </w:r>
      <w:proofErr w:type="gramStart"/>
      <w:r>
        <w:rPr>
          <w:rFonts w:ascii="Trebuchet MS" w:hAnsi="Trebuchet MS"/>
        </w:rPr>
        <w:t>in order to</w:t>
      </w:r>
      <w:proofErr w:type="gramEnd"/>
      <w:r>
        <w:rPr>
          <w:rFonts w:ascii="Trebuchet MS" w:hAnsi="Trebuchet MS"/>
        </w:rPr>
        <w:t xml:space="preserve"> nurture and maintain the contract.</w:t>
      </w:r>
    </w:p>
    <w:p w14:paraId="6A728373" w14:textId="77777777" w:rsidR="00E46818" w:rsidRDefault="00E46818">
      <w:pPr>
        <w:pStyle w:val="Nornal"/>
        <w:spacing w:after="0" w:line="240" w:lineRule="auto"/>
        <w:rPr>
          <w:rFonts w:ascii="Trebuchet MS" w:eastAsia="Trebuchet MS" w:hAnsi="Trebuchet MS" w:cs="Trebuchet MS"/>
        </w:rPr>
      </w:pPr>
    </w:p>
    <w:p w14:paraId="4629BE86"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Similarly, competitiveness and internal equity also impacts reward as competition between </w:t>
      </w:r>
      <w:proofErr w:type="spellStart"/>
      <w:r>
        <w:rPr>
          <w:rFonts w:ascii="Trebuchet MS" w:hAnsi="Trebuchet MS"/>
        </w:rPr>
        <w:t>organisations</w:t>
      </w:r>
      <w:proofErr w:type="spellEnd"/>
      <w:r>
        <w:rPr>
          <w:rFonts w:ascii="Trebuchet MS" w:hAnsi="Trebuchet MS"/>
        </w:rPr>
        <w:t xml:space="preserve"> to recruit, attract and retain employees can mean there is increasing pressure to provide a comprehensive reward package.  </w:t>
      </w:r>
      <w:proofErr w:type="spellStart"/>
      <w:r>
        <w:rPr>
          <w:rFonts w:ascii="Trebuchet MS" w:hAnsi="Trebuchet MS"/>
        </w:rPr>
        <w:t>Organisations</w:t>
      </w:r>
      <w:proofErr w:type="spellEnd"/>
      <w:r>
        <w:rPr>
          <w:rFonts w:ascii="Trebuchet MS" w:hAnsi="Trebuchet MS"/>
        </w:rPr>
        <w:t xml:space="preserve"> may create pay structures using benchmarking to ensure roles and responsibilities are reflected equitably internally whilst mirroring a market standard (Indeed, 2024).</w:t>
      </w:r>
    </w:p>
    <w:p w14:paraId="4A7EFC29" w14:textId="77777777" w:rsidR="00E46818" w:rsidRDefault="00E46818">
      <w:pPr>
        <w:pStyle w:val="Nornal"/>
        <w:spacing w:after="0" w:line="240" w:lineRule="auto"/>
        <w:rPr>
          <w:rFonts w:ascii="Trebuchet MS" w:eastAsia="Trebuchet MS" w:hAnsi="Trebuchet MS" w:cs="Trebuchet MS"/>
        </w:rPr>
      </w:pPr>
    </w:p>
    <w:p w14:paraId="049C96CD"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If an </w:t>
      </w:r>
      <w:proofErr w:type="spellStart"/>
      <w:r>
        <w:rPr>
          <w:rFonts w:ascii="Trebuchet MS" w:hAnsi="Trebuchet MS"/>
        </w:rPr>
        <w:t>organisation</w:t>
      </w:r>
      <w:proofErr w:type="spellEnd"/>
      <w:r>
        <w:rPr>
          <w:rFonts w:ascii="Trebuchet MS" w:hAnsi="Trebuchet MS"/>
        </w:rPr>
        <w:t xml:space="preserve"> fails to balance this and employees feel undervalued, the reward structure loses its impact and </w:t>
      </w:r>
      <w:proofErr w:type="gramStart"/>
      <w:r>
        <w:rPr>
          <w:rFonts w:ascii="Trebuchet MS" w:hAnsi="Trebuchet MS"/>
        </w:rPr>
        <w:t>actually de-</w:t>
      </w:r>
      <w:proofErr w:type="gramEnd"/>
      <w:r>
        <w:rPr>
          <w:rFonts w:ascii="Trebuchet MS" w:hAnsi="Trebuchet MS"/>
        </w:rPr>
        <w:t>motivate staff causing an increase in turnover. It is important to ensure that employees are rewarded fairly (Dessler, 2021).</w:t>
      </w:r>
    </w:p>
    <w:p w14:paraId="0651EB27" w14:textId="77777777" w:rsidR="00E46818" w:rsidRDefault="00E46818">
      <w:pPr>
        <w:pStyle w:val="Nornal"/>
        <w:spacing w:after="0" w:line="240" w:lineRule="auto"/>
        <w:rPr>
          <w:rFonts w:ascii="Trebuchet MS" w:eastAsia="Trebuchet MS" w:hAnsi="Trebuchet MS" w:cs="Trebuchet MS"/>
        </w:rPr>
      </w:pPr>
    </w:p>
    <w:p w14:paraId="0FB6DEE2" w14:textId="77777777" w:rsidR="00E46818" w:rsidRDefault="00E46818">
      <w:pPr>
        <w:pStyle w:val="Nornal"/>
        <w:spacing w:after="0" w:line="240" w:lineRule="auto"/>
        <w:ind w:left="720"/>
        <w:rPr>
          <w:rFonts w:ascii="Trebuchet MS" w:eastAsia="Trebuchet MS" w:hAnsi="Trebuchet MS" w:cs="Trebuchet MS"/>
        </w:rPr>
      </w:pPr>
    </w:p>
    <w:p w14:paraId="759141EA" w14:textId="197DB673" w:rsidR="00E46818" w:rsidRDefault="007B6149" w:rsidP="00455750">
      <w:pPr>
        <w:pStyle w:val="Nornal"/>
        <w:spacing w:after="0" w:line="240" w:lineRule="auto"/>
        <w:rPr>
          <w:rFonts w:ascii="Trebuchet MS" w:hAnsi="Trebuchet MS"/>
        </w:rPr>
      </w:pPr>
      <w:r>
        <w:rPr>
          <w:rFonts w:ascii="Trebuchet MS" w:hAnsi="Trebuchet MS"/>
        </w:rPr>
        <w:t>(AC 3.2)</w:t>
      </w:r>
    </w:p>
    <w:p w14:paraId="609AA897" w14:textId="77777777" w:rsidR="00E46818" w:rsidRDefault="00E46818">
      <w:pPr>
        <w:pStyle w:val="Nornal"/>
        <w:spacing w:after="0" w:line="240" w:lineRule="auto"/>
        <w:rPr>
          <w:rFonts w:ascii="Trebuchet MS" w:eastAsia="Trebuchet MS" w:hAnsi="Trebuchet MS" w:cs="Trebuchet MS"/>
        </w:rPr>
      </w:pPr>
    </w:p>
    <w:p w14:paraId="284288FE" w14:textId="336132AC" w:rsidR="00E46818" w:rsidRDefault="007B6149">
      <w:pPr>
        <w:pStyle w:val="Nornal"/>
        <w:spacing w:after="0" w:line="240" w:lineRule="auto"/>
        <w:rPr>
          <w:rFonts w:ascii="Trebuchet MS" w:eastAsia="Trebuchet MS" w:hAnsi="Trebuchet MS" w:cs="Trebuchet MS"/>
        </w:rPr>
      </w:pPr>
      <w:r>
        <w:rPr>
          <w:rFonts w:ascii="Trebuchet MS" w:hAnsi="Trebuchet MS"/>
        </w:rPr>
        <w:t>Benchmarking involves</w:t>
      </w:r>
      <w:r>
        <w:rPr>
          <w:color w:val="2A2A2A"/>
          <w:sz w:val="27"/>
          <w:szCs w:val="27"/>
          <w:u w:color="2A2A2A"/>
        </w:rPr>
        <w:t xml:space="preserve"> </w:t>
      </w:r>
      <w:r>
        <w:rPr>
          <w:rFonts w:ascii="Trebuchet MS" w:hAnsi="Trebuchet MS"/>
        </w:rPr>
        <w:t xml:space="preserve">measuring your </w:t>
      </w:r>
      <w:proofErr w:type="spellStart"/>
      <w:r>
        <w:rPr>
          <w:rFonts w:ascii="Trebuchet MS" w:hAnsi="Trebuchet MS"/>
        </w:rPr>
        <w:t>organisations</w:t>
      </w:r>
      <w:proofErr w:type="spellEnd"/>
      <w:r>
        <w:rPr>
          <w:rFonts w:ascii="Trebuchet MS" w:hAnsi="Trebuchet MS"/>
        </w:rPr>
        <w:t xml:space="preserve"> quality, performance and growth by </w:t>
      </w:r>
      <w:proofErr w:type="spellStart"/>
      <w:r>
        <w:rPr>
          <w:rFonts w:ascii="Trebuchet MS" w:hAnsi="Trebuchet MS"/>
        </w:rPr>
        <w:t>analysing</w:t>
      </w:r>
      <w:proofErr w:type="spellEnd"/>
      <w:r>
        <w:rPr>
          <w:rFonts w:ascii="Trebuchet MS" w:hAnsi="Trebuchet MS"/>
        </w:rPr>
        <w:t xml:space="preserve"> the processes and procedures of others (Fallon, 2023). One method of gathering this data is reward and salary surveys. These surveys provide data on compensation packages and reward across the industry and is usually carried out by the consulting industry (Cotton, 2024). </w:t>
      </w:r>
      <w:proofErr w:type="spellStart"/>
      <w:r>
        <w:rPr>
          <w:rFonts w:ascii="Trebuchet MS" w:hAnsi="Trebuchet MS"/>
        </w:rPr>
        <w:t>Organisation’s</w:t>
      </w:r>
      <w:proofErr w:type="spellEnd"/>
      <w:r>
        <w:rPr>
          <w:rFonts w:ascii="Trebuchet MS" w:hAnsi="Trebuchet MS"/>
        </w:rPr>
        <w:t xml:space="preserve"> can then </w:t>
      </w:r>
      <w:proofErr w:type="spellStart"/>
      <w:r>
        <w:rPr>
          <w:rFonts w:ascii="Trebuchet MS" w:hAnsi="Trebuchet MS"/>
        </w:rPr>
        <w:t>utilise</w:t>
      </w:r>
      <w:proofErr w:type="spellEnd"/>
      <w:r>
        <w:rPr>
          <w:rFonts w:ascii="Trebuchet MS" w:hAnsi="Trebuchet MS"/>
        </w:rPr>
        <w:t xml:space="preserve"> this data to inform them of industry standard salaries, reward packages and total earnings that will aid them in setting an appropriate reward package that remains competitive (Armstrong, 2020).</w:t>
      </w:r>
    </w:p>
    <w:p w14:paraId="1B8E2D7A" w14:textId="77777777" w:rsidR="00E46818" w:rsidRDefault="00E46818">
      <w:pPr>
        <w:pStyle w:val="Nornal"/>
        <w:spacing w:after="0" w:line="240" w:lineRule="auto"/>
        <w:rPr>
          <w:rFonts w:ascii="Trebuchet MS" w:eastAsia="Trebuchet MS" w:hAnsi="Trebuchet MS" w:cs="Trebuchet MS"/>
        </w:rPr>
      </w:pPr>
    </w:p>
    <w:p w14:paraId="38735373"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This method provides relevant, up-to-date industry-specific insights for </w:t>
      </w:r>
      <w:proofErr w:type="spellStart"/>
      <w:r>
        <w:rPr>
          <w:rFonts w:ascii="Trebuchet MS" w:hAnsi="Trebuchet MS"/>
        </w:rPr>
        <w:t>organisations</w:t>
      </w:r>
      <w:proofErr w:type="spellEnd"/>
      <w:r>
        <w:rPr>
          <w:rFonts w:ascii="Trebuchet MS" w:hAnsi="Trebuchet MS"/>
        </w:rPr>
        <w:t xml:space="preserve"> to </w:t>
      </w:r>
      <w:proofErr w:type="spellStart"/>
      <w:r>
        <w:rPr>
          <w:rFonts w:ascii="Trebuchet MS" w:hAnsi="Trebuchet MS"/>
        </w:rPr>
        <w:t>utilise</w:t>
      </w:r>
      <w:proofErr w:type="spellEnd"/>
      <w:r>
        <w:rPr>
          <w:rFonts w:ascii="Trebuchet MS" w:hAnsi="Trebuchet MS"/>
        </w:rPr>
        <w:t xml:space="preserve">. However, if this method is used to assess a highly specific/emerging role salary, the data may not be available or conclusive enough to </w:t>
      </w:r>
      <w:proofErr w:type="gramStart"/>
      <w:r>
        <w:rPr>
          <w:rFonts w:ascii="Trebuchet MS" w:hAnsi="Trebuchet MS"/>
        </w:rPr>
        <w:t>make a decision</w:t>
      </w:r>
      <w:proofErr w:type="gramEnd"/>
      <w:r>
        <w:rPr>
          <w:rFonts w:ascii="Trebuchet MS" w:hAnsi="Trebuchet MS"/>
        </w:rPr>
        <w:t xml:space="preserve"> on a suitable reward package. As well as this, the reliability of this data is dependent on sample size, the </w:t>
      </w:r>
      <w:proofErr w:type="spellStart"/>
      <w:r>
        <w:rPr>
          <w:rFonts w:ascii="Trebuchet MS" w:hAnsi="Trebuchet MS"/>
        </w:rPr>
        <w:t>organisations</w:t>
      </w:r>
      <w:proofErr w:type="spellEnd"/>
      <w:r>
        <w:rPr>
          <w:rFonts w:ascii="Trebuchet MS" w:hAnsi="Trebuchet MS"/>
        </w:rPr>
        <w:t xml:space="preserve"> used to gather the data and whether they use a </w:t>
      </w:r>
      <w:proofErr w:type="spellStart"/>
      <w:r>
        <w:rPr>
          <w:rFonts w:ascii="Trebuchet MS" w:hAnsi="Trebuchet MS"/>
        </w:rPr>
        <w:t>standardised</w:t>
      </w:r>
      <w:proofErr w:type="spellEnd"/>
      <w:r>
        <w:rPr>
          <w:rFonts w:ascii="Trebuchet MS" w:hAnsi="Trebuchet MS"/>
        </w:rPr>
        <w:t xml:space="preserve"> approach to their survey. If the sample size is small and there is no </w:t>
      </w:r>
      <w:proofErr w:type="spellStart"/>
      <w:r>
        <w:rPr>
          <w:rFonts w:ascii="Trebuchet MS" w:hAnsi="Trebuchet MS"/>
        </w:rPr>
        <w:t>standardisation</w:t>
      </w:r>
      <w:proofErr w:type="spellEnd"/>
      <w:r>
        <w:rPr>
          <w:rFonts w:ascii="Trebuchet MS" w:hAnsi="Trebuchet MS"/>
        </w:rPr>
        <w:t xml:space="preserve"> meaning respondents are not randomly chosen, this leaves room for self-selection bias to occur.</w:t>
      </w:r>
    </w:p>
    <w:p w14:paraId="3B552A1C" w14:textId="77777777" w:rsidR="00E46818" w:rsidRDefault="00E46818">
      <w:pPr>
        <w:pStyle w:val="Nornal"/>
        <w:spacing w:after="0" w:line="240" w:lineRule="auto"/>
        <w:rPr>
          <w:rFonts w:ascii="Trebuchet MS" w:eastAsia="Trebuchet MS" w:hAnsi="Trebuchet MS" w:cs="Trebuchet MS"/>
        </w:rPr>
      </w:pPr>
    </w:p>
    <w:p w14:paraId="4D3D4B03" w14:textId="6F941E49" w:rsidR="00E46818" w:rsidRDefault="007B6149">
      <w:pPr>
        <w:pStyle w:val="Nornal"/>
        <w:spacing w:after="0" w:line="240" w:lineRule="auto"/>
        <w:rPr>
          <w:rFonts w:ascii="Trebuchet MS" w:eastAsia="Trebuchet MS" w:hAnsi="Trebuchet MS" w:cs="Trebuchet MS"/>
        </w:rPr>
      </w:pPr>
      <w:r>
        <w:rPr>
          <w:rFonts w:ascii="Trebuchet MS" w:hAnsi="Trebuchet MS"/>
        </w:rPr>
        <w:t xml:space="preserve">Another method of gathering benchmarking data includes looking at recruitment and vacancy data. This data can provide an insight into the current </w:t>
      </w:r>
      <w:proofErr w:type="spellStart"/>
      <w:r>
        <w:rPr>
          <w:rFonts w:ascii="Trebuchet MS" w:hAnsi="Trebuchet MS"/>
        </w:rPr>
        <w:t>labour</w:t>
      </w:r>
      <w:proofErr w:type="spellEnd"/>
      <w:r>
        <w:rPr>
          <w:rFonts w:ascii="Trebuchet MS" w:hAnsi="Trebuchet MS"/>
        </w:rPr>
        <w:t xml:space="preserve"> market and demand trends (Cotton, 2022). Again, this data is usually very close to real-time information which is extremely useful for workforce planning and when it comes from reputable sources such as the CIPD ‘Resourcing and </w:t>
      </w:r>
      <w:r w:rsidR="003D2879">
        <w:rPr>
          <w:rFonts w:ascii="Trebuchet MS" w:hAnsi="Trebuchet MS"/>
        </w:rPr>
        <w:t>T</w:t>
      </w:r>
      <w:r>
        <w:rPr>
          <w:rFonts w:ascii="Trebuchet MS" w:hAnsi="Trebuchet MS"/>
        </w:rPr>
        <w:t xml:space="preserve">alent </w:t>
      </w:r>
      <w:r w:rsidR="003D2879">
        <w:rPr>
          <w:rFonts w:ascii="Trebuchet MS" w:hAnsi="Trebuchet MS"/>
        </w:rPr>
        <w:t>P</w:t>
      </w:r>
      <w:r>
        <w:rPr>
          <w:rFonts w:ascii="Trebuchet MS" w:hAnsi="Trebuchet MS"/>
        </w:rPr>
        <w:t xml:space="preserve">lanning </w:t>
      </w:r>
      <w:r w:rsidR="003D2879">
        <w:rPr>
          <w:rFonts w:ascii="Trebuchet MS" w:hAnsi="Trebuchet MS"/>
        </w:rPr>
        <w:t>R</w:t>
      </w:r>
      <w:r>
        <w:rPr>
          <w:rFonts w:ascii="Trebuchet MS" w:hAnsi="Trebuchet MS"/>
        </w:rPr>
        <w:t xml:space="preserve">eport 2024’, it forms a crucial part of an </w:t>
      </w:r>
      <w:proofErr w:type="spellStart"/>
      <w:r>
        <w:rPr>
          <w:rFonts w:ascii="Trebuchet MS" w:hAnsi="Trebuchet MS"/>
        </w:rPr>
        <w:t>organisations</w:t>
      </w:r>
      <w:proofErr w:type="spellEnd"/>
      <w:r>
        <w:rPr>
          <w:rFonts w:ascii="Trebuchet MS" w:hAnsi="Trebuchet MS"/>
        </w:rPr>
        <w:t xml:space="preserve"> understanding around hiring trends and salaries, allowing them to competitively benchmark themselves against this (Hogarth &amp; McCartney, 2024). However, if not pulled from reliable sources and </w:t>
      </w:r>
      <w:r w:rsidR="00455750">
        <w:rPr>
          <w:rFonts w:ascii="Trebuchet MS" w:hAnsi="Trebuchet MS"/>
        </w:rPr>
        <w:t xml:space="preserve">if it </w:t>
      </w:r>
      <w:r>
        <w:rPr>
          <w:rFonts w:ascii="Trebuchet MS" w:hAnsi="Trebuchet MS"/>
        </w:rPr>
        <w:t>includes job advertisements that may be misleading, this can impact both the validity and reliability of the information, making it useless and/or incorrect</w:t>
      </w:r>
      <w:r>
        <w:t xml:space="preserve"> </w:t>
      </w:r>
      <w:r>
        <w:rPr>
          <w:rFonts w:ascii="Trebuchet MS" w:hAnsi="Trebuchet MS"/>
        </w:rPr>
        <w:t xml:space="preserve">(Kelly, 2024). </w:t>
      </w:r>
    </w:p>
    <w:p w14:paraId="43739FEF" w14:textId="77777777" w:rsidR="00E46818" w:rsidRDefault="00E46818">
      <w:pPr>
        <w:pStyle w:val="Nornal"/>
        <w:spacing w:after="0" w:line="240" w:lineRule="auto"/>
        <w:rPr>
          <w:rFonts w:ascii="Trebuchet MS" w:eastAsia="Trebuchet MS" w:hAnsi="Trebuchet MS" w:cs="Trebuchet MS"/>
        </w:rPr>
      </w:pPr>
    </w:p>
    <w:p w14:paraId="45CB789A" w14:textId="77777777" w:rsidR="00E46818" w:rsidRDefault="007B6149">
      <w:pPr>
        <w:pStyle w:val="Nornal"/>
        <w:spacing w:after="0" w:line="240" w:lineRule="auto"/>
      </w:pPr>
      <w:r>
        <w:rPr>
          <w:rFonts w:ascii="Trebuchet MS" w:hAnsi="Trebuchet MS"/>
        </w:rPr>
        <w:t xml:space="preserve">Finally, government surveys and statistics can also provide data around </w:t>
      </w:r>
      <w:proofErr w:type="spellStart"/>
      <w:r>
        <w:rPr>
          <w:rFonts w:ascii="Trebuchet MS" w:hAnsi="Trebuchet MS"/>
        </w:rPr>
        <w:t>labour</w:t>
      </w:r>
      <w:proofErr w:type="spellEnd"/>
      <w:r>
        <w:rPr>
          <w:rFonts w:ascii="Trebuchet MS" w:hAnsi="Trebuchet MS"/>
        </w:rPr>
        <w:t xml:space="preserve"> market trends, salaries, working hours and unemployment rates. This information can be captured through census or national survey (ONS, 2023), making the validity and reliability of the source </w:t>
      </w:r>
      <w:proofErr w:type="gramStart"/>
      <w:r>
        <w:rPr>
          <w:rFonts w:ascii="Trebuchet MS" w:hAnsi="Trebuchet MS"/>
        </w:rPr>
        <w:t>pretty high</w:t>
      </w:r>
      <w:proofErr w:type="gramEnd"/>
      <w:r>
        <w:rPr>
          <w:rFonts w:ascii="Trebuchet MS" w:hAnsi="Trebuchet MS"/>
        </w:rPr>
        <w:t xml:space="preserve"> due to high </w:t>
      </w:r>
      <w:proofErr w:type="spellStart"/>
      <w:r>
        <w:rPr>
          <w:rFonts w:ascii="Trebuchet MS" w:hAnsi="Trebuchet MS"/>
        </w:rPr>
        <w:t>standardisation</w:t>
      </w:r>
      <w:proofErr w:type="spellEnd"/>
      <w:r>
        <w:rPr>
          <w:rFonts w:ascii="Trebuchet MS" w:hAnsi="Trebuchet MS"/>
        </w:rPr>
        <w:t>, regulation and region-wide collection process. However, the information is infrequent and due to the data collection pool being so vast the data collected can be broad, lacking the granularity often needed to produce accurate benchmarking data (ONS, 2023).</w:t>
      </w:r>
    </w:p>
    <w:p w14:paraId="29DE918D" w14:textId="77777777" w:rsidR="00E46818" w:rsidRDefault="00E46818">
      <w:pPr>
        <w:pStyle w:val="Nornal"/>
        <w:spacing w:after="0" w:line="240" w:lineRule="auto"/>
        <w:rPr>
          <w:rFonts w:ascii="Trebuchet MS" w:eastAsia="Trebuchet MS" w:hAnsi="Trebuchet MS" w:cs="Trebuchet MS"/>
        </w:rPr>
      </w:pPr>
    </w:p>
    <w:p w14:paraId="5A828D63"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 An </w:t>
      </w:r>
      <w:proofErr w:type="spellStart"/>
      <w:r>
        <w:rPr>
          <w:rFonts w:ascii="Trebuchet MS" w:hAnsi="Trebuchet MS"/>
        </w:rPr>
        <w:t>organisation</w:t>
      </w:r>
      <w:proofErr w:type="spellEnd"/>
      <w:r>
        <w:rPr>
          <w:rFonts w:ascii="Trebuchet MS" w:hAnsi="Trebuchet MS"/>
        </w:rPr>
        <w:t xml:space="preserve"> such as Eco-Insulate UK may want to combine this method with another that offers more detailed data, such as recruitment and vacancy data to ensure that any </w:t>
      </w:r>
      <w:r>
        <w:rPr>
          <w:rFonts w:ascii="Trebuchet MS" w:hAnsi="Trebuchet MS"/>
        </w:rPr>
        <w:lastRenderedPageBreak/>
        <w:t>benchmarking data produced is comprehensive and accurate to ensure that any decisions made based off this are well-informed and reliable (Cotton, 2024).</w:t>
      </w:r>
    </w:p>
    <w:p w14:paraId="5D76ED86" w14:textId="77777777" w:rsidR="00E46818" w:rsidRDefault="00E46818">
      <w:pPr>
        <w:pStyle w:val="Nornal"/>
        <w:spacing w:after="0" w:line="240" w:lineRule="auto"/>
        <w:rPr>
          <w:rFonts w:ascii="Trebuchet MS" w:eastAsia="Trebuchet MS" w:hAnsi="Trebuchet MS" w:cs="Trebuchet MS"/>
        </w:rPr>
      </w:pPr>
    </w:p>
    <w:p w14:paraId="3683105C" w14:textId="55AD62D1" w:rsidR="00E46818" w:rsidRDefault="007B6149" w:rsidP="00455750">
      <w:pPr>
        <w:pStyle w:val="Nornal"/>
        <w:spacing w:after="0" w:line="240" w:lineRule="auto"/>
        <w:rPr>
          <w:rFonts w:ascii="Trebuchet MS" w:hAnsi="Trebuchet MS"/>
        </w:rPr>
      </w:pPr>
      <w:r>
        <w:rPr>
          <w:rFonts w:ascii="Trebuchet MS" w:hAnsi="Trebuchet MS"/>
        </w:rPr>
        <w:t>(AC 3.3)</w:t>
      </w:r>
    </w:p>
    <w:p w14:paraId="5D177BBA" w14:textId="77777777" w:rsidR="00E46818" w:rsidRDefault="00E46818">
      <w:pPr>
        <w:pStyle w:val="Nornal"/>
        <w:spacing w:after="0" w:line="240" w:lineRule="auto"/>
        <w:rPr>
          <w:rFonts w:ascii="Trebuchet MS" w:eastAsia="Trebuchet MS" w:hAnsi="Trebuchet MS" w:cs="Trebuchet MS"/>
        </w:rPr>
      </w:pPr>
    </w:p>
    <w:p w14:paraId="68F27465"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Job evaluation can be defined </w:t>
      </w:r>
      <w:proofErr w:type="gramStart"/>
      <w:r>
        <w:rPr>
          <w:rFonts w:ascii="Trebuchet MS" w:hAnsi="Trebuchet MS"/>
        </w:rPr>
        <w:t>as a way to</w:t>
      </w:r>
      <w:proofErr w:type="gramEnd"/>
      <w:r>
        <w:rPr>
          <w:rFonts w:ascii="Trebuchet MS" w:hAnsi="Trebuchet MS"/>
        </w:rPr>
        <w:t xml:space="preserve"> work out the relative importance of different jobs in an </w:t>
      </w:r>
      <w:proofErr w:type="spellStart"/>
      <w:r>
        <w:rPr>
          <w:rFonts w:ascii="Trebuchet MS" w:hAnsi="Trebuchet MS"/>
        </w:rPr>
        <w:t>organisation</w:t>
      </w:r>
      <w:proofErr w:type="spellEnd"/>
      <w:r>
        <w:rPr>
          <w:rFonts w:ascii="Trebuchet MS" w:hAnsi="Trebuchet MS"/>
        </w:rPr>
        <w:t xml:space="preserve"> (ACAS, 2024). There are multiple different approaches that can be taken for job evaluation such as formal, informal, analytical and non-analytical approaches.</w:t>
      </w:r>
    </w:p>
    <w:p w14:paraId="38684120" w14:textId="77777777" w:rsidR="00E46818" w:rsidRDefault="00E46818">
      <w:pPr>
        <w:pStyle w:val="Nornal"/>
        <w:spacing w:after="0" w:line="240" w:lineRule="auto"/>
        <w:rPr>
          <w:rFonts w:ascii="Trebuchet MS" w:eastAsia="Trebuchet MS" w:hAnsi="Trebuchet MS" w:cs="Trebuchet MS"/>
        </w:rPr>
      </w:pPr>
    </w:p>
    <w:p w14:paraId="12973AD3" w14:textId="733FD2C8" w:rsidR="00E46818" w:rsidRDefault="007B6149">
      <w:pPr>
        <w:pStyle w:val="Nornal"/>
        <w:spacing w:after="0" w:line="240" w:lineRule="auto"/>
        <w:rPr>
          <w:rFonts w:ascii="Trebuchet MS" w:eastAsia="Trebuchet MS" w:hAnsi="Trebuchet MS" w:cs="Trebuchet MS"/>
        </w:rPr>
      </w:pPr>
      <w:r>
        <w:rPr>
          <w:rFonts w:ascii="Trebuchet MS" w:hAnsi="Trebuchet MS"/>
        </w:rPr>
        <w:t xml:space="preserve">Formal approaches to job evaluation are process driven and systematic such as grading structures, which are used to determine a jobs value. This tends to be suited to larger </w:t>
      </w:r>
      <w:proofErr w:type="spellStart"/>
      <w:r>
        <w:rPr>
          <w:rFonts w:ascii="Trebuchet MS" w:hAnsi="Trebuchet MS"/>
        </w:rPr>
        <w:t>organisations</w:t>
      </w:r>
      <w:proofErr w:type="spellEnd"/>
      <w:r>
        <w:rPr>
          <w:rFonts w:ascii="Trebuchet MS" w:hAnsi="Trebuchet MS"/>
        </w:rPr>
        <w:t xml:space="preserve"> that have a large variety of roles that need to be evaluated. Whereas informal approaches tend to lack the structure involved in formal approaches, being more based around assumption without any systemic analysis such as reference to market rates during the recruitment process </w:t>
      </w:r>
      <w:r w:rsidR="00A355F8">
        <w:rPr>
          <w:rFonts w:ascii="Trebuchet MS" w:hAnsi="Trebuchet MS"/>
        </w:rPr>
        <w:t>or</w:t>
      </w:r>
      <w:r w:rsidR="008E01D3">
        <w:rPr>
          <w:rFonts w:ascii="Trebuchet MS" w:hAnsi="Trebuchet MS"/>
        </w:rPr>
        <w:t xml:space="preserve"> job ranking based on a manager’s perceived value of that role </w:t>
      </w:r>
      <w:r>
        <w:rPr>
          <w:rFonts w:ascii="Trebuchet MS" w:hAnsi="Trebuchet MS"/>
        </w:rPr>
        <w:t>(Armstrong, 2020).</w:t>
      </w:r>
    </w:p>
    <w:p w14:paraId="4EB86E18" w14:textId="77777777" w:rsidR="00E46818" w:rsidRDefault="00E46818">
      <w:pPr>
        <w:pStyle w:val="Nornal"/>
        <w:spacing w:after="0" w:line="240" w:lineRule="auto"/>
        <w:rPr>
          <w:rFonts w:ascii="Trebuchet MS" w:eastAsia="Trebuchet MS" w:hAnsi="Trebuchet MS" w:cs="Trebuchet MS"/>
        </w:rPr>
      </w:pPr>
    </w:p>
    <w:p w14:paraId="14646676"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Analytical approaches to job evaluation involve assessing a job based on the components of it such as the skills required or level of responsibility that comes with it. An example of this is the point-factor method where jobs are broken down into specific measurable factors where they are assigned a weight and score which helps calculate the total ‘value’ of the role (Armstrong, 2020). This approach is mostly </w:t>
      </w:r>
      <w:proofErr w:type="spellStart"/>
      <w:r>
        <w:rPr>
          <w:rFonts w:ascii="Trebuchet MS" w:hAnsi="Trebuchet MS"/>
        </w:rPr>
        <w:t>utilised</w:t>
      </w:r>
      <w:proofErr w:type="spellEnd"/>
      <w:r>
        <w:rPr>
          <w:rFonts w:ascii="Trebuchet MS" w:hAnsi="Trebuchet MS"/>
        </w:rPr>
        <w:t xml:space="preserve"> in larger, complex </w:t>
      </w:r>
      <w:proofErr w:type="spellStart"/>
      <w:r>
        <w:rPr>
          <w:rFonts w:ascii="Trebuchet MS" w:hAnsi="Trebuchet MS"/>
        </w:rPr>
        <w:t>organisations</w:t>
      </w:r>
      <w:proofErr w:type="spellEnd"/>
      <w:r>
        <w:rPr>
          <w:rFonts w:ascii="Trebuchet MS" w:hAnsi="Trebuchet MS"/>
        </w:rPr>
        <w:t xml:space="preserve"> where there are strict compliance requirements, such as public sector </w:t>
      </w:r>
      <w:proofErr w:type="spellStart"/>
      <w:r>
        <w:rPr>
          <w:rFonts w:ascii="Trebuchet MS" w:hAnsi="Trebuchet MS"/>
        </w:rPr>
        <w:t>organisations</w:t>
      </w:r>
      <w:proofErr w:type="spellEnd"/>
      <w:r>
        <w:rPr>
          <w:rFonts w:ascii="Trebuchet MS" w:hAnsi="Trebuchet MS"/>
        </w:rPr>
        <w:t xml:space="preserve"> (Armstrong, 2020).</w:t>
      </w:r>
    </w:p>
    <w:p w14:paraId="6ABB8B3D" w14:textId="77777777" w:rsidR="00E46818" w:rsidRDefault="00E46818">
      <w:pPr>
        <w:pStyle w:val="Nornal"/>
        <w:spacing w:after="0" w:line="240" w:lineRule="auto"/>
        <w:rPr>
          <w:rFonts w:ascii="Trebuchet MS" w:eastAsia="Trebuchet MS" w:hAnsi="Trebuchet MS" w:cs="Trebuchet MS"/>
        </w:rPr>
      </w:pPr>
    </w:p>
    <w:p w14:paraId="701C7402" w14:textId="07266F9F" w:rsidR="00E46818" w:rsidRDefault="007B6149" w:rsidP="00455750">
      <w:pPr>
        <w:pStyle w:val="Nornal"/>
        <w:spacing w:after="0" w:line="240" w:lineRule="auto"/>
        <w:rPr>
          <w:rFonts w:ascii="Trebuchet MS" w:eastAsia="Trebuchet MS" w:hAnsi="Trebuchet MS" w:cs="Trebuchet MS"/>
        </w:rPr>
      </w:pPr>
      <w:r>
        <w:rPr>
          <w:rFonts w:ascii="Trebuchet MS" w:hAnsi="Trebuchet MS"/>
        </w:rPr>
        <w:t xml:space="preserve">Non-analytical approaches tend to evaluate a </w:t>
      </w:r>
      <w:proofErr w:type="gramStart"/>
      <w:r>
        <w:rPr>
          <w:rFonts w:ascii="Trebuchet MS" w:hAnsi="Trebuchet MS"/>
        </w:rPr>
        <w:t>job as a whole, rather</w:t>
      </w:r>
      <w:proofErr w:type="gramEnd"/>
      <w:r>
        <w:rPr>
          <w:rFonts w:ascii="Trebuchet MS" w:hAnsi="Trebuchet MS"/>
        </w:rPr>
        <w:t xml:space="preserve"> than breaking it down into components such as job classification (Armstrong, 2020). Job classification involves grouping jobs into a specific grade based on general characteristics. Usually, this approach is used in smaller </w:t>
      </w:r>
      <w:proofErr w:type="spellStart"/>
      <w:r>
        <w:rPr>
          <w:rFonts w:ascii="Trebuchet MS" w:hAnsi="Trebuchet MS"/>
        </w:rPr>
        <w:t>organisations</w:t>
      </w:r>
      <w:proofErr w:type="spellEnd"/>
      <w:r>
        <w:rPr>
          <w:rFonts w:ascii="Trebuchet MS" w:hAnsi="Trebuchet MS"/>
        </w:rPr>
        <w:t xml:space="preserve"> where there are a smaller number of straightforward roles (Torrington et al., 2020), so is likely to be more appropriate for Eco-Insulate UK to </w:t>
      </w:r>
      <w:proofErr w:type="spellStart"/>
      <w:r>
        <w:rPr>
          <w:rFonts w:ascii="Trebuchet MS" w:hAnsi="Trebuchet MS"/>
        </w:rPr>
        <w:t>utilise</w:t>
      </w:r>
      <w:proofErr w:type="spellEnd"/>
      <w:r>
        <w:rPr>
          <w:rFonts w:ascii="Trebuchet MS" w:hAnsi="Trebuchet MS"/>
        </w:rPr>
        <w:t>.</w:t>
      </w:r>
    </w:p>
    <w:p w14:paraId="7B39F85C" w14:textId="77777777" w:rsidR="00E46818" w:rsidRDefault="00E46818" w:rsidP="00455750">
      <w:pPr>
        <w:pStyle w:val="Nornal"/>
        <w:spacing w:after="0" w:line="240" w:lineRule="auto"/>
        <w:rPr>
          <w:rFonts w:ascii="Trebuchet MS" w:eastAsia="Trebuchet MS" w:hAnsi="Trebuchet MS" w:cs="Trebuchet MS"/>
        </w:rPr>
      </w:pPr>
    </w:p>
    <w:p w14:paraId="79F9EBE3" w14:textId="46A29634" w:rsidR="00E46818" w:rsidRDefault="007B6149" w:rsidP="00455750">
      <w:pPr>
        <w:pStyle w:val="Nornal"/>
        <w:spacing w:after="0" w:line="240" w:lineRule="auto"/>
        <w:rPr>
          <w:rFonts w:ascii="Trebuchet MS" w:hAnsi="Trebuchet MS"/>
        </w:rPr>
      </w:pPr>
      <w:r>
        <w:rPr>
          <w:rFonts w:ascii="Trebuchet MS" w:hAnsi="Trebuchet MS"/>
        </w:rPr>
        <w:t xml:space="preserve">(AC 3.4) </w:t>
      </w:r>
    </w:p>
    <w:p w14:paraId="10A87E99" w14:textId="6894DAFC" w:rsidR="00E46818" w:rsidRDefault="007B6149" w:rsidP="00455750">
      <w:pPr>
        <w:pStyle w:val="Nornal"/>
        <w:spacing w:after="0" w:line="240" w:lineRule="auto"/>
        <w:ind w:left="360"/>
        <w:rPr>
          <w:rFonts w:ascii="Trebuchet MS" w:eastAsia="Trebuchet MS" w:hAnsi="Trebuchet MS" w:cs="Trebuchet MS"/>
        </w:rPr>
      </w:pPr>
      <w:r>
        <w:rPr>
          <w:rFonts w:ascii="Trebuchet MS" w:hAnsi="Trebuchet MS"/>
        </w:rPr>
        <w:t xml:space="preserve"> </w:t>
      </w:r>
    </w:p>
    <w:p w14:paraId="2B0D6F60" w14:textId="1E0BFEE8" w:rsidR="00E46818" w:rsidRDefault="007B6149">
      <w:pPr>
        <w:pStyle w:val="Nornal"/>
        <w:spacing w:after="0" w:line="240" w:lineRule="auto"/>
        <w:rPr>
          <w:rFonts w:ascii="Trebuchet MS" w:eastAsia="Trebuchet MS" w:hAnsi="Trebuchet MS" w:cs="Trebuchet MS"/>
        </w:rPr>
      </w:pPr>
      <w:r>
        <w:rPr>
          <w:rFonts w:ascii="Trebuchet MS" w:hAnsi="Trebuchet MS"/>
        </w:rPr>
        <w:t xml:space="preserve">Reward practices can be heavily impacted and influenced by legislative requirements. The Equality Act 2010 mandates that regardless of gender, anyone </w:t>
      </w:r>
      <w:proofErr w:type="spellStart"/>
      <w:r>
        <w:rPr>
          <w:rFonts w:ascii="Trebuchet MS" w:hAnsi="Trebuchet MS"/>
        </w:rPr>
        <w:t>performan</w:t>
      </w:r>
      <w:r w:rsidR="00455750">
        <w:rPr>
          <w:rFonts w:ascii="Trebuchet MS" w:hAnsi="Trebuchet MS"/>
        </w:rPr>
        <w:t>ing</w:t>
      </w:r>
      <w:proofErr w:type="spellEnd"/>
      <w:r>
        <w:rPr>
          <w:rFonts w:ascii="Trebuchet MS" w:hAnsi="Trebuchet MS"/>
        </w:rPr>
        <w:t xml:space="preserve"> work of equal value is entitled to equal pay, bonuses and benefits and any other re</w:t>
      </w:r>
      <w:r w:rsidR="00455750">
        <w:rPr>
          <w:rFonts w:ascii="Trebuchet MS" w:hAnsi="Trebuchet MS"/>
        </w:rPr>
        <w:t>mun</w:t>
      </w:r>
      <w:r>
        <w:rPr>
          <w:rFonts w:ascii="Trebuchet MS" w:hAnsi="Trebuchet MS"/>
        </w:rPr>
        <w:t xml:space="preserve">eration offered (EHRC, 2021). </w:t>
      </w:r>
    </w:p>
    <w:p w14:paraId="3D768DC4" w14:textId="77777777" w:rsidR="00E46818" w:rsidRDefault="00E46818">
      <w:pPr>
        <w:pStyle w:val="Nornal"/>
        <w:spacing w:after="0" w:line="240" w:lineRule="auto"/>
        <w:rPr>
          <w:rFonts w:ascii="Trebuchet MS" w:eastAsia="Trebuchet MS" w:hAnsi="Trebuchet MS" w:cs="Trebuchet MS"/>
        </w:rPr>
      </w:pPr>
    </w:p>
    <w:p w14:paraId="08297485" w14:textId="51CBDA1B" w:rsidR="00E46818" w:rsidRDefault="007B6149">
      <w:pPr>
        <w:pStyle w:val="Nornal"/>
        <w:spacing w:after="0" w:line="240" w:lineRule="auto"/>
        <w:rPr>
          <w:rFonts w:ascii="Trebuchet MS" w:eastAsia="Trebuchet MS" w:hAnsi="Trebuchet MS" w:cs="Trebuchet MS"/>
        </w:rPr>
      </w:pPr>
      <w:r>
        <w:rPr>
          <w:rFonts w:ascii="Trebuchet MS" w:hAnsi="Trebuchet MS"/>
        </w:rPr>
        <w:t xml:space="preserve">For an </w:t>
      </w:r>
      <w:proofErr w:type="spellStart"/>
      <w:r>
        <w:rPr>
          <w:rFonts w:ascii="Trebuchet MS" w:hAnsi="Trebuchet MS"/>
        </w:rPr>
        <w:t>organisation</w:t>
      </w:r>
      <w:proofErr w:type="spellEnd"/>
      <w:r>
        <w:rPr>
          <w:rFonts w:ascii="Trebuchet MS" w:hAnsi="Trebuchet MS"/>
        </w:rPr>
        <w:t xml:space="preserve"> such as Eco-Insulate UK, this means that they must regularly review any pay structures or re</w:t>
      </w:r>
      <w:r w:rsidR="00455750">
        <w:rPr>
          <w:rFonts w:ascii="Trebuchet MS" w:hAnsi="Trebuchet MS"/>
        </w:rPr>
        <w:t>mun</w:t>
      </w:r>
      <w:r>
        <w:rPr>
          <w:rFonts w:ascii="Trebuchet MS" w:hAnsi="Trebuchet MS"/>
        </w:rPr>
        <w:t>eration given to employees to ensure compliance with this regulation. It is also crucial that some form of job evaluation is carried out, usually analytical, to ensure there is valid justification behind any pay differences.</w:t>
      </w:r>
    </w:p>
    <w:p w14:paraId="3967BD67" w14:textId="77777777" w:rsidR="00E46818" w:rsidRDefault="00E46818">
      <w:pPr>
        <w:pStyle w:val="Nornal"/>
        <w:spacing w:after="0" w:line="240" w:lineRule="auto"/>
        <w:rPr>
          <w:rFonts w:ascii="Trebuchet MS" w:eastAsia="Trebuchet MS" w:hAnsi="Trebuchet MS" w:cs="Trebuchet MS"/>
        </w:rPr>
      </w:pPr>
    </w:p>
    <w:p w14:paraId="5BD9DCE7" w14:textId="0C2F218A" w:rsidR="00E46818" w:rsidRDefault="007B6149">
      <w:pPr>
        <w:pStyle w:val="Nornal"/>
        <w:spacing w:after="0" w:line="240" w:lineRule="auto"/>
        <w:rPr>
          <w:rFonts w:ascii="Trebuchet MS" w:eastAsia="Trebuchet MS" w:hAnsi="Trebuchet MS" w:cs="Trebuchet MS"/>
        </w:rPr>
      </w:pPr>
      <w:r>
        <w:rPr>
          <w:rFonts w:ascii="Trebuchet MS" w:hAnsi="Trebuchet MS"/>
        </w:rPr>
        <w:t xml:space="preserve">Following on from this, under this legislation, </w:t>
      </w:r>
      <w:proofErr w:type="spellStart"/>
      <w:r>
        <w:rPr>
          <w:rFonts w:ascii="Trebuchet MS" w:hAnsi="Trebuchet MS"/>
        </w:rPr>
        <w:t>organisations</w:t>
      </w:r>
      <w:proofErr w:type="spellEnd"/>
      <w:r>
        <w:rPr>
          <w:rFonts w:ascii="Trebuchet MS" w:hAnsi="Trebuchet MS"/>
        </w:rPr>
        <w:t xml:space="preserve"> with 250 or more employees must report their gender pay gap data annually (GOV.UK, 2024). The report must include the mean and median pay gap as well as any bonus gaps and the distribution of men and women across the different pay quartiles (CIPD, 2024). This may impact Eco-Insulate UK, although their employee headcount is not stated. The report must </w:t>
      </w:r>
      <w:proofErr w:type="gramStart"/>
      <w:r>
        <w:rPr>
          <w:rFonts w:ascii="Trebuchet MS" w:hAnsi="Trebuchet MS"/>
        </w:rPr>
        <w:t>uploaded</w:t>
      </w:r>
      <w:proofErr w:type="gramEnd"/>
      <w:r>
        <w:rPr>
          <w:rFonts w:ascii="Trebuchet MS" w:hAnsi="Trebuchet MS"/>
        </w:rPr>
        <w:t xml:space="preserve"> to the government portal and be published/accessible on the company website so </w:t>
      </w:r>
      <w:proofErr w:type="spellStart"/>
      <w:r>
        <w:rPr>
          <w:rFonts w:ascii="Trebuchet MS" w:hAnsi="Trebuchet MS"/>
        </w:rPr>
        <w:t>it s</w:t>
      </w:r>
      <w:proofErr w:type="spellEnd"/>
      <w:r>
        <w:rPr>
          <w:rFonts w:ascii="Trebuchet MS" w:hAnsi="Trebuchet MS"/>
        </w:rPr>
        <w:t xml:space="preserve"> accessible to the general public (GOV.UK, 2024) and the ultimate aim of this is to tackle the gap in pay between men and women that has arisen over the years from </w:t>
      </w:r>
      <w:proofErr w:type="spellStart"/>
      <w:r>
        <w:rPr>
          <w:rFonts w:ascii="Trebuchet MS" w:hAnsi="Trebuchet MS"/>
        </w:rPr>
        <w:t>labour</w:t>
      </w:r>
      <w:proofErr w:type="spellEnd"/>
      <w:r>
        <w:rPr>
          <w:rFonts w:ascii="Trebuchet MS" w:hAnsi="Trebuchet MS"/>
        </w:rPr>
        <w:t xml:space="preserve"> market disadvantage and workplace disadvantage (CIPD, 2024).</w:t>
      </w:r>
    </w:p>
    <w:p w14:paraId="4FFC6481" w14:textId="77777777" w:rsidR="00E46818" w:rsidRDefault="00E46818">
      <w:pPr>
        <w:pStyle w:val="Nornal"/>
        <w:spacing w:after="0" w:line="240" w:lineRule="auto"/>
        <w:rPr>
          <w:rFonts w:ascii="Trebuchet MS" w:eastAsia="Trebuchet MS" w:hAnsi="Trebuchet MS" w:cs="Trebuchet MS"/>
        </w:rPr>
      </w:pPr>
    </w:p>
    <w:p w14:paraId="20A899DB" w14:textId="77777777" w:rsidR="00E46818" w:rsidRDefault="007B6149">
      <w:pPr>
        <w:pStyle w:val="Nornal"/>
        <w:spacing w:after="0" w:line="240" w:lineRule="auto"/>
        <w:rPr>
          <w:rFonts w:ascii="Trebuchet MS" w:eastAsia="Trebuchet MS" w:hAnsi="Trebuchet MS" w:cs="Trebuchet MS"/>
        </w:rPr>
      </w:pPr>
      <w:r>
        <w:rPr>
          <w:rFonts w:ascii="Trebuchet MS" w:hAnsi="Trebuchet MS"/>
        </w:rPr>
        <w:lastRenderedPageBreak/>
        <w:t xml:space="preserve">This means </w:t>
      </w:r>
      <w:proofErr w:type="spellStart"/>
      <w:r>
        <w:rPr>
          <w:rFonts w:ascii="Trebuchet MS" w:hAnsi="Trebuchet MS"/>
        </w:rPr>
        <w:t>organisations</w:t>
      </w:r>
      <w:proofErr w:type="spellEnd"/>
      <w:r>
        <w:rPr>
          <w:rFonts w:ascii="Trebuchet MS" w:hAnsi="Trebuchet MS"/>
        </w:rPr>
        <w:t xml:space="preserve"> must carefully </w:t>
      </w:r>
      <w:proofErr w:type="spellStart"/>
      <w:r>
        <w:rPr>
          <w:rFonts w:ascii="Trebuchet MS" w:hAnsi="Trebuchet MS"/>
        </w:rPr>
        <w:t>analyse</w:t>
      </w:r>
      <w:proofErr w:type="spellEnd"/>
      <w:r>
        <w:rPr>
          <w:rFonts w:ascii="Trebuchet MS" w:hAnsi="Trebuchet MS"/>
        </w:rPr>
        <w:t xml:space="preserve"> their reward system and structure to ensure compliance. As failure to comply with this legislation can result in cases being taken to employment tribunal, large financial penalties and reputational damage that would further impact an </w:t>
      </w:r>
      <w:proofErr w:type="spellStart"/>
      <w:r>
        <w:rPr>
          <w:rFonts w:ascii="Trebuchet MS" w:hAnsi="Trebuchet MS"/>
        </w:rPr>
        <w:t>organisation’s</w:t>
      </w:r>
      <w:proofErr w:type="spellEnd"/>
      <w:r>
        <w:rPr>
          <w:rFonts w:ascii="Trebuchet MS" w:hAnsi="Trebuchet MS"/>
        </w:rPr>
        <w:t xml:space="preserve"> ability to offer a competitive reward structure and retain employees (CIPD, 2024).</w:t>
      </w:r>
    </w:p>
    <w:p w14:paraId="7F233D19" w14:textId="77777777" w:rsidR="00E46818" w:rsidRDefault="00E46818">
      <w:pPr>
        <w:pStyle w:val="Nornal"/>
        <w:spacing w:after="0" w:line="240" w:lineRule="auto"/>
        <w:rPr>
          <w:rFonts w:ascii="Trebuchet MS" w:eastAsia="Trebuchet MS" w:hAnsi="Trebuchet MS" w:cs="Trebuchet MS"/>
        </w:rPr>
      </w:pPr>
    </w:p>
    <w:p w14:paraId="05EBE06C" w14:textId="3E318103" w:rsidR="00E46818" w:rsidRDefault="007B6149">
      <w:pPr>
        <w:pStyle w:val="Nornal"/>
        <w:spacing w:after="0" w:line="240" w:lineRule="auto"/>
        <w:rPr>
          <w:rFonts w:ascii="Trebuchet MS" w:eastAsia="Trebuchet MS" w:hAnsi="Trebuchet MS" w:cs="Trebuchet MS"/>
        </w:rPr>
      </w:pPr>
      <w:r>
        <w:rPr>
          <w:rFonts w:ascii="Trebuchet MS" w:hAnsi="Trebuchet MS"/>
        </w:rPr>
        <w:t xml:space="preserve">Linking closely to this, the National Minimum Wage Act 1998 and National Living Wage mean that there is a set minimum hourly rate that must be paid to an employee </w:t>
      </w:r>
      <w:proofErr w:type="spellStart"/>
      <w:r>
        <w:rPr>
          <w:rFonts w:ascii="Trebuchet MS" w:hAnsi="Trebuchet MS"/>
        </w:rPr>
        <w:t>dependant</w:t>
      </w:r>
      <w:proofErr w:type="spellEnd"/>
      <w:r>
        <w:rPr>
          <w:rFonts w:ascii="Trebuchet MS" w:hAnsi="Trebuchet MS"/>
        </w:rPr>
        <w:t xml:space="preserve"> on their age and employment types, such as apprenticeships (GOV.UK, 2024). This rate is updated annually every April to ensure employees are re</w:t>
      </w:r>
      <w:r w:rsidR="00455750">
        <w:rPr>
          <w:rFonts w:ascii="Trebuchet MS" w:hAnsi="Trebuchet MS"/>
        </w:rPr>
        <w:t>mun</w:t>
      </w:r>
      <w:r>
        <w:rPr>
          <w:rFonts w:ascii="Trebuchet MS" w:hAnsi="Trebuchet MS"/>
        </w:rPr>
        <w:t xml:space="preserve">erated equitably for their work whilst </w:t>
      </w:r>
      <w:proofErr w:type="gramStart"/>
      <w:r>
        <w:rPr>
          <w:rFonts w:ascii="Trebuchet MS" w:hAnsi="Trebuchet MS"/>
        </w:rPr>
        <w:t>taking into account</w:t>
      </w:r>
      <w:proofErr w:type="gramEnd"/>
      <w:r>
        <w:rPr>
          <w:rFonts w:ascii="Trebuchet MS" w:hAnsi="Trebuchet MS"/>
        </w:rPr>
        <w:t xml:space="preserve"> any deductions like income tax and national insurance (GOV.UK, 2024). </w:t>
      </w:r>
      <w:proofErr w:type="spellStart"/>
      <w:r>
        <w:rPr>
          <w:rFonts w:ascii="Trebuchet MS" w:hAnsi="Trebuchet MS"/>
        </w:rPr>
        <w:t>Organisations</w:t>
      </w:r>
      <w:proofErr w:type="spellEnd"/>
      <w:r>
        <w:rPr>
          <w:rFonts w:ascii="Trebuchet MS" w:hAnsi="Trebuchet MS"/>
        </w:rPr>
        <w:t xml:space="preserve"> must ensure they comply with this to avoid any kind of financial penalty such as fines or forced back-payments to under paid staff (CIPD, 2023).</w:t>
      </w:r>
    </w:p>
    <w:p w14:paraId="450D37C5" w14:textId="77777777" w:rsidR="00E46818" w:rsidRDefault="00E46818">
      <w:pPr>
        <w:pStyle w:val="Nornal"/>
        <w:spacing w:after="0" w:line="240" w:lineRule="auto"/>
        <w:rPr>
          <w:rFonts w:ascii="Trebuchet MS" w:eastAsia="Trebuchet MS" w:hAnsi="Trebuchet MS" w:cs="Trebuchet MS"/>
        </w:rPr>
      </w:pPr>
    </w:p>
    <w:p w14:paraId="272164AC" w14:textId="77777777" w:rsidR="00E46818" w:rsidRDefault="007B6149">
      <w:pPr>
        <w:pStyle w:val="Nornal"/>
        <w:spacing w:after="0" w:line="240" w:lineRule="auto"/>
        <w:rPr>
          <w:rFonts w:ascii="Trebuchet MS" w:eastAsia="Trebuchet MS" w:hAnsi="Trebuchet MS" w:cs="Trebuchet MS"/>
        </w:rPr>
      </w:pPr>
      <w:r>
        <w:rPr>
          <w:rFonts w:ascii="Trebuchet MS" w:hAnsi="Trebuchet MS"/>
        </w:rPr>
        <w:t xml:space="preserve">Overall, </w:t>
      </w:r>
      <w:proofErr w:type="gramStart"/>
      <w:r>
        <w:rPr>
          <w:rFonts w:ascii="Trebuchet MS" w:hAnsi="Trebuchet MS"/>
        </w:rPr>
        <w:t>it is clear that reward</w:t>
      </w:r>
      <w:proofErr w:type="gramEnd"/>
      <w:r>
        <w:rPr>
          <w:rFonts w:ascii="Trebuchet MS" w:hAnsi="Trebuchet MS"/>
        </w:rPr>
        <w:t xml:space="preserve"> structures are directly impacted by legislation and require regular review, sometimes involving an increase in the amount spent on reward, to ensure compliance. The legislation protects both the employer and employee as well as ensuring fairness and transparency within the reward structure and system.</w:t>
      </w:r>
    </w:p>
    <w:p w14:paraId="471FE7BC" w14:textId="77777777" w:rsidR="00E46818" w:rsidRDefault="00E46818">
      <w:pPr>
        <w:pStyle w:val="Body"/>
      </w:pPr>
    </w:p>
    <w:p w14:paraId="2E09FB8D" w14:textId="77777777" w:rsidR="00E46818" w:rsidRDefault="00E46818">
      <w:pPr>
        <w:pStyle w:val="Body"/>
      </w:pPr>
    </w:p>
    <w:p w14:paraId="50042B69" w14:textId="77777777" w:rsidR="00E46818" w:rsidRDefault="00E46818">
      <w:pPr>
        <w:pStyle w:val="Body"/>
      </w:pPr>
    </w:p>
    <w:p w14:paraId="4B023728" w14:textId="77777777" w:rsidR="00E46818" w:rsidRPr="00455750" w:rsidRDefault="007B6149">
      <w:pPr>
        <w:pStyle w:val="Body"/>
        <w:spacing w:before="100" w:after="100" w:line="240" w:lineRule="auto"/>
        <w:ind w:left="567" w:hanging="567"/>
        <w:rPr>
          <w:rFonts w:ascii="Trebuchet MS" w:hAnsi="Trebuchet MS"/>
          <w:b/>
          <w:bCs/>
          <w:sz w:val="20"/>
          <w:szCs w:val="20"/>
          <w:u w:val="single"/>
          <w:lang w:val="en-US"/>
        </w:rPr>
      </w:pPr>
      <w:r w:rsidRPr="00455750">
        <w:rPr>
          <w:rFonts w:ascii="Trebuchet MS" w:hAnsi="Trebuchet MS"/>
          <w:b/>
          <w:bCs/>
          <w:sz w:val="20"/>
          <w:szCs w:val="20"/>
          <w:u w:val="single"/>
          <w:lang w:val="en-US"/>
        </w:rPr>
        <w:t>Works Cited:</w:t>
      </w:r>
    </w:p>
    <w:p w14:paraId="7FD40025" w14:textId="77777777" w:rsidR="00455750" w:rsidRDefault="00455750">
      <w:pPr>
        <w:pStyle w:val="Body"/>
        <w:spacing w:before="100" w:after="100" w:line="240" w:lineRule="auto"/>
        <w:ind w:left="567" w:hanging="567"/>
        <w:rPr>
          <w:rFonts w:ascii="Times New Roman" w:eastAsia="Times New Roman" w:hAnsi="Times New Roman" w:cs="Times New Roman"/>
        </w:rPr>
      </w:pPr>
    </w:p>
    <w:p w14:paraId="2F0AD578"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ABI (2024) </w:t>
      </w:r>
      <w:r>
        <w:rPr>
          <w:rFonts w:ascii="Times New Roman" w:hAnsi="Times New Roman"/>
          <w:i/>
          <w:iCs/>
          <w:lang w:val="en-US"/>
        </w:rPr>
        <w:t>Access to health insurance through work increasingly important to employees: ABI</w:t>
      </w:r>
      <w:r>
        <w:rPr>
          <w:rFonts w:ascii="Times New Roman" w:hAnsi="Times New Roman"/>
        </w:rPr>
        <w:t xml:space="preserve">, </w:t>
      </w:r>
      <w:r>
        <w:rPr>
          <w:rFonts w:ascii="Times New Roman" w:hAnsi="Times New Roman"/>
          <w:i/>
          <w:iCs/>
          <w:lang w:val="en-US"/>
        </w:rPr>
        <w:t>Association of British Insurers</w:t>
      </w:r>
      <w:r>
        <w:rPr>
          <w:rFonts w:ascii="Times New Roman" w:hAnsi="Times New Roman"/>
          <w:lang w:val="en-US"/>
        </w:rPr>
        <w:t xml:space="preserve">. Available at: https://www.abi.org.uk/news/news-articles/2023/6/access-to-health-insurance-through-work-increasingly-important-to-employees/ (Accessed: 29 December 2024). </w:t>
      </w:r>
    </w:p>
    <w:p w14:paraId="4DAC3190"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ACAS (2024) </w:t>
      </w:r>
      <w:r>
        <w:rPr>
          <w:rFonts w:ascii="Times New Roman" w:hAnsi="Times New Roman"/>
          <w:i/>
          <w:iCs/>
          <w:lang w:val="en-US"/>
        </w:rPr>
        <w:t>Job evaluation: Considerations and risks advice booklet</w:t>
      </w:r>
      <w:r>
        <w:rPr>
          <w:rFonts w:ascii="Times New Roman" w:hAnsi="Times New Roman"/>
        </w:rPr>
        <w:t xml:space="preserve">, </w:t>
      </w:r>
      <w:r>
        <w:rPr>
          <w:rFonts w:ascii="Times New Roman" w:hAnsi="Times New Roman"/>
          <w:i/>
          <w:iCs/>
          <w:lang w:val="it-IT"/>
        </w:rPr>
        <w:t>Acas</w:t>
      </w:r>
      <w:r>
        <w:rPr>
          <w:rFonts w:ascii="Times New Roman" w:hAnsi="Times New Roman"/>
          <w:lang w:val="en-US"/>
        </w:rPr>
        <w:t xml:space="preserve">. Available at: https://www.acas.org.uk/job-evaluation-considerations-and-risks-advice-booklet (Accessed: 06 January 2025). </w:t>
      </w:r>
    </w:p>
    <w:p w14:paraId="61F63A67" w14:textId="77777777" w:rsidR="00E46818" w:rsidRDefault="007B6149">
      <w:pPr>
        <w:pStyle w:val="Body"/>
        <w:spacing w:before="100" w:after="100" w:line="240" w:lineRule="auto"/>
        <w:ind w:left="567" w:hanging="567"/>
        <w:rPr>
          <w:rFonts w:ascii="Times New Roman" w:eastAsia="Times New Roman" w:hAnsi="Times New Roman" w:cs="Times New Roman"/>
        </w:rPr>
      </w:pPr>
      <w:proofErr w:type="spellStart"/>
      <w:r>
        <w:rPr>
          <w:rFonts w:ascii="Times New Roman" w:hAnsi="Times New Roman"/>
        </w:rPr>
        <w:t>Altrum</w:t>
      </w:r>
      <w:proofErr w:type="spellEnd"/>
      <w:r>
        <w:rPr>
          <w:rFonts w:ascii="Times New Roman" w:hAnsi="Times New Roman"/>
        </w:rPr>
        <w:t xml:space="preserve"> (2024) </w:t>
      </w:r>
      <w:r>
        <w:rPr>
          <w:rFonts w:ascii="Times New Roman" w:hAnsi="Times New Roman"/>
          <w:i/>
          <w:iCs/>
          <w:lang w:val="en-US"/>
        </w:rPr>
        <w:t xml:space="preserve">Formal or informal recognition: What approach should you </w:t>
      </w:r>
      <w:proofErr w:type="gramStart"/>
      <w:r>
        <w:rPr>
          <w:rFonts w:ascii="Times New Roman" w:hAnsi="Times New Roman"/>
          <w:i/>
          <w:iCs/>
          <w:lang w:val="en-US"/>
        </w:rPr>
        <w:t>adopt?</w:t>
      </w:r>
      <w:r>
        <w:rPr>
          <w:rFonts w:ascii="Times New Roman" w:hAnsi="Times New Roman"/>
        </w:rPr>
        <w:t>,</w:t>
      </w:r>
      <w:proofErr w:type="gramEnd"/>
      <w:r>
        <w:rPr>
          <w:rFonts w:ascii="Times New Roman" w:hAnsi="Times New Roman"/>
        </w:rPr>
        <w:t xml:space="preserve"> </w:t>
      </w:r>
      <w:proofErr w:type="spellStart"/>
      <w:r>
        <w:rPr>
          <w:rFonts w:ascii="Times New Roman" w:hAnsi="Times New Roman"/>
          <w:i/>
          <w:iCs/>
          <w:lang w:val="it-IT"/>
        </w:rPr>
        <w:t>Altrum</w:t>
      </w:r>
      <w:proofErr w:type="spellEnd"/>
      <w:r>
        <w:rPr>
          <w:rFonts w:ascii="Times New Roman" w:hAnsi="Times New Roman"/>
          <w:lang w:val="en-US"/>
        </w:rPr>
        <w:t xml:space="preserve">. Available at: https://www.altrum.com/resources/recognition/formal-or-informal-recognition/ (Accessed: 30 December 2024). </w:t>
      </w:r>
    </w:p>
    <w:p w14:paraId="3E2B5A22"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Arkes, H. </w:t>
      </w:r>
      <w:r>
        <w:rPr>
          <w:rFonts w:ascii="Times New Roman" w:hAnsi="Times New Roman"/>
          <w:i/>
          <w:iCs/>
        </w:rPr>
        <w:t>et al.</w:t>
      </w:r>
      <w:r>
        <w:rPr>
          <w:rFonts w:ascii="Times New Roman" w:hAnsi="Times New Roman"/>
        </w:rPr>
        <w:t xml:space="preserve"> (2022) </w:t>
      </w:r>
      <w:r>
        <w:rPr>
          <w:rFonts w:ascii="Times New Roman" w:hAnsi="Times New Roman"/>
          <w:i/>
          <w:iCs/>
          <w:lang w:val="en-US"/>
        </w:rPr>
        <w:t>When and why tangible rewards can motivate greater effort than cash rewards: An analysis of four attribute differences</w:t>
      </w:r>
      <w:r>
        <w:rPr>
          <w:rFonts w:ascii="Times New Roman" w:hAnsi="Times New Roman"/>
        </w:rPr>
        <w:t xml:space="preserve">, </w:t>
      </w:r>
      <w:r>
        <w:rPr>
          <w:rFonts w:ascii="Times New Roman" w:hAnsi="Times New Roman"/>
          <w:i/>
          <w:iCs/>
          <w:lang w:val="en-US"/>
        </w:rPr>
        <w:t>Accounting, Organizations and Society</w:t>
      </w:r>
      <w:r>
        <w:rPr>
          <w:rFonts w:ascii="Times New Roman" w:hAnsi="Times New Roman"/>
          <w:lang w:val="en-US"/>
        </w:rPr>
        <w:t xml:space="preserve">. Available at: https://www.sciencedirect.com/science/article/abs/pii/S0361368222000563 (Accessed: 30 December 2024). </w:t>
      </w:r>
    </w:p>
    <w:p w14:paraId="202DA697" w14:textId="77777777" w:rsidR="00E46818" w:rsidRDefault="007B6149">
      <w:pPr>
        <w:pStyle w:val="Body"/>
        <w:spacing w:before="100" w:after="100" w:line="240" w:lineRule="auto"/>
        <w:ind w:left="567" w:hanging="567"/>
        <w:rPr>
          <w:rFonts w:ascii="Times New Roman" w:hAnsi="Times New Roman"/>
          <w:lang w:val="en-US"/>
        </w:rPr>
      </w:pPr>
      <w:r>
        <w:rPr>
          <w:rFonts w:ascii="Times New Roman" w:hAnsi="Times New Roman"/>
          <w:lang w:val="en-US"/>
        </w:rPr>
        <w:t xml:space="preserve">Armstrong, M. (2020). </w:t>
      </w:r>
      <w:r>
        <w:rPr>
          <w:rFonts w:ascii="Times New Roman" w:hAnsi="Times New Roman"/>
          <w:i/>
          <w:iCs/>
          <w:lang w:val="en-US"/>
        </w:rPr>
        <w:t>Armstrong's Handbook of Reward Management Practice</w:t>
      </w:r>
      <w:r>
        <w:rPr>
          <w:rFonts w:ascii="Times New Roman" w:hAnsi="Times New Roman"/>
          <w:lang w:val="en-US"/>
        </w:rPr>
        <w:t>. 6th ed. London: Kogan Page.</w:t>
      </w:r>
    </w:p>
    <w:p w14:paraId="202E69C0" w14:textId="77777777" w:rsidR="00455750" w:rsidRDefault="00455750">
      <w:pPr>
        <w:pStyle w:val="Body"/>
        <w:spacing w:before="100" w:after="100" w:line="240" w:lineRule="auto"/>
        <w:ind w:left="567" w:hanging="567"/>
        <w:rPr>
          <w:rFonts w:ascii="Times New Roman" w:eastAsia="Times New Roman" w:hAnsi="Times New Roman" w:cs="Times New Roman"/>
        </w:rPr>
      </w:pPr>
    </w:p>
    <w:p w14:paraId="125CB956" w14:textId="77777777" w:rsidR="00E46818" w:rsidRDefault="007B6149">
      <w:pPr>
        <w:pStyle w:val="Body"/>
        <w:spacing w:line="240" w:lineRule="auto"/>
        <w:rPr>
          <w:rFonts w:ascii="Times New Roman" w:eastAsia="Times New Roman" w:hAnsi="Times New Roman" w:cs="Times New Roman"/>
        </w:rPr>
      </w:pPr>
      <w:r w:rsidRPr="003D2879">
        <w:rPr>
          <w:rFonts w:ascii="Times New Roman" w:hAnsi="Times New Roman"/>
        </w:rPr>
        <w:t xml:space="preserve">Antoni, C.H. et al. </w:t>
      </w:r>
      <w:r>
        <w:rPr>
          <w:rFonts w:ascii="Times New Roman" w:hAnsi="Times New Roman"/>
        </w:rPr>
        <w:t xml:space="preserve">(2017) </w:t>
      </w:r>
      <w:r>
        <w:rPr>
          <w:rFonts w:ascii="Times New Roman" w:hAnsi="Times New Roman"/>
          <w:lang w:val="en-US"/>
        </w:rPr>
        <w:t xml:space="preserve">“Reward Management: Linking Employee Motivation and Organizational </w:t>
      </w:r>
    </w:p>
    <w:p w14:paraId="2944BF0C" w14:textId="31A1E68A" w:rsidR="00E46818" w:rsidRDefault="007B6149" w:rsidP="00455750">
      <w:pPr>
        <w:pStyle w:val="Body"/>
        <w:spacing w:line="240" w:lineRule="auto"/>
        <w:ind w:left="720"/>
        <w:rPr>
          <w:rFonts w:ascii="Times New Roman" w:eastAsia="Times New Roman" w:hAnsi="Times New Roman" w:cs="Times New Roman"/>
        </w:rPr>
      </w:pPr>
      <w:r>
        <w:rPr>
          <w:rFonts w:ascii="Times New Roman" w:hAnsi="Times New Roman"/>
          <w:lang w:val="en-US"/>
        </w:rPr>
        <w:t>Performance,” Journal of Personnel Psychology, 16(2), pp. 57–</w:t>
      </w:r>
      <w:r>
        <w:rPr>
          <w:rFonts w:ascii="Times New Roman" w:hAnsi="Times New Roman"/>
        </w:rPr>
        <w:t>60. doi:10.1027/1866-5888/a000187.</w:t>
      </w:r>
    </w:p>
    <w:p w14:paraId="4D61FD82" w14:textId="77777777" w:rsidR="00E46818" w:rsidRDefault="00E46818">
      <w:pPr>
        <w:pStyle w:val="Body"/>
        <w:spacing w:line="240" w:lineRule="auto"/>
        <w:rPr>
          <w:rFonts w:ascii="Times New Roman" w:eastAsia="Times New Roman" w:hAnsi="Times New Roman" w:cs="Times New Roman"/>
        </w:rPr>
      </w:pPr>
    </w:p>
    <w:p w14:paraId="43474F60"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Bauer, P. (2024) </w:t>
      </w:r>
      <w:r>
        <w:rPr>
          <w:rFonts w:ascii="Times New Roman" w:hAnsi="Times New Roman"/>
          <w:i/>
          <w:iCs/>
          <w:lang w:val="en-US"/>
        </w:rPr>
        <w:t xml:space="preserve">Are you </w:t>
      </w:r>
      <w:proofErr w:type="spellStart"/>
      <w:r>
        <w:rPr>
          <w:rFonts w:ascii="Times New Roman" w:hAnsi="Times New Roman"/>
          <w:i/>
          <w:iCs/>
          <w:lang w:val="en-US"/>
        </w:rPr>
        <w:t>recognising</w:t>
      </w:r>
      <w:proofErr w:type="spellEnd"/>
      <w:r>
        <w:rPr>
          <w:rFonts w:ascii="Times New Roman" w:hAnsi="Times New Roman"/>
          <w:i/>
          <w:iCs/>
          <w:lang w:val="en-US"/>
        </w:rPr>
        <w:t xml:space="preserve"> your long-serving </w:t>
      </w:r>
      <w:proofErr w:type="gramStart"/>
      <w:r>
        <w:rPr>
          <w:rFonts w:ascii="Times New Roman" w:hAnsi="Times New Roman"/>
          <w:i/>
          <w:iCs/>
          <w:lang w:val="en-US"/>
        </w:rPr>
        <w:t>employees?</w:t>
      </w:r>
      <w:r>
        <w:rPr>
          <w:rFonts w:ascii="Times New Roman" w:hAnsi="Times New Roman"/>
        </w:rPr>
        <w:t>,</w:t>
      </w:r>
      <w:proofErr w:type="gramEnd"/>
      <w:r>
        <w:rPr>
          <w:rFonts w:ascii="Times New Roman" w:hAnsi="Times New Roman"/>
        </w:rPr>
        <w:t xml:space="preserve"> </w:t>
      </w:r>
      <w:r>
        <w:rPr>
          <w:rFonts w:ascii="Times New Roman" w:hAnsi="Times New Roman"/>
          <w:i/>
          <w:iCs/>
        </w:rPr>
        <w:t>Cezanne HR</w:t>
      </w:r>
      <w:r>
        <w:rPr>
          <w:rFonts w:ascii="Times New Roman" w:hAnsi="Times New Roman"/>
          <w:lang w:val="en-US"/>
        </w:rPr>
        <w:t xml:space="preserve">. Available at: </w:t>
      </w:r>
    </w:p>
    <w:p w14:paraId="66CF61F6" w14:textId="2B1612AD" w:rsidR="00E46818" w:rsidRDefault="007B6149" w:rsidP="00455750">
      <w:pPr>
        <w:pStyle w:val="Body"/>
        <w:spacing w:line="240" w:lineRule="auto"/>
        <w:ind w:left="567"/>
        <w:rPr>
          <w:rFonts w:ascii="Times New Roman" w:eastAsia="Times New Roman" w:hAnsi="Times New Roman" w:cs="Times New Roman"/>
        </w:rPr>
      </w:pPr>
      <w:r>
        <w:rPr>
          <w:rFonts w:ascii="Times New Roman" w:hAnsi="Times New Roman"/>
          <w:lang w:val="en-US"/>
        </w:rPr>
        <w:t xml:space="preserve">https://cezannehr.com/hr-blog/2021/10/hr-recognising-long-serving-employees/#:~:text=It%20creates%20an%20invaluable%20knowledge,effectively%20recognise%20long%2Dserving%20employees%E2%80%A6 (Accessed: 21 December 2024). </w:t>
      </w:r>
    </w:p>
    <w:p w14:paraId="46116F30" w14:textId="77777777" w:rsidR="00455750" w:rsidRDefault="00455750" w:rsidP="00455750">
      <w:pPr>
        <w:pStyle w:val="Body"/>
        <w:spacing w:line="240" w:lineRule="auto"/>
        <w:ind w:left="567"/>
        <w:rPr>
          <w:rFonts w:ascii="Times New Roman" w:eastAsia="Times New Roman" w:hAnsi="Times New Roman" w:cs="Times New Roman"/>
        </w:rPr>
      </w:pPr>
    </w:p>
    <w:p w14:paraId="3CEE18C6"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lastRenderedPageBreak/>
        <w:t xml:space="preserve">BBC (2024) </w:t>
      </w:r>
      <w:r>
        <w:rPr>
          <w:rFonts w:ascii="Times New Roman" w:hAnsi="Times New Roman"/>
          <w:i/>
          <w:iCs/>
          <w:lang w:val="en-US"/>
        </w:rPr>
        <w:t xml:space="preserve">What is a recession and how could one affect </w:t>
      </w:r>
      <w:proofErr w:type="gramStart"/>
      <w:r>
        <w:rPr>
          <w:rFonts w:ascii="Times New Roman" w:hAnsi="Times New Roman"/>
          <w:i/>
          <w:iCs/>
          <w:lang w:val="en-US"/>
        </w:rPr>
        <w:t>me?</w:t>
      </w:r>
      <w:r>
        <w:rPr>
          <w:rFonts w:ascii="Times New Roman" w:hAnsi="Times New Roman"/>
        </w:rPr>
        <w:t>,</w:t>
      </w:r>
      <w:proofErr w:type="gramEnd"/>
      <w:r>
        <w:rPr>
          <w:rFonts w:ascii="Times New Roman" w:hAnsi="Times New Roman"/>
        </w:rPr>
        <w:t xml:space="preserve"> </w:t>
      </w:r>
      <w:r>
        <w:rPr>
          <w:rFonts w:ascii="Times New Roman" w:hAnsi="Times New Roman"/>
          <w:i/>
          <w:iCs/>
          <w:lang w:val="en-US"/>
        </w:rPr>
        <w:t>BBC News</w:t>
      </w:r>
      <w:r>
        <w:rPr>
          <w:rFonts w:ascii="Times New Roman" w:hAnsi="Times New Roman"/>
          <w:lang w:val="en-US"/>
        </w:rPr>
        <w:t>. Available at: https://www.bbc.co.uk/news/business-52986863 (Accessed: 03 January 2025).</w:t>
      </w:r>
    </w:p>
    <w:p w14:paraId="153927D1"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BUPA (2024) </w:t>
      </w:r>
      <w:r>
        <w:rPr>
          <w:rFonts w:ascii="Times New Roman" w:hAnsi="Times New Roman"/>
          <w:i/>
          <w:iCs/>
          <w:lang w:val="en-US"/>
        </w:rPr>
        <w:t xml:space="preserve">Employee assistance </w:t>
      </w:r>
      <w:proofErr w:type="spellStart"/>
      <w:r>
        <w:rPr>
          <w:rFonts w:ascii="Times New Roman" w:hAnsi="Times New Roman"/>
          <w:i/>
          <w:iCs/>
          <w:lang w:val="en-US"/>
        </w:rPr>
        <w:t>programme</w:t>
      </w:r>
      <w:proofErr w:type="spellEnd"/>
      <w:r>
        <w:rPr>
          <w:rFonts w:ascii="Times New Roman" w:hAnsi="Times New Roman"/>
          <w:i/>
          <w:iCs/>
          <w:lang w:val="en-US"/>
        </w:rPr>
        <w:t xml:space="preserve"> | UK EAP Service Provider | BUPA UK</w:t>
      </w:r>
      <w:r>
        <w:rPr>
          <w:rFonts w:ascii="Times New Roman" w:hAnsi="Times New Roman"/>
          <w:lang w:val="en-US"/>
        </w:rPr>
        <w:t xml:space="preserve">. Available at: https://www.bupa.co.uk/business/health-wellbeing-services/employee-assistance-programme (Accessed: 29 December 2024). </w:t>
      </w:r>
    </w:p>
    <w:p w14:paraId="4CB94621" w14:textId="77777777" w:rsidR="00E46818" w:rsidRDefault="00E46818">
      <w:pPr>
        <w:pStyle w:val="Body"/>
        <w:spacing w:line="240" w:lineRule="auto"/>
        <w:rPr>
          <w:rFonts w:ascii="Times New Roman" w:eastAsia="Times New Roman" w:hAnsi="Times New Roman" w:cs="Times New Roman"/>
        </w:rPr>
      </w:pPr>
    </w:p>
    <w:p w14:paraId="7AC44B95"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CIPD (2024) </w:t>
      </w:r>
      <w:r>
        <w:rPr>
          <w:rFonts w:ascii="Times New Roman" w:hAnsi="Times New Roman"/>
          <w:i/>
          <w:iCs/>
          <w:lang w:val="en-US"/>
        </w:rPr>
        <w:t>Pay structures and pay progression: Factsheets</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w:t>
      </w:r>
    </w:p>
    <w:p w14:paraId="57948D09"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 xml:space="preserve">https://www.cipd.org/uk/knowledge/factsheets/pay-structures-factsheet/#:~:text=A%20pay%20structure%20is%20a,implement%20reward%20strategies%20and%20policies. (Accessed: 19 December 2024). </w:t>
      </w:r>
    </w:p>
    <w:p w14:paraId="78F3807C"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CIPD (2023) </w:t>
      </w:r>
      <w:r>
        <w:rPr>
          <w:rFonts w:ascii="Times New Roman" w:hAnsi="Times New Roman"/>
          <w:i/>
          <w:iCs/>
          <w:lang w:val="en-US"/>
        </w:rPr>
        <w:t>Informing the UK’s national living wage for 2024</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https://www.cipd.org/uk/about/public-policy/our-calls-for-action/informing-uk-national-living-wage-2024/ (Accessed: 06 January 2025). </w:t>
      </w:r>
    </w:p>
    <w:p w14:paraId="30951CAB"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CIPD (2024) </w:t>
      </w:r>
      <w:r>
        <w:rPr>
          <w:rFonts w:ascii="Times New Roman" w:hAnsi="Times New Roman"/>
          <w:i/>
          <w:iCs/>
          <w:lang w:val="en-US"/>
        </w:rPr>
        <w:t>Gender pay gap reporting: Understand what it is, if you need to report and why</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https://www.cipd.org/uk/knowledge/guides/what-is-the-gender-pay-gap/ (Accessed: 06 January 2025). </w:t>
      </w:r>
    </w:p>
    <w:p w14:paraId="63799D1E"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CIPD (2024) </w:t>
      </w:r>
      <w:proofErr w:type="spellStart"/>
      <w:r>
        <w:rPr>
          <w:rFonts w:ascii="Times New Roman" w:hAnsi="Times New Roman"/>
          <w:i/>
          <w:iCs/>
          <w:lang w:val="en-US"/>
        </w:rPr>
        <w:t>Labour</w:t>
      </w:r>
      <w:proofErr w:type="spellEnd"/>
      <w:r>
        <w:rPr>
          <w:rFonts w:ascii="Times New Roman" w:hAnsi="Times New Roman"/>
          <w:i/>
          <w:iCs/>
          <w:lang w:val="en-US"/>
        </w:rPr>
        <w:t xml:space="preserve"> market outlook</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https://www.cipd.org/uk/knowledge/reports/labour-market-outlook/ (Accessed: 03 January 2025). </w:t>
      </w:r>
    </w:p>
    <w:p w14:paraId="4B8D6F4D" w14:textId="77777777" w:rsidR="00E46818" w:rsidRDefault="00E46818">
      <w:pPr>
        <w:pStyle w:val="Body"/>
        <w:spacing w:line="240" w:lineRule="auto"/>
        <w:rPr>
          <w:rFonts w:ascii="Times New Roman" w:eastAsia="Times New Roman" w:hAnsi="Times New Roman" w:cs="Times New Roman"/>
        </w:rPr>
      </w:pPr>
    </w:p>
    <w:p w14:paraId="0BF3A9ED" w14:textId="77777777" w:rsidR="00E46818" w:rsidRDefault="007B6149">
      <w:pPr>
        <w:pStyle w:val="Body"/>
        <w:spacing w:line="240" w:lineRule="auto"/>
        <w:rPr>
          <w:rFonts w:ascii="Times New Roman" w:eastAsia="Times New Roman" w:hAnsi="Times New Roman" w:cs="Times New Roman"/>
          <w:i/>
          <w:iCs/>
        </w:rPr>
      </w:pPr>
      <w:r>
        <w:rPr>
          <w:rFonts w:ascii="Times New Roman" w:hAnsi="Times New Roman"/>
        </w:rPr>
        <w:t xml:space="preserve">Costello, R. (2023) </w:t>
      </w:r>
      <w:r>
        <w:rPr>
          <w:rFonts w:ascii="Times New Roman" w:hAnsi="Times New Roman"/>
          <w:i/>
          <w:iCs/>
          <w:lang w:val="en-US"/>
        </w:rPr>
        <w:t>All about the money? how a pay freeze affects motivation</w:t>
      </w:r>
      <w:r>
        <w:rPr>
          <w:rFonts w:ascii="Times New Roman" w:hAnsi="Times New Roman"/>
        </w:rPr>
        <w:t xml:space="preserve">, </w:t>
      </w:r>
      <w:r>
        <w:rPr>
          <w:rFonts w:ascii="Times New Roman" w:hAnsi="Times New Roman"/>
          <w:i/>
          <w:iCs/>
          <w:lang w:val="en-US"/>
        </w:rPr>
        <w:t xml:space="preserve">Welcome to the </w:t>
      </w:r>
    </w:p>
    <w:p w14:paraId="1DCAB17B"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i/>
          <w:iCs/>
          <w:lang w:val="en-US"/>
        </w:rPr>
        <w:t>Jungle-The guide to employment</w:t>
      </w:r>
      <w:r>
        <w:rPr>
          <w:rFonts w:ascii="Times New Roman" w:hAnsi="Times New Roman"/>
          <w:lang w:val="en-US"/>
        </w:rPr>
        <w:t xml:space="preserve">. Available at: https://www.welcometothejungle.com/en/articles/pay-freeze-affect-on-motivation (Accessed: 19 December 2024). </w:t>
      </w:r>
    </w:p>
    <w:p w14:paraId="040780FF"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Cotton, C. (2024) </w:t>
      </w:r>
      <w:r>
        <w:rPr>
          <w:rFonts w:ascii="Times New Roman" w:hAnsi="Times New Roman"/>
          <w:i/>
          <w:iCs/>
          <w:lang w:val="en-US"/>
        </w:rPr>
        <w:t>Job Evaluation &amp; Market Pricing</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https://www.cipd.org/uk/knowledge/factsheets/market-pricing-factsheet/ (Accessed: 06 January 2025). </w:t>
      </w:r>
    </w:p>
    <w:p w14:paraId="2EEC6ACA"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Cotton, C. (2024) </w:t>
      </w:r>
      <w:r>
        <w:rPr>
          <w:rFonts w:ascii="Times New Roman" w:hAnsi="Times New Roman"/>
          <w:i/>
          <w:iCs/>
          <w:lang w:val="en-US"/>
        </w:rPr>
        <w:t>Reward: Factsheets</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https://www.cipd.org/uk/knowledge/factsheets/reward-factsheet/ (Accessed: 03 January 2025). </w:t>
      </w:r>
    </w:p>
    <w:p w14:paraId="3EC98B0B"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Cotton, C. (2024) </w:t>
      </w:r>
      <w:r>
        <w:rPr>
          <w:rFonts w:ascii="Times New Roman" w:hAnsi="Times New Roman"/>
          <w:i/>
          <w:iCs/>
          <w:lang w:val="en-US"/>
        </w:rPr>
        <w:t>Strategic &amp; Total Reward: Factsheets</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w:t>
      </w:r>
    </w:p>
    <w:p w14:paraId="54E7FFA9" w14:textId="77777777" w:rsidR="00E46818" w:rsidRDefault="007B6149">
      <w:pPr>
        <w:pStyle w:val="Body"/>
        <w:spacing w:line="240" w:lineRule="auto"/>
        <w:ind w:left="720"/>
        <w:rPr>
          <w:rFonts w:ascii="Times New Roman" w:eastAsia="Times New Roman" w:hAnsi="Times New Roman" w:cs="Times New Roman"/>
        </w:rPr>
      </w:pPr>
      <w:r>
        <w:rPr>
          <w:rFonts w:ascii="Times New Roman" w:hAnsi="Times New Roman"/>
          <w:lang w:val="en-US"/>
        </w:rPr>
        <w:t>https://www.cipd.org/uk/knowledge/factsheets/strategic-total-factsheet/#what (Accessed: 18 December 2024).</w:t>
      </w:r>
    </w:p>
    <w:p w14:paraId="6347C7FD" w14:textId="77777777" w:rsidR="00E46818" w:rsidRDefault="00E46818">
      <w:pPr>
        <w:pStyle w:val="Body"/>
        <w:spacing w:line="240" w:lineRule="auto"/>
        <w:rPr>
          <w:rFonts w:ascii="Times New Roman" w:eastAsia="Times New Roman" w:hAnsi="Times New Roman" w:cs="Times New Roman"/>
        </w:rPr>
      </w:pPr>
    </w:p>
    <w:p w14:paraId="53D02DB2"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Cotton, C., Gifford, J. and Young, J. (2022) Incentives and recognition: an evidence review. </w:t>
      </w:r>
    </w:p>
    <w:p w14:paraId="7475D802"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 xml:space="preserve">Practice summary and recommendations. London: Chartered Institute of Personnel and Development. </w:t>
      </w:r>
    </w:p>
    <w:p w14:paraId="67ECB677"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Cotton, J. (2022) </w:t>
      </w:r>
      <w:r>
        <w:rPr>
          <w:rFonts w:ascii="Times New Roman" w:hAnsi="Times New Roman"/>
          <w:i/>
          <w:iCs/>
          <w:lang w:val="en-US"/>
        </w:rPr>
        <w:t xml:space="preserve">Hiring and workplace trends for 2023 - </w:t>
      </w:r>
      <w:proofErr w:type="spellStart"/>
      <w:r>
        <w:rPr>
          <w:rFonts w:ascii="Times New Roman" w:hAnsi="Times New Roman"/>
          <w:i/>
          <w:iCs/>
          <w:lang w:val="en-US"/>
        </w:rPr>
        <w:t>glassdoor</w:t>
      </w:r>
      <w:proofErr w:type="spellEnd"/>
      <w:r>
        <w:rPr>
          <w:rFonts w:ascii="Times New Roman" w:hAnsi="Times New Roman"/>
          <w:i/>
          <w:iCs/>
          <w:lang w:val="en-US"/>
        </w:rPr>
        <w:t xml:space="preserve"> blog</w:t>
      </w:r>
      <w:r>
        <w:rPr>
          <w:rFonts w:ascii="Times New Roman" w:hAnsi="Times New Roman"/>
          <w:lang w:val="en-US"/>
        </w:rPr>
        <w:t xml:space="preserve">. Available at: https://www.glassdoor.co.uk/blog/workplace-trends/ (Accessed: 06 January 2025). </w:t>
      </w:r>
    </w:p>
    <w:p w14:paraId="7F20E917"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Dessler, G. (2021). </w:t>
      </w:r>
      <w:r>
        <w:rPr>
          <w:rFonts w:ascii="Times New Roman" w:hAnsi="Times New Roman"/>
          <w:i/>
          <w:iCs/>
          <w:lang w:val="en-US"/>
        </w:rPr>
        <w:t>Human Resource Management</w:t>
      </w:r>
      <w:r>
        <w:rPr>
          <w:rFonts w:ascii="Times New Roman" w:hAnsi="Times New Roman"/>
          <w:lang w:val="en-US"/>
        </w:rPr>
        <w:t>. 16th ed. London: Pearson Education.</w:t>
      </w:r>
    </w:p>
    <w:p w14:paraId="2C9B0CD8" w14:textId="77777777" w:rsidR="00E46818" w:rsidRDefault="00E46818">
      <w:pPr>
        <w:pStyle w:val="Body"/>
        <w:spacing w:line="240" w:lineRule="auto"/>
        <w:rPr>
          <w:rFonts w:ascii="Times New Roman" w:eastAsia="Times New Roman" w:hAnsi="Times New Roman" w:cs="Times New Roman"/>
        </w:rPr>
      </w:pPr>
    </w:p>
    <w:p w14:paraId="53488D1D"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EHRC (2021) </w:t>
      </w:r>
      <w:r>
        <w:rPr>
          <w:rFonts w:ascii="Times New Roman" w:hAnsi="Times New Roman"/>
          <w:i/>
          <w:iCs/>
          <w:lang w:val="en-US"/>
        </w:rPr>
        <w:t>Equal pay | EHRC</w:t>
      </w:r>
      <w:r>
        <w:rPr>
          <w:rFonts w:ascii="Times New Roman" w:hAnsi="Times New Roman"/>
          <w:lang w:val="en-US"/>
        </w:rPr>
        <w:t xml:space="preserve">. Available at: https://www.equalityhumanrights.com/guidance/equal-pay (Accessed: 06 January 2025). </w:t>
      </w:r>
    </w:p>
    <w:p w14:paraId="215A78CA"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Fallon, N. (2023) </w:t>
      </w:r>
      <w:r>
        <w:rPr>
          <w:rFonts w:ascii="Times New Roman" w:hAnsi="Times New Roman"/>
          <w:i/>
          <w:iCs/>
          <w:lang w:val="en-US"/>
        </w:rPr>
        <w:t>What is benchmarking? uses and benefits in business</w:t>
      </w:r>
      <w:r>
        <w:rPr>
          <w:rFonts w:ascii="Times New Roman" w:hAnsi="Times New Roman"/>
        </w:rPr>
        <w:t xml:space="preserve">, </w:t>
      </w:r>
      <w:r>
        <w:rPr>
          <w:rFonts w:ascii="Times New Roman" w:hAnsi="Times New Roman"/>
          <w:i/>
          <w:iCs/>
          <w:lang w:val="en-US"/>
        </w:rPr>
        <w:t>Business News Daily</w:t>
      </w:r>
      <w:r>
        <w:rPr>
          <w:rFonts w:ascii="Times New Roman" w:hAnsi="Times New Roman"/>
          <w:lang w:val="en-US"/>
        </w:rPr>
        <w:t xml:space="preserve">. Available at: https://www.businessnewsdaily.com/15960-benchmarking-benefits-small-business.html (Accessed: 06 January 2025). </w:t>
      </w:r>
    </w:p>
    <w:p w14:paraId="26D89C66"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GOV.UK (2024a) </w:t>
      </w:r>
      <w:r>
        <w:rPr>
          <w:rFonts w:ascii="Times New Roman" w:hAnsi="Times New Roman"/>
          <w:i/>
          <w:iCs/>
          <w:lang w:val="en-US"/>
        </w:rPr>
        <w:t>Gender pay gap reporting: Guidance for employers</w:t>
      </w:r>
      <w:r>
        <w:rPr>
          <w:rFonts w:ascii="Times New Roman" w:hAnsi="Times New Roman"/>
        </w:rPr>
        <w:t xml:space="preserve">, </w:t>
      </w:r>
      <w:r>
        <w:rPr>
          <w:rFonts w:ascii="Times New Roman" w:hAnsi="Times New Roman"/>
          <w:i/>
          <w:iCs/>
          <w:lang w:val="nl-NL"/>
        </w:rPr>
        <w:t>GOV.UK</w:t>
      </w:r>
      <w:r>
        <w:rPr>
          <w:rFonts w:ascii="Times New Roman" w:hAnsi="Times New Roman"/>
          <w:lang w:val="en-US"/>
        </w:rPr>
        <w:t xml:space="preserve">. Available at: https://www.gov.uk/government/publications/gender-pay-gap-reporting-guidance-for-employers (Accessed: 06 January 2025). </w:t>
      </w:r>
    </w:p>
    <w:p w14:paraId="5EF4C5AD"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lastRenderedPageBreak/>
        <w:t xml:space="preserve">GOV.UK (2024b) </w:t>
      </w:r>
      <w:r>
        <w:rPr>
          <w:rFonts w:ascii="Times New Roman" w:hAnsi="Times New Roman"/>
          <w:i/>
          <w:iCs/>
          <w:lang w:val="en-US"/>
        </w:rPr>
        <w:t>The National Minimum Wage and Living Wage</w:t>
      </w:r>
      <w:r>
        <w:rPr>
          <w:rFonts w:ascii="Times New Roman" w:hAnsi="Times New Roman"/>
        </w:rPr>
        <w:t xml:space="preserve">, </w:t>
      </w:r>
      <w:r>
        <w:rPr>
          <w:rFonts w:ascii="Times New Roman" w:hAnsi="Times New Roman"/>
          <w:i/>
          <w:iCs/>
          <w:lang w:val="nl-NL"/>
        </w:rPr>
        <w:t>GOV.UK</w:t>
      </w:r>
      <w:r>
        <w:rPr>
          <w:rFonts w:ascii="Times New Roman" w:hAnsi="Times New Roman"/>
          <w:lang w:val="en-US"/>
        </w:rPr>
        <w:t xml:space="preserve">. Available at: https://www.gov.uk/national-minimum-wage/employers-and-the-minimum-wage (Accessed: 06 January 2025). </w:t>
      </w:r>
    </w:p>
    <w:p w14:paraId="1FACA523" w14:textId="6F37644B" w:rsidR="00E46818" w:rsidRPr="00455750" w:rsidRDefault="007B6149" w:rsidP="00455750">
      <w:pPr>
        <w:pStyle w:val="Body"/>
        <w:spacing w:line="240" w:lineRule="auto"/>
      </w:pPr>
      <w:r>
        <w:rPr>
          <w:rFonts w:ascii="Arial Unicode MS" w:eastAsia="Arial Unicode MS" w:hAnsi="Arial Unicode MS" w:cs="Arial Unicode MS"/>
        </w:rPr>
        <w:br w:type="page"/>
      </w:r>
      <w:r>
        <w:rPr>
          <w:rFonts w:ascii="Times New Roman" w:hAnsi="Times New Roman"/>
        </w:rPr>
        <w:lastRenderedPageBreak/>
        <w:t xml:space="preserve">Gonzales, M. (2024) </w:t>
      </w:r>
      <w:r>
        <w:rPr>
          <w:rFonts w:ascii="Times New Roman" w:hAnsi="Times New Roman"/>
          <w:i/>
          <w:iCs/>
          <w:lang w:val="en-US"/>
        </w:rPr>
        <w:t>The generational divide between older and younger employees</w:t>
      </w:r>
      <w:r>
        <w:rPr>
          <w:rFonts w:ascii="Times New Roman" w:hAnsi="Times New Roman"/>
        </w:rPr>
        <w:t xml:space="preserve">, </w:t>
      </w:r>
      <w:r>
        <w:rPr>
          <w:rFonts w:ascii="Times New Roman" w:hAnsi="Times New Roman"/>
          <w:i/>
          <w:iCs/>
          <w:lang w:val="en-US"/>
        </w:rPr>
        <w:t xml:space="preserve">Welcome to </w:t>
      </w:r>
    </w:p>
    <w:p w14:paraId="3D47E058" w14:textId="77777777" w:rsidR="00E46818" w:rsidRDefault="007B6149">
      <w:pPr>
        <w:pStyle w:val="Body"/>
        <w:spacing w:line="240" w:lineRule="auto"/>
        <w:ind w:left="720"/>
        <w:rPr>
          <w:rFonts w:ascii="Times New Roman" w:eastAsia="Times New Roman" w:hAnsi="Times New Roman" w:cs="Times New Roman"/>
        </w:rPr>
      </w:pPr>
      <w:r w:rsidRPr="003D2879">
        <w:rPr>
          <w:rFonts w:ascii="Times New Roman" w:hAnsi="Times New Roman"/>
          <w:i/>
          <w:iCs/>
        </w:rPr>
        <w:t>SHRM</w:t>
      </w:r>
      <w:r>
        <w:rPr>
          <w:rFonts w:ascii="Times New Roman" w:hAnsi="Times New Roman"/>
          <w:lang w:val="en-US"/>
        </w:rPr>
        <w:t xml:space="preserve">. Available at: https://www.shrm.org/mena/topics-tools/news/inclusion-diversity/generational-divide-older-younger-employees (Accessed: 21 December 2024). </w:t>
      </w:r>
    </w:p>
    <w:p w14:paraId="09766564" w14:textId="77777777" w:rsidR="00E46818" w:rsidRDefault="00E46818">
      <w:pPr>
        <w:pStyle w:val="Body"/>
        <w:spacing w:line="240" w:lineRule="auto"/>
        <w:rPr>
          <w:rFonts w:ascii="Times New Roman" w:eastAsia="Times New Roman" w:hAnsi="Times New Roman" w:cs="Times New Roman"/>
        </w:rPr>
      </w:pPr>
    </w:p>
    <w:p w14:paraId="1E1C6381"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Hogarth, A. and McCartney, C. (2024) Resourcing and talent planning report 2024. London: </w:t>
      </w:r>
    </w:p>
    <w:p w14:paraId="42220BDA" w14:textId="77777777" w:rsidR="00E46818" w:rsidRDefault="007B6149">
      <w:pPr>
        <w:pStyle w:val="Body"/>
        <w:spacing w:line="240" w:lineRule="auto"/>
        <w:ind w:left="720"/>
        <w:rPr>
          <w:rFonts w:ascii="Times New Roman" w:hAnsi="Times New Roman"/>
          <w:lang w:val="en-US"/>
        </w:rPr>
      </w:pPr>
      <w:r>
        <w:rPr>
          <w:rFonts w:ascii="Times New Roman" w:hAnsi="Times New Roman"/>
          <w:lang w:val="en-US"/>
        </w:rPr>
        <w:t>Chartered Institute of Personnel and Development.</w:t>
      </w:r>
    </w:p>
    <w:p w14:paraId="2F2D88AE" w14:textId="3B0F7547" w:rsidR="00E46818" w:rsidRPr="00455750" w:rsidRDefault="00FB5C19" w:rsidP="00455750">
      <w:pPr>
        <w:pStyle w:val="NormalWeb"/>
        <w:ind w:left="567" w:hanging="567"/>
        <w:rPr>
          <w:sz w:val="22"/>
          <w:szCs w:val="22"/>
        </w:rPr>
      </w:pPr>
      <w:r w:rsidRPr="00FB5C19">
        <w:rPr>
          <w:sz w:val="22"/>
          <w:szCs w:val="22"/>
        </w:rPr>
        <w:t xml:space="preserve">Hure, D. (2024) </w:t>
      </w:r>
      <w:r w:rsidRPr="00FB5C19">
        <w:rPr>
          <w:i/>
          <w:iCs/>
          <w:sz w:val="22"/>
          <w:szCs w:val="22"/>
        </w:rPr>
        <w:t>Short-term reward strategies to retain top talent</w:t>
      </w:r>
      <w:r w:rsidRPr="00FB5C19">
        <w:rPr>
          <w:sz w:val="22"/>
          <w:szCs w:val="22"/>
        </w:rPr>
        <w:t xml:space="preserve">, </w:t>
      </w:r>
      <w:r w:rsidRPr="00FB5C19">
        <w:rPr>
          <w:i/>
          <w:iCs/>
          <w:sz w:val="22"/>
          <w:szCs w:val="22"/>
        </w:rPr>
        <w:t xml:space="preserve">Reward the </w:t>
      </w:r>
      <w:proofErr w:type="spellStart"/>
      <w:r w:rsidRPr="00FB5C19">
        <w:rPr>
          <w:i/>
          <w:iCs/>
          <w:sz w:val="22"/>
          <w:szCs w:val="22"/>
        </w:rPr>
        <w:t>WorldTM</w:t>
      </w:r>
      <w:proofErr w:type="spellEnd"/>
      <w:r w:rsidRPr="00FB5C19">
        <w:rPr>
          <w:sz w:val="22"/>
          <w:szCs w:val="22"/>
        </w:rPr>
        <w:t xml:space="preserve">. Available at: https://rewardtheworld.net/short-term-reward-strategies-to-retain-top-talent/#:~:text=Performance%2Dbased%20bonuses%20and%20incentives,leading%20to%20improved%20retention%20rates. (Accessed: 23 January 2025). </w:t>
      </w:r>
    </w:p>
    <w:p w14:paraId="00E156ED"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Indeed (2024) </w:t>
      </w:r>
      <w:r>
        <w:rPr>
          <w:rFonts w:ascii="Times New Roman" w:hAnsi="Times New Roman"/>
          <w:i/>
          <w:iCs/>
          <w:lang w:val="en-US"/>
        </w:rPr>
        <w:t>What are intrinsic rewards and how to use them at work? | indeed.com UK</w:t>
      </w:r>
      <w:r>
        <w:rPr>
          <w:rFonts w:ascii="Times New Roman" w:hAnsi="Times New Roman"/>
        </w:rPr>
        <w:t xml:space="preserve">. </w:t>
      </w:r>
    </w:p>
    <w:p w14:paraId="5FD08229"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 xml:space="preserve">Available at: https://uk.indeed.com/career-advice/career-development/intrinsic-rewards (Accessed: 19 December 2024). </w:t>
      </w:r>
    </w:p>
    <w:p w14:paraId="5D1E4459" w14:textId="77777777" w:rsidR="00E46818" w:rsidRDefault="00E46818">
      <w:pPr>
        <w:pStyle w:val="Body"/>
        <w:spacing w:line="240" w:lineRule="auto"/>
        <w:rPr>
          <w:rFonts w:ascii="Times New Roman" w:eastAsia="Times New Roman" w:hAnsi="Times New Roman" w:cs="Times New Roman"/>
        </w:rPr>
      </w:pPr>
    </w:p>
    <w:p w14:paraId="6D30ED63"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lang w:val="en-US"/>
        </w:rPr>
        <w:t xml:space="preserve">Indeed (2024) </w:t>
      </w:r>
      <w:r>
        <w:rPr>
          <w:rFonts w:ascii="Times New Roman" w:hAnsi="Times New Roman"/>
          <w:i/>
          <w:iCs/>
          <w:lang w:val="en-US"/>
        </w:rPr>
        <w:t>What is external competitiveness and how does it affect businesses? | indeed.com</w:t>
      </w:r>
      <w:r>
        <w:rPr>
          <w:rFonts w:ascii="Times New Roman" w:hAnsi="Times New Roman"/>
          <w:lang w:val="en-US"/>
        </w:rPr>
        <w:t xml:space="preserve">. Available at: https://www.indeed.com/career-advice/pay-salary/external-competitiveness (Accessed: 03 January 2025). </w:t>
      </w:r>
    </w:p>
    <w:p w14:paraId="090FCDC1"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lang w:val="en-US"/>
        </w:rPr>
        <w:t xml:space="preserve">Institute of Directors (2017) </w:t>
      </w:r>
      <w:r>
        <w:rPr>
          <w:rFonts w:ascii="Times New Roman" w:hAnsi="Times New Roman"/>
          <w:i/>
          <w:iCs/>
          <w:lang w:val="en-US"/>
        </w:rPr>
        <w:t>Five reasons why you should consider employee share ownership</w:t>
      </w:r>
      <w:r>
        <w:rPr>
          <w:rFonts w:ascii="Times New Roman" w:hAnsi="Times New Roman"/>
        </w:rPr>
        <w:t xml:space="preserve">, </w:t>
      </w:r>
      <w:r>
        <w:rPr>
          <w:rFonts w:ascii="Times New Roman" w:hAnsi="Times New Roman"/>
          <w:i/>
          <w:iCs/>
          <w:lang w:val="en-US"/>
        </w:rPr>
        <w:t>Institute of Directors</w:t>
      </w:r>
      <w:r>
        <w:rPr>
          <w:rFonts w:ascii="Times New Roman" w:hAnsi="Times New Roman"/>
          <w:lang w:val="en-US"/>
        </w:rPr>
        <w:t xml:space="preserve">. Available at: https://www.iod.com/resources/business-advice/five-reasons-why-you-should-consider-employee-share-ownership/ (Accessed: 29 December 2024). </w:t>
      </w:r>
    </w:p>
    <w:p w14:paraId="3E55100C" w14:textId="77777777" w:rsidR="00E46818" w:rsidRDefault="007B6149">
      <w:pPr>
        <w:pStyle w:val="Body"/>
        <w:spacing w:before="100" w:after="100" w:line="240" w:lineRule="auto"/>
        <w:ind w:left="567" w:hanging="567"/>
        <w:rPr>
          <w:rFonts w:ascii="Times New Roman" w:hAnsi="Times New Roman"/>
          <w:lang w:val="en-US"/>
        </w:rPr>
      </w:pPr>
      <w:r>
        <w:rPr>
          <w:rFonts w:ascii="Times New Roman" w:hAnsi="Times New Roman"/>
          <w:lang w:val="en-US"/>
        </w:rPr>
        <w:t xml:space="preserve">Institute of Directors (2023) </w:t>
      </w:r>
      <w:r>
        <w:rPr>
          <w:rFonts w:ascii="Times New Roman" w:hAnsi="Times New Roman"/>
          <w:i/>
          <w:iCs/>
          <w:lang w:val="en-US"/>
        </w:rPr>
        <w:t xml:space="preserve">Reward and recognition </w:t>
      </w:r>
      <w:proofErr w:type="spellStart"/>
      <w:r>
        <w:rPr>
          <w:rFonts w:ascii="Times New Roman" w:hAnsi="Times New Roman"/>
          <w:i/>
          <w:iCs/>
          <w:lang w:val="en-US"/>
        </w:rPr>
        <w:t>programme</w:t>
      </w:r>
      <w:proofErr w:type="spellEnd"/>
      <w:r>
        <w:rPr>
          <w:rFonts w:ascii="Times New Roman" w:hAnsi="Times New Roman"/>
        </w:rPr>
        <w:t xml:space="preserve">, </w:t>
      </w:r>
      <w:r>
        <w:rPr>
          <w:rFonts w:ascii="Times New Roman" w:hAnsi="Times New Roman"/>
          <w:i/>
          <w:iCs/>
          <w:lang w:val="en-US"/>
        </w:rPr>
        <w:t>Institute of Directors</w:t>
      </w:r>
      <w:r>
        <w:rPr>
          <w:rFonts w:ascii="Times New Roman" w:hAnsi="Times New Roman"/>
          <w:lang w:val="en-US"/>
        </w:rPr>
        <w:t>. Available at: https://www.iod.com/resources/business-advice/reward-and-recognition-programme/ (Accessed: 30 December 2024).</w:t>
      </w:r>
    </w:p>
    <w:p w14:paraId="4EE44B94" w14:textId="1762B29E" w:rsidR="00FB5C19" w:rsidRDefault="00FB5C19" w:rsidP="00FB5C19">
      <w:pPr>
        <w:pStyle w:val="NormalWeb"/>
        <w:ind w:left="567" w:hanging="567"/>
      </w:pPr>
      <w:r>
        <w:t xml:space="preserve">Institute of Directors (2024) </w:t>
      </w:r>
      <w:r>
        <w:rPr>
          <w:i/>
          <w:iCs/>
        </w:rPr>
        <w:t>Recruitment and retention strategies for high-performance</w:t>
      </w:r>
      <w:r>
        <w:t xml:space="preserve">, </w:t>
      </w:r>
      <w:r>
        <w:rPr>
          <w:i/>
          <w:iCs/>
        </w:rPr>
        <w:t>Institute of Directors</w:t>
      </w:r>
      <w:r>
        <w:t xml:space="preserve">. Available at: https://www.iod.com/resources/employment-and-skills/recruitment-and-retention-strategies-for-high-performance/ (Accessed: 23 January 2025). </w:t>
      </w:r>
    </w:p>
    <w:p w14:paraId="60557945"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lang w:val="en-US"/>
        </w:rPr>
        <w:t xml:space="preserve">Kelly, J. (2024) </w:t>
      </w:r>
      <w:r>
        <w:rPr>
          <w:rFonts w:ascii="Times New Roman" w:hAnsi="Times New Roman"/>
          <w:i/>
          <w:iCs/>
          <w:lang w:val="en-US"/>
        </w:rPr>
        <w:t>If you thought the job search was rigged against you, here’s why you’re not wrong</w:t>
      </w:r>
      <w:r>
        <w:rPr>
          <w:rFonts w:ascii="Times New Roman" w:hAnsi="Times New Roman"/>
        </w:rPr>
        <w:t xml:space="preserve">, </w:t>
      </w:r>
      <w:r w:rsidRPr="003D2879">
        <w:rPr>
          <w:rFonts w:ascii="Times New Roman" w:hAnsi="Times New Roman"/>
          <w:i/>
          <w:iCs/>
        </w:rPr>
        <w:t>Forbes</w:t>
      </w:r>
      <w:r>
        <w:rPr>
          <w:rFonts w:ascii="Times New Roman" w:hAnsi="Times New Roman"/>
          <w:lang w:val="en-US"/>
        </w:rPr>
        <w:t xml:space="preserve">. Available at: https://www.forbes.com/sites/jackkelly/2024/02/13/if-you-thought-the-job-search-was-rigged-against-you-heres-why-youre-not-wrong/ (Accessed: 06 January 2025). </w:t>
      </w:r>
    </w:p>
    <w:p w14:paraId="4A1A2EE6" w14:textId="77777777" w:rsidR="00E46818" w:rsidRDefault="00E46818">
      <w:pPr>
        <w:pStyle w:val="Body"/>
        <w:spacing w:line="240" w:lineRule="auto"/>
        <w:rPr>
          <w:rFonts w:ascii="Times New Roman" w:eastAsia="Times New Roman" w:hAnsi="Times New Roman" w:cs="Times New Roman"/>
        </w:rPr>
      </w:pPr>
    </w:p>
    <w:p w14:paraId="6985F76F"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Lucky, </w:t>
      </w:r>
      <w:proofErr w:type="spellStart"/>
      <w:r>
        <w:rPr>
          <w:rFonts w:ascii="Times New Roman" w:hAnsi="Times New Roman"/>
          <w:lang w:val="en-US"/>
        </w:rPr>
        <w:t>Esuh</w:t>
      </w:r>
      <w:proofErr w:type="spellEnd"/>
      <w:r>
        <w:rPr>
          <w:rFonts w:ascii="Times New Roman" w:hAnsi="Times New Roman"/>
          <w:lang w:val="en-US"/>
        </w:rPr>
        <w:t xml:space="preserve"> &amp; Minai, Mohd </w:t>
      </w:r>
      <w:proofErr w:type="spellStart"/>
      <w:r>
        <w:rPr>
          <w:rFonts w:ascii="Times New Roman" w:hAnsi="Times New Roman"/>
          <w:lang w:val="en-US"/>
        </w:rPr>
        <w:t>Sobri</w:t>
      </w:r>
      <w:proofErr w:type="spellEnd"/>
      <w:r>
        <w:rPr>
          <w:rFonts w:ascii="Times New Roman" w:hAnsi="Times New Roman"/>
          <w:lang w:val="en-US"/>
        </w:rPr>
        <w:t xml:space="preserve"> &amp; Rahman, Hamzah. (2013). Impact of Job Security on the </w:t>
      </w:r>
    </w:p>
    <w:p w14:paraId="53723AE9" w14:textId="77777777" w:rsidR="00E46818" w:rsidRDefault="007B6149">
      <w:pPr>
        <w:pStyle w:val="Body"/>
        <w:spacing w:line="240" w:lineRule="auto"/>
        <w:ind w:left="720"/>
        <w:rPr>
          <w:rFonts w:ascii="Times New Roman" w:eastAsia="Times New Roman" w:hAnsi="Times New Roman" w:cs="Times New Roman"/>
        </w:rPr>
      </w:pPr>
      <w:r>
        <w:rPr>
          <w:rFonts w:ascii="Times New Roman" w:hAnsi="Times New Roman"/>
          <w:lang w:val="en-US"/>
        </w:rPr>
        <w:t>Organizational Performance in a Multiethnic Environment. Research Journal of Business Management. 7. 64-70. 10.3923/rjbm.2013.64.70.</w:t>
      </w:r>
    </w:p>
    <w:p w14:paraId="604AD176" w14:textId="77777777" w:rsidR="00E46818" w:rsidRDefault="00E46818">
      <w:pPr>
        <w:pStyle w:val="Body"/>
        <w:spacing w:line="240" w:lineRule="auto"/>
        <w:rPr>
          <w:rFonts w:ascii="Times New Roman" w:eastAsia="Times New Roman" w:hAnsi="Times New Roman" w:cs="Times New Roman"/>
        </w:rPr>
      </w:pPr>
    </w:p>
    <w:p w14:paraId="31528D63"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Mohammed, S. (2024) </w:t>
      </w:r>
      <w:r>
        <w:rPr>
          <w:rFonts w:ascii="Times New Roman" w:hAnsi="Times New Roman"/>
          <w:i/>
          <w:iCs/>
          <w:lang w:val="en-US"/>
        </w:rPr>
        <w:t xml:space="preserve">The Dark Side of </w:t>
      </w:r>
      <w:proofErr w:type="spellStart"/>
      <w:r>
        <w:rPr>
          <w:rFonts w:ascii="Times New Roman" w:hAnsi="Times New Roman"/>
          <w:i/>
          <w:iCs/>
          <w:lang w:val="en-US"/>
        </w:rPr>
        <w:t>Kpis</w:t>
      </w:r>
      <w:proofErr w:type="spellEnd"/>
      <w:r>
        <w:rPr>
          <w:rFonts w:ascii="Times New Roman" w:hAnsi="Times New Roman"/>
          <w:i/>
          <w:iCs/>
          <w:lang w:val="en-US"/>
        </w:rPr>
        <w:t>: Uncovering the limitations and Pitfalls</w:t>
      </w:r>
      <w:r>
        <w:rPr>
          <w:rFonts w:ascii="Times New Roman" w:hAnsi="Times New Roman"/>
        </w:rPr>
        <w:t xml:space="preserve">, </w:t>
      </w:r>
      <w:r>
        <w:rPr>
          <w:rFonts w:ascii="Times New Roman" w:hAnsi="Times New Roman"/>
          <w:i/>
          <w:iCs/>
        </w:rPr>
        <w:t>Medium</w:t>
      </w:r>
      <w:r>
        <w:rPr>
          <w:rFonts w:ascii="Times New Roman" w:hAnsi="Times New Roman"/>
        </w:rPr>
        <w:t xml:space="preserve">. </w:t>
      </w:r>
    </w:p>
    <w:p w14:paraId="4706C98F"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 xml:space="preserve">Available at: https://shahmm.medium.com/the-dark-side-of-kpis-uncovering-the-limitations-and-pitfalls-4139950e70ef (Accessed: 21 December 2024). </w:t>
      </w:r>
    </w:p>
    <w:p w14:paraId="6A6F4E6F" w14:textId="77777777" w:rsidR="00E46818" w:rsidRDefault="00E46818">
      <w:pPr>
        <w:pStyle w:val="Body"/>
        <w:spacing w:line="240" w:lineRule="auto"/>
        <w:rPr>
          <w:rFonts w:ascii="Times New Roman" w:eastAsia="Times New Roman" w:hAnsi="Times New Roman" w:cs="Times New Roman"/>
        </w:rPr>
      </w:pPr>
    </w:p>
    <w:p w14:paraId="4B20F036" w14:textId="77777777" w:rsidR="00E46818" w:rsidRDefault="007B6149">
      <w:pPr>
        <w:pStyle w:val="Body"/>
        <w:spacing w:before="100" w:after="100" w:line="240" w:lineRule="auto"/>
        <w:ind w:left="567" w:hanging="567"/>
        <w:rPr>
          <w:rFonts w:ascii="Times New Roman" w:eastAsia="Times New Roman" w:hAnsi="Times New Roman" w:cs="Times New Roman"/>
        </w:rPr>
      </w:pPr>
      <w:r w:rsidRPr="003D2879">
        <w:rPr>
          <w:rFonts w:ascii="Times New Roman" w:hAnsi="Times New Roman"/>
        </w:rPr>
        <w:t xml:space="preserve">Nadin, G. </w:t>
      </w:r>
      <w:r>
        <w:rPr>
          <w:rFonts w:ascii="Times New Roman" w:hAnsi="Times New Roman"/>
          <w:i/>
          <w:iCs/>
        </w:rPr>
        <w:t>et al.</w:t>
      </w:r>
      <w:r>
        <w:rPr>
          <w:rFonts w:ascii="Times New Roman" w:hAnsi="Times New Roman"/>
        </w:rPr>
        <w:t xml:space="preserve"> (2024) </w:t>
      </w:r>
      <w:r>
        <w:rPr>
          <w:rFonts w:ascii="Times New Roman" w:hAnsi="Times New Roman"/>
          <w:i/>
          <w:iCs/>
          <w:lang w:val="en-US"/>
        </w:rPr>
        <w:t xml:space="preserve">Why are we still talking about sick </w:t>
      </w:r>
      <w:proofErr w:type="gramStart"/>
      <w:r>
        <w:rPr>
          <w:rFonts w:ascii="Times New Roman" w:hAnsi="Times New Roman"/>
          <w:i/>
          <w:iCs/>
          <w:lang w:val="en-US"/>
        </w:rPr>
        <w:t>pay?</w:t>
      </w:r>
      <w:r>
        <w:rPr>
          <w:rFonts w:ascii="Times New Roman" w:hAnsi="Times New Roman"/>
        </w:rPr>
        <w:t>,</w:t>
      </w:r>
      <w:proofErr w:type="gramEnd"/>
      <w:r>
        <w:rPr>
          <w:rFonts w:ascii="Times New Roman" w:hAnsi="Times New Roman"/>
        </w:rPr>
        <w:t xml:space="preserve"> </w:t>
      </w:r>
      <w:proofErr w:type="spellStart"/>
      <w:r>
        <w:rPr>
          <w:rFonts w:ascii="Times New Roman" w:hAnsi="Times New Roman"/>
          <w:i/>
          <w:iCs/>
        </w:rPr>
        <w:t>HRZone</w:t>
      </w:r>
      <w:proofErr w:type="spellEnd"/>
      <w:r>
        <w:rPr>
          <w:rFonts w:ascii="Times New Roman" w:hAnsi="Times New Roman"/>
          <w:lang w:val="en-US"/>
        </w:rPr>
        <w:t xml:space="preserve">. Available at: https://hrzone.com/why-are-we-still-talking-about-sick-pay/ (Accessed: 29 December 2024). </w:t>
      </w:r>
    </w:p>
    <w:p w14:paraId="49AC1312" w14:textId="77777777" w:rsidR="00E46818" w:rsidRDefault="00E46818">
      <w:pPr>
        <w:pStyle w:val="Body"/>
        <w:spacing w:line="240" w:lineRule="auto"/>
        <w:rPr>
          <w:rFonts w:ascii="Times New Roman" w:eastAsia="Times New Roman" w:hAnsi="Times New Roman" w:cs="Times New Roman"/>
        </w:rPr>
      </w:pPr>
    </w:p>
    <w:p w14:paraId="69647001"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Nickerson, C. (2023) </w:t>
      </w:r>
      <w:r w:rsidRPr="003D2879">
        <w:rPr>
          <w:rFonts w:ascii="Times New Roman" w:hAnsi="Times New Roman"/>
          <w:i/>
          <w:iCs/>
        </w:rPr>
        <w:t>Herzberg</w:t>
      </w:r>
      <w:r>
        <w:rPr>
          <w:rFonts w:ascii="Times New Roman" w:hAnsi="Times New Roman"/>
          <w:i/>
          <w:iCs/>
          <w:lang w:val="en-US"/>
        </w:rPr>
        <w:t>’s two-factor theory of motivation-hygiene</w:t>
      </w:r>
      <w:r>
        <w:rPr>
          <w:rFonts w:ascii="Times New Roman" w:hAnsi="Times New Roman"/>
        </w:rPr>
        <w:t xml:space="preserve">, </w:t>
      </w:r>
      <w:r>
        <w:rPr>
          <w:rFonts w:ascii="Times New Roman" w:hAnsi="Times New Roman"/>
          <w:i/>
          <w:iCs/>
          <w:lang w:val="en-US"/>
        </w:rPr>
        <w:t>Simply Psychology</w:t>
      </w:r>
      <w:r>
        <w:rPr>
          <w:rFonts w:ascii="Times New Roman" w:hAnsi="Times New Roman"/>
        </w:rPr>
        <w:t xml:space="preserve">. </w:t>
      </w:r>
    </w:p>
    <w:p w14:paraId="4D29C7BB" w14:textId="77777777" w:rsidR="00E46818" w:rsidRDefault="007B6149">
      <w:pPr>
        <w:pStyle w:val="Body"/>
        <w:spacing w:line="240" w:lineRule="auto"/>
        <w:ind w:left="720"/>
        <w:rPr>
          <w:rFonts w:ascii="Times New Roman" w:eastAsia="Times New Roman" w:hAnsi="Times New Roman" w:cs="Times New Roman"/>
        </w:rPr>
      </w:pPr>
      <w:r>
        <w:rPr>
          <w:rFonts w:ascii="Times New Roman" w:hAnsi="Times New Roman"/>
          <w:lang w:val="en-US"/>
        </w:rPr>
        <w:t xml:space="preserve">Available at: https://www.simplypsychology.org/herzbergs-two-factor-theory.html#:~:text=These%20include%20intrinsic%20aspects%20such,personal%20growth%20and%20self%2Dfulfillment. (Accessed: 19 December 2024). </w:t>
      </w:r>
    </w:p>
    <w:p w14:paraId="56E023F4" w14:textId="77777777" w:rsidR="00E46818" w:rsidRDefault="00E46818">
      <w:pPr>
        <w:pStyle w:val="Body"/>
        <w:spacing w:line="240" w:lineRule="auto"/>
        <w:rPr>
          <w:rFonts w:ascii="Times New Roman" w:eastAsia="Times New Roman" w:hAnsi="Times New Roman" w:cs="Times New Roman"/>
        </w:rPr>
      </w:pPr>
    </w:p>
    <w:p w14:paraId="6FD02B5E" w14:textId="77777777" w:rsidR="00E46818" w:rsidRDefault="007B6149">
      <w:pPr>
        <w:pStyle w:val="Body"/>
        <w:spacing w:line="240" w:lineRule="auto"/>
        <w:rPr>
          <w:rFonts w:ascii="Times New Roman" w:eastAsia="Times New Roman" w:hAnsi="Times New Roman" w:cs="Times New Roman"/>
          <w:i/>
          <w:iCs/>
        </w:rPr>
      </w:pPr>
      <w:proofErr w:type="spellStart"/>
      <w:r>
        <w:rPr>
          <w:rFonts w:ascii="Times New Roman" w:hAnsi="Times New Roman"/>
          <w:lang w:val="en-US"/>
        </w:rPr>
        <w:t>ObservationSpider</w:t>
      </w:r>
      <w:proofErr w:type="spellEnd"/>
      <w:r>
        <w:rPr>
          <w:rFonts w:ascii="Times New Roman" w:hAnsi="Times New Roman"/>
          <w:lang w:val="en-US"/>
        </w:rPr>
        <w:t xml:space="preserve"> (2024) </w:t>
      </w:r>
      <w:r>
        <w:rPr>
          <w:rFonts w:ascii="Times New Roman" w:hAnsi="Times New Roman"/>
          <w:i/>
          <w:iCs/>
          <w:lang w:val="en-US"/>
        </w:rPr>
        <w:t xml:space="preserve">Tenure trap: Why long-term employees don’t always signify a thriving </w:t>
      </w:r>
    </w:p>
    <w:p w14:paraId="201CAC49" w14:textId="77777777" w:rsidR="00E46818" w:rsidRDefault="007B6149">
      <w:pPr>
        <w:pStyle w:val="Body"/>
        <w:spacing w:line="240" w:lineRule="auto"/>
        <w:ind w:left="720"/>
        <w:rPr>
          <w:rFonts w:ascii="Times New Roman" w:eastAsia="Times New Roman" w:hAnsi="Times New Roman" w:cs="Times New Roman"/>
        </w:rPr>
      </w:pPr>
      <w:r>
        <w:rPr>
          <w:rFonts w:ascii="Times New Roman" w:hAnsi="Times New Roman"/>
          <w:i/>
          <w:iCs/>
          <w:lang w:val="en-US"/>
        </w:rPr>
        <w:lastRenderedPageBreak/>
        <w:t>workplace</w:t>
      </w:r>
      <w:r>
        <w:rPr>
          <w:rFonts w:ascii="Times New Roman" w:hAnsi="Times New Roman"/>
        </w:rPr>
        <w:t xml:space="preserve">, </w:t>
      </w:r>
      <w:r>
        <w:rPr>
          <w:rFonts w:ascii="Times New Roman" w:hAnsi="Times New Roman"/>
          <w:i/>
          <w:iCs/>
        </w:rPr>
        <w:t>Medium</w:t>
      </w:r>
      <w:r>
        <w:rPr>
          <w:rFonts w:ascii="Times New Roman" w:hAnsi="Times New Roman"/>
          <w:lang w:val="en-US"/>
        </w:rPr>
        <w:t xml:space="preserve">. Available at: https://medium.com/@obspider/tenure-trap-why-long-term-employees-dont-always-signify-a-thriving-workplace-236bf382c086#:~:text=Employees%20who%20have%20worked%20for,technologies%2C%20harming%20the%20organization’s%20growth. (Accessed: 21 December 2024). </w:t>
      </w:r>
    </w:p>
    <w:p w14:paraId="070A3F05" w14:textId="77777777" w:rsidR="00E46818" w:rsidRDefault="00E46818">
      <w:pPr>
        <w:pStyle w:val="Body"/>
        <w:spacing w:line="240" w:lineRule="auto"/>
        <w:rPr>
          <w:rFonts w:ascii="Times New Roman" w:eastAsia="Times New Roman" w:hAnsi="Times New Roman" w:cs="Times New Roman"/>
        </w:rPr>
      </w:pPr>
    </w:p>
    <w:p w14:paraId="2F2055C5"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it-IT"/>
        </w:rPr>
        <w:t xml:space="preserve">Purcell, J. (2019). </w:t>
      </w:r>
      <w:r>
        <w:rPr>
          <w:rFonts w:ascii="Times New Roman" w:hAnsi="Times New Roman"/>
          <w:i/>
          <w:iCs/>
          <w:lang w:val="en-US"/>
        </w:rPr>
        <w:t>Reward Management: Evidence-Based Approaches to Employee Engagement</w:t>
      </w:r>
      <w:r>
        <w:rPr>
          <w:rFonts w:ascii="Times New Roman" w:hAnsi="Times New Roman"/>
        </w:rPr>
        <w:t xml:space="preserve">. </w:t>
      </w:r>
    </w:p>
    <w:p w14:paraId="06872DD4"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Oxford: Oxford University Press.</w:t>
      </w:r>
    </w:p>
    <w:p w14:paraId="0AF5C788" w14:textId="77777777" w:rsidR="00E46818" w:rsidRDefault="00E46818">
      <w:pPr>
        <w:pStyle w:val="Body"/>
        <w:spacing w:line="240" w:lineRule="auto"/>
        <w:rPr>
          <w:rFonts w:ascii="Times New Roman" w:eastAsia="Times New Roman" w:hAnsi="Times New Roman" w:cs="Times New Roman"/>
        </w:rPr>
      </w:pPr>
    </w:p>
    <w:p w14:paraId="11F451A6"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Peters, R. (2024) </w:t>
      </w:r>
      <w:r>
        <w:rPr>
          <w:rFonts w:ascii="Times New Roman" w:hAnsi="Times New Roman"/>
          <w:i/>
          <w:iCs/>
          <w:lang w:val="en-US"/>
        </w:rPr>
        <w:t>Psychological contract</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https://www.cipd.org/uk/knowledge/factsheets/psychological-factsheet/ (Accessed: 03 January 2025). </w:t>
      </w:r>
    </w:p>
    <w:p w14:paraId="64ED0B58"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lang w:val="en-US"/>
        </w:rPr>
        <w:t xml:space="preserve">Schooley, S. (2024) </w:t>
      </w:r>
      <w:r>
        <w:rPr>
          <w:rFonts w:ascii="Times New Roman" w:hAnsi="Times New Roman"/>
          <w:i/>
          <w:iCs/>
          <w:lang w:val="en-US"/>
        </w:rPr>
        <w:t>The benefits of an employee assistance program (EAP)</w:t>
      </w:r>
      <w:r>
        <w:rPr>
          <w:rFonts w:ascii="Times New Roman" w:hAnsi="Times New Roman"/>
        </w:rPr>
        <w:t xml:space="preserve">, </w:t>
      </w:r>
      <w:r>
        <w:rPr>
          <w:rFonts w:ascii="Times New Roman" w:hAnsi="Times New Roman"/>
          <w:i/>
          <w:iCs/>
          <w:lang w:val="it-IT"/>
        </w:rPr>
        <w:t>business.com</w:t>
      </w:r>
      <w:r>
        <w:rPr>
          <w:rFonts w:ascii="Times New Roman" w:hAnsi="Times New Roman"/>
          <w:lang w:val="en-US"/>
        </w:rPr>
        <w:t xml:space="preserve">. Available at: https://www.business.com/hr-software/eap-benefits/ (Accessed: 29 December 2024). </w:t>
      </w:r>
    </w:p>
    <w:p w14:paraId="74D91817"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rPr>
        <w:t xml:space="preserve">Silverman, M. (2004) </w:t>
      </w:r>
      <w:r>
        <w:rPr>
          <w:rFonts w:ascii="Times New Roman" w:hAnsi="Times New Roman"/>
          <w:i/>
          <w:iCs/>
          <w:lang w:val="en-US"/>
        </w:rPr>
        <w:t>Non-Financial Recognition. The Most Effective of Rewards?</w:t>
      </w:r>
      <w:r>
        <w:rPr>
          <w:rFonts w:ascii="Times New Roman" w:hAnsi="Times New Roman"/>
          <w:lang w:val="en-US"/>
        </w:rPr>
        <w:t xml:space="preserve"> Available at: https://www.employment-studies.co.uk/system/files/resources/files/mp4.pdf (Accessed: 30 December 2024). </w:t>
      </w:r>
    </w:p>
    <w:p w14:paraId="477E247D" w14:textId="77777777" w:rsidR="00E46818" w:rsidRDefault="00E46818">
      <w:pPr>
        <w:pStyle w:val="Body"/>
        <w:spacing w:line="240" w:lineRule="auto"/>
        <w:rPr>
          <w:rFonts w:ascii="Times New Roman" w:eastAsia="Times New Roman" w:hAnsi="Times New Roman" w:cs="Times New Roman"/>
        </w:rPr>
      </w:pPr>
    </w:p>
    <w:p w14:paraId="4D4AAC19"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Smith, C. (2017) </w:t>
      </w:r>
      <w:r>
        <w:rPr>
          <w:rFonts w:ascii="Times New Roman" w:hAnsi="Times New Roman"/>
          <w:i/>
          <w:iCs/>
          <w:lang w:val="en-US"/>
        </w:rPr>
        <w:t>The use of contingent rewards</w:t>
      </w:r>
      <w:r>
        <w:rPr>
          <w:rFonts w:ascii="Times New Roman" w:hAnsi="Times New Roman"/>
        </w:rPr>
        <w:t xml:space="preserve">, </w:t>
      </w:r>
      <w:r>
        <w:rPr>
          <w:rFonts w:ascii="Times New Roman" w:hAnsi="Times New Roman"/>
          <w:i/>
          <w:iCs/>
          <w:lang w:val="en-US"/>
        </w:rPr>
        <w:t>Small Business - Chron.com</w:t>
      </w:r>
      <w:r>
        <w:rPr>
          <w:rFonts w:ascii="Times New Roman" w:hAnsi="Times New Roman"/>
          <w:lang w:val="en-US"/>
        </w:rPr>
        <w:t xml:space="preserve">. Available at: </w:t>
      </w:r>
    </w:p>
    <w:p w14:paraId="44B90902" w14:textId="77777777" w:rsidR="00E46818" w:rsidRDefault="007B6149">
      <w:pPr>
        <w:pStyle w:val="Body"/>
        <w:spacing w:line="240" w:lineRule="auto"/>
        <w:ind w:left="567"/>
        <w:rPr>
          <w:rFonts w:ascii="Times New Roman" w:eastAsia="Times New Roman" w:hAnsi="Times New Roman" w:cs="Times New Roman"/>
        </w:rPr>
      </w:pPr>
      <w:r>
        <w:rPr>
          <w:rFonts w:ascii="Times New Roman" w:hAnsi="Times New Roman"/>
          <w:lang w:val="en-US"/>
        </w:rPr>
        <w:t xml:space="preserve">https://smallbusiness.chron.com/use-contingent-rewards-35216.html (Accessed: 21 December 2024). </w:t>
      </w:r>
    </w:p>
    <w:p w14:paraId="099B67F9" w14:textId="77777777" w:rsidR="00E46818" w:rsidRDefault="00E46818">
      <w:pPr>
        <w:pStyle w:val="Body"/>
        <w:spacing w:line="240" w:lineRule="auto"/>
        <w:rPr>
          <w:rFonts w:ascii="Times New Roman" w:eastAsia="Times New Roman" w:hAnsi="Times New Roman" w:cs="Times New Roman"/>
        </w:rPr>
      </w:pPr>
    </w:p>
    <w:p w14:paraId="29F0718F" w14:textId="77777777" w:rsidR="00E46818" w:rsidRDefault="007B6149">
      <w:pPr>
        <w:pStyle w:val="Body"/>
        <w:spacing w:before="100" w:after="100" w:line="240" w:lineRule="auto"/>
        <w:ind w:left="567" w:hanging="567"/>
        <w:rPr>
          <w:rFonts w:ascii="Times New Roman" w:eastAsia="Times New Roman" w:hAnsi="Times New Roman" w:cs="Times New Roman"/>
        </w:rPr>
      </w:pPr>
      <w:r>
        <w:rPr>
          <w:rFonts w:ascii="Times New Roman" w:hAnsi="Times New Roman"/>
          <w:lang w:val="en-US"/>
        </w:rPr>
        <w:t xml:space="preserve">Stolk, C.V. and Whitmore, M. (2020) </w:t>
      </w:r>
      <w:r>
        <w:rPr>
          <w:rFonts w:ascii="Times New Roman" w:hAnsi="Times New Roman"/>
          <w:i/>
          <w:iCs/>
          <w:lang w:val="en-US"/>
        </w:rPr>
        <w:t>Managing the challenge of workforce presenteeism in the COVID-19 crisis</w:t>
      </w:r>
      <w:r>
        <w:rPr>
          <w:rFonts w:ascii="Times New Roman" w:hAnsi="Times New Roman"/>
        </w:rPr>
        <w:t xml:space="preserve">, </w:t>
      </w:r>
      <w:r w:rsidRPr="003D2879">
        <w:rPr>
          <w:rFonts w:ascii="Times New Roman" w:hAnsi="Times New Roman"/>
          <w:i/>
          <w:iCs/>
        </w:rPr>
        <w:t>CIPD</w:t>
      </w:r>
      <w:r>
        <w:rPr>
          <w:rFonts w:ascii="Times New Roman" w:hAnsi="Times New Roman"/>
          <w:lang w:val="en-US"/>
        </w:rPr>
        <w:t xml:space="preserve">. Available at: https://www.cipd.org/uk/views-and-insights/thought-leadership/cipd-voice/managing-challenge-workforce-presenteeism-covid-19-crisis/ (Accessed: 29 December 2024). </w:t>
      </w:r>
    </w:p>
    <w:p w14:paraId="084133F9" w14:textId="77777777" w:rsidR="00E46818" w:rsidRDefault="00E46818">
      <w:pPr>
        <w:pStyle w:val="Body"/>
        <w:spacing w:line="240" w:lineRule="auto"/>
        <w:rPr>
          <w:rFonts w:ascii="Times New Roman" w:eastAsia="Times New Roman" w:hAnsi="Times New Roman" w:cs="Times New Roman"/>
        </w:rPr>
      </w:pPr>
    </w:p>
    <w:p w14:paraId="487393B3"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rPr>
        <w:t xml:space="preserve">Sutton, J. (2024) </w:t>
      </w:r>
      <w:r>
        <w:rPr>
          <w:rFonts w:ascii="Times New Roman" w:hAnsi="Times New Roman"/>
          <w:i/>
          <w:iCs/>
          <w:lang w:val="nl-NL"/>
        </w:rPr>
        <w:t>Victor Vroom</w:t>
      </w:r>
      <w:r>
        <w:rPr>
          <w:rFonts w:ascii="Times New Roman" w:hAnsi="Times New Roman"/>
          <w:i/>
          <w:iCs/>
          <w:lang w:val="en-US"/>
        </w:rPr>
        <w:t>’s expectancy theory of motivation</w:t>
      </w:r>
      <w:r>
        <w:rPr>
          <w:rFonts w:ascii="Times New Roman" w:hAnsi="Times New Roman"/>
        </w:rPr>
        <w:t xml:space="preserve">, </w:t>
      </w:r>
      <w:r>
        <w:rPr>
          <w:rFonts w:ascii="Times New Roman" w:hAnsi="Times New Roman"/>
          <w:i/>
          <w:iCs/>
          <w:lang w:val="en-US"/>
        </w:rPr>
        <w:t>PositivePsychology.com</w:t>
      </w:r>
      <w:r>
        <w:rPr>
          <w:rFonts w:ascii="Times New Roman" w:hAnsi="Times New Roman"/>
        </w:rPr>
        <w:t xml:space="preserve">. </w:t>
      </w:r>
    </w:p>
    <w:p w14:paraId="14F6155E" w14:textId="77777777" w:rsidR="00E46818" w:rsidRDefault="007B6149">
      <w:pPr>
        <w:pStyle w:val="Body"/>
        <w:spacing w:line="240" w:lineRule="auto"/>
        <w:ind w:left="720"/>
        <w:rPr>
          <w:rFonts w:ascii="Times New Roman" w:eastAsia="Times New Roman" w:hAnsi="Times New Roman" w:cs="Times New Roman"/>
        </w:rPr>
      </w:pPr>
      <w:r>
        <w:rPr>
          <w:rFonts w:ascii="Times New Roman" w:hAnsi="Times New Roman"/>
          <w:lang w:val="en-US"/>
        </w:rPr>
        <w:t xml:space="preserve">Available at: https://positivepsychology.com/expectancy-theory/#what-is-vrooms-expectancy-theory-of-motivation (Accessed: 19 December 2024). </w:t>
      </w:r>
    </w:p>
    <w:p w14:paraId="3F9E7ABC" w14:textId="77777777" w:rsidR="00E46818" w:rsidRDefault="00E46818">
      <w:pPr>
        <w:pStyle w:val="Body"/>
        <w:spacing w:line="240" w:lineRule="auto"/>
        <w:rPr>
          <w:rFonts w:ascii="Times New Roman" w:eastAsia="Times New Roman" w:hAnsi="Times New Roman" w:cs="Times New Roman"/>
        </w:rPr>
      </w:pPr>
    </w:p>
    <w:p w14:paraId="3DD751FE" w14:textId="77777777" w:rsidR="00E46818" w:rsidRDefault="007B6149">
      <w:pPr>
        <w:pStyle w:val="Body"/>
        <w:spacing w:line="240" w:lineRule="auto"/>
        <w:rPr>
          <w:rFonts w:ascii="Times New Roman" w:eastAsia="Times New Roman" w:hAnsi="Times New Roman" w:cs="Times New Roman"/>
        </w:rPr>
      </w:pPr>
      <w:r>
        <w:rPr>
          <w:rFonts w:ascii="Times New Roman" w:hAnsi="Times New Roman"/>
          <w:lang w:val="en-US"/>
        </w:rPr>
        <w:t xml:space="preserve">Torrington, D., Hall, L., Taylor, S., &amp; Atkinson, C. (2020). </w:t>
      </w:r>
      <w:r>
        <w:rPr>
          <w:rFonts w:ascii="Times New Roman" w:hAnsi="Times New Roman"/>
          <w:i/>
          <w:iCs/>
          <w:lang w:val="en-US"/>
        </w:rPr>
        <w:t>Human Resource Management</w:t>
      </w:r>
      <w:r>
        <w:rPr>
          <w:rFonts w:ascii="Times New Roman" w:hAnsi="Times New Roman"/>
          <w:lang w:val="en-US"/>
        </w:rPr>
        <w:t xml:space="preserve">. 11th ed. </w:t>
      </w:r>
    </w:p>
    <w:p w14:paraId="087152FF" w14:textId="77777777" w:rsidR="00E46818" w:rsidRDefault="007B6149">
      <w:pPr>
        <w:pStyle w:val="Body"/>
        <w:spacing w:line="240" w:lineRule="auto"/>
        <w:ind w:left="720"/>
      </w:pPr>
      <w:r>
        <w:rPr>
          <w:rFonts w:ascii="Times New Roman" w:hAnsi="Times New Roman"/>
          <w:lang w:val="en-US"/>
        </w:rPr>
        <w:t>Harlow: Pearson Education.</w:t>
      </w:r>
    </w:p>
    <w:sectPr w:rsidR="00E46818">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9611C" w14:textId="77777777" w:rsidR="00D212CD" w:rsidRDefault="00D212CD">
      <w:r>
        <w:separator/>
      </w:r>
    </w:p>
  </w:endnote>
  <w:endnote w:type="continuationSeparator" w:id="0">
    <w:p w14:paraId="6C24EF01" w14:textId="77777777" w:rsidR="00D212CD" w:rsidRDefault="00D21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F385B" w14:textId="77777777" w:rsidR="00E46818" w:rsidRDefault="00E4681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29443" w14:textId="77777777" w:rsidR="00D212CD" w:rsidRDefault="00D212CD">
      <w:r>
        <w:separator/>
      </w:r>
    </w:p>
  </w:footnote>
  <w:footnote w:type="continuationSeparator" w:id="0">
    <w:p w14:paraId="035F21EF" w14:textId="77777777" w:rsidR="00D212CD" w:rsidRDefault="00D212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36969A" w14:textId="77777777" w:rsidR="00E46818" w:rsidRDefault="00E46818">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D3A79"/>
    <w:multiLevelType w:val="hybridMultilevel"/>
    <w:tmpl w:val="E3BAFAA6"/>
    <w:styleLink w:val="ImportedStyle1"/>
    <w:lvl w:ilvl="0" w:tplc="61D0F876">
      <w:start w:val="1"/>
      <w:numFmt w:val="decimal"/>
      <w:lvlText w:val="%1)"/>
      <w:lvlJc w:val="left"/>
      <w:pPr>
        <w:ind w:left="72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1" w:tplc="8CDECC8C">
      <w:start w:val="1"/>
      <w:numFmt w:val="lowerLetter"/>
      <w:lvlText w:val="%2."/>
      <w:lvlJc w:val="left"/>
      <w:pPr>
        <w:ind w:left="144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2" w:tplc="AB545984">
      <w:start w:val="1"/>
      <w:numFmt w:val="lowerRoman"/>
      <w:lvlText w:val="%3."/>
      <w:lvlJc w:val="left"/>
      <w:pPr>
        <w:ind w:left="2160" w:hanging="295"/>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3" w:tplc="9D5404DE">
      <w:start w:val="1"/>
      <w:numFmt w:val="decimal"/>
      <w:lvlText w:val="%4."/>
      <w:lvlJc w:val="left"/>
      <w:pPr>
        <w:ind w:left="288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4" w:tplc="0C7AE3F6">
      <w:start w:val="1"/>
      <w:numFmt w:val="lowerLetter"/>
      <w:lvlText w:val="%5."/>
      <w:lvlJc w:val="left"/>
      <w:pPr>
        <w:ind w:left="360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5" w:tplc="0610DBB6">
      <w:start w:val="1"/>
      <w:numFmt w:val="lowerRoman"/>
      <w:lvlText w:val="%6."/>
      <w:lvlJc w:val="left"/>
      <w:pPr>
        <w:ind w:left="4320" w:hanging="295"/>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6" w:tplc="945040EC">
      <w:start w:val="1"/>
      <w:numFmt w:val="decimal"/>
      <w:lvlText w:val="%7."/>
      <w:lvlJc w:val="left"/>
      <w:pPr>
        <w:ind w:left="504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7" w:tplc="2C3E8FFA">
      <w:start w:val="1"/>
      <w:numFmt w:val="lowerLetter"/>
      <w:lvlText w:val="%8."/>
      <w:lvlJc w:val="left"/>
      <w:pPr>
        <w:ind w:left="5760" w:hanging="360"/>
      </w:pPr>
      <w:rPr>
        <w:rFonts w:hAnsi="Arial Unicode MS"/>
        <w:caps w:val="0"/>
        <w:smallCaps w:val="0"/>
        <w:strike w:val="0"/>
        <w:dstrike w:val="0"/>
        <w:outline w:val="0"/>
        <w:emboss w:val="0"/>
        <w:imprint w:val="0"/>
        <w:color w:val="833C0B"/>
        <w:spacing w:val="0"/>
        <w:w w:val="100"/>
        <w:kern w:val="0"/>
        <w:position w:val="0"/>
        <w:highlight w:val="none"/>
        <w:vertAlign w:val="baseline"/>
      </w:rPr>
    </w:lvl>
    <w:lvl w:ilvl="8" w:tplc="FB2A3822">
      <w:start w:val="1"/>
      <w:numFmt w:val="lowerRoman"/>
      <w:lvlText w:val="%9."/>
      <w:lvlJc w:val="left"/>
      <w:pPr>
        <w:ind w:left="6480" w:hanging="295"/>
      </w:pPr>
      <w:rPr>
        <w:rFonts w:hAnsi="Arial Unicode MS"/>
        <w:caps w:val="0"/>
        <w:smallCaps w:val="0"/>
        <w:strike w:val="0"/>
        <w:dstrike w:val="0"/>
        <w:outline w:val="0"/>
        <w:emboss w:val="0"/>
        <w:imprint w:val="0"/>
        <w:color w:val="833C0B"/>
        <w:spacing w:val="0"/>
        <w:w w:val="100"/>
        <w:kern w:val="0"/>
        <w:position w:val="0"/>
        <w:highlight w:val="none"/>
        <w:vertAlign w:val="baseline"/>
      </w:rPr>
    </w:lvl>
  </w:abstractNum>
  <w:abstractNum w:abstractNumId="1" w15:restartNumberingAfterBreak="0">
    <w:nsid w:val="5EFC2F98"/>
    <w:multiLevelType w:val="hybridMultilevel"/>
    <w:tmpl w:val="E3BAFAA6"/>
    <w:numStyleLink w:val="ImportedStyle1"/>
  </w:abstractNum>
  <w:num w:numId="1" w16cid:durableId="1905262717">
    <w:abstractNumId w:val="0"/>
  </w:num>
  <w:num w:numId="2" w16cid:durableId="1439258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818"/>
    <w:rsid w:val="00182829"/>
    <w:rsid w:val="003D2879"/>
    <w:rsid w:val="003D3119"/>
    <w:rsid w:val="00455750"/>
    <w:rsid w:val="00621D9E"/>
    <w:rsid w:val="007B6149"/>
    <w:rsid w:val="008375BB"/>
    <w:rsid w:val="008412DD"/>
    <w:rsid w:val="008E01D3"/>
    <w:rsid w:val="00A355F8"/>
    <w:rsid w:val="00BB3A21"/>
    <w:rsid w:val="00D212CD"/>
    <w:rsid w:val="00E46818"/>
    <w:rsid w:val="00F252FA"/>
    <w:rsid w:val="00FB5C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A278F"/>
  <w15:docId w15:val="{45DD4840-16AC-1845-B3C1-5924137A4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Nornal">
    <w:name w:val="Nornal"/>
    <w:pPr>
      <w:spacing w:after="160" w:line="264" w:lineRule="auto"/>
    </w:pPr>
    <w:rPr>
      <w:rFonts w:ascii="Arial" w:hAnsi="Arial" w:cs="Arial Unicode MS"/>
      <w:color w:val="000000"/>
      <w:sz w:val="22"/>
      <w:szCs w:val="22"/>
      <w:u w:color="000000"/>
      <w:lang w:val="en-US"/>
    </w:rPr>
  </w:style>
  <w:style w:type="numbering" w:customStyle="1" w:styleId="ImportedStyle1">
    <w:name w:val="Imported Style 1"/>
    <w:pPr>
      <w:numPr>
        <w:numId w:val="1"/>
      </w:numPr>
    </w:pPr>
  </w:style>
  <w:style w:type="paragraph" w:customStyle="1" w:styleId="Listparag">
    <w:name w:val="List parag"/>
    <w:pPr>
      <w:spacing w:after="120" w:line="264" w:lineRule="auto"/>
    </w:pPr>
    <w:rPr>
      <w:rFonts w:ascii="Calibri" w:eastAsia="Calibri" w:hAnsi="Calibri" w:cs="Calibri"/>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styleId="NormalWeb">
    <w:name w:val="Normal (Web)"/>
    <w:basedOn w:val="Normal"/>
    <w:uiPriority w:val="99"/>
    <w:unhideWhenUsed/>
    <w:rsid w:val="00FB5C1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386347">
      <w:bodyDiv w:val="1"/>
      <w:marLeft w:val="0"/>
      <w:marRight w:val="0"/>
      <w:marTop w:val="0"/>
      <w:marBottom w:val="0"/>
      <w:divBdr>
        <w:top w:val="none" w:sz="0" w:space="0" w:color="auto"/>
        <w:left w:val="none" w:sz="0" w:space="0" w:color="auto"/>
        <w:bottom w:val="none" w:sz="0" w:space="0" w:color="auto"/>
        <w:right w:val="none" w:sz="0" w:space="0" w:color="auto"/>
      </w:divBdr>
    </w:div>
    <w:div w:id="443038461">
      <w:bodyDiv w:val="1"/>
      <w:marLeft w:val="0"/>
      <w:marRight w:val="0"/>
      <w:marTop w:val="0"/>
      <w:marBottom w:val="0"/>
      <w:divBdr>
        <w:top w:val="none" w:sz="0" w:space="0" w:color="auto"/>
        <w:left w:val="none" w:sz="0" w:space="0" w:color="auto"/>
        <w:bottom w:val="none" w:sz="0" w:space="0" w:color="auto"/>
        <w:right w:val="none" w:sz="0" w:space="0" w:color="auto"/>
      </w:divBdr>
    </w:div>
    <w:div w:id="1665011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5319</Words>
  <Characters>30320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Saskia McCartan</cp:lastModifiedBy>
  <cp:revision>2</cp:revision>
  <dcterms:created xsi:type="dcterms:W3CDTF">2025-02-05T12:11:00Z</dcterms:created>
  <dcterms:modified xsi:type="dcterms:W3CDTF">2025-02-05T12:11:00Z</dcterms:modified>
</cp:coreProperties>
</file>