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E4B426" w14:textId="77777777" w:rsidR="00A970ED" w:rsidRPr="00A970ED" w:rsidRDefault="00A970ED" w:rsidP="00EF6BCF">
      <w:pPr>
        <w:spacing w:line="360" w:lineRule="auto"/>
        <w:rPr>
          <w:rFonts w:ascii="Calibri" w:hAnsi="Calibri" w:cs="Calibri"/>
        </w:rPr>
      </w:pPr>
      <w:r w:rsidRPr="00A970ED">
        <w:rPr>
          <w:rFonts w:ascii="Calibri" w:hAnsi="Calibri" w:cs="Calibri"/>
        </w:rPr>
        <w:t>BMIH5007 – Financial Management for the Hotel Industry</w:t>
      </w:r>
    </w:p>
    <w:p w14:paraId="38DFF1E4" w14:textId="77777777" w:rsidR="00A970ED" w:rsidRPr="00A970ED" w:rsidRDefault="00A970ED" w:rsidP="00EF6BCF">
      <w:pPr>
        <w:spacing w:line="360" w:lineRule="auto"/>
        <w:rPr>
          <w:rFonts w:ascii="Calibri" w:hAnsi="Calibri" w:cs="Calibri"/>
        </w:rPr>
      </w:pPr>
    </w:p>
    <w:p w14:paraId="024F9ABD" w14:textId="77777777" w:rsidR="00A970ED" w:rsidRPr="00A970ED" w:rsidRDefault="00A970ED" w:rsidP="00EF6BCF">
      <w:pPr>
        <w:spacing w:line="360" w:lineRule="auto"/>
        <w:rPr>
          <w:rFonts w:ascii="Calibri" w:hAnsi="Calibri" w:cs="Calibri"/>
        </w:rPr>
      </w:pPr>
    </w:p>
    <w:p w14:paraId="42EFEF25" w14:textId="4FE2D2E9" w:rsidR="00A970ED" w:rsidRPr="00A970ED" w:rsidRDefault="00A970ED" w:rsidP="00EF6BCF">
      <w:pPr>
        <w:spacing w:line="360" w:lineRule="auto"/>
        <w:rPr>
          <w:rFonts w:ascii="Calibri" w:hAnsi="Calibri" w:cs="Calibri"/>
        </w:rPr>
      </w:pPr>
      <w:r w:rsidRPr="00A970ED">
        <w:rPr>
          <w:rFonts w:ascii="Calibri" w:hAnsi="Calibri" w:cs="Calibri"/>
        </w:rPr>
        <w:t xml:space="preserve">Student </w:t>
      </w:r>
      <w:proofErr w:type="spellStart"/>
      <w:proofErr w:type="gramStart"/>
      <w:r w:rsidRPr="00A970ED">
        <w:rPr>
          <w:rFonts w:ascii="Calibri" w:hAnsi="Calibri" w:cs="Calibri"/>
        </w:rPr>
        <w:t>Name:</w:t>
      </w:r>
      <w:r w:rsidR="00C12BCD">
        <w:rPr>
          <w:rFonts w:ascii="Calibri" w:hAnsi="Calibri" w:cs="Calibri"/>
        </w:rPr>
        <w:t>Roland</w:t>
      </w:r>
      <w:proofErr w:type="spellEnd"/>
      <w:proofErr w:type="gramEnd"/>
      <w:r w:rsidR="00C12BCD">
        <w:rPr>
          <w:rFonts w:ascii="Calibri" w:hAnsi="Calibri" w:cs="Calibri"/>
        </w:rPr>
        <w:t xml:space="preserve"> </w:t>
      </w:r>
      <w:proofErr w:type="spellStart"/>
      <w:r w:rsidR="00C12BCD">
        <w:rPr>
          <w:rFonts w:ascii="Calibri" w:hAnsi="Calibri" w:cs="Calibri"/>
        </w:rPr>
        <w:t>Suveg</w:t>
      </w:r>
      <w:proofErr w:type="spellEnd"/>
      <w:r w:rsidR="00C12BCD">
        <w:rPr>
          <w:rFonts w:ascii="Calibri" w:hAnsi="Calibri" w:cs="Calibri"/>
        </w:rPr>
        <w:t xml:space="preserve"> </w:t>
      </w:r>
    </w:p>
    <w:p w14:paraId="09B637E9" w14:textId="62D93DE3" w:rsidR="00A970ED" w:rsidRPr="00A970ED" w:rsidRDefault="00A970ED" w:rsidP="00EF6BCF">
      <w:pPr>
        <w:spacing w:line="360" w:lineRule="auto"/>
        <w:rPr>
          <w:rFonts w:ascii="Calibri" w:hAnsi="Calibri" w:cs="Calibri"/>
        </w:rPr>
      </w:pPr>
      <w:r w:rsidRPr="00A970ED">
        <w:rPr>
          <w:rFonts w:ascii="Calibri" w:hAnsi="Calibri" w:cs="Calibri"/>
        </w:rPr>
        <w:t>Student ID:</w:t>
      </w:r>
      <w:r w:rsidR="00C12BCD">
        <w:rPr>
          <w:rFonts w:ascii="Calibri" w:hAnsi="Calibri" w:cs="Calibri"/>
        </w:rPr>
        <w:t>2230702</w:t>
      </w:r>
      <w:bookmarkStart w:id="0" w:name="_GoBack"/>
      <w:bookmarkEnd w:id="0"/>
    </w:p>
    <w:p w14:paraId="452C4103" w14:textId="5683BB5B" w:rsidR="00C12BCD" w:rsidRPr="00A970ED" w:rsidRDefault="00A970ED" w:rsidP="00EF6BCF">
      <w:pPr>
        <w:spacing w:line="360" w:lineRule="auto"/>
        <w:rPr>
          <w:rFonts w:ascii="Calibri" w:hAnsi="Calibri" w:cs="Calibri"/>
        </w:rPr>
      </w:pPr>
      <w:r w:rsidRPr="00A970ED">
        <w:rPr>
          <w:rFonts w:ascii="Calibri" w:hAnsi="Calibri" w:cs="Calibri"/>
        </w:rPr>
        <w:t xml:space="preserve">University </w:t>
      </w:r>
      <w:proofErr w:type="spellStart"/>
      <w:proofErr w:type="gramStart"/>
      <w:r w:rsidRPr="00A970ED">
        <w:rPr>
          <w:rFonts w:ascii="Calibri" w:hAnsi="Calibri" w:cs="Calibri"/>
        </w:rPr>
        <w:t>Name:</w:t>
      </w:r>
      <w:r w:rsidR="00C12BCD">
        <w:rPr>
          <w:rFonts w:ascii="Calibri" w:hAnsi="Calibri" w:cs="Calibri"/>
        </w:rPr>
        <w:t>University</w:t>
      </w:r>
      <w:proofErr w:type="spellEnd"/>
      <w:proofErr w:type="gramEnd"/>
      <w:r w:rsidR="00C12BCD">
        <w:rPr>
          <w:rFonts w:ascii="Calibri" w:hAnsi="Calibri" w:cs="Calibri"/>
        </w:rPr>
        <w:t xml:space="preserve"> of Wales Trinity Saint David </w:t>
      </w:r>
    </w:p>
    <w:p w14:paraId="745C2B60" w14:textId="1C24CC1D" w:rsidR="00A970ED" w:rsidRPr="00EF6BCF" w:rsidRDefault="00A970ED" w:rsidP="00EF6BCF">
      <w:pPr>
        <w:spacing w:line="360" w:lineRule="auto"/>
        <w:rPr>
          <w:rFonts w:ascii="Calibri" w:hAnsi="Calibri" w:cs="Calibri"/>
        </w:rPr>
      </w:pPr>
      <w:r w:rsidRPr="00EF6BCF">
        <w:rPr>
          <w:rFonts w:ascii="Calibri" w:hAnsi="Calibri" w:cs="Calibri"/>
        </w:rPr>
        <w:br w:type="page"/>
      </w:r>
    </w:p>
    <w:bookmarkStart w:id="1" w:name="_Toc168605160" w:displacedByCustomXml="next"/>
    <w:sdt>
      <w:sdtPr>
        <w:rPr>
          <w:rFonts w:asciiTheme="minorHAnsi" w:eastAsiaTheme="minorHAnsi" w:hAnsiTheme="minorHAnsi" w:cstheme="minorBidi"/>
          <w:b w:val="0"/>
          <w:bCs w:val="0"/>
          <w:color w:val="auto"/>
          <w:kern w:val="2"/>
          <w:sz w:val="24"/>
          <w:szCs w:val="24"/>
          <w:lang w:val="en-GB"/>
          <w14:ligatures w14:val="standardContextual"/>
        </w:rPr>
        <w:id w:val="1464849262"/>
        <w:docPartObj>
          <w:docPartGallery w:val="Table of Contents"/>
          <w:docPartUnique/>
        </w:docPartObj>
      </w:sdtPr>
      <w:sdtEndPr>
        <w:rPr>
          <w:noProof/>
        </w:rPr>
      </w:sdtEndPr>
      <w:sdtContent>
        <w:p w14:paraId="5D6513A1" w14:textId="71CB9F38" w:rsidR="00FE7E8E" w:rsidRPr="00FE7E8E" w:rsidRDefault="00FE7E8E" w:rsidP="00FE7E8E">
          <w:pPr>
            <w:pStyle w:val="TOCHeading"/>
            <w:spacing w:line="360" w:lineRule="auto"/>
            <w:rPr>
              <w:rFonts w:ascii="Calibri" w:hAnsi="Calibri" w:cs="Calibri"/>
              <w:b w:val="0"/>
              <w:bCs w:val="0"/>
              <w:sz w:val="32"/>
              <w:szCs w:val="32"/>
            </w:rPr>
          </w:pPr>
          <w:r w:rsidRPr="00FE7E8E">
            <w:rPr>
              <w:rFonts w:ascii="Calibri" w:hAnsi="Calibri" w:cs="Calibri"/>
              <w:b w:val="0"/>
              <w:bCs w:val="0"/>
              <w:sz w:val="32"/>
              <w:szCs w:val="32"/>
            </w:rPr>
            <w:t>Table of Contents</w:t>
          </w:r>
        </w:p>
        <w:p w14:paraId="067BCFBC" w14:textId="3D330C5D" w:rsidR="00FE7E8E" w:rsidRPr="00FE7E8E" w:rsidRDefault="00FE7E8E" w:rsidP="00FE7E8E">
          <w:pPr>
            <w:pStyle w:val="TOC1"/>
            <w:tabs>
              <w:tab w:val="right" w:leader="dot" w:pos="13948"/>
            </w:tabs>
            <w:spacing w:line="360" w:lineRule="auto"/>
            <w:rPr>
              <w:rFonts w:ascii="Calibri" w:hAnsi="Calibri" w:cs="Calibri"/>
              <w:b w:val="0"/>
              <w:bCs w:val="0"/>
              <w:i w:val="0"/>
              <w:iCs w:val="0"/>
              <w:noProof/>
            </w:rPr>
          </w:pPr>
          <w:r w:rsidRPr="00FE7E8E">
            <w:rPr>
              <w:rFonts w:ascii="Calibri" w:hAnsi="Calibri" w:cs="Calibri"/>
              <w:b w:val="0"/>
              <w:bCs w:val="0"/>
              <w:i w:val="0"/>
              <w:iCs w:val="0"/>
            </w:rPr>
            <w:fldChar w:fldCharType="begin"/>
          </w:r>
          <w:r w:rsidRPr="00FE7E8E">
            <w:rPr>
              <w:rFonts w:ascii="Calibri" w:hAnsi="Calibri" w:cs="Calibri"/>
              <w:b w:val="0"/>
              <w:bCs w:val="0"/>
              <w:i w:val="0"/>
              <w:iCs w:val="0"/>
            </w:rPr>
            <w:instrText xml:space="preserve"> TOC \o "1-3" \h \z \u </w:instrText>
          </w:r>
          <w:r w:rsidRPr="00FE7E8E">
            <w:rPr>
              <w:rFonts w:ascii="Calibri" w:hAnsi="Calibri" w:cs="Calibri"/>
              <w:b w:val="0"/>
              <w:bCs w:val="0"/>
              <w:i w:val="0"/>
              <w:iCs w:val="0"/>
            </w:rPr>
            <w:fldChar w:fldCharType="separate"/>
          </w:r>
          <w:hyperlink w:anchor="_Toc168614999" w:history="1">
            <w:r w:rsidRPr="00FE7E8E">
              <w:rPr>
                <w:rStyle w:val="Hyperlink"/>
                <w:rFonts w:ascii="Calibri" w:hAnsi="Calibri" w:cs="Calibri"/>
                <w:b w:val="0"/>
                <w:bCs w:val="0"/>
                <w:i w:val="0"/>
                <w:iCs w:val="0"/>
                <w:noProof/>
              </w:rPr>
              <w:t>Introduction</w:t>
            </w:r>
            <w:r w:rsidRPr="00FE7E8E">
              <w:rPr>
                <w:rFonts w:ascii="Calibri" w:hAnsi="Calibri" w:cs="Calibri"/>
                <w:b w:val="0"/>
                <w:bCs w:val="0"/>
                <w:i w:val="0"/>
                <w:iCs w:val="0"/>
                <w:noProof/>
                <w:webHidden/>
              </w:rPr>
              <w:tab/>
            </w:r>
            <w:r w:rsidRPr="00FE7E8E">
              <w:rPr>
                <w:rFonts w:ascii="Calibri" w:hAnsi="Calibri" w:cs="Calibri"/>
                <w:b w:val="0"/>
                <w:bCs w:val="0"/>
                <w:i w:val="0"/>
                <w:iCs w:val="0"/>
                <w:noProof/>
                <w:webHidden/>
              </w:rPr>
              <w:fldChar w:fldCharType="begin"/>
            </w:r>
            <w:r w:rsidRPr="00FE7E8E">
              <w:rPr>
                <w:rFonts w:ascii="Calibri" w:hAnsi="Calibri" w:cs="Calibri"/>
                <w:b w:val="0"/>
                <w:bCs w:val="0"/>
                <w:i w:val="0"/>
                <w:iCs w:val="0"/>
                <w:noProof/>
                <w:webHidden/>
              </w:rPr>
              <w:instrText xml:space="preserve"> PAGEREF _Toc168614999 \h </w:instrText>
            </w:r>
            <w:r w:rsidRPr="00FE7E8E">
              <w:rPr>
                <w:rFonts w:ascii="Calibri" w:hAnsi="Calibri" w:cs="Calibri"/>
                <w:b w:val="0"/>
                <w:bCs w:val="0"/>
                <w:i w:val="0"/>
                <w:iCs w:val="0"/>
                <w:noProof/>
                <w:webHidden/>
              </w:rPr>
            </w:r>
            <w:r w:rsidRPr="00FE7E8E">
              <w:rPr>
                <w:rFonts w:ascii="Calibri" w:hAnsi="Calibri" w:cs="Calibri"/>
                <w:b w:val="0"/>
                <w:bCs w:val="0"/>
                <w:i w:val="0"/>
                <w:iCs w:val="0"/>
                <w:noProof/>
                <w:webHidden/>
              </w:rPr>
              <w:fldChar w:fldCharType="separate"/>
            </w:r>
            <w:r w:rsidRPr="00FE7E8E">
              <w:rPr>
                <w:rFonts w:ascii="Calibri" w:hAnsi="Calibri" w:cs="Calibri"/>
                <w:b w:val="0"/>
                <w:bCs w:val="0"/>
                <w:i w:val="0"/>
                <w:iCs w:val="0"/>
                <w:noProof/>
                <w:webHidden/>
              </w:rPr>
              <w:t>3</w:t>
            </w:r>
            <w:r w:rsidRPr="00FE7E8E">
              <w:rPr>
                <w:rFonts w:ascii="Calibri" w:hAnsi="Calibri" w:cs="Calibri"/>
                <w:b w:val="0"/>
                <w:bCs w:val="0"/>
                <w:i w:val="0"/>
                <w:iCs w:val="0"/>
                <w:noProof/>
                <w:webHidden/>
              </w:rPr>
              <w:fldChar w:fldCharType="end"/>
            </w:r>
          </w:hyperlink>
        </w:p>
        <w:p w14:paraId="56DD1C5D" w14:textId="2F95C8FB"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0" w:history="1">
            <w:r w:rsidR="00FE7E8E" w:rsidRPr="00FE7E8E">
              <w:rPr>
                <w:rStyle w:val="Hyperlink"/>
                <w:rFonts w:ascii="Calibri" w:hAnsi="Calibri" w:cs="Calibri"/>
                <w:b w:val="0"/>
                <w:bCs w:val="0"/>
                <w:i w:val="0"/>
                <w:iCs w:val="0"/>
                <w:noProof/>
              </w:rPr>
              <w:t>Evaluation of the patterns and trends in Urban Heights Hotel</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_Toc168615000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4</w:t>
            </w:r>
            <w:r w:rsidR="00FE7E8E" w:rsidRPr="00FE7E8E">
              <w:rPr>
                <w:rFonts w:ascii="Calibri" w:hAnsi="Calibri" w:cs="Calibri"/>
                <w:b w:val="0"/>
                <w:bCs w:val="0"/>
                <w:i w:val="0"/>
                <w:iCs w:val="0"/>
                <w:noProof/>
                <w:webHidden/>
              </w:rPr>
              <w:fldChar w:fldCharType="end"/>
            </w:r>
          </w:hyperlink>
        </w:p>
        <w:p w14:paraId="7B95F70B" w14:textId="49C4D8F4"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1" w:history="1">
            <w:r w:rsidR="00FE7E8E" w:rsidRPr="00FE7E8E">
              <w:rPr>
                <w:rStyle w:val="Hyperlink"/>
                <w:rFonts w:ascii="Calibri" w:hAnsi="Calibri" w:cs="Calibri"/>
                <w:b w:val="0"/>
                <w:bCs w:val="0"/>
                <w:i w:val="0"/>
                <w:iCs w:val="0"/>
                <w:noProof/>
              </w:rPr>
              <w:t>Financial Performance of Urban Heights Hotel over 3 years period</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_Toc168615001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5</w:t>
            </w:r>
            <w:r w:rsidR="00FE7E8E" w:rsidRPr="00FE7E8E">
              <w:rPr>
                <w:rFonts w:ascii="Calibri" w:hAnsi="Calibri" w:cs="Calibri"/>
                <w:b w:val="0"/>
                <w:bCs w:val="0"/>
                <w:i w:val="0"/>
                <w:iCs w:val="0"/>
                <w:noProof/>
                <w:webHidden/>
              </w:rPr>
              <w:fldChar w:fldCharType="end"/>
            </w:r>
          </w:hyperlink>
        </w:p>
        <w:p w14:paraId="43336A57" w14:textId="43952D47"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2" w:history="1">
            <w:r w:rsidR="00FE7E8E" w:rsidRPr="00FE7E8E">
              <w:rPr>
                <w:rStyle w:val="Hyperlink"/>
                <w:rFonts w:ascii="Calibri" w:hAnsi="Calibri" w:cs="Calibri"/>
                <w:b w:val="0"/>
                <w:bCs w:val="0"/>
                <w:i w:val="0"/>
                <w:iCs w:val="0"/>
                <w:noProof/>
              </w:rPr>
              <w:t>Key main reasons of the decline in profitability of the hotel</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_Toc168615002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7</w:t>
            </w:r>
            <w:r w:rsidR="00FE7E8E" w:rsidRPr="00FE7E8E">
              <w:rPr>
                <w:rFonts w:ascii="Calibri" w:hAnsi="Calibri" w:cs="Calibri"/>
                <w:b w:val="0"/>
                <w:bCs w:val="0"/>
                <w:i w:val="0"/>
                <w:iCs w:val="0"/>
                <w:noProof/>
                <w:webHidden/>
              </w:rPr>
              <w:fldChar w:fldCharType="end"/>
            </w:r>
          </w:hyperlink>
        </w:p>
        <w:p w14:paraId="26836380" w14:textId="7E368929"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3" w:history="1">
            <w:r w:rsidR="00FE7E8E" w:rsidRPr="00FE7E8E">
              <w:rPr>
                <w:rStyle w:val="Hyperlink"/>
                <w:rFonts w:ascii="Calibri" w:hAnsi="Calibri" w:cs="Calibri"/>
                <w:b w:val="0"/>
                <w:bCs w:val="0"/>
                <w:i w:val="0"/>
                <w:iCs w:val="0"/>
                <w:noProof/>
              </w:rPr>
              <w:t>Development of turnaround strategy for the hotel revitalisation</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_Toc168615003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9</w:t>
            </w:r>
            <w:r w:rsidR="00FE7E8E" w:rsidRPr="00FE7E8E">
              <w:rPr>
                <w:rFonts w:ascii="Calibri" w:hAnsi="Calibri" w:cs="Calibri"/>
                <w:b w:val="0"/>
                <w:bCs w:val="0"/>
                <w:i w:val="0"/>
                <w:iCs w:val="0"/>
                <w:noProof/>
                <w:webHidden/>
              </w:rPr>
              <w:fldChar w:fldCharType="end"/>
            </w:r>
          </w:hyperlink>
        </w:p>
        <w:p w14:paraId="198CDB73" w14:textId="139D03EB"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4" w:history="1">
            <w:r w:rsidR="00FE7E8E" w:rsidRPr="00FE7E8E">
              <w:rPr>
                <w:rStyle w:val="Hyperlink"/>
                <w:rFonts w:ascii="Calibri" w:hAnsi="Calibri" w:cs="Calibri"/>
                <w:b w:val="0"/>
                <w:bCs w:val="0"/>
                <w:i w:val="0"/>
                <w:iCs w:val="0"/>
                <w:noProof/>
              </w:rPr>
              <w:t>Conclusion</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_Toc168615004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11</w:t>
            </w:r>
            <w:r w:rsidR="00FE7E8E" w:rsidRPr="00FE7E8E">
              <w:rPr>
                <w:rFonts w:ascii="Calibri" w:hAnsi="Calibri" w:cs="Calibri"/>
                <w:b w:val="0"/>
                <w:bCs w:val="0"/>
                <w:i w:val="0"/>
                <w:iCs w:val="0"/>
                <w:noProof/>
                <w:webHidden/>
              </w:rPr>
              <w:fldChar w:fldCharType="end"/>
            </w:r>
          </w:hyperlink>
        </w:p>
        <w:p w14:paraId="4BCB9C39" w14:textId="63117654" w:rsidR="00FE7E8E" w:rsidRPr="00FE7E8E" w:rsidRDefault="00CA2151" w:rsidP="00FE7E8E">
          <w:pPr>
            <w:pStyle w:val="TOC1"/>
            <w:tabs>
              <w:tab w:val="right" w:leader="dot" w:pos="13948"/>
            </w:tabs>
            <w:spacing w:line="360" w:lineRule="auto"/>
            <w:rPr>
              <w:rFonts w:ascii="Calibri" w:hAnsi="Calibri" w:cs="Calibri"/>
              <w:b w:val="0"/>
              <w:bCs w:val="0"/>
              <w:i w:val="0"/>
              <w:iCs w:val="0"/>
              <w:noProof/>
            </w:rPr>
          </w:pPr>
          <w:hyperlink w:anchor="_Toc168615005" w:history="1">
            <w:r w:rsidR="00FE7E8E" w:rsidRPr="00FE7E8E">
              <w:rPr>
                <w:rStyle w:val="Hyperlink"/>
                <w:rFonts w:ascii="Calibri" w:hAnsi="Calibri" w:cs="Calibri"/>
                <w:b w:val="0"/>
                <w:bCs w:val="0"/>
                <w:i w:val="0"/>
                <w:iCs w:val="0"/>
                <w:noProof/>
              </w:rPr>
              <w:t>References</w:t>
            </w:r>
            <w:r w:rsidR="00FE7E8E" w:rsidRPr="00FE7E8E">
              <w:rPr>
                <w:rFonts w:ascii="Calibri" w:hAnsi="Calibri" w:cs="Calibri"/>
                <w:b w:val="0"/>
                <w:bCs w:val="0"/>
                <w:i w:val="0"/>
                <w:iCs w:val="0"/>
                <w:noProof/>
                <w:webHidden/>
              </w:rPr>
              <w:tab/>
            </w:r>
            <w:r w:rsidR="00FE7E8E" w:rsidRPr="00FE7E8E">
              <w:rPr>
                <w:rFonts w:ascii="Calibri" w:hAnsi="Calibri" w:cs="Calibri"/>
                <w:b w:val="0"/>
                <w:bCs w:val="0"/>
                <w:i w:val="0"/>
                <w:iCs w:val="0"/>
                <w:noProof/>
                <w:webHidden/>
              </w:rPr>
              <w:fldChar w:fldCharType="begin"/>
            </w:r>
            <w:r w:rsidR="00FE7E8E" w:rsidRPr="00FE7E8E">
              <w:rPr>
                <w:rFonts w:ascii="Calibri" w:hAnsi="Calibri" w:cs="Calibri"/>
                <w:b w:val="0"/>
                <w:bCs w:val="0"/>
                <w:i w:val="0"/>
                <w:iCs w:val="0"/>
                <w:noProof/>
                <w:webHidden/>
              </w:rPr>
              <w:instrText xml:space="preserve"> PAGEREF _Toc168615005 \h </w:instrText>
            </w:r>
            <w:r w:rsidR="00FE7E8E" w:rsidRPr="00FE7E8E">
              <w:rPr>
                <w:rFonts w:ascii="Calibri" w:hAnsi="Calibri" w:cs="Calibri"/>
                <w:b w:val="0"/>
                <w:bCs w:val="0"/>
                <w:i w:val="0"/>
                <w:iCs w:val="0"/>
                <w:noProof/>
                <w:webHidden/>
              </w:rPr>
            </w:r>
            <w:r w:rsidR="00FE7E8E" w:rsidRPr="00FE7E8E">
              <w:rPr>
                <w:rFonts w:ascii="Calibri" w:hAnsi="Calibri" w:cs="Calibri"/>
                <w:b w:val="0"/>
                <w:bCs w:val="0"/>
                <w:i w:val="0"/>
                <w:iCs w:val="0"/>
                <w:noProof/>
                <w:webHidden/>
              </w:rPr>
              <w:fldChar w:fldCharType="separate"/>
            </w:r>
            <w:r w:rsidR="00FE7E8E" w:rsidRPr="00FE7E8E">
              <w:rPr>
                <w:rFonts w:ascii="Calibri" w:hAnsi="Calibri" w:cs="Calibri"/>
                <w:b w:val="0"/>
                <w:bCs w:val="0"/>
                <w:i w:val="0"/>
                <w:iCs w:val="0"/>
                <w:noProof/>
                <w:webHidden/>
              </w:rPr>
              <w:t>11</w:t>
            </w:r>
            <w:r w:rsidR="00FE7E8E" w:rsidRPr="00FE7E8E">
              <w:rPr>
                <w:rFonts w:ascii="Calibri" w:hAnsi="Calibri" w:cs="Calibri"/>
                <w:b w:val="0"/>
                <w:bCs w:val="0"/>
                <w:i w:val="0"/>
                <w:iCs w:val="0"/>
                <w:noProof/>
                <w:webHidden/>
              </w:rPr>
              <w:fldChar w:fldCharType="end"/>
            </w:r>
          </w:hyperlink>
        </w:p>
        <w:p w14:paraId="09AEDF9C" w14:textId="2FF55506" w:rsidR="00FE7E8E" w:rsidRDefault="00FE7E8E" w:rsidP="00FE7E8E">
          <w:pPr>
            <w:spacing w:line="360" w:lineRule="auto"/>
          </w:pPr>
          <w:r w:rsidRPr="00FE7E8E">
            <w:rPr>
              <w:rFonts w:ascii="Calibri" w:hAnsi="Calibri" w:cs="Calibri"/>
              <w:noProof/>
            </w:rPr>
            <w:fldChar w:fldCharType="end"/>
          </w:r>
        </w:p>
      </w:sdtContent>
    </w:sdt>
    <w:p w14:paraId="1DE1CB0D" w14:textId="77777777" w:rsidR="00FE7E8E" w:rsidRDefault="00FE7E8E">
      <w:pPr>
        <w:rPr>
          <w:rFonts w:ascii="Calibri" w:eastAsiaTheme="majorEastAsia" w:hAnsi="Calibri" w:cs="Calibri"/>
          <w:color w:val="0F4761" w:themeColor="accent1" w:themeShade="BF"/>
          <w:sz w:val="32"/>
          <w:szCs w:val="32"/>
        </w:rPr>
      </w:pPr>
      <w:r>
        <w:br w:type="page"/>
      </w:r>
    </w:p>
    <w:p w14:paraId="0DC9B40F" w14:textId="152A96A4" w:rsidR="00A970ED" w:rsidRPr="00EF6BCF" w:rsidRDefault="00A970ED" w:rsidP="00EF6BCF">
      <w:pPr>
        <w:pStyle w:val="Heading1"/>
      </w:pPr>
      <w:bookmarkStart w:id="2" w:name="_Toc168614999"/>
      <w:r w:rsidRPr="00EF6BCF">
        <w:lastRenderedPageBreak/>
        <w:t>Introduction</w:t>
      </w:r>
      <w:bookmarkEnd w:id="1"/>
      <w:bookmarkEnd w:id="2"/>
    </w:p>
    <w:p w14:paraId="7B5D6907" w14:textId="0331B057" w:rsidR="00A970ED" w:rsidRPr="00EF6BCF" w:rsidRDefault="002E14A3" w:rsidP="00EF6BCF">
      <w:pPr>
        <w:spacing w:line="360" w:lineRule="auto"/>
        <w:rPr>
          <w:rFonts w:ascii="Calibri" w:hAnsi="Calibri" w:cs="Calibri"/>
        </w:rPr>
      </w:pPr>
      <w:bookmarkStart w:id="3" w:name="_Toc168479820"/>
      <w:bookmarkStart w:id="4" w:name="_Toc168605161"/>
      <w:bookmarkStart w:id="5" w:name="_Toc168437335"/>
      <w:r w:rsidRPr="002E14A3">
        <w:rPr>
          <w:rFonts w:ascii="Calibri" w:hAnsi="Calibri" w:cs="Calibri"/>
        </w:rPr>
        <w:t>Urban Heights Hotel faced major financial challenges in the last three years, marked by the decrease in revenues, but also the rest of the operational expenses, as well as the deterioration of profitability. This report thus provides major comprehensive evaluations of the performance of the indicators as well as of the key financial values ​​to highlight trends and models. The analysis thus reveals a constant decrease in revenues from £2,500,00 in 2021 to £1,800,000 in 2023 accompanied by such increases in operating expenses from £1,800,000 to £2,030 in 2023. All these factors lead to a substantial decrease in net income, leading to a net loss of £500,000 in 2023. In addition, significant reductions in return on assets (ROA) and return on equity (ROE) underline the hotel's declining efficiency. in using all its assets but also generating profits for shareholders. This report identifies the main reasons behind the hotel's financial decline, including inefficient use of assets, increased financial leverage as well as liquidity problems. This report aims to identify the main reasons for the hotel's financial decline, including the inefficient use of assets, increased financial leverage and liquidity problems. It also proposes recovery strategies, such as increasing revenues, cost optimization, improved asset management, efficient debt management, and liquidity restoration. The objective is to provide a roadmap for the stabilization and revitalization of the Urban Heights Hotel, ensuring its long-term financial health and operational sustainability.</w:t>
      </w:r>
      <w:r w:rsidR="00A970ED" w:rsidRPr="00EF6BCF">
        <w:rPr>
          <w:rFonts w:ascii="Calibri" w:hAnsi="Calibri" w:cs="Calibri"/>
        </w:rPr>
        <w:br w:type="page"/>
      </w:r>
    </w:p>
    <w:p w14:paraId="63BA9372" w14:textId="30B71996" w:rsidR="00A970ED" w:rsidRPr="00EF6BCF" w:rsidRDefault="00A970ED" w:rsidP="00EF6BCF">
      <w:pPr>
        <w:pStyle w:val="Heading1"/>
      </w:pPr>
      <w:bookmarkStart w:id="6" w:name="_Toc168615000"/>
      <w:r w:rsidRPr="00EF6BCF">
        <w:lastRenderedPageBreak/>
        <w:t>Evaluation of the patterns and trends in Urban Heights Hotel</w:t>
      </w:r>
      <w:bookmarkEnd w:id="3"/>
      <w:bookmarkEnd w:id="4"/>
      <w:bookmarkEnd w:id="6"/>
      <w:r w:rsidRPr="00EF6BCF">
        <w:t xml:space="preserve"> </w:t>
      </w:r>
      <w:bookmarkEnd w:id="5"/>
    </w:p>
    <w:tbl>
      <w:tblPr>
        <w:tblStyle w:val="ListTable7Colorful"/>
        <w:tblW w:w="13718" w:type="dxa"/>
        <w:tblInd w:w="-682" w:type="dxa"/>
        <w:tblLook w:val="04A0" w:firstRow="1" w:lastRow="0" w:firstColumn="1" w:lastColumn="0" w:noHBand="0" w:noVBand="1"/>
      </w:tblPr>
      <w:tblGrid>
        <w:gridCol w:w="2569"/>
        <w:gridCol w:w="3767"/>
        <w:gridCol w:w="3767"/>
        <w:gridCol w:w="3615"/>
      </w:tblGrid>
      <w:tr w:rsidR="00EF6BCF" w:rsidRPr="00A970ED" w14:paraId="5F2E3DE8" w14:textId="77777777" w:rsidTr="00EF6BCF">
        <w:trPr>
          <w:cnfStyle w:val="100000000000" w:firstRow="1" w:lastRow="0" w:firstColumn="0" w:lastColumn="0" w:oddVBand="0" w:evenVBand="0" w:oddHBand="0" w:evenHBand="0" w:firstRowFirstColumn="0" w:firstRowLastColumn="0" w:lastRowFirstColumn="0" w:lastRowLastColumn="0"/>
          <w:trHeight w:val="878"/>
        </w:trPr>
        <w:tc>
          <w:tcPr>
            <w:cnfStyle w:val="001000000100" w:firstRow="0" w:lastRow="0" w:firstColumn="1" w:lastColumn="0" w:oddVBand="0" w:evenVBand="0" w:oddHBand="0" w:evenHBand="0" w:firstRowFirstColumn="1" w:firstRowLastColumn="0" w:lastRowFirstColumn="0" w:lastRowLastColumn="0"/>
            <w:tcW w:w="2569" w:type="dxa"/>
          </w:tcPr>
          <w:p w14:paraId="4EBC06DA" w14:textId="77777777" w:rsidR="00EF6BCF" w:rsidRPr="00A970ED" w:rsidRDefault="00EF6BCF" w:rsidP="005A1F23">
            <w:pPr>
              <w:spacing w:after="160" w:line="360" w:lineRule="auto"/>
              <w:jc w:val="left"/>
              <w:rPr>
                <w:rFonts w:ascii="Calibri" w:eastAsiaTheme="minorHAnsi" w:hAnsi="Calibri" w:cs="Calibri"/>
                <w:color w:val="auto"/>
                <w:sz w:val="24"/>
              </w:rPr>
            </w:pPr>
            <w:bookmarkStart w:id="7" w:name="_Toc168479821"/>
            <w:bookmarkStart w:id="8" w:name="_Toc168605162"/>
            <w:r w:rsidRPr="00A970ED">
              <w:rPr>
                <w:rFonts w:ascii="Calibri" w:eastAsiaTheme="minorHAnsi" w:hAnsi="Calibri" w:cs="Calibri"/>
                <w:color w:val="auto"/>
                <w:sz w:val="24"/>
              </w:rPr>
              <w:t>RATIO</w:t>
            </w:r>
            <w:r w:rsidRPr="00EF6BCF">
              <w:rPr>
                <w:rFonts w:ascii="Calibri" w:eastAsiaTheme="minorHAnsi" w:hAnsi="Calibri" w:cs="Calibri"/>
                <w:color w:val="auto"/>
                <w:sz w:val="24"/>
              </w:rPr>
              <w:t xml:space="preserve"> (Formula)</w:t>
            </w:r>
          </w:p>
        </w:tc>
        <w:tc>
          <w:tcPr>
            <w:tcW w:w="3767" w:type="dxa"/>
          </w:tcPr>
          <w:p w14:paraId="1E5FB13D" w14:textId="77777777" w:rsidR="00EF6BCF" w:rsidRPr="00A970ED" w:rsidRDefault="00EF6BCF" w:rsidP="005A1F23">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color w:val="auto"/>
                <w:sz w:val="24"/>
              </w:rPr>
            </w:pPr>
            <w:r w:rsidRPr="00EF6BCF">
              <w:rPr>
                <w:rFonts w:ascii="Calibri" w:eastAsiaTheme="minorHAnsi" w:hAnsi="Calibri" w:cs="Calibri"/>
                <w:color w:val="auto"/>
                <w:sz w:val="24"/>
              </w:rPr>
              <w:t xml:space="preserve">Year </w:t>
            </w:r>
            <w:r w:rsidRPr="00A970ED">
              <w:rPr>
                <w:rFonts w:ascii="Calibri" w:eastAsiaTheme="minorHAnsi" w:hAnsi="Calibri" w:cs="Calibri"/>
                <w:color w:val="auto"/>
                <w:sz w:val="24"/>
              </w:rPr>
              <w:t>2021</w:t>
            </w:r>
          </w:p>
        </w:tc>
        <w:tc>
          <w:tcPr>
            <w:tcW w:w="3767" w:type="dxa"/>
          </w:tcPr>
          <w:p w14:paraId="581F350B" w14:textId="77777777" w:rsidR="00EF6BCF" w:rsidRPr="00A970ED" w:rsidRDefault="00EF6BCF" w:rsidP="005A1F23">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color w:val="auto"/>
                <w:sz w:val="24"/>
              </w:rPr>
            </w:pPr>
            <w:r w:rsidRPr="00EF6BCF">
              <w:rPr>
                <w:rFonts w:ascii="Calibri" w:eastAsiaTheme="minorHAnsi" w:hAnsi="Calibri" w:cs="Calibri"/>
                <w:color w:val="auto"/>
                <w:sz w:val="24"/>
              </w:rPr>
              <w:t xml:space="preserve">Year </w:t>
            </w:r>
            <w:r w:rsidRPr="00A970ED">
              <w:rPr>
                <w:rFonts w:ascii="Calibri" w:eastAsiaTheme="minorHAnsi" w:hAnsi="Calibri" w:cs="Calibri"/>
                <w:color w:val="auto"/>
                <w:sz w:val="24"/>
              </w:rPr>
              <w:t>2022</w:t>
            </w:r>
          </w:p>
        </w:tc>
        <w:tc>
          <w:tcPr>
            <w:tcW w:w="3615" w:type="dxa"/>
          </w:tcPr>
          <w:p w14:paraId="4042D691" w14:textId="77777777" w:rsidR="00EF6BCF" w:rsidRPr="00A970ED" w:rsidRDefault="00EF6BCF" w:rsidP="005A1F23">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color w:val="auto"/>
                <w:sz w:val="24"/>
              </w:rPr>
            </w:pPr>
            <w:r w:rsidRPr="00EF6BCF">
              <w:rPr>
                <w:rFonts w:ascii="Calibri" w:eastAsiaTheme="minorHAnsi" w:hAnsi="Calibri" w:cs="Calibri"/>
                <w:color w:val="auto"/>
                <w:sz w:val="24"/>
              </w:rPr>
              <w:t xml:space="preserve">Year </w:t>
            </w:r>
            <w:r w:rsidRPr="00A970ED">
              <w:rPr>
                <w:rFonts w:ascii="Calibri" w:eastAsiaTheme="minorHAnsi" w:hAnsi="Calibri" w:cs="Calibri"/>
                <w:color w:val="auto"/>
                <w:sz w:val="24"/>
              </w:rPr>
              <w:t>2023</w:t>
            </w:r>
          </w:p>
        </w:tc>
      </w:tr>
      <w:tr w:rsidR="00EF6BCF" w:rsidRPr="00A970ED" w14:paraId="5FF4568D" w14:textId="77777777" w:rsidTr="00EF6BCF">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2569" w:type="dxa"/>
          </w:tcPr>
          <w:p w14:paraId="0C09E731" w14:textId="77777777" w:rsidR="00EF6BCF" w:rsidRPr="00A970ED" w:rsidRDefault="00EF6BCF" w:rsidP="005A1F23">
            <w:pPr>
              <w:spacing w:after="160" w:line="360" w:lineRule="auto"/>
              <w:jc w:val="left"/>
              <w:rPr>
                <w:rFonts w:ascii="Calibri" w:eastAsiaTheme="minorHAnsi" w:hAnsi="Calibri" w:cs="Calibri"/>
                <w:b/>
                <w:bCs/>
                <w:color w:val="auto"/>
                <w:sz w:val="22"/>
                <w:szCs w:val="22"/>
              </w:rPr>
            </w:pPr>
            <w:r w:rsidRPr="00A970ED">
              <w:rPr>
                <w:rFonts w:ascii="Calibri" w:eastAsiaTheme="minorHAnsi" w:hAnsi="Calibri" w:cs="Calibri"/>
                <w:b/>
                <w:bCs/>
                <w:color w:val="auto"/>
                <w:sz w:val="22"/>
                <w:szCs w:val="22"/>
              </w:rPr>
              <w:t>Current ratio</w:t>
            </w:r>
          </w:p>
          <w:p w14:paraId="72F70A94"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color w:val="auto"/>
                <w:sz w:val="22"/>
                <w:szCs w:val="22"/>
              </w:rPr>
              <w:t>Current assets / current liabilities</w:t>
            </w:r>
          </w:p>
        </w:tc>
        <w:tc>
          <w:tcPr>
            <w:tcW w:w="3767" w:type="dxa"/>
          </w:tcPr>
          <w:p w14:paraId="0A5DD06C"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300000 + 150000 / 250000 = 1.8</w:t>
            </w:r>
          </w:p>
        </w:tc>
        <w:tc>
          <w:tcPr>
            <w:tcW w:w="3767" w:type="dxa"/>
          </w:tcPr>
          <w:p w14:paraId="4C116E10"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200000 + £100000 / £270000 = 1.1</w:t>
            </w:r>
          </w:p>
        </w:tc>
        <w:tc>
          <w:tcPr>
            <w:tcW w:w="3615" w:type="dxa"/>
          </w:tcPr>
          <w:p w14:paraId="53B849CE"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£100000 + £80000 / 300000 = 0.6</w:t>
            </w:r>
          </w:p>
        </w:tc>
      </w:tr>
      <w:tr w:rsidR="00EF6BCF" w:rsidRPr="00A970ED" w14:paraId="0293D16D" w14:textId="77777777" w:rsidTr="00EF6BCF">
        <w:trPr>
          <w:trHeight w:val="1122"/>
        </w:trPr>
        <w:tc>
          <w:tcPr>
            <w:cnfStyle w:val="001000000000" w:firstRow="0" w:lastRow="0" w:firstColumn="1" w:lastColumn="0" w:oddVBand="0" w:evenVBand="0" w:oddHBand="0" w:evenHBand="0" w:firstRowFirstColumn="0" w:firstRowLastColumn="0" w:lastRowFirstColumn="0" w:lastRowLastColumn="0"/>
            <w:tcW w:w="2569" w:type="dxa"/>
          </w:tcPr>
          <w:p w14:paraId="3BA93C95" w14:textId="77777777" w:rsidR="00EF6BCF" w:rsidRPr="00A970ED" w:rsidRDefault="00EF6BCF" w:rsidP="005A1F23">
            <w:pPr>
              <w:spacing w:after="160" w:line="360" w:lineRule="auto"/>
              <w:jc w:val="left"/>
              <w:rPr>
                <w:rFonts w:ascii="Calibri" w:eastAsiaTheme="minorHAnsi" w:hAnsi="Calibri" w:cs="Calibri"/>
                <w:b/>
                <w:bCs/>
                <w:color w:val="auto"/>
                <w:sz w:val="22"/>
                <w:szCs w:val="22"/>
              </w:rPr>
            </w:pPr>
            <w:r w:rsidRPr="00A970ED">
              <w:rPr>
                <w:rFonts w:ascii="Calibri" w:eastAsiaTheme="minorHAnsi" w:hAnsi="Calibri" w:cs="Calibri"/>
                <w:b/>
                <w:bCs/>
                <w:color w:val="auto"/>
                <w:sz w:val="22"/>
                <w:szCs w:val="22"/>
              </w:rPr>
              <w:t>Debt to equity ratio</w:t>
            </w:r>
          </w:p>
          <w:p w14:paraId="66860667"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color w:val="auto"/>
                <w:sz w:val="22"/>
                <w:szCs w:val="22"/>
              </w:rPr>
              <w:t>Total liabilities / equity</w:t>
            </w:r>
          </w:p>
        </w:tc>
        <w:tc>
          <w:tcPr>
            <w:tcW w:w="3767" w:type="dxa"/>
          </w:tcPr>
          <w:p w14:paraId="3EB09B4C"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3250000 / 2200000 =1.48</w:t>
            </w:r>
          </w:p>
        </w:tc>
        <w:tc>
          <w:tcPr>
            <w:tcW w:w="3767" w:type="dxa"/>
          </w:tcPr>
          <w:p w14:paraId="18429272"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327000 / 1830000 = 1.79</w:t>
            </w:r>
          </w:p>
        </w:tc>
        <w:tc>
          <w:tcPr>
            <w:tcW w:w="3615" w:type="dxa"/>
          </w:tcPr>
          <w:p w14:paraId="4CF8DF1A"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3</w:t>
            </w:r>
            <w:r w:rsidRPr="00EF6BCF">
              <w:rPr>
                <w:rFonts w:ascii="Calibri" w:hAnsi="Calibri" w:cs="Calibri"/>
                <w:color w:val="auto"/>
              </w:rPr>
              <w:t>3</w:t>
            </w:r>
            <w:r w:rsidRPr="00A970ED">
              <w:rPr>
                <w:rFonts w:ascii="Calibri" w:hAnsi="Calibri" w:cs="Calibri"/>
                <w:color w:val="auto"/>
              </w:rPr>
              <w:t>00000 / 1380000 = 2.39</w:t>
            </w:r>
          </w:p>
        </w:tc>
      </w:tr>
      <w:tr w:rsidR="00EF6BCF" w:rsidRPr="00A970ED" w14:paraId="28ED1ED3" w14:textId="77777777" w:rsidTr="00EF6BCF">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2569" w:type="dxa"/>
          </w:tcPr>
          <w:p w14:paraId="7BD5E210" w14:textId="77777777" w:rsidR="00EF6BCF" w:rsidRPr="00A970ED" w:rsidRDefault="00EF6BCF" w:rsidP="005A1F23">
            <w:pPr>
              <w:spacing w:after="160" w:line="360" w:lineRule="auto"/>
              <w:jc w:val="left"/>
              <w:rPr>
                <w:rFonts w:ascii="Calibri" w:eastAsiaTheme="minorHAnsi" w:hAnsi="Calibri" w:cs="Calibri"/>
                <w:b/>
                <w:bCs/>
                <w:color w:val="auto"/>
                <w:sz w:val="22"/>
                <w:szCs w:val="22"/>
              </w:rPr>
            </w:pPr>
            <w:r w:rsidRPr="00A970ED">
              <w:rPr>
                <w:rFonts w:ascii="Calibri" w:eastAsiaTheme="minorHAnsi" w:hAnsi="Calibri" w:cs="Calibri"/>
                <w:b/>
                <w:bCs/>
                <w:color w:val="auto"/>
                <w:sz w:val="22"/>
                <w:szCs w:val="22"/>
              </w:rPr>
              <w:t>Quick ratio</w:t>
            </w:r>
          </w:p>
          <w:p w14:paraId="574E8B1B"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color w:val="auto"/>
                <w:sz w:val="22"/>
                <w:szCs w:val="22"/>
              </w:rPr>
              <w:t>inventory / current liabilities</w:t>
            </w:r>
          </w:p>
        </w:tc>
        <w:tc>
          <w:tcPr>
            <w:tcW w:w="3767" w:type="dxa"/>
          </w:tcPr>
          <w:p w14:paraId="7B3B6EFC"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300000 + 150000 / 250000 = 1.8</w:t>
            </w:r>
          </w:p>
        </w:tc>
        <w:tc>
          <w:tcPr>
            <w:tcW w:w="3767" w:type="dxa"/>
          </w:tcPr>
          <w:p w14:paraId="321DB421"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200000 + 100000 / 270000 = 1.1</w:t>
            </w:r>
          </w:p>
        </w:tc>
        <w:tc>
          <w:tcPr>
            <w:tcW w:w="3615" w:type="dxa"/>
          </w:tcPr>
          <w:p w14:paraId="3894361F"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100000 + 80000 / 300000 = 0.6</w:t>
            </w:r>
          </w:p>
        </w:tc>
      </w:tr>
      <w:tr w:rsidR="00EF6BCF" w:rsidRPr="00A970ED" w14:paraId="37FF4357" w14:textId="77777777" w:rsidTr="00EF6BCF">
        <w:trPr>
          <w:trHeight w:val="1271"/>
        </w:trPr>
        <w:tc>
          <w:tcPr>
            <w:cnfStyle w:val="001000000000" w:firstRow="0" w:lastRow="0" w:firstColumn="1" w:lastColumn="0" w:oddVBand="0" w:evenVBand="0" w:oddHBand="0" w:evenHBand="0" w:firstRowFirstColumn="0" w:firstRowLastColumn="0" w:lastRowFirstColumn="0" w:lastRowLastColumn="0"/>
            <w:tcW w:w="2569" w:type="dxa"/>
          </w:tcPr>
          <w:p w14:paraId="2BC45D25" w14:textId="77777777" w:rsidR="00EF6BCF" w:rsidRPr="00A970ED" w:rsidRDefault="00EF6BCF" w:rsidP="005A1F23">
            <w:pPr>
              <w:spacing w:after="160" w:line="360" w:lineRule="auto"/>
              <w:jc w:val="left"/>
              <w:rPr>
                <w:rFonts w:ascii="Calibri" w:eastAsiaTheme="minorHAnsi" w:hAnsi="Calibri" w:cs="Calibri"/>
                <w:b/>
                <w:bCs/>
                <w:color w:val="auto"/>
                <w:sz w:val="22"/>
                <w:szCs w:val="22"/>
              </w:rPr>
            </w:pPr>
            <w:r w:rsidRPr="00A970ED">
              <w:rPr>
                <w:rFonts w:ascii="Calibri" w:eastAsiaTheme="minorHAnsi" w:hAnsi="Calibri" w:cs="Calibri"/>
                <w:b/>
                <w:bCs/>
                <w:color w:val="auto"/>
                <w:sz w:val="22"/>
                <w:szCs w:val="22"/>
              </w:rPr>
              <w:t>Return on assets (ROA)</w:t>
            </w:r>
          </w:p>
          <w:p w14:paraId="27361BC6"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color w:val="auto"/>
                <w:sz w:val="22"/>
                <w:szCs w:val="22"/>
              </w:rPr>
              <w:t>Net income / total assets</w:t>
            </w:r>
          </w:p>
        </w:tc>
        <w:tc>
          <w:tcPr>
            <w:tcW w:w="3767" w:type="dxa"/>
          </w:tcPr>
          <w:p w14:paraId="61D451C5"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700000 / 5450000 = 12.84%</w:t>
            </w:r>
          </w:p>
        </w:tc>
        <w:tc>
          <w:tcPr>
            <w:tcW w:w="3767" w:type="dxa"/>
          </w:tcPr>
          <w:p w14:paraId="2951E06A"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200000 / 5100000 = 3.92%</w:t>
            </w:r>
          </w:p>
        </w:tc>
        <w:tc>
          <w:tcPr>
            <w:tcW w:w="3615" w:type="dxa"/>
          </w:tcPr>
          <w:p w14:paraId="451B00EC" w14:textId="77777777" w:rsidR="00EF6BCF" w:rsidRPr="00A970ED" w:rsidRDefault="00EF6BCF" w:rsidP="005A1F23">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rPr>
            </w:pPr>
            <w:r w:rsidRPr="00A970ED">
              <w:rPr>
                <w:rFonts w:ascii="Calibri" w:hAnsi="Calibri" w:cs="Calibri"/>
                <w:color w:val="auto"/>
              </w:rPr>
              <w:t>- 500000 / 4680000 = -10.68%</w:t>
            </w:r>
          </w:p>
        </w:tc>
      </w:tr>
      <w:tr w:rsidR="00EF6BCF" w:rsidRPr="00A970ED" w14:paraId="7FFFBDD9" w14:textId="77777777" w:rsidTr="00EF6BCF">
        <w:trPr>
          <w:cnfStyle w:val="000000100000" w:firstRow="0" w:lastRow="0" w:firstColumn="0" w:lastColumn="0" w:oddVBand="0" w:evenVBand="0" w:oddHBand="1" w:evenHBand="0" w:firstRowFirstColumn="0" w:firstRowLastColumn="0" w:lastRowFirstColumn="0" w:lastRowLastColumn="0"/>
          <w:trHeight w:val="1379"/>
        </w:trPr>
        <w:tc>
          <w:tcPr>
            <w:cnfStyle w:val="001000000000" w:firstRow="0" w:lastRow="0" w:firstColumn="1" w:lastColumn="0" w:oddVBand="0" w:evenVBand="0" w:oddHBand="0" w:evenHBand="0" w:firstRowFirstColumn="0" w:firstRowLastColumn="0" w:lastRowFirstColumn="0" w:lastRowLastColumn="0"/>
            <w:tcW w:w="2569" w:type="dxa"/>
          </w:tcPr>
          <w:p w14:paraId="56C71FC5"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b/>
                <w:bCs/>
                <w:color w:val="auto"/>
                <w:sz w:val="22"/>
                <w:szCs w:val="22"/>
              </w:rPr>
              <w:t>Return on equity (ROE)</w:t>
            </w:r>
          </w:p>
          <w:p w14:paraId="301AA721" w14:textId="77777777" w:rsidR="00EF6BCF" w:rsidRPr="00A970ED" w:rsidRDefault="00EF6BCF" w:rsidP="005A1F23">
            <w:pPr>
              <w:spacing w:after="160" w:line="360" w:lineRule="auto"/>
              <w:jc w:val="left"/>
              <w:rPr>
                <w:rFonts w:ascii="Calibri" w:eastAsiaTheme="minorHAnsi" w:hAnsi="Calibri" w:cs="Calibri"/>
                <w:color w:val="auto"/>
                <w:sz w:val="22"/>
                <w:szCs w:val="22"/>
              </w:rPr>
            </w:pPr>
            <w:r w:rsidRPr="00A970ED">
              <w:rPr>
                <w:rFonts w:ascii="Calibri" w:eastAsiaTheme="minorHAnsi" w:hAnsi="Calibri" w:cs="Calibri"/>
                <w:color w:val="auto"/>
                <w:sz w:val="22"/>
                <w:szCs w:val="22"/>
              </w:rPr>
              <w:t>Net income / equity</w:t>
            </w:r>
          </w:p>
        </w:tc>
        <w:tc>
          <w:tcPr>
            <w:tcW w:w="3767" w:type="dxa"/>
          </w:tcPr>
          <w:p w14:paraId="098A594F"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700000 / 220000 = 31.82%</w:t>
            </w:r>
          </w:p>
        </w:tc>
        <w:tc>
          <w:tcPr>
            <w:tcW w:w="3767" w:type="dxa"/>
          </w:tcPr>
          <w:p w14:paraId="1B90E7A5"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200000 / 1830000 = 10.93%</w:t>
            </w:r>
          </w:p>
        </w:tc>
        <w:tc>
          <w:tcPr>
            <w:tcW w:w="3615" w:type="dxa"/>
          </w:tcPr>
          <w:p w14:paraId="21136468" w14:textId="77777777" w:rsidR="00EF6BCF" w:rsidRPr="00A970ED" w:rsidRDefault="00EF6BCF" w:rsidP="005A1F23">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r w:rsidRPr="00A970ED">
              <w:rPr>
                <w:rFonts w:ascii="Calibri" w:hAnsi="Calibri" w:cs="Calibri"/>
                <w:color w:val="auto"/>
              </w:rPr>
              <w:t>- 500000 / 1380000 = -36.83%</w:t>
            </w:r>
          </w:p>
        </w:tc>
      </w:tr>
    </w:tbl>
    <w:p w14:paraId="7CD8D515" w14:textId="4D67F46A" w:rsidR="00A970ED" w:rsidRPr="00EF6BCF" w:rsidRDefault="00A970ED" w:rsidP="00EF6BCF">
      <w:pPr>
        <w:pStyle w:val="Heading1"/>
      </w:pPr>
      <w:bookmarkStart w:id="9" w:name="_Toc168615001"/>
      <w:r w:rsidRPr="00EF6BCF">
        <w:lastRenderedPageBreak/>
        <w:t xml:space="preserve">Financial Performance </w:t>
      </w:r>
      <w:bookmarkEnd w:id="7"/>
      <w:r w:rsidRPr="00EF6BCF">
        <w:t xml:space="preserve">of Urban Heights Hotel over 3 </w:t>
      </w:r>
      <w:proofErr w:type="gramStart"/>
      <w:r w:rsidRPr="00EF6BCF">
        <w:t>years</w:t>
      </w:r>
      <w:proofErr w:type="gramEnd"/>
      <w:r w:rsidRPr="00EF6BCF">
        <w:t xml:space="preserve"> period</w:t>
      </w:r>
      <w:bookmarkEnd w:id="8"/>
      <w:bookmarkEnd w:id="9"/>
    </w:p>
    <w:p w14:paraId="6ACBE18B" w14:textId="77777777" w:rsidR="00C25BE0" w:rsidRPr="00EF6BCF" w:rsidRDefault="00C25BE0" w:rsidP="00EF6BCF">
      <w:pPr>
        <w:spacing w:line="360" w:lineRule="auto"/>
        <w:rPr>
          <w:rFonts w:ascii="Calibri" w:hAnsi="Calibri" w:cs="Calibri"/>
          <w:b/>
          <w:bCs/>
        </w:rPr>
      </w:pPr>
      <w:r w:rsidRPr="00EF6BCF">
        <w:rPr>
          <w:rFonts w:ascii="Calibri" w:hAnsi="Calibri" w:cs="Calibri"/>
          <w:b/>
          <w:bCs/>
        </w:rPr>
        <w:t>Analysis of income and expenses</w:t>
      </w:r>
    </w:p>
    <w:p w14:paraId="38DDF387" w14:textId="77777777" w:rsidR="00C25BE0" w:rsidRPr="00EF6BCF" w:rsidRDefault="00C25BE0" w:rsidP="00EF6BCF">
      <w:pPr>
        <w:spacing w:line="360" w:lineRule="auto"/>
        <w:rPr>
          <w:rFonts w:ascii="Calibri" w:hAnsi="Calibri" w:cs="Calibri"/>
        </w:rPr>
      </w:pPr>
      <w:r w:rsidRPr="00EF6BCF">
        <w:rPr>
          <w:rFonts w:ascii="Calibri" w:hAnsi="Calibri" w:cs="Calibri"/>
        </w:rPr>
        <w:t>The income statement thus reveals a constant decrease in income from 2,500,000 pounds in 2021 to 2,200,000 pounds in 2022 reaching up to 1,800,000 pounds in 2023. ,00 pounds to £2,300,000. This mismatch between the decrease in income and the increase in expenses led to a significant decrease in net income, which fell from 700,000 pounds in 2021 to a net loss of 500,000 pounds in 2023.</w:t>
      </w:r>
    </w:p>
    <w:p w14:paraId="42446D6B" w14:textId="77777777" w:rsidR="00C25BE0" w:rsidRPr="00EF6BCF" w:rsidRDefault="00C25BE0" w:rsidP="00EF6BCF">
      <w:pPr>
        <w:spacing w:line="360" w:lineRule="auto"/>
        <w:rPr>
          <w:rFonts w:ascii="Calibri" w:hAnsi="Calibri" w:cs="Calibri"/>
          <w:b/>
          <w:bCs/>
        </w:rPr>
      </w:pPr>
      <w:r w:rsidRPr="00EF6BCF">
        <w:rPr>
          <w:rFonts w:ascii="Calibri" w:hAnsi="Calibri" w:cs="Calibri"/>
          <w:b/>
          <w:bCs/>
        </w:rPr>
        <w:t>Financial performance decreases</w:t>
      </w:r>
    </w:p>
    <w:p w14:paraId="1A8AA7A4" w14:textId="091055CA" w:rsidR="00C25BE0" w:rsidRPr="00EF6BCF" w:rsidRDefault="00C25BE0" w:rsidP="00EF6BCF">
      <w:pPr>
        <w:spacing w:line="360" w:lineRule="auto"/>
        <w:rPr>
          <w:rFonts w:ascii="Calibri" w:hAnsi="Calibri" w:cs="Calibri"/>
        </w:rPr>
      </w:pPr>
      <w:r w:rsidRPr="00EF6BCF">
        <w:rPr>
          <w:rFonts w:ascii="Calibri" w:hAnsi="Calibri" w:cs="Calibri"/>
        </w:rPr>
        <w:t>The declining financial health of the hotel is strongly highlighted by the significant reduction of both the return on assets and also the return on equity. In 2021, the ROA was 12.84%, which indicates the efficient use of assets to generate earnings. However, until the year 2023, this ratio dropped drastically to -10.68%, reflecting not only the decrease in profits, but also a potential more defective administration or even underutilization of the hotel's assets.</w:t>
      </w:r>
    </w:p>
    <w:p w14:paraId="74BA213C" w14:textId="77777777" w:rsidR="00C25BE0" w:rsidRPr="00EF6BCF" w:rsidRDefault="00C25BE0" w:rsidP="00EF6BCF">
      <w:pPr>
        <w:spacing w:line="360" w:lineRule="auto"/>
        <w:rPr>
          <w:rFonts w:ascii="Calibri" w:hAnsi="Calibri" w:cs="Calibri"/>
        </w:rPr>
      </w:pPr>
      <w:r w:rsidRPr="00EF6BCF">
        <w:rPr>
          <w:rFonts w:ascii="Calibri" w:hAnsi="Calibri" w:cs="Calibri"/>
        </w:rPr>
        <w:t>Similarly, ROE recorded a steeper decrease starting from 31.82% in 2021 but also deteriorating to -36.83% in 2023. This drastic decrease means that the hotel only generates sufficient profits for its shareholders and thus loses his investments</w:t>
      </w:r>
    </w:p>
    <w:p w14:paraId="2EFF6677" w14:textId="77777777" w:rsidR="00C25BE0" w:rsidRPr="00EF6BCF" w:rsidRDefault="00C25BE0" w:rsidP="00EF6BCF">
      <w:pPr>
        <w:spacing w:line="360" w:lineRule="auto"/>
        <w:rPr>
          <w:rFonts w:ascii="Calibri" w:hAnsi="Calibri" w:cs="Calibri"/>
          <w:b/>
          <w:bCs/>
        </w:rPr>
      </w:pPr>
      <w:r w:rsidRPr="00EF6BCF">
        <w:rPr>
          <w:rFonts w:ascii="Calibri" w:hAnsi="Calibri" w:cs="Calibri"/>
          <w:b/>
          <w:bCs/>
        </w:rPr>
        <w:t>Profitability but also fluctuations in net income</w:t>
      </w:r>
    </w:p>
    <w:p w14:paraId="170ABF2C" w14:textId="77777777" w:rsidR="00C25BE0" w:rsidRPr="00EF6BCF" w:rsidRDefault="00C25BE0" w:rsidP="00EF6BCF">
      <w:pPr>
        <w:spacing w:line="360" w:lineRule="auto"/>
        <w:rPr>
          <w:rFonts w:ascii="Calibri" w:hAnsi="Calibri" w:cs="Calibri"/>
        </w:rPr>
      </w:pPr>
      <w:r w:rsidRPr="00EF6BCF">
        <w:rPr>
          <w:rFonts w:ascii="Calibri" w:hAnsi="Calibri" w:cs="Calibri"/>
        </w:rPr>
        <w:t>The profitability of the hotel was thus a downward trajectory, a fact proven by the continuous decrease in net income. Net income thus fell from £700,000 in 2021 to £200,000 for 2022 before turning into a major loss of -£500,000.</w:t>
      </w:r>
    </w:p>
    <w:p w14:paraId="1254A998" w14:textId="77777777" w:rsidR="00C25BE0" w:rsidRPr="00EF6BCF" w:rsidRDefault="00C25BE0" w:rsidP="00EF6BCF">
      <w:pPr>
        <w:spacing w:line="360" w:lineRule="auto"/>
        <w:rPr>
          <w:rFonts w:ascii="Calibri" w:hAnsi="Calibri" w:cs="Calibri"/>
        </w:rPr>
      </w:pPr>
    </w:p>
    <w:p w14:paraId="3747C2A1" w14:textId="1491880D" w:rsidR="00C25BE0" w:rsidRPr="00EF6BCF" w:rsidRDefault="00C25BE0" w:rsidP="00EF6BCF">
      <w:pPr>
        <w:spacing w:line="360" w:lineRule="auto"/>
        <w:rPr>
          <w:rFonts w:ascii="Calibri" w:hAnsi="Calibri" w:cs="Calibri"/>
        </w:rPr>
      </w:pPr>
      <w:r w:rsidRPr="00EF6BCF">
        <w:rPr>
          <w:rFonts w:ascii="Calibri" w:hAnsi="Calibri" w:cs="Calibri"/>
        </w:rPr>
        <w:lastRenderedPageBreak/>
        <w:t>The current ratio, which measures the hotel's ability to cover its short-term liabilities with its short-term assets, also fell. It decreased from 1.8 in 2021 to 0.6 in 2023, indicating potential liquidity problems. In a similar way, the quick ratio, which excludes stocks from current assets, greatly reflects the decrease, emphasizing more the hotel's struggle to meet its obligations.</w:t>
      </w:r>
    </w:p>
    <w:p w14:paraId="266D61CA" w14:textId="570276B9" w:rsidR="00A970ED" w:rsidRPr="00EF6BCF" w:rsidRDefault="00C25BE0" w:rsidP="00EF6BCF">
      <w:pPr>
        <w:spacing w:line="360" w:lineRule="auto"/>
        <w:rPr>
          <w:rFonts w:ascii="Calibri" w:hAnsi="Calibri" w:cs="Calibri"/>
        </w:rPr>
      </w:pPr>
      <w:r w:rsidRPr="00EF6BCF">
        <w:rPr>
          <w:rFonts w:ascii="Calibri" w:hAnsi="Calibri" w:cs="Calibri"/>
        </w:rPr>
        <w:t>Moreover, the debt-to-equity ratio increased from 1.48 in 2021 to 2.39 in 2023. which can be very risky, especially considering the decrease in profitability</w:t>
      </w:r>
      <w:r w:rsidR="00A970ED" w:rsidRPr="00EF6BCF">
        <w:rPr>
          <w:rFonts w:ascii="Calibri" w:hAnsi="Calibri" w:cs="Calibri"/>
        </w:rPr>
        <w:br w:type="page"/>
      </w:r>
    </w:p>
    <w:p w14:paraId="4D4D4358" w14:textId="77777777" w:rsidR="00A970ED" w:rsidRPr="00EF6BCF" w:rsidRDefault="00A970ED" w:rsidP="00EF6BCF">
      <w:pPr>
        <w:pStyle w:val="Heading1"/>
      </w:pPr>
      <w:bookmarkStart w:id="10" w:name="_Toc168605163"/>
      <w:bookmarkStart w:id="11" w:name="_Toc168615002"/>
      <w:r w:rsidRPr="00EF6BCF">
        <w:lastRenderedPageBreak/>
        <w:t>Key main reasons of the decline in profitability of the hotel</w:t>
      </w:r>
      <w:bookmarkEnd w:id="10"/>
      <w:bookmarkEnd w:id="11"/>
      <w:r w:rsidRPr="00EF6BCF">
        <w:t xml:space="preserve"> </w:t>
      </w:r>
    </w:p>
    <w:p w14:paraId="7E608D30" w14:textId="77777777" w:rsidR="00EF6BCF" w:rsidRPr="00EF6BCF" w:rsidRDefault="00EF6BCF" w:rsidP="00EF6BCF">
      <w:pPr>
        <w:spacing w:line="360" w:lineRule="auto"/>
        <w:rPr>
          <w:rFonts w:ascii="Calibri" w:hAnsi="Calibri" w:cs="Calibri"/>
          <w:b/>
          <w:bCs/>
        </w:rPr>
      </w:pPr>
      <w:r w:rsidRPr="00EF6BCF">
        <w:rPr>
          <w:rFonts w:ascii="Calibri" w:hAnsi="Calibri" w:cs="Calibri"/>
          <w:b/>
          <w:bCs/>
        </w:rPr>
        <w:t>Declining revenues</w:t>
      </w:r>
    </w:p>
    <w:p w14:paraId="054EB277" w14:textId="77777777" w:rsidR="00EF6BCF" w:rsidRDefault="00EF6BCF" w:rsidP="00EF6BCF">
      <w:pPr>
        <w:spacing w:line="360" w:lineRule="auto"/>
        <w:rPr>
          <w:rFonts w:ascii="Calibri" w:hAnsi="Calibri" w:cs="Calibri"/>
        </w:rPr>
      </w:pPr>
      <w:r w:rsidRPr="00EF6BCF">
        <w:rPr>
          <w:rFonts w:ascii="Calibri" w:hAnsi="Calibri" w:cs="Calibri"/>
        </w:rPr>
        <w:t>One of the main reasons for the decrease in profitability at the Urban Heights Hotel is thus the constant income in the three-year period from 2021 and 2023. significant reduction. This trend of decreasing income thus indicates a possible decrease in guest occupancy rates and reduced room rates or even a massive decrease in the use of auxiliary services such as meals, agreed facilities and events. External factors such as increased competition, economic recessions or even changes in consumer preferences could thus have contributed to this revenue shortfall.</w:t>
      </w:r>
    </w:p>
    <w:p w14:paraId="643C5260" w14:textId="77777777" w:rsidR="00EF6BCF" w:rsidRPr="00EF6BCF" w:rsidRDefault="00EF6BCF" w:rsidP="00EF6BCF">
      <w:pPr>
        <w:spacing w:line="360" w:lineRule="auto"/>
        <w:rPr>
          <w:rFonts w:ascii="Calibri" w:hAnsi="Calibri" w:cs="Calibri"/>
          <w:b/>
          <w:bCs/>
        </w:rPr>
      </w:pPr>
      <w:r w:rsidRPr="00EF6BCF">
        <w:rPr>
          <w:rFonts w:ascii="Calibri" w:hAnsi="Calibri" w:cs="Calibri"/>
          <w:b/>
          <w:bCs/>
        </w:rPr>
        <w:t>Increase in operating expenses</w:t>
      </w:r>
    </w:p>
    <w:p w14:paraId="148391DD" w14:textId="442685C7" w:rsidR="00EF6BCF" w:rsidRDefault="00EF6BCF" w:rsidP="00EF6BCF">
      <w:pPr>
        <w:spacing w:line="360" w:lineRule="auto"/>
        <w:rPr>
          <w:rFonts w:ascii="Calibri" w:hAnsi="Calibri" w:cs="Calibri"/>
        </w:rPr>
      </w:pPr>
      <w:r w:rsidRPr="00EF6BCF">
        <w:rPr>
          <w:rFonts w:ascii="Calibri" w:hAnsi="Calibri" w:cs="Calibri"/>
        </w:rPr>
        <w:t>While revenues were thus falling, operating expenses for the hotel thus increased from £1,800,000 in 2021 to £2,300,000 in 2023. Key components of operating expenses such as labour costs but also the costs of utilities and maintenance and supply expenses could thus be increased. In addition, inflationary pressures could thus lead to cost increases in different operational areas. Inefficient cost management practices or even the inability to adjust operational costs as a response to the decrease in revenues, which can thus have a significant impact on profit</w:t>
      </w:r>
      <w:r w:rsidR="002E14A3">
        <w:rPr>
          <w:rFonts w:ascii="Calibri" w:hAnsi="Calibri" w:cs="Calibri"/>
        </w:rPr>
        <w:t xml:space="preserve"> (</w:t>
      </w:r>
      <w:r w:rsidR="002E14A3" w:rsidRPr="002E14A3">
        <w:rPr>
          <w:rFonts w:ascii="Calibri" w:hAnsi="Calibri" w:cs="Calibri"/>
        </w:rPr>
        <w:t>GHEORGHE, C.</w:t>
      </w:r>
      <w:r w:rsidR="002E14A3">
        <w:rPr>
          <w:rFonts w:ascii="Calibri" w:hAnsi="Calibri" w:cs="Calibri"/>
        </w:rPr>
        <w:t xml:space="preserve">, </w:t>
      </w:r>
      <w:r w:rsidR="002E14A3" w:rsidRPr="002E14A3">
        <w:rPr>
          <w:rFonts w:ascii="Calibri" w:hAnsi="Calibri" w:cs="Calibri"/>
        </w:rPr>
        <w:t>2013).</w:t>
      </w:r>
    </w:p>
    <w:p w14:paraId="6B94DAAE" w14:textId="77777777" w:rsidR="00EF6BCF" w:rsidRPr="00EF6BCF" w:rsidRDefault="00EF6BCF" w:rsidP="00EF6BCF">
      <w:pPr>
        <w:spacing w:line="360" w:lineRule="auto"/>
        <w:rPr>
          <w:rFonts w:ascii="Calibri" w:hAnsi="Calibri" w:cs="Calibri"/>
          <w:b/>
          <w:bCs/>
        </w:rPr>
      </w:pPr>
      <w:r w:rsidRPr="00EF6BCF">
        <w:rPr>
          <w:rFonts w:ascii="Calibri" w:hAnsi="Calibri" w:cs="Calibri"/>
          <w:b/>
          <w:bCs/>
        </w:rPr>
        <w:t>Inefficient use of assets</w:t>
      </w:r>
    </w:p>
    <w:p w14:paraId="641FC24D" w14:textId="3996E7BE" w:rsidR="00EF6BCF" w:rsidRDefault="00EF6BCF" w:rsidP="00EF6BCF">
      <w:pPr>
        <w:spacing w:line="360" w:lineRule="auto"/>
        <w:rPr>
          <w:rFonts w:ascii="Calibri" w:hAnsi="Calibri" w:cs="Calibri"/>
        </w:rPr>
      </w:pPr>
      <w:r w:rsidRPr="00EF6BCF">
        <w:rPr>
          <w:rFonts w:ascii="Calibri" w:hAnsi="Calibri" w:cs="Calibri"/>
        </w:rPr>
        <w:t xml:space="preserve">The return on all assets ratio (ROA) thus provides information on how efficiently the hotel uses its assets to generate profits. The dramatic drop in ROA from 12.84% in 2021 to -10.68% in 2023 suggested that the hotel's assets are not that efficient. This inefficiency can be caused by the underutilization of facilities such as unoccupied rooms or even underutilized conference or event spaces. Poor asset management strategies, along with failure to innovate or adapt to changing market conditions, can exacerbate this problem. Efficient asset management is essential for </w:t>
      </w:r>
      <w:r w:rsidRPr="00EF6BCF">
        <w:rPr>
          <w:rFonts w:ascii="Calibri" w:hAnsi="Calibri" w:cs="Calibri"/>
        </w:rPr>
        <w:lastRenderedPageBreak/>
        <w:t>maintaining high occupancy rates and for ensuring that absolutely all facilities contribute positively to the hotel's revenues</w:t>
      </w:r>
      <w:r w:rsidR="00DE2DCD">
        <w:rPr>
          <w:rFonts w:ascii="Calibri" w:hAnsi="Calibri" w:cs="Calibri"/>
        </w:rPr>
        <w:t xml:space="preserve"> (</w:t>
      </w:r>
      <w:r w:rsidR="00DE2DCD" w:rsidRPr="00DE2DCD">
        <w:rPr>
          <w:rFonts w:ascii="Calibri" w:hAnsi="Calibri" w:cs="Calibri"/>
        </w:rPr>
        <w:t xml:space="preserve">Ivanov, S., &amp; </w:t>
      </w:r>
      <w:proofErr w:type="spellStart"/>
      <w:r w:rsidR="00DE2DCD" w:rsidRPr="00DE2DCD">
        <w:rPr>
          <w:rFonts w:ascii="Calibri" w:hAnsi="Calibri" w:cs="Calibri"/>
        </w:rPr>
        <w:t>Zhechev</w:t>
      </w:r>
      <w:proofErr w:type="spellEnd"/>
      <w:r w:rsidR="00DE2DCD" w:rsidRPr="00DE2DCD">
        <w:rPr>
          <w:rFonts w:ascii="Calibri" w:hAnsi="Calibri" w:cs="Calibri"/>
        </w:rPr>
        <w:t>, V.</w:t>
      </w:r>
      <w:r w:rsidR="00DE2DCD">
        <w:rPr>
          <w:rFonts w:ascii="Calibri" w:hAnsi="Calibri" w:cs="Calibri"/>
        </w:rPr>
        <w:t xml:space="preserve">, </w:t>
      </w:r>
      <w:r w:rsidR="00DE2DCD" w:rsidRPr="00DE2DCD">
        <w:rPr>
          <w:rFonts w:ascii="Calibri" w:hAnsi="Calibri" w:cs="Calibri"/>
        </w:rPr>
        <w:t>2012).</w:t>
      </w:r>
    </w:p>
    <w:p w14:paraId="0DEB8EFC" w14:textId="77777777" w:rsidR="0038516D" w:rsidRPr="0038516D" w:rsidRDefault="0038516D" w:rsidP="0038516D">
      <w:pPr>
        <w:spacing w:line="360" w:lineRule="auto"/>
        <w:rPr>
          <w:rFonts w:ascii="Calibri" w:hAnsi="Calibri" w:cs="Calibri"/>
          <w:b/>
          <w:bCs/>
        </w:rPr>
      </w:pPr>
      <w:r w:rsidRPr="0038516D">
        <w:rPr>
          <w:rFonts w:ascii="Calibri" w:hAnsi="Calibri" w:cs="Calibri"/>
          <w:b/>
          <w:bCs/>
        </w:rPr>
        <w:t>Increased financial leverage</w:t>
      </w:r>
    </w:p>
    <w:p w14:paraId="7DCE5C21" w14:textId="6E45523F" w:rsidR="0038516D" w:rsidRDefault="0038516D" w:rsidP="0038516D">
      <w:pPr>
        <w:spacing w:line="360" w:lineRule="auto"/>
        <w:rPr>
          <w:rFonts w:ascii="Calibri" w:hAnsi="Calibri" w:cs="Calibri"/>
        </w:rPr>
      </w:pPr>
      <w:r w:rsidRPr="0038516D">
        <w:rPr>
          <w:rFonts w:ascii="Calibri" w:hAnsi="Calibri" w:cs="Calibri"/>
        </w:rPr>
        <w:t>The debt-equity ratio increased significantly from 1.48 in 2021 to 2.39 in 2023, which indicates that the hotel relies more and more on debt to finance its operations. This increasing leverage effect can be risky, especially in periods of declining profitability. Increased debt levels could lead to higher interest expenses, putting additional pressure on the hotel's cash flow but also reducing net income. Debt dependence could thus have been a strategy to cope with the drop in income or to finance the necessary capital expenditures, but it ultimately contributed to financial instability</w:t>
      </w:r>
      <w:r w:rsidR="002E14A3">
        <w:rPr>
          <w:rFonts w:ascii="Calibri" w:hAnsi="Calibri" w:cs="Calibri"/>
        </w:rPr>
        <w:t xml:space="preserve"> (</w:t>
      </w:r>
      <w:proofErr w:type="spellStart"/>
      <w:r w:rsidR="002E14A3" w:rsidRPr="002E14A3">
        <w:rPr>
          <w:rFonts w:ascii="Calibri" w:hAnsi="Calibri" w:cs="Calibri"/>
        </w:rPr>
        <w:t>Hussan</w:t>
      </w:r>
      <w:proofErr w:type="spellEnd"/>
      <w:r w:rsidR="002E14A3" w:rsidRPr="002E14A3">
        <w:rPr>
          <w:rFonts w:ascii="Calibri" w:hAnsi="Calibri" w:cs="Calibri"/>
        </w:rPr>
        <w:t>, J.</w:t>
      </w:r>
      <w:r w:rsidR="002E14A3">
        <w:rPr>
          <w:rFonts w:ascii="Calibri" w:hAnsi="Calibri" w:cs="Calibri"/>
        </w:rPr>
        <w:t xml:space="preserve">, </w:t>
      </w:r>
      <w:r w:rsidR="002E14A3" w:rsidRPr="002E14A3">
        <w:rPr>
          <w:rFonts w:ascii="Calibri" w:hAnsi="Calibri" w:cs="Calibri"/>
        </w:rPr>
        <w:t>2016).</w:t>
      </w:r>
    </w:p>
    <w:p w14:paraId="1267C958" w14:textId="77777777" w:rsidR="0038516D" w:rsidRPr="0038516D" w:rsidRDefault="0038516D" w:rsidP="0038516D">
      <w:pPr>
        <w:spacing w:line="360" w:lineRule="auto"/>
        <w:rPr>
          <w:rFonts w:ascii="Calibri" w:hAnsi="Calibri" w:cs="Calibri"/>
          <w:b/>
          <w:bCs/>
        </w:rPr>
      </w:pPr>
      <w:r w:rsidRPr="0038516D">
        <w:rPr>
          <w:rFonts w:ascii="Calibri" w:hAnsi="Calibri" w:cs="Calibri"/>
          <w:b/>
          <w:bCs/>
        </w:rPr>
        <w:t>Negative impact on equity</w:t>
      </w:r>
    </w:p>
    <w:p w14:paraId="30BF8D65" w14:textId="3C1E34DF" w:rsidR="00A970ED" w:rsidRPr="00EF6BCF" w:rsidRDefault="0038516D" w:rsidP="00EF6BCF">
      <w:pPr>
        <w:spacing w:line="360" w:lineRule="auto"/>
        <w:rPr>
          <w:rFonts w:ascii="Calibri" w:hAnsi="Calibri" w:cs="Calibri"/>
        </w:rPr>
      </w:pPr>
      <w:r w:rsidRPr="0038516D">
        <w:rPr>
          <w:rFonts w:ascii="Calibri" w:hAnsi="Calibri" w:cs="Calibri"/>
        </w:rPr>
        <w:t>The return on equity ratio (ROE), which decreased from 31.82% in 2021 to -36.83% in 2023, underlines the negative impact on shareholder values. The negative ROE indicates that the hotel thus generates losses instead of profits from the shareholders' investments. This scenario can lead to a loss of investor confidence, thus making it more difficult for the hotel to raise additional capital. Also, this highlights the weaker financial performance but also suggests that the hotel's strategies are not aligned with the creation of value for shareholders.</w:t>
      </w:r>
      <w:r w:rsidR="00EF6BCF">
        <w:rPr>
          <w:rFonts w:ascii="Calibri" w:hAnsi="Calibri" w:cs="Calibri"/>
        </w:rPr>
        <w:br w:type="page"/>
      </w:r>
    </w:p>
    <w:p w14:paraId="3FA039BA" w14:textId="77777777" w:rsidR="00A970ED" w:rsidRPr="00EF6BCF" w:rsidRDefault="00A970ED" w:rsidP="00EF6BCF">
      <w:pPr>
        <w:pStyle w:val="Heading1"/>
      </w:pPr>
      <w:bookmarkStart w:id="12" w:name="_Toc168605164"/>
      <w:bookmarkStart w:id="13" w:name="_Toc168615003"/>
      <w:r w:rsidRPr="00EF6BCF">
        <w:lastRenderedPageBreak/>
        <w:t>Development of turnaround strategy for the hotel revitalisation</w:t>
      </w:r>
      <w:bookmarkEnd w:id="12"/>
      <w:bookmarkEnd w:id="13"/>
    </w:p>
    <w:p w14:paraId="4263A4E0" w14:textId="77777777" w:rsidR="00731E42" w:rsidRPr="00731E42" w:rsidRDefault="00731E42" w:rsidP="00731E42">
      <w:pPr>
        <w:spacing w:line="360" w:lineRule="auto"/>
        <w:rPr>
          <w:rFonts w:ascii="Calibri" w:hAnsi="Calibri" w:cs="Calibri"/>
          <w:b/>
          <w:bCs/>
        </w:rPr>
      </w:pPr>
      <w:r w:rsidRPr="00731E42">
        <w:rPr>
          <w:rFonts w:ascii="Calibri" w:hAnsi="Calibri" w:cs="Calibri"/>
          <w:b/>
          <w:bCs/>
        </w:rPr>
        <w:t>Revenue growth</w:t>
      </w:r>
    </w:p>
    <w:p w14:paraId="41EF110E" w14:textId="7DCB9314" w:rsidR="00731E42" w:rsidRDefault="00731E42" w:rsidP="00731E42">
      <w:pPr>
        <w:spacing w:line="360" w:lineRule="auto"/>
        <w:rPr>
          <w:rFonts w:ascii="Calibri" w:hAnsi="Calibri" w:cs="Calibri"/>
        </w:rPr>
      </w:pPr>
      <w:r w:rsidRPr="00731E42">
        <w:rPr>
          <w:rFonts w:ascii="Calibri" w:hAnsi="Calibri" w:cs="Calibri"/>
        </w:rPr>
        <w:t>In order to revitalize the Urban Heights Hotel, a strategy focused on increasing revenues is essential. The hotel should start by conducting a more comprehensive market analysis to identify and target potential customer segments</w:t>
      </w:r>
      <w:r w:rsidR="002428DC">
        <w:rPr>
          <w:rFonts w:ascii="Calibri" w:hAnsi="Calibri" w:cs="Calibri"/>
        </w:rPr>
        <w:t xml:space="preserve"> </w:t>
      </w:r>
      <w:r w:rsidR="002428DC" w:rsidRPr="002428DC">
        <w:rPr>
          <w:rFonts w:ascii="Calibri" w:hAnsi="Calibri" w:cs="Calibri"/>
        </w:rPr>
        <w:t>(Freedman, 2020)</w:t>
      </w:r>
      <w:r w:rsidR="002428DC">
        <w:rPr>
          <w:rFonts w:ascii="Calibri" w:hAnsi="Calibri" w:cs="Calibri"/>
        </w:rPr>
        <w:t>.</w:t>
      </w:r>
      <w:r w:rsidRPr="00731E42">
        <w:rPr>
          <w:rFonts w:ascii="Calibri" w:hAnsi="Calibri" w:cs="Calibri"/>
        </w:rPr>
        <w:t xml:space="preserve"> This analysis can reveal untapped markets such as business travel, families and international tourists. Packages and personalized promotions can then be designed in such a way as to attract these groups. For example, business travellers might be attracted to conference packages that include both accommodation and meeting facilities, while families might be attracted to packages that offer discounts to local attractions</w:t>
      </w:r>
      <w:r w:rsidR="002E14A3">
        <w:rPr>
          <w:rFonts w:ascii="Calibri" w:hAnsi="Calibri" w:cs="Calibri"/>
        </w:rPr>
        <w:t xml:space="preserve"> (</w:t>
      </w:r>
      <w:proofErr w:type="spellStart"/>
      <w:r w:rsidR="002E14A3" w:rsidRPr="002E14A3">
        <w:rPr>
          <w:rFonts w:ascii="Calibri" w:hAnsi="Calibri" w:cs="Calibri"/>
        </w:rPr>
        <w:t>Swarbrooke</w:t>
      </w:r>
      <w:proofErr w:type="spellEnd"/>
      <w:r w:rsidR="002E14A3" w:rsidRPr="002E14A3">
        <w:rPr>
          <w:rFonts w:ascii="Calibri" w:hAnsi="Calibri" w:cs="Calibri"/>
        </w:rPr>
        <w:t>, J., &amp; Horner, S.</w:t>
      </w:r>
      <w:r w:rsidR="002E14A3">
        <w:rPr>
          <w:rFonts w:ascii="Calibri" w:hAnsi="Calibri" w:cs="Calibri"/>
        </w:rPr>
        <w:t xml:space="preserve">, </w:t>
      </w:r>
      <w:r w:rsidR="002E14A3" w:rsidRPr="002E14A3">
        <w:rPr>
          <w:rFonts w:ascii="Calibri" w:hAnsi="Calibri" w:cs="Calibri"/>
        </w:rPr>
        <w:t>2012).</w:t>
      </w:r>
      <w:r w:rsidRPr="00731E42">
        <w:rPr>
          <w:rFonts w:ascii="Calibri" w:hAnsi="Calibri" w:cs="Calibri"/>
        </w:rPr>
        <w:t xml:space="preserve"> In addition, the use of data analysis to understand customer preferences and booking behaviours can help create personalized offers, thus improving the general experience of guests and thus increasing occupancy rates</w:t>
      </w:r>
      <w:r w:rsidR="002428DC">
        <w:rPr>
          <w:rFonts w:ascii="Calibri" w:hAnsi="Calibri" w:cs="Calibri"/>
        </w:rPr>
        <w:t xml:space="preserve"> (</w:t>
      </w:r>
      <w:r w:rsidR="002428DC" w:rsidRPr="002428DC">
        <w:rPr>
          <w:rFonts w:ascii="Calibri" w:hAnsi="Calibri" w:cs="Calibri"/>
        </w:rPr>
        <w:t>‌</w:t>
      </w:r>
      <w:proofErr w:type="spellStart"/>
      <w:r w:rsidR="002428DC" w:rsidRPr="002428DC">
        <w:rPr>
          <w:rFonts w:ascii="Calibri" w:hAnsi="Calibri" w:cs="Calibri"/>
        </w:rPr>
        <w:t>Dimitrios</w:t>
      </w:r>
      <w:proofErr w:type="spellEnd"/>
      <w:r w:rsidR="002428DC" w:rsidRPr="002428DC">
        <w:rPr>
          <w:rFonts w:ascii="Calibri" w:hAnsi="Calibri" w:cs="Calibri"/>
        </w:rPr>
        <w:t>, B.,</w:t>
      </w:r>
      <w:r w:rsidR="002428DC">
        <w:rPr>
          <w:rFonts w:ascii="Calibri" w:hAnsi="Calibri" w:cs="Calibri"/>
        </w:rPr>
        <w:t xml:space="preserve"> et al., 2023).</w:t>
      </w:r>
    </w:p>
    <w:p w14:paraId="6B99395D" w14:textId="77777777" w:rsidR="00731E42" w:rsidRPr="00731E42" w:rsidRDefault="00731E42" w:rsidP="00731E42">
      <w:pPr>
        <w:spacing w:line="360" w:lineRule="auto"/>
        <w:rPr>
          <w:rFonts w:ascii="Calibri" w:hAnsi="Calibri" w:cs="Calibri"/>
          <w:b/>
          <w:bCs/>
        </w:rPr>
      </w:pPr>
      <w:r w:rsidRPr="00731E42">
        <w:rPr>
          <w:rFonts w:ascii="Calibri" w:hAnsi="Calibri" w:cs="Calibri"/>
          <w:b/>
          <w:bCs/>
        </w:rPr>
        <w:t>Cost optimization</w:t>
      </w:r>
    </w:p>
    <w:p w14:paraId="703A8B5C" w14:textId="026E610D" w:rsidR="00731E42" w:rsidRPr="00731E42" w:rsidRDefault="00731E42" w:rsidP="00731E42">
      <w:pPr>
        <w:spacing w:line="360" w:lineRule="auto"/>
        <w:rPr>
          <w:rFonts w:ascii="Calibri" w:hAnsi="Calibri" w:cs="Calibri"/>
        </w:rPr>
      </w:pPr>
      <w:r w:rsidRPr="00731E42">
        <w:rPr>
          <w:rFonts w:ascii="Calibri" w:hAnsi="Calibri" w:cs="Calibri"/>
        </w:rPr>
        <w:t xml:space="preserve">Cost optimization thus represents another very critical component of the recovery strategy. The hotel should thus carry out a more detailed audit of its operational processes in identifying areas where costs can be reduced without compromising the quality of services. A clear example is thus optimizing staffing schedules to match demand patterns so that </w:t>
      </w:r>
      <w:r w:rsidR="002E14A3" w:rsidRPr="00731E42">
        <w:rPr>
          <w:rFonts w:ascii="Calibri" w:hAnsi="Calibri" w:cs="Calibri"/>
        </w:rPr>
        <w:t>labour</w:t>
      </w:r>
      <w:r w:rsidRPr="00731E42">
        <w:rPr>
          <w:rFonts w:ascii="Calibri" w:hAnsi="Calibri" w:cs="Calibri"/>
        </w:rPr>
        <w:t xml:space="preserve"> costs can be reduced. The implementation of more efficient practices from an energy point of view, such as the LED light bulb, but also energy efficient HVAC systems</w:t>
      </w:r>
      <w:r w:rsidR="00DE2DCD">
        <w:rPr>
          <w:rFonts w:ascii="Calibri" w:hAnsi="Calibri" w:cs="Calibri"/>
        </w:rPr>
        <w:t xml:space="preserve"> (</w:t>
      </w:r>
      <w:r w:rsidR="00DE2DCD">
        <w:rPr>
          <w:rFonts w:ascii="Arial" w:hAnsi="Arial" w:cs="Arial"/>
          <w:color w:val="222222"/>
          <w:sz w:val="20"/>
          <w:szCs w:val="20"/>
          <w:shd w:val="clear" w:color="auto" w:fill="FFFFFF"/>
        </w:rPr>
        <w:t>Barbara, C. E., et al., 2024)</w:t>
      </w:r>
      <w:r w:rsidRPr="00731E42">
        <w:rPr>
          <w:rFonts w:ascii="Calibri" w:hAnsi="Calibri" w:cs="Calibri"/>
        </w:rPr>
        <w:t>, as well as lighting fixtures, which savings can thus significantly reduce utility bills. In addition to that, the renegotiation of contracts to ensure better rates helps reduce acquisition costs</w:t>
      </w:r>
      <w:r w:rsidR="002428DC">
        <w:rPr>
          <w:rFonts w:ascii="Calibri" w:hAnsi="Calibri" w:cs="Calibri"/>
        </w:rPr>
        <w:t xml:space="preserve"> (</w:t>
      </w:r>
      <w:r w:rsidR="002428DC" w:rsidRPr="002428DC">
        <w:rPr>
          <w:rFonts w:ascii="Calibri" w:hAnsi="Calibri" w:cs="Calibri"/>
        </w:rPr>
        <w:t>Dwivedi, A.,</w:t>
      </w:r>
      <w:r w:rsidR="002428DC">
        <w:rPr>
          <w:rFonts w:ascii="Calibri" w:hAnsi="Calibri" w:cs="Calibri"/>
        </w:rPr>
        <w:t xml:space="preserve"> et al., 2023).</w:t>
      </w:r>
    </w:p>
    <w:p w14:paraId="4267086A" w14:textId="77777777" w:rsidR="002428DC" w:rsidRDefault="00731E42" w:rsidP="00731E42">
      <w:pPr>
        <w:spacing w:line="360" w:lineRule="auto"/>
        <w:rPr>
          <w:rFonts w:ascii="Calibri" w:hAnsi="Calibri" w:cs="Calibri"/>
        </w:rPr>
      </w:pPr>
      <w:r w:rsidRPr="00731E42">
        <w:rPr>
          <w:rFonts w:ascii="Calibri" w:hAnsi="Calibri" w:cs="Calibri"/>
        </w:rPr>
        <w:t>By adopting a culture of continuous improvement as well as efficiency, the hotel can streamline operations and improve profitability while maintaining all the high standards of guest satisfaction</w:t>
      </w:r>
      <w:r w:rsidR="002428DC">
        <w:rPr>
          <w:rFonts w:ascii="Calibri" w:hAnsi="Calibri" w:cs="Calibri"/>
        </w:rPr>
        <w:t xml:space="preserve"> (</w:t>
      </w:r>
      <w:r w:rsidR="002428DC" w:rsidRPr="002428DC">
        <w:rPr>
          <w:rFonts w:ascii="Calibri" w:hAnsi="Calibri" w:cs="Calibri"/>
        </w:rPr>
        <w:t>Rashid, S. M.</w:t>
      </w:r>
      <w:r w:rsidR="002428DC">
        <w:rPr>
          <w:rFonts w:ascii="Calibri" w:hAnsi="Calibri" w:cs="Calibri"/>
        </w:rPr>
        <w:t xml:space="preserve">, </w:t>
      </w:r>
      <w:r w:rsidR="002428DC" w:rsidRPr="002428DC">
        <w:rPr>
          <w:rFonts w:ascii="Calibri" w:hAnsi="Calibri" w:cs="Calibri"/>
        </w:rPr>
        <w:t>2012). </w:t>
      </w:r>
    </w:p>
    <w:p w14:paraId="7C29A718" w14:textId="43201F8C" w:rsidR="00731E42" w:rsidRDefault="00731E42" w:rsidP="00731E42">
      <w:pPr>
        <w:spacing w:line="360" w:lineRule="auto"/>
        <w:rPr>
          <w:rFonts w:ascii="Calibri" w:hAnsi="Calibri" w:cs="Calibri"/>
        </w:rPr>
      </w:pPr>
      <w:r w:rsidRPr="00731E42">
        <w:rPr>
          <w:rFonts w:ascii="Calibri" w:hAnsi="Calibri" w:cs="Calibri"/>
        </w:rPr>
        <w:lastRenderedPageBreak/>
        <w:t>In addition, renegotiating contracts with suppliers to secure better rates can help reduce procurement costs. By adopting a culture of continuous improvement and efficiency, the hotel can streamline operations and improve profitability while maintaining high standards of guest satisfaction</w:t>
      </w:r>
      <w:r w:rsidR="002428DC">
        <w:rPr>
          <w:rFonts w:ascii="Calibri" w:hAnsi="Calibri" w:cs="Calibri"/>
        </w:rPr>
        <w:t xml:space="preserve"> (</w:t>
      </w:r>
      <w:proofErr w:type="spellStart"/>
      <w:r w:rsidR="002428DC" w:rsidRPr="002428DC">
        <w:rPr>
          <w:rFonts w:ascii="Calibri" w:hAnsi="Calibri" w:cs="Calibri"/>
        </w:rPr>
        <w:t>Plambeck</w:t>
      </w:r>
      <w:proofErr w:type="spellEnd"/>
      <w:r w:rsidR="002428DC" w:rsidRPr="002428DC">
        <w:rPr>
          <w:rFonts w:ascii="Calibri" w:hAnsi="Calibri" w:cs="Calibri"/>
        </w:rPr>
        <w:t>, E. L., &amp; Taylor, T. A.</w:t>
      </w:r>
      <w:r w:rsidR="002428DC">
        <w:rPr>
          <w:rFonts w:ascii="Calibri" w:hAnsi="Calibri" w:cs="Calibri"/>
        </w:rPr>
        <w:t xml:space="preserve">, </w:t>
      </w:r>
      <w:r w:rsidR="002428DC" w:rsidRPr="002428DC">
        <w:rPr>
          <w:rFonts w:ascii="Calibri" w:hAnsi="Calibri" w:cs="Calibri"/>
        </w:rPr>
        <w:t>2007).</w:t>
      </w:r>
    </w:p>
    <w:p w14:paraId="3BE2824A" w14:textId="77777777" w:rsidR="002E14A3" w:rsidRPr="002E14A3" w:rsidRDefault="002E14A3" w:rsidP="002E14A3">
      <w:pPr>
        <w:spacing w:line="360" w:lineRule="auto"/>
        <w:rPr>
          <w:rFonts w:ascii="Calibri" w:hAnsi="Calibri" w:cs="Calibri"/>
          <w:b/>
          <w:bCs/>
        </w:rPr>
      </w:pPr>
      <w:r w:rsidRPr="002E14A3">
        <w:rPr>
          <w:rFonts w:ascii="Calibri" w:hAnsi="Calibri" w:cs="Calibri"/>
          <w:b/>
          <w:bCs/>
        </w:rPr>
        <w:t>Restoration of liquidity</w:t>
      </w:r>
    </w:p>
    <w:p w14:paraId="75EA129C" w14:textId="78844E49" w:rsidR="00A970ED" w:rsidRPr="00EF6BCF" w:rsidRDefault="002E14A3" w:rsidP="002E14A3">
      <w:pPr>
        <w:spacing w:line="360" w:lineRule="auto"/>
        <w:rPr>
          <w:rFonts w:ascii="Calibri" w:hAnsi="Calibri" w:cs="Calibri"/>
        </w:rPr>
      </w:pPr>
      <w:r w:rsidRPr="002E14A3">
        <w:rPr>
          <w:rFonts w:ascii="Calibri" w:hAnsi="Calibri" w:cs="Calibri"/>
        </w:rPr>
        <w:t>Restoring liquidity is essential for the hotel's day-to-day operations, but also for its long-term viability. The hotel must thus focus on improving the current but also fast rates by increasing the cash reserves but reducing the debts in the short term. This can thus be achieved by accelerating extended payments with suppliers but also by closely managing stock levels to avoid excess stock. In addition, securing a line of credit can provide a financial cushion to manage such unexpected expenses or seasonal fluctuations in cash flow. Maintaining a healthier position of liquidity ensured so that the hotel can fulfil its financial obligations promptly, thus increasing its credibility with the interested parties and suppliers</w:t>
      </w:r>
      <w:r>
        <w:rPr>
          <w:rFonts w:ascii="Calibri" w:hAnsi="Calibri" w:cs="Calibri"/>
        </w:rPr>
        <w:t xml:space="preserve"> (</w:t>
      </w:r>
      <w:proofErr w:type="spellStart"/>
      <w:r w:rsidRPr="002E14A3">
        <w:rPr>
          <w:rFonts w:ascii="Calibri" w:hAnsi="Calibri" w:cs="Calibri"/>
        </w:rPr>
        <w:t>Claessens</w:t>
      </w:r>
      <w:proofErr w:type="spellEnd"/>
      <w:r w:rsidRPr="002E14A3">
        <w:rPr>
          <w:rFonts w:ascii="Calibri" w:hAnsi="Calibri" w:cs="Calibri"/>
        </w:rPr>
        <w:t>, S., &amp; Diwan, I.</w:t>
      </w:r>
      <w:r>
        <w:rPr>
          <w:rFonts w:ascii="Calibri" w:hAnsi="Calibri" w:cs="Calibri"/>
        </w:rPr>
        <w:t xml:space="preserve">, </w:t>
      </w:r>
      <w:r w:rsidRPr="002E14A3">
        <w:rPr>
          <w:rFonts w:ascii="Calibri" w:hAnsi="Calibri" w:cs="Calibri"/>
        </w:rPr>
        <w:t xml:space="preserve">1989). </w:t>
      </w:r>
      <w:r w:rsidR="00A970ED" w:rsidRPr="00EF6BCF">
        <w:rPr>
          <w:rFonts w:ascii="Calibri" w:hAnsi="Calibri" w:cs="Calibri"/>
        </w:rPr>
        <w:br w:type="page"/>
      </w:r>
    </w:p>
    <w:p w14:paraId="2FD8E2DC" w14:textId="77777777" w:rsidR="00A970ED" w:rsidRPr="00EF6BCF" w:rsidRDefault="00A970ED" w:rsidP="00EF6BCF">
      <w:pPr>
        <w:pStyle w:val="Heading1"/>
      </w:pPr>
      <w:bookmarkStart w:id="14" w:name="_Toc168479827"/>
      <w:bookmarkStart w:id="15" w:name="_Toc168605165"/>
      <w:bookmarkStart w:id="16" w:name="_Toc168615004"/>
      <w:r w:rsidRPr="00EF6BCF">
        <w:lastRenderedPageBreak/>
        <w:t>Conclusion</w:t>
      </w:r>
      <w:bookmarkEnd w:id="14"/>
      <w:bookmarkEnd w:id="15"/>
      <w:bookmarkEnd w:id="16"/>
    </w:p>
    <w:p w14:paraId="72A34C47" w14:textId="70D95BE8" w:rsidR="00A970ED" w:rsidRPr="00EF6BCF" w:rsidRDefault="00DE2DCD" w:rsidP="00EF6BCF">
      <w:pPr>
        <w:spacing w:line="360" w:lineRule="auto"/>
        <w:rPr>
          <w:rFonts w:ascii="Calibri" w:hAnsi="Calibri" w:cs="Calibri"/>
        </w:rPr>
      </w:pPr>
      <w:r w:rsidRPr="00DE2DCD">
        <w:rPr>
          <w:rFonts w:ascii="Calibri" w:hAnsi="Calibri" w:cs="Calibri"/>
        </w:rPr>
        <w:t>The financial evaluation of the Urban Heights Hotel for the last three years highlights a significant decrease in profitability due to various interrelated factors. The constant decrease in revenues but also the increase in operating expenses have seriously affected the net income of the hotel, culminating in a substantial net loss until the year 2023. The key financial indicators such as ROE and ROA reflect the inefficiency of the hotel in the use of assets and the generation of value for shareholders</w:t>
      </w:r>
      <w:r>
        <w:rPr>
          <w:rFonts w:ascii="Calibri" w:hAnsi="Calibri" w:cs="Calibri"/>
        </w:rPr>
        <w:t xml:space="preserve">. </w:t>
      </w:r>
      <w:r w:rsidRPr="00DE2DCD">
        <w:rPr>
          <w:rFonts w:ascii="Calibri" w:hAnsi="Calibri" w:cs="Calibri"/>
        </w:rPr>
        <w:t xml:space="preserve">In order to address these problems, a comprehensive recovery strategy is essential, which focuses on increasing revenues, optimizing costs, improving the management of the assets of the Urban Heights Hotel, thus requiring a balanced approach, capitalizing on the market analysis as well as operational audits and financial </w:t>
      </w:r>
      <w:proofErr w:type="gramStart"/>
      <w:r w:rsidRPr="00DE2DCD">
        <w:rPr>
          <w:rFonts w:ascii="Calibri" w:hAnsi="Calibri" w:cs="Calibri"/>
        </w:rPr>
        <w:t>planning .</w:t>
      </w:r>
      <w:proofErr w:type="gramEnd"/>
      <w:r w:rsidRPr="00DE2DCD">
        <w:rPr>
          <w:rFonts w:ascii="Calibri" w:hAnsi="Calibri" w:cs="Calibri"/>
        </w:rPr>
        <w:t xml:space="preserve"> strategy for overcoming current challenges and achieving long-term success</w:t>
      </w:r>
      <w:r w:rsidR="00A970ED" w:rsidRPr="00EF6BCF">
        <w:rPr>
          <w:rFonts w:ascii="Calibri" w:hAnsi="Calibri" w:cs="Calibri"/>
        </w:rPr>
        <w:br w:type="page"/>
      </w:r>
    </w:p>
    <w:p w14:paraId="7DB22B16" w14:textId="77777777" w:rsidR="00A970ED" w:rsidRPr="00EF6BCF" w:rsidRDefault="00A970ED" w:rsidP="00EF6BCF">
      <w:pPr>
        <w:pStyle w:val="Heading1"/>
      </w:pPr>
      <w:bookmarkStart w:id="17" w:name="_Toc168605166"/>
      <w:bookmarkStart w:id="18" w:name="_Toc168615005"/>
      <w:r w:rsidRPr="00EF6BCF">
        <w:lastRenderedPageBreak/>
        <w:t>References</w:t>
      </w:r>
      <w:bookmarkEnd w:id="17"/>
      <w:bookmarkEnd w:id="18"/>
    </w:p>
    <w:p w14:paraId="21FEEAFA"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 xml:space="preserve">Barbara, C. E., Adamo, I. D., Gastaldi, M., &amp; </w:t>
      </w:r>
      <w:proofErr w:type="spellStart"/>
      <w:r w:rsidRPr="00FE7E8E">
        <w:rPr>
          <w:rFonts w:ascii="Times New Roman" w:eastAsia="Times New Roman" w:hAnsi="Times New Roman" w:cs="Times New Roman"/>
          <w:kern w:val="0"/>
          <w:lang w:eastAsia="en-GB"/>
          <w14:ligatures w14:val="none"/>
        </w:rPr>
        <w:t>Nizami</w:t>
      </w:r>
      <w:proofErr w:type="spellEnd"/>
      <w:r w:rsidRPr="00FE7E8E">
        <w:rPr>
          <w:rFonts w:ascii="Times New Roman" w:eastAsia="Times New Roman" w:hAnsi="Times New Roman" w:cs="Times New Roman"/>
          <w:kern w:val="0"/>
          <w:lang w:eastAsia="en-GB"/>
          <w14:ligatures w14:val="none"/>
        </w:rPr>
        <w:t>, A. S. (2024). Clean energy for a sustainable future: Analysis of a PV system and LED bulbs in a hotel. Energy, 131547.</w:t>
      </w:r>
    </w:p>
    <w:p w14:paraId="4B89464C"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E7E8E">
        <w:rPr>
          <w:rFonts w:ascii="Times New Roman" w:eastAsia="Times New Roman" w:hAnsi="Times New Roman" w:cs="Times New Roman"/>
          <w:kern w:val="0"/>
          <w:lang w:eastAsia="en-GB"/>
          <w14:ligatures w14:val="none"/>
        </w:rPr>
        <w:t>Claessens</w:t>
      </w:r>
      <w:proofErr w:type="spellEnd"/>
      <w:r w:rsidRPr="00FE7E8E">
        <w:rPr>
          <w:rFonts w:ascii="Times New Roman" w:eastAsia="Times New Roman" w:hAnsi="Times New Roman" w:cs="Times New Roman"/>
          <w:kern w:val="0"/>
          <w:lang w:eastAsia="en-GB"/>
          <w14:ligatures w14:val="none"/>
        </w:rPr>
        <w:t>, S., &amp; Diwan, I. (1989). Liquidity, debt relief, and conditionality. Dealing with the Debt Crisis (Washington, DC: The World Bank, 1989), 213-225.</w:t>
      </w:r>
    </w:p>
    <w:p w14:paraId="6C5AA467"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E7E8E">
        <w:rPr>
          <w:rFonts w:ascii="Times New Roman" w:eastAsia="Times New Roman" w:hAnsi="Times New Roman" w:cs="Times New Roman"/>
          <w:kern w:val="0"/>
          <w:lang w:eastAsia="en-GB"/>
          <w14:ligatures w14:val="none"/>
        </w:rPr>
        <w:t>Dimitrios</w:t>
      </w:r>
      <w:proofErr w:type="spellEnd"/>
      <w:r w:rsidRPr="00FE7E8E">
        <w:rPr>
          <w:rFonts w:ascii="Times New Roman" w:eastAsia="Times New Roman" w:hAnsi="Times New Roman" w:cs="Times New Roman"/>
          <w:kern w:val="0"/>
          <w:lang w:eastAsia="en-GB"/>
          <w14:ligatures w14:val="none"/>
        </w:rPr>
        <w:t xml:space="preserve">, B., </w:t>
      </w:r>
      <w:proofErr w:type="spellStart"/>
      <w:r w:rsidRPr="00FE7E8E">
        <w:rPr>
          <w:rFonts w:ascii="Times New Roman" w:eastAsia="Times New Roman" w:hAnsi="Times New Roman" w:cs="Times New Roman"/>
          <w:kern w:val="0"/>
          <w:lang w:eastAsia="en-GB"/>
          <w14:ligatures w14:val="none"/>
        </w:rPr>
        <w:t>Ioannis</w:t>
      </w:r>
      <w:proofErr w:type="spellEnd"/>
      <w:r w:rsidRPr="00FE7E8E">
        <w:rPr>
          <w:rFonts w:ascii="Times New Roman" w:eastAsia="Times New Roman" w:hAnsi="Times New Roman" w:cs="Times New Roman"/>
          <w:kern w:val="0"/>
          <w:lang w:eastAsia="en-GB"/>
          <w14:ligatures w14:val="none"/>
        </w:rPr>
        <w:t xml:space="preserve">, R., </w:t>
      </w:r>
      <w:proofErr w:type="spellStart"/>
      <w:r w:rsidRPr="00FE7E8E">
        <w:rPr>
          <w:rFonts w:ascii="Times New Roman" w:eastAsia="Times New Roman" w:hAnsi="Times New Roman" w:cs="Times New Roman"/>
          <w:kern w:val="0"/>
          <w:lang w:eastAsia="en-GB"/>
          <w14:ligatures w14:val="none"/>
        </w:rPr>
        <w:t>Angelos</w:t>
      </w:r>
      <w:proofErr w:type="spellEnd"/>
      <w:r w:rsidRPr="00FE7E8E">
        <w:rPr>
          <w:rFonts w:ascii="Times New Roman" w:eastAsia="Times New Roman" w:hAnsi="Times New Roman" w:cs="Times New Roman"/>
          <w:kern w:val="0"/>
          <w:lang w:eastAsia="en-GB"/>
          <w14:ligatures w14:val="none"/>
        </w:rPr>
        <w:t>, N., &amp; Nikolaos, T. (2023). Digital marketing: The case of digital marketing strategies on luxurious hotels. Procedia Computer Science, 219, 688-696.</w:t>
      </w:r>
    </w:p>
    <w:p w14:paraId="6C61F89A"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 xml:space="preserve">Dwivedi, A., </w:t>
      </w:r>
      <w:proofErr w:type="spellStart"/>
      <w:r w:rsidRPr="00FE7E8E">
        <w:rPr>
          <w:rFonts w:ascii="Times New Roman" w:eastAsia="Times New Roman" w:hAnsi="Times New Roman" w:cs="Times New Roman"/>
          <w:kern w:val="0"/>
          <w:lang w:eastAsia="en-GB"/>
          <w14:ligatures w14:val="none"/>
        </w:rPr>
        <w:t>Madaan</w:t>
      </w:r>
      <w:proofErr w:type="spellEnd"/>
      <w:r w:rsidRPr="00FE7E8E">
        <w:rPr>
          <w:rFonts w:ascii="Times New Roman" w:eastAsia="Times New Roman" w:hAnsi="Times New Roman" w:cs="Times New Roman"/>
          <w:kern w:val="0"/>
          <w:lang w:eastAsia="en-GB"/>
          <w14:ligatures w14:val="none"/>
        </w:rPr>
        <w:t xml:space="preserve">, J., Chan, F. T., &amp; </w:t>
      </w:r>
      <w:proofErr w:type="spellStart"/>
      <w:r w:rsidRPr="00FE7E8E">
        <w:rPr>
          <w:rFonts w:ascii="Times New Roman" w:eastAsia="Times New Roman" w:hAnsi="Times New Roman" w:cs="Times New Roman"/>
          <w:kern w:val="0"/>
          <w:lang w:eastAsia="en-GB"/>
          <w14:ligatures w14:val="none"/>
        </w:rPr>
        <w:t>Dalal</w:t>
      </w:r>
      <w:proofErr w:type="spellEnd"/>
      <w:r w:rsidRPr="00FE7E8E">
        <w:rPr>
          <w:rFonts w:ascii="Times New Roman" w:eastAsia="Times New Roman" w:hAnsi="Times New Roman" w:cs="Times New Roman"/>
          <w:kern w:val="0"/>
          <w:lang w:eastAsia="en-GB"/>
          <w14:ligatures w14:val="none"/>
        </w:rPr>
        <w:t>, M. (2023). A comparative study of GA and PSO approach for cost optimisation in product recovery systems. International Journal of Production Research, 61(4), 1283-1297.</w:t>
      </w:r>
    </w:p>
    <w:p w14:paraId="058B2F73"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 xml:space="preserve">Freedman, M. (2020). How to Conduct a Market Analysis for Your </w:t>
      </w:r>
      <w:proofErr w:type="gramStart"/>
      <w:r w:rsidRPr="00FE7E8E">
        <w:rPr>
          <w:rFonts w:ascii="Times New Roman" w:eastAsia="Times New Roman" w:hAnsi="Times New Roman" w:cs="Times New Roman"/>
          <w:kern w:val="0"/>
          <w:lang w:eastAsia="en-GB"/>
          <w14:ligatures w14:val="none"/>
        </w:rPr>
        <w:t>Business.</w:t>
      </w:r>
      <w:proofErr w:type="gramEnd"/>
      <w:r w:rsidRPr="00FE7E8E">
        <w:rPr>
          <w:rFonts w:ascii="Times New Roman" w:eastAsia="Times New Roman" w:hAnsi="Times New Roman" w:cs="Times New Roman"/>
          <w:kern w:val="0"/>
          <w:lang w:eastAsia="en-GB"/>
          <w14:ligatures w14:val="none"/>
        </w:rPr>
        <w:t xml:space="preserve"> [online] Business News Daily. Available at: </w:t>
      </w:r>
      <w:hyperlink r:id="rId7" w:tgtFrame="_new" w:history="1">
        <w:r w:rsidRPr="00FE7E8E">
          <w:rPr>
            <w:rFonts w:ascii="Times New Roman" w:eastAsia="Times New Roman" w:hAnsi="Times New Roman" w:cs="Times New Roman"/>
            <w:color w:val="0000FF"/>
            <w:kern w:val="0"/>
            <w:u w:val="single"/>
            <w:lang w:eastAsia="en-GB"/>
            <w14:ligatures w14:val="none"/>
          </w:rPr>
          <w:t>https://www.businessnewsdaily.com/15751-conduct-market-analysis.html</w:t>
        </w:r>
      </w:hyperlink>
      <w:r w:rsidRPr="00FE7E8E">
        <w:rPr>
          <w:rFonts w:ascii="Times New Roman" w:eastAsia="Times New Roman" w:hAnsi="Times New Roman" w:cs="Times New Roman"/>
          <w:kern w:val="0"/>
          <w:lang w:eastAsia="en-GB"/>
          <w14:ligatures w14:val="none"/>
        </w:rPr>
        <w:t xml:space="preserve"> [Accessed 6 Jun. 2024].</w:t>
      </w:r>
    </w:p>
    <w:p w14:paraId="47A7F9DC"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GHEORGHE, C. (2013). Opportunities to Reduce Operating Expenses in Industrial Enterprises. Proceedings in Manufacturing Systems, 8(3).</w:t>
      </w:r>
    </w:p>
    <w:p w14:paraId="122957C6"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E7E8E">
        <w:rPr>
          <w:rFonts w:ascii="Times New Roman" w:eastAsia="Times New Roman" w:hAnsi="Times New Roman" w:cs="Times New Roman"/>
          <w:kern w:val="0"/>
          <w:lang w:eastAsia="en-GB"/>
          <w14:ligatures w14:val="none"/>
        </w:rPr>
        <w:t>Hussan</w:t>
      </w:r>
      <w:proofErr w:type="spellEnd"/>
      <w:r w:rsidRPr="00FE7E8E">
        <w:rPr>
          <w:rFonts w:ascii="Times New Roman" w:eastAsia="Times New Roman" w:hAnsi="Times New Roman" w:cs="Times New Roman"/>
          <w:kern w:val="0"/>
          <w:lang w:eastAsia="en-GB"/>
          <w14:ligatures w14:val="none"/>
        </w:rPr>
        <w:t>, J. (2016). Impact of Leverage on Risk of the Companies. Journal of Civil &amp; Legal Sciences, 5(4), 2169-0170.</w:t>
      </w:r>
    </w:p>
    <w:p w14:paraId="5718FB27"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 xml:space="preserve">Ivanov, S., &amp; </w:t>
      </w:r>
      <w:proofErr w:type="spellStart"/>
      <w:r w:rsidRPr="00FE7E8E">
        <w:rPr>
          <w:rFonts w:ascii="Times New Roman" w:eastAsia="Times New Roman" w:hAnsi="Times New Roman" w:cs="Times New Roman"/>
          <w:kern w:val="0"/>
          <w:lang w:eastAsia="en-GB"/>
          <w14:ligatures w14:val="none"/>
        </w:rPr>
        <w:t>Zhechev</w:t>
      </w:r>
      <w:proofErr w:type="spellEnd"/>
      <w:r w:rsidRPr="00FE7E8E">
        <w:rPr>
          <w:rFonts w:ascii="Times New Roman" w:eastAsia="Times New Roman" w:hAnsi="Times New Roman" w:cs="Times New Roman"/>
          <w:kern w:val="0"/>
          <w:lang w:eastAsia="en-GB"/>
          <w14:ligatures w14:val="none"/>
        </w:rPr>
        <w:t>, V. (2012). Hotel revenue management–a critical literature review. Tourism: an international interdisciplinary journal, 60(2), 175-197.</w:t>
      </w:r>
    </w:p>
    <w:p w14:paraId="7467F828"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E7E8E">
        <w:rPr>
          <w:rFonts w:ascii="Times New Roman" w:eastAsia="Times New Roman" w:hAnsi="Times New Roman" w:cs="Times New Roman"/>
          <w:kern w:val="0"/>
          <w:lang w:eastAsia="en-GB"/>
          <w14:ligatures w14:val="none"/>
        </w:rPr>
        <w:lastRenderedPageBreak/>
        <w:t>Plambeck</w:t>
      </w:r>
      <w:proofErr w:type="spellEnd"/>
      <w:r w:rsidRPr="00FE7E8E">
        <w:rPr>
          <w:rFonts w:ascii="Times New Roman" w:eastAsia="Times New Roman" w:hAnsi="Times New Roman" w:cs="Times New Roman"/>
          <w:kern w:val="0"/>
          <w:lang w:eastAsia="en-GB"/>
          <w14:ligatures w14:val="none"/>
        </w:rPr>
        <w:t>, E. L., &amp; Taylor, T. A. (2007). Implications of renegotiation for optimal contract flexibility and investment. Management Science, 53(12), 1872-1886.</w:t>
      </w:r>
    </w:p>
    <w:p w14:paraId="53A81370" w14:textId="77777777" w:rsidR="00FE7E8E"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r w:rsidRPr="00FE7E8E">
        <w:rPr>
          <w:rFonts w:ascii="Times New Roman" w:eastAsia="Times New Roman" w:hAnsi="Times New Roman" w:cs="Times New Roman"/>
          <w:kern w:val="0"/>
          <w:lang w:eastAsia="en-GB"/>
          <w14:ligatures w14:val="none"/>
        </w:rPr>
        <w:t>Rashid, S. M. (2012). An Exploration of the process of brand identity building and internal organisational culture (Doctoral dissertation, Lincoln University).</w:t>
      </w:r>
    </w:p>
    <w:p w14:paraId="612934E6" w14:textId="708ABABB" w:rsidR="00A970ED" w:rsidRPr="00FE7E8E" w:rsidRDefault="00FE7E8E" w:rsidP="00FE7E8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FE7E8E">
        <w:rPr>
          <w:rFonts w:ascii="Times New Roman" w:eastAsia="Times New Roman" w:hAnsi="Times New Roman" w:cs="Times New Roman"/>
          <w:kern w:val="0"/>
          <w:lang w:eastAsia="en-GB"/>
          <w14:ligatures w14:val="none"/>
        </w:rPr>
        <w:t>Swarbrooke</w:t>
      </w:r>
      <w:proofErr w:type="spellEnd"/>
      <w:r w:rsidRPr="00FE7E8E">
        <w:rPr>
          <w:rFonts w:ascii="Times New Roman" w:eastAsia="Times New Roman" w:hAnsi="Times New Roman" w:cs="Times New Roman"/>
          <w:kern w:val="0"/>
          <w:lang w:eastAsia="en-GB"/>
          <w14:ligatures w14:val="none"/>
        </w:rPr>
        <w:t>, J., &amp; Horner, S. (2012). Business travel and tourism. Routledge.</w:t>
      </w:r>
    </w:p>
    <w:sectPr w:rsidR="00A970ED" w:rsidRPr="00FE7E8E" w:rsidSect="00A970ED">
      <w:footerReference w:type="even"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96AE8" w14:textId="77777777" w:rsidR="00CA2151" w:rsidRDefault="00CA2151" w:rsidP="00FE7E8E">
      <w:pPr>
        <w:spacing w:after="0" w:line="240" w:lineRule="auto"/>
      </w:pPr>
      <w:r>
        <w:separator/>
      </w:r>
    </w:p>
  </w:endnote>
  <w:endnote w:type="continuationSeparator" w:id="0">
    <w:p w14:paraId="2C532ED8" w14:textId="77777777" w:rsidR="00CA2151" w:rsidRDefault="00CA2151" w:rsidP="00FE7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3779962"/>
      <w:docPartObj>
        <w:docPartGallery w:val="Page Numbers (Bottom of Page)"/>
        <w:docPartUnique/>
      </w:docPartObj>
    </w:sdtPr>
    <w:sdtEndPr>
      <w:rPr>
        <w:rStyle w:val="PageNumber"/>
      </w:rPr>
    </w:sdtEndPr>
    <w:sdtContent>
      <w:p w14:paraId="1B6E6E83" w14:textId="69D748FC" w:rsidR="00FE7E8E" w:rsidRDefault="00FE7E8E" w:rsidP="006603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93E2BE" w14:textId="77777777" w:rsidR="00FE7E8E" w:rsidRDefault="00FE7E8E" w:rsidP="00FE7E8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0794849"/>
      <w:docPartObj>
        <w:docPartGallery w:val="Page Numbers (Bottom of Page)"/>
        <w:docPartUnique/>
      </w:docPartObj>
    </w:sdtPr>
    <w:sdtEndPr>
      <w:rPr>
        <w:rStyle w:val="PageNumber"/>
      </w:rPr>
    </w:sdtEndPr>
    <w:sdtContent>
      <w:p w14:paraId="7E837A81" w14:textId="3F32BAA1" w:rsidR="00FE7E8E" w:rsidRDefault="00FE7E8E" w:rsidP="006603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2BCD">
          <w:rPr>
            <w:rStyle w:val="PageNumber"/>
            <w:noProof/>
          </w:rPr>
          <w:t>13</w:t>
        </w:r>
        <w:r>
          <w:rPr>
            <w:rStyle w:val="PageNumber"/>
          </w:rPr>
          <w:fldChar w:fldCharType="end"/>
        </w:r>
      </w:p>
    </w:sdtContent>
  </w:sdt>
  <w:p w14:paraId="53F5246E" w14:textId="77777777" w:rsidR="00FE7E8E" w:rsidRDefault="00FE7E8E" w:rsidP="00FE7E8E">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0E024" w14:textId="77777777" w:rsidR="00CA2151" w:rsidRDefault="00CA2151" w:rsidP="00FE7E8E">
      <w:pPr>
        <w:spacing w:after="0" w:line="240" w:lineRule="auto"/>
      </w:pPr>
      <w:r>
        <w:separator/>
      </w:r>
    </w:p>
  </w:footnote>
  <w:footnote w:type="continuationSeparator" w:id="0">
    <w:p w14:paraId="4EB0458C" w14:textId="77777777" w:rsidR="00CA2151" w:rsidRDefault="00CA2151" w:rsidP="00FE7E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0ED"/>
    <w:rsid w:val="002428DC"/>
    <w:rsid w:val="002E14A3"/>
    <w:rsid w:val="0038516D"/>
    <w:rsid w:val="00731E42"/>
    <w:rsid w:val="008567DE"/>
    <w:rsid w:val="00A970ED"/>
    <w:rsid w:val="00C12BCD"/>
    <w:rsid w:val="00C25BE0"/>
    <w:rsid w:val="00CA2151"/>
    <w:rsid w:val="00DE2DCD"/>
    <w:rsid w:val="00EF6BCF"/>
    <w:rsid w:val="00FE7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B9B50"/>
  <w15:chartTrackingRefBased/>
  <w15:docId w15:val="{6B42E216-E78C-D24E-B19F-62AE55BD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6BCF"/>
    <w:pPr>
      <w:keepNext/>
      <w:keepLines/>
      <w:spacing w:before="360" w:after="80" w:line="360" w:lineRule="auto"/>
      <w:outlineLvl w:val="0"/>
    </w:pPr>
    <w:rPr>
      <w:rFonts w:ascii="Calibri" w:eastAsiaTheme="majorEastAsia" w:hAnsi="Calibri" w:cs="Calibri"/>
      <w:color w:val="0F4761" w:themeColor="accent1" w:themeShade="BF"/>
      <w:sz w:val="32"/>
      <w:szCs w:val="32"/>
    </w:rPr>
  </w:style>
  <w:style w:type="paragraph" w:styleId="Heading2">
    <w:name w:val="heading 2"/>
    <w:basedOn w:val="Normal"/>
    <w:next w:val="Normal"/>
    <w:link w:val="Heading2Char"/>
    <w:uiPriority w:val="9"/>
    <w:semiHidden/>
    <w:unhideWhenUsed/>
    <w:qFormat/>
    <w:rsid w:val="00A97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0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BCF"/>
    <w:rPr>
      <w:rFonts w:ascii="Calibri" w:eastAsiaTheme="majorEastAsia" w:hAnsi="Calibri" w:cs="Calibri"/>
      <w:color w:val="0F4761" w:themeColor="accent1" w:themeShade="BF"/>
      <w:sz w:val="32"/>
      <w:szCs w:val="32"/>
    </w:rPr>
  </w:style>
  <w:style w:type="character" w:customStyle="1" w:styleId="Heading2Char">
    <w:name w:val="Heading 2 Char"/>
    <w:basedOn w:val="DefaultParagraphFont"/>
    <w:link w:val="Heading2"/>
    <w:uiPriority w:val="9"/>
    <w:semiHidden/>
    <w:rsid w:val="00A97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0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0ED"/>
    <w:rPr>
      <w:rFonts w:eastAsiaTheme="majorEastAsia" w:cstheme="majorBidi"/>
      <w:color w:val="272727" w:themeColor="text1" w:themeTint="D8"/>
    </w:rPr>
  </w:style>
  <w:style w:type="paragraph" w:styleId="Title">
    <w:name w:val="Title"/>
    <w:basedOn w:val="Normal"/>
    <w:next w:val="Normal"/>
    <w:link w:val="TitleChar"/>
    <w:uiPriority w:val="10"/>
    <w:qFormat/>
    <w:rsid w:val="00A97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0ED"/>
    <w:pPr>
      <w:spacing w:before="160"/>
      <w:jc w:val="center"/>
    </w:pPr>
    <w:rPr>
      <w:i/>
      <w:iCs/>
      <w:color w:val="404040" w:themeColor="text1" w:themeTint="BF"/>
    </w:rPr>
  </w:style>
  <w:style w:type="character" w:customStyle="1" w:styleId="QuoteChar">
    <w:name w:val="Quote Char"/>
    <w:basedOn w:val="DefaultParagraphFont"/>
    <w:link w:val="Quote"/>
    <w:uiPriority w:val="29"/>
    <w:rsid w:val="00A970ED"/>
    <w:rPr>
      <w:i/>
      <w:iCs/>
      <w:color w:val="404040" w:themeColor="text1" w:themeTint="BF"/>
    </w:rPr>
  </w:style>
  <w:style w:type="paragraph" w:styleId="ListParagraph">
    <w:name w:val="List Paragraph"/>
    <w:basedOn w:val="Normal"/>
    <w:uiPriority w:val="34"/>
    <w:qFormat/>
    <w:rsid w:val="00A970ED"/>
    <w:pPr>
      <w:ind w:left="720"/>
      <w:contextualSpacing/>
    </w:pPr>
  </w:style>
  <w:style w:type="character" w:styleId="IntenseEmphasis">
    <w:name w:val="Intense Emphasis"/>
    <w:basedOn w:val="DefaultParagraphFont"/>
    <w:uiPriority w:val="21"/>
    <w:qFormat/>
    <w:rsid w:val="00A970ED"/>
    <w:rPr>
      <w:i/>
      <w:iCs/>
      <w:color w:val="0F4761" w:themeColor="accent1" w:themeShade="BF"/>
    </w:rPr>
  </w:style>
  <w:style w:type="paragraph" w:styleId="IntenseQuote">
    <w:name w:val="Intense Quote"/>
    <w:basedOn w:val="Normal"/>
    <w:next w:val="Normal"/>
    <w:link w:val="IntenseQuoteChar"/>
    <w:uiPriority w:val="30"/>
    <w:qFormat/>
    <w:rsid w:val="00A97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0ED"/>
    <w:rPr>
      <w:i/>
      <w:iCs/>
      <w:color w:val="0F4761" w:themeColor="accent1" w:themeShade="BF"/>
    </w:rPr>
  </w:style>
  <w:style w:type="character" w:styleId="IntenseReference">
    <w:name w:val="Intense Reference"/>
    <w:basedOn w:val="DefaultParagraphFont"/>
    <w:uiPriority w:val="32"/>
    <w:qFormat/>
    <w:rsid w:val="00A970ED"/>
    <w:rPr>
      <w:b/>
      <w:bCs/>
      <w:smallCaps/>
      <w:color w:val="0F4761" w:themeColor="accent1" w:themeShade="BF"/>
      <w:spacing w:val="5"/>
    </w:rPr>
  </w:style>
  <w:style w:type="table" w:styleId="ListTable7Colorful-Accent5">
    <w:name w:val="List Table 7 Colorful Accent 5"/>
    <w:basedOn w:val="TableNormal"/>
    <w:uiPriority w:val="52"/>
    <w:rsid w:val="00A970ED"/>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A970E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FE7E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E7E8E"/>
    <w:rPr>
      <w:color w:val="0000FF"/>
      <w:u w:val="single"/>
    </w:rPr>
  </w:style>
  <w:style w:type="character" w:customStyle="1" w:styleId="line-clamp-1">
    <w:name w:val="line-clamp-1"/>
    <w:basedOn w:val="DefaultParagraphFont"/>
    <w:rsid w:val="00FE7E8E"/>
  </w:style>
  <w:style w:type="paragraph" w:styleId="Footer">
    <w:name w:val="footer"/>
    <w:basedOn w:val="Normal"/>
    <w:link w:val="FooterChar"/>
    <w:uiPriority w:val="99"/>
    <w:unhideWhenUsed/>
    <w:rsid w:val="00FE7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E8E"/>
  </w:style>
  <w:style w:type="character" w:styleId="PageNumber">
    <w:name w:val="page number"/>
    <w:basedOn w:val="DefaultParagraphFont"/>
    <w:uiPriority w:val="99"/>
    <w:semiHidden/>
    <w:unhideWhenUsed/>
    <w:rsid w:val="00FE7E8E"/>
  </w:style>
  <w:style w:type="paragraph" w:styleId="TOCHeading">
    <w:name w:val="TOC Heading"/>
    <w:basedOn w:val="Heading1"/>
    <w:next w:val="Normal"/>
    <w:uiPriority w:val="39"/>
    <w:unhideWhenUsed/>
    <w:qFormat/>
    <w:rsid w:val="00FE7E8E"/>
    <w:pPr>
      <w:spacing w:before="480" w:after="0" w:line="276" w:lineRule="auto"/>
      <w:outlineLvl w:val="9"/>
    </w:pPr>
    <w:rPr>
      <w:rFonts w:asciiTheme="majorHAnsi" w:hAnsiTheme="majorHAnsi" w:cstheme="majorBidi"/>
      <w:b/>
      <w:bCs/>
      <w:kern w:val="0"/>
      <w:sz w:val="28"/>
      <w:szCs w:val="28"/>
      <w:lang w:val="en-US"/>
      <w14:ligatures w14:val="none"/>
    </w:rPr>
  </w:style>
  <w:style w:type="paragraph" w:styleId="TOC1">
    <w:name w:val="toc 1"/>
    <w:basedOn w:val="Normal"/>
    <w:next w:val="Normal"/>
    <w:autoRedefine/>
    <w:uiPriority w:val="39"/>
    <w:unhideWhenUsed/>
    <w:rsid w:val="00FE7E8E"/>
    <w:pPr>
      <w:spacing w:before="120" w:after="0"/>
    </w:pPr>
    <w:rPr>
      <w:b/>
      <w:bCs/>
      <w:i/>
      <w:iCs/>
    </w:rPr>
  </w:style>
  <w:style w:type="paragraph" w:styleId="TOC2">
    <w:name w:val="toc 2"/>
    <w:basedOn w:val="Normal"/>
    <w:next w:val="Normal"/>
    <w:autoRedefine/>
    <w:uiPriority w:val="39"/>
    <w:semiHidden/>
    <w:unhideWhenUsed/>
    <w:rsid w:val="00FE7E8E"/>
    <w:pPr>
      <w:spacing w:before="120" w:after="0"/>
      <w:ind w:left="240"/>
    </w:pPr>
    <w:rPr>
      <w:b/>
      <w:bCs/>
      <w:sz w:val="22"/>
      <w:szCs w:val="22"/>
    </w:rPr>
  </w:style>
  <w:style w:type="paragraph" w:styleId="TOC3">
    <w:name w:val="toc 3"/>
    <w:basedOn w:val="Normal"/>
    <w:next w:val="Normal"/>
    <w:autoRedefine/>
    <w:uiPriority w:val="39"/>
    <w:semiHidden/>
    <w:unhideWhenUsed/>
    <w:rsid w:val="00FE7E8E"/>
    <w:pPr>
      <w:spacing w:after="0"/>
      <w:ind w:left="480"/>
    </w:pPr>
    <w:rPr>
      <w:sz w:val="20"/>
      <w:szCs w:val="20"/>
    </w:rPr>
  </w:style>
  <w:style w:type="paragraph" w:styleId="TOC4">
    <w:name w:val="toc 4"/>
    <w:basedOn w:val="Normal"/>
    <w:next w:val="Normal"/>
    <w:autoRedefine/>
    <w:uiPriority w:val="39"/>
    <w:semiHidden/>
    <w:unhideWhenUsed/>
    <w:rsid w:val="00FE7E8E"/>
    <w:pPr>
      <w:spacing w:after="0"/>
      <w:ind w:left="720"/>
    </w:pPr>
    <w:rPr>
      <w:sz w:val="20"/>
      <w:szCs w:val="20"/>
    </w:rPr>
  </w:style>
  <w:style w:type="paragraph" w:styleId="TOC5">
    <w:name w:val="toc 5"/>
    <w:basedOn w:val="Normal"/>
    <w:next w:val="Normal"/>
    <w:autoRedefine/>
    <w:uiPriority w:val="39"/>
    <w:semiHidden/>
    <w:unhideWhenUsed/>
    <w:rsid w:val="00FE7E8E"/>
    <w:pPr>
      <w:spacing w:after="0"/>
      <w:ind w:left="960"/>
    </w:pPr>
    <w:rPr>
      <w:sz w:val="20"/>
      <w:szCs w:val="20"/>
    </w:rPr>
  </w:style>
  <w:style w:type="paragraph" w:styleId="TOC6">
    <w:name w:val="toc 6"/>
    <w:basedOn w:val="Normal"/>
    <w:next w:val="Normal"/>
    <w:autoRedefine/>
    <w:uiPriority w:val="39"/>
    <w:semiHidden/>
    <w:unhideWhenUsed/>
    <w:rsid w:val="00FE7E8E"/>
    <w:pPr>
      <w:spacing w:after="0"/>
      <w:ind w:left="1200"/>
    </w:pPr>
    <w:rPr>
      <w:sz w:val="20"/>
      <w:szCs w:val="20"/>
    </w:rPr>
  </w:style>
  <w:style w:type="paragraph" w:styleId="TOC7">
    <w:name w:val="toc 7"/>
    <w:basedOn w:val="Normal"/>
    <w:next w:val="Normal"/>
    <w:autoRedefine/>
    <w:uiPriority w:val="39"/>
    <w:semiHidden/>
    <w:unhideWhenUsed/>
    <w:rsid w:val="00FE7E8E"/>
    <w:pPr>
      <w:spacing w:after="0"/>
      <w:ind w:left="1440"/>
    </w:pPr>
    <w:rPr>
      <w:sz w:val="20"/>
      <w:szCs w:val="20"/>
    </w:rPr>
  </w:style>
  <w:style w:type="paragraph" w:styleId="TOC8">
    <w:name w:val="toc 8"/>
    <w:basedOn w:val="Normal"/>
    <w:next w:val="Normal"/>
    <w:autoRedefine/>
    <w:uiPriority w:val="39"/>
    <w:semiHidden/>
    <w:unhideWhenUsed/>
    <w:rsid w:val="00FE7E8E"/>
    <w:pPr>
      <w:spacing w:after="0"/>
      <w:ind w:left="1680"/>
    </w:pPr>
    <w:rPr>
      <w:sz w:val="20"/>
      <w:szCs w:val="20"/>
    </w:rPr>
  </w:style>
  <w:style w:type="paragraph" w:styleId="TOC9">
    <w:name w:val="toc 9"/>
    <w:basedOn w:val="Normal"/>
    <w:next w:val="Normal"/>
    <w:autoRedefine/>
    <w:uiPriority w:val="39"/>
    <w:semiHidden/>
    <w:unhideWhenUsed/>
    <w:rsid w:val="00FE7E8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768887">
      <w:bodyDiv w:val="1"/>
      <w:marLeft w:val="0"/>
      <w:marRight w:val="0"/>
      <w:marTop w:val="0"/>
      <w:marBottom w:val="0"/>
      <w:divBdr>
        <w:top w:val="none" w:sz="0" w:space="0" w:color="auto"/>
        <w:left w:val="none" w:sz="0" w:space="0" w:color="auto"/>
        <w:bottom w:val="none" w:sz="0" w:space="0" w:color="auto"/>
        <w:right w:val="none" w:sz="0" w:space="0" w:color="auto"/>
      </w:divBdr>
      <w:divsChild>
        <w:div w:id="862286813">
          <w:marLeft w:val="0"/>
          <w:marRight w:val="0"/>
          <w:marTop w:val="0"/>
          <w:marBottom w:val="0"/>
          <w:divBdr>
            <w:top w:val="none" w:sz="0" w:space="0" w:color="auto"/>
            <w:left w:val="none" w:sz="0" w:space="0" w:color="auto"/>
            <w:bottom w:val="none" w:sz="0" w:space="0" w:color="auto"/>
            <w:right w:val="none" w:sz="0" w:space="0" w:color="auto"/>
          </w:divBdr>
          <w:divsChild>
            <w:div w:id="1387101251">
              <w:marLeft w:val="0"/>
              <w:marRight w:val="0"/>
              <w:marTop w:val="0"/>
              <w:marBottom w:val="0"/>
              <w:divBdr>
                <w:top w:val="none" w:sz="0" w:space="0" w:color="auto"/>
                <w:left w:val="none" w:sz="0" w:space="0" w:color="auto"/>
                <w:bottom w:val="none" w:sz="0" w:space="0" w:color="auto"/>
                <w:right w:val="none" w:sz="0" w:space="0" w:color="auto"/>
              </w:divBdr>
              <w:divsChild>
                <w:div w:id="1820344156">
                  <w:marLeft w:val="0"/>
                  <w:marRight w:val="0"/>
                  <w:marTop w:val="0"/>
                  <w:marBottom w:val="0"/>
                  <w:divBdr>
                    <w:top w:val="none" w:sz="0" w:space="0" w:color="auto"/>
                    <w:left w:val="none" w:sz="0" w:space="0" w:color="auto"/>
                    <w:bottom w:val="none" w:sz="0" w:space="0" w:color="auto"/>
                    <w:right w:val="none" w:sz="0" w:space="0" w:color="auto"/>
                  </w:divBdr>
                  <w:divsChild>
                    <w:div w:id="44808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15816">
          <w:marLeft w:val="0"/>
          <w:marRight w:val="0"/>
          <w:marTop w:val="0"/>
          <w:marBottom w:val="0"/>
          <w:divBdr>
            <w:top w:val="none" w:sz="0" w:space="0" w:color="auto"/>
            <w:left w:val="none" w:sz="0" w:space="0" w:color="auto"/>
            <w:bottom w:val="none" w:sz="0" w:space="0" w:color="auto"/>
            <w:right w:val="none" w:sz="0" w:space="0" w:color="auto"/>
          </w:divBdr>
          <w:divsChild>
            <w:div w:id="907616770">
              <w:marLeft w:val="0"/>
              <w:marRight w:val="0"/>
              <w:marTop w:val="0"/>
              <w:marBottom w:val="0"/>
              <w:divBdr>
                <w:top w:val="none" w:sz="0" w:space="0" w:color="auto"/>
                <w:left w:val="none" w:sz="0" w:space="0" w:color="auto"/>
                <w:bottom w:val="none" w:sz="0" w:space="0" w:color="auto"/>
                <w:right w:val="none" w:sz="0" w:space="0" w:color="auto"/>
              </w:divBdr>
              <w:divsChild>
                <w:div w:id="692537737">
                  <w:marLeft w:val="0"/>
                  <w:marRight w:val="0"/>
                  <w:marTop w:val="0"/>
                  <w:marBottom w:val="0"/>
                  <w:divBdr>
                    <w:top w:val="none" w:sz="0" w:space="0" w:color="auto"/>
                    <w:left w:val="none" w:sz="0" w:space="0" w:color="auto"/>
                    <w:bottom w:val="none" w:sz="0" w:space="0" w:color="auto"/>
                    <w:right w:val="none" w:sz="0" w:space="0" w:color="auto"/>
                  </w:divBdr>
                  <w:divsChild>
                    <w:div w:id="20356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usinessnewsdaily.com/15751-conduct-market-analysi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079C7-1766-494E-8CBD-27F2634D6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2136</Words>
  <Characters>11863</Characters>
  <Application>Microsoft Office Word</Application>
  <DocSecurity>0</DocSecurity>
  <Lines>169</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Acer</cp:lastModifiedBy>
  <cp:revision>2</cp:revision>
  <dcterms:created xsi:type="dcterms:W3CDTF">2024-06-06T21:38:00Z</dcterms:created>
  <dcterms:modified xsi:type="dcterms:W3CDTF">2024-06-08T07:01:00Z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8bf6ad84f11545f6e7230eb21ff05e30e5a8e29e9431622f5afea0c3c51364fe</vt:lpwstr>
  </property>
</Properties>
</file>