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5272861"/>
        <w:docPartObj>
          <w:docPartGallery w:val="Cover Pages"/>
          <w:docPartUnique/>
        </w:docPartObj>
      </w:sdtPr>
      <w:sdtContent>
        <w:p w14:paraId="40E886CE" w14:textId="728847F5" w:rsidR="00C179AB" w:rsidRDefault="00C179AB">
          <w:r>
            <w:rPr>
              <w:noProof/>
            </w:rPr>
            <mc:AlternateContent>
              <mc:Choice Requires="wpg">
                <w:drawing>
                  <wp:anchor distT="0" distB="0" distL="114300" distR="114300" simplePos="0" relativeHeight="251662336" behindDoc="0" locked="0" layoutInCell="1" allowOverlap="1" wp14:anchorId="33886DA5" wp14:editId="13E3207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EFB35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B625B8B" wp14:editId="575E87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ED377F" w14:textId="0BE3F0F9" w:rsidR="00C179AB" w:rsidRDefault="00C179AB">
                                    <w:pPr>
                                      <w:pStyle w:val="NoSpacing"/>
                                      <w:jc w:val="right"/>
                                      <w:rPr>
                                        <w:color w:val="595959" w:themeColor="text1" w:themeTint="A6"/>
                                        <w:sz w:val="28"/>
                                        <w:szCs w:val="28"/>
                                      </w:rPr>
                                    </w:pPr>
                                    <w:r>
                                      <w:rPr>
                                        <w:color w:val="595959" w:themeColor="text1" w:themeTint="A6"/>
                                        <w:sz w:val="28"/>
                                        <w:szCs w:val="28"/>
                                      </w:rPr>
                                      <w:t>STUDENT NAME: ANDY ONYEDIKACHUKWU IBEH</w:t>
                                    </w:r>
                                  </w:p>
                                </w:sdtContent>
                              </w:sdt>
                              <w:p w14:paraId="6876C931" w14:textId="2CD19F64" w:rsidR="00C179A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179AB">
                                      <w:rPr>
                                        <w:color w:val="595959" w:themeColor="text1" w:themeTint="A6"/>
                                        <w:sz w:val="18"/>
                                        <w:szCs w:val="18"/>
                                      </w:rPr>
                                      <w:t>STUDENT ID: 2335550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625B8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ED377F" w14:textId="0BE3F0F9" w:rsidR="00C179AB" w:rsidRDefault="00C179AB">
                              <w:pPr>
                                <w:pStyle w:val="NoSpacing"/>
                                <w:jc w:val="right"/>
                                <w:rPr>
                                  <w:color w:val="595959" w:themeColor="text1" w:themeTint="A6"/>
                                  <w:sz w:val="28"/>
                                  <w:szCs w:val="28"/>
                                </w:rPr>
                              </w:pPr>
                              <w:r>
                                <w:rPr>
                                  <w:color w:val="595959" w:themeColor="text1" w:themeTint="A6"/>
                                  <w:sz w:val="28"/>
                                  <w:szCs w:val="28"/>
                                </w:rPr>
                                <w:t>STUDENT NAME: ANDY ONYEDIKACHUKWU IBEH</w:t>
                              </w:r>
                            </w:p>
                          </w:sdtContent>
                        </w:sdt>
                        <w:p w14:paraId="6876C931" w14:textId="2CD19F64" w:rsidR="00C179A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179AB">
                                <w:rPr>
                                  <w:color w:val="595959" w:themeColor="text1" w:themeTint="A6"/>
                                  <w:sz w:val="18"/>
                                  <w:szCs w:val="18"/>
                                </w:rPr>
                                <w:t>STUDENT ID: 2335550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08DFA40" wp14:editId="41C65D7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56C08" w14:textId="0A28655E" w:rsidR="00C179AB" w:rsidRDefault="00C179AB">
                                <w:pPr>
                                  <w:pStyle w:val="NoSpacing"/>
                                  <w:jc w:val="right"/>
                                  <w:rPr>
                                    <w:color w:val="156082" w:themeColor="accent1"/>
                                    <w:sz w:val="28"/>
                                    <w:szCs w:val="28"/>
                                    <w:lang w:val="en-GB"/>
                                  </w:rPr>
                                </w:pPr>
                                <w:r w:rsidRPr="00C179AB">
                                  <w:rPr>
                                    <w:color w:val="156082" w:themeColor="accent1"/>
                                    <w:sz w:val="28"/>
                                    <w:szCs w:val="28"/>
                                    <w:lang w:val="en-GB"/>
                                  </w:rPr>
                                  <w:t xml:space="preserve">Module code: </w:t>
                                </w:r>
                                <w:r w:rsidR="0086739A" w:rsidRPr="0086739A">
                                  <w:rPr>
                                    <w:color w:val="156082" w:themeColor="accent1"/>
                                    <w:sz w:val="28"/>
                                    <w:szCs w:val="28"/>
                                    <w:lang w:val="en-GB"/>
                                  </w:rPr>
                                  <w:t>ACCB6019</w:t>
                                </w:r>
                              </w:p>
                              <w:p w14:paraId="73B15F8B" w14:textId="6AFEE6EF" w:rsidR="00C179AB" w:rsidRDefault="00C179AB">
                                <w:pPr>
                                  <w:pStyle w:val="NoSpacing"/>
                                  <w:jc w:val="right"/>
                                  <w:rPr>
                                    <w:color w:val="156082" w:themeColor="accent1"/>
                                    <w:sz w:val="28"/>
                                    <w:szCs w:val="28"/>
                                    <w:lang w:val="en-GB"/>
                                  </w:rPr>
                                </w:pPr>
                                <w:r w:rsidRPr="00C179AB">
                                  <w:rPr>
                                    <w:color w:val="156082" w:themeColor="accent1"/>
                                    <w:sz w:val="28"/>
                                    <w:szCs w:val="28"/>
                                    <w:lang w:val="en-GB"/>
                                  </w:rPr>
                                  <w:t xml:space="preserve">Lecturer: </w:t>
                                </w:r>
                                <w:r>
                                  <w:rPr>
                                    <w:color w:val="156082" w:themeColor="accent1"/>
                                    <w:sz w:val="28"/>
                                    <w:szCs w:val="28"/>
                                    <w:lang w:val="en-GB"/>
                                  </w:rPr>
                                  <w:t>Dr</w:t>
                                </w:r>
                                <w:r w:rsidR="00F27F0B">
                                  <w:rPr>
                                    <w:color w:val="156082" w:themeColor="accent1"/>
                                    <w:sz w:val="28"/>
                                    <w:szCs w:val="28"/>
                                    <w:lang w:val="en-GB"/>
                                  </w:rPr>
                                  <w:t xml:space="preserve"> </w:t>
                                </w:r>
                                <w:proofErr w:type="spellStart"/>
                                <w:r w:rsidR="00F91628" w:rsidRPr="00F91628">
                                  <w:rPr>
                                    <w:color w:val="156082" w:themeColor="accent1"/>
                                    <w:sz w:val="28"/>
                                    <w:szCs w:val="28"/>
                                    <w:lang w:val="en-GB"/>
                                  </w:rPr>
                                  <w:t>Sadeque</w:t>
                                </w:r>
                                <w:proofErr w:type="spellEnd"/>
                                <w:r w:rsidR="00F91628" w:rsidRPr="00F91628">
                                  <w:rPr>
                                    <w:color w:val="156082" w:themeColor="accent1"/>
                                    <w:sz w:val="28"/>
                                    <w:szCs w:val="28"/>
                                    <w:lang w:val="en-GB"/>
                                  </w:rPr>
                                  <w:t xml:space="preserve"> Shaikh</w:t>
                                </w:r>
                              </w:p>
                              <w:p w14:paraId="2EC09B73" w14:textId="49126A38" w:rsidR="00C179AB" w:rsidRDefault="00C179AB">
                                <w:pPr>
                                  <w:pStyle w:val="NoSpacing"/>
                                  <w:jc w:val="right"/>
                                  <w:rPr>
                                    <w:color w:val="156082" w:themeColor="accent1"/>
                                    <w:sz w:val="28"/>
                                    <w:szCs w:val="28"/>
                                  </w:rPr>
                                </w:pPr>
                                <w:r w:rsidRPr="00C179AB">
                                  <w:rPr>
                                    <w:color w:val="156082" w:themeColor="accent1"/>
                                    <w:sz w:val="28"/>
                                    <w:szCs w:val="28"/>
                                    <w:lang w:val="en-GB"/>
                                  </w:rPr>
                                  <w:t xml:space="preserve">Assignment Title: </w:t>
                                </w:r>
                                <w:r w:rsidR="00EE45E6" w:rsidRPr="00EE45E6">
                                  <w:rPr>
                                    <w:color w:val="156082" w:themeColor="accent1"/>
                                    <w:sz w:val="28"/>
                                    <w:szCs w:val="28"/>
                                    <w:lang w:val="en-GB"/>
                                  </w:rPr>
                                  <w:t>Hackathon 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07E26F4" w14:textId="5B0406F8" w:rsidR="00C179AB" w:rsidRDefault="00C179A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08DFA4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4356C08" w14:textId="0A28655E" w:rsidR="00C179AB" w:rsidRDefault="00C179AB">
                          <w:pPr>
                            <w:pStyle w:val="NoSpacing"/>
                            <w:jc w:val="right"/>
                            <w:rPr>
                              <w:color w:val="156082" w:themeColor="accent1"/>
                              <w:sz w:val="28"/>
                              <w:szCs w:val="28"/>
                              <w:lang w:val="en-GB"/>
                            </w:rPr>
                          </w:pPr>
                          <w:r w:rsidRPr="00C179AB">
                            <w:rPr>
                              <w:color w:val="156082" w:themeColor="accent1"/>
                              <w:sz w:val="28"/>
                              <w:szCs w:val="28"/>
                              <w:lang w:val="en-GB"/>
                            </w:rPr>
                            <w:t xml:space="preserve">Module code: </w:t>
                          </w:r>
                          <w:r w:rsidR="0086739A" w:rsidRPr="0086739A">
                            <w:rPr>
                              <w:color w:val="156082" w:themeColor="accent1"/>
                              <w:sz w:val="28"/>
                              <w:szCs w:val="28"/>
                              <w:lang w:val="en-GB"/>
                            </w:rPr>
                            <w:t>ACCB6019</w:t>
                          </w:r>
                        </w:p>
                        <w:p w14:paraId="73B15F8B" w14:textId="6AFEE6EF" w:rsidR="00C179AB" w:rsidRDefault="00C179AB">
                          <w:pPr>
                            <w:pStyle w:val="NoSpacing"/>
                            <w:jc w:val="right"/>
                            <w:rPr>
                              <w:color w:val="156082" w:themeColor="accent1"/>
                              <w:sz w:val="28"/>
                              <w:szCs w:val="28"/>
                              <w:lang w:val="en-GB"/>
                            </w:rPr>
                          </w:pPr>
                          <w:r w:rsidRPr="00C179AB">
                            <w:rPr>
                              <w:color w:val="156082" w:themeColor="accent1"/>
                              <w:sz w:val="28"/>
                              <w:szCs w:val="28"/>
                              <w:lang w:val="en-GB"/>
                            </w:rPr>
                            <w:t xml:space="preserve">Lecturer: </w:t>
                          </w:r>
                          <w:r>
                            <w:rPr>
                              <w:color w:val="156082" w:themeColor="accent1"/>
                              <w:sz w:val="28"/>
                              <w:szCs w:val="28"/>
                              <w:lang w:val="en-GB"/>
                            </w:rPr>
                            <w:t>Dr</w:t>
                          </w:r>
                          <w:r w:rsidR="00F27F0B">
                            <w:rPr>
                              <w:color w:val="156082" w:themeColor="accent1"/>
                              <w:sz w:val="28"/>
                              <w:szCs w:val="28"/>
                              <w:lang w:val="en-GB"/>
                            </w:rPr>
                            <w:t xml:space="preserve"> </w:t>
                          </w:r>
                          <w:proofErr w:type="spellStart"/>
                          <w:r w:rsidR="00F91628" w:rsidRPr="00F91628">
                            <w:rPr>
                              <w:color w:val="156082" w:themeColor="accent1"/>
                              <w:sz w:val="28"/>
                              <w:szCs w:val="28"/>
                              <w:lang w:val="en-GB"/>
                            </w:rPr>
                            <w:t>Sadeque</w:t>
                          </w:r>
                          <w:proofErr w:type="spellEnd"/>
                          <w:r w:rsidR="00F91628" w:rsidRPr="00F91628">
                            <w:rPr>
                              <w:color w:val="156082" w:themeColor="accent1"/>
                              <w:sz w:val="28"/>
                              <w:szCs w:val="28"/>
                              <w:lang w:val="en-GB"/>
                            </w:rPr>
                            <w:t xml:space="preserve"> Shaikh</w:t>
                          </w:r>
                        </w:p>
                        <w:p w14:paraId="2EC09B73" w14:textId="49126A38" w:rsidR="00C179AB" w:rsidRDefault="00C179AB">
                          <w:pPr>
                            <w:pStyle w:val="NoSpacing"/>
                            <w:jc w:val="right"/>
                            <w:rPr>
                              <w:color w:val="156082" w:themeColor="accent1"/>
                              <w:sz w:val="28"/>
                              <w:szCs w:val="28"/>
                            </w:rPr>
                          </w:pPr>
                          <w:r w:rsidRPr="00C179AB">
                            <w:rPr>
                              <w:color w:val="156082" w:themeColor="accent1"/>
                              <w:sz w:val="28"/>
                              <w:szCs w:val="28"/>
                              <w:lang w:val="en-GB"/>
                            </w:rPr>
                            <w:t xml:space="preserve">Assignment Title: </w:t>
                          </w:r>
                          <w:r w:rsidR="00EE45E6" w:rsidRPr="00EE45E6">
                            <w:rPr>
                              <w:color w:val="156082" w:themeColor="accent1"/>
                              <w:sz w:val="28"/>
                              <w:szCs w:val="28"/>
                              <w:lang w:val="en-GB"/>
                            </w:rPr>
                            <w:t>Hackathon 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07E26F4" w14:textId="5B0406F8" w:rsidR="00C179AB" w:rsidRDefault="00C179A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FC6D80" wp14:editId="7C01CE7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52126" w14:textId="48F5926F" w:rsidR="00C179AB" w:rsidRDefault="00F00F4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00F45">
                                      <w:rPr>
                                        <w:caps/>
                                        <w:color w:val="156082" w:themeColor="accent1"/>
                                        <w:sz w:val="64"/>
                                        <w:szCs w:val="64"/>
                                      </w:rPr>
                                      <w:t>Programme:</w:t>
                                    </w:r>
                                    <w:r w:rsidRPr="00F00F45">
                                      <w:rPr>
                                        <w:caps/>
                                        <w:color w:val="156082" w:themeColor="accent1"/>
                                        <w:sz w:val="64"/>
                                        <w:szCs w:val="64"/>
                                      </w:rPr>
                                      <w:t xml:space="preserve"> </w:t>
                                    </w:r>
                                    <w:r w:rsidRPr="00F00F45">
                                      <w:rPr>
                                        <w:caps/>
                                        <w:color w:val="156082" w:themeColor="accent1"/>
                                        <w:sz w:val="64"/>
                                        <w:szCs w:val="64"/>
                                      </w:rPr>
                                      <w:t>BSc Computing Portfolio, BA Computer Animation, BA Games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759409" w14:textId="4CE01F0B" w:rsidR="00C179AB" w:rsidRDefault="000C0FE9" w:rsidP="00C179AB">
                                    <w:pPr>
                                      <w:rPr>
                                        <w:smallCaps/>
                                        <w:color w:val="404040" w:themeColor="text1" w:themeTint="BF"/>
                                        <w:sz w:val="36"/>
                                        <w:szCs w:val="36"/>
                                      </w:rPr>
                                    </w:pPr>
                                    <w:r w:rsidRPr="000C0FE9">
                                      <w:rPr>
                                        <w:color w:val="404040" w:themeColor="text1" w:themeTint="BF"/>
                                        <w:sz w:val="36"/>
                                        <w:szCs w:val="36"/>
                                      </w:rPr>
                                      <w:t>Module: Emerging Trends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FC6D8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0252126" w14:textId="48F5926F" w:rsidR="00C179AB" w:rsidRDefault="00F00F4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00F45">
                                <w:rPr>
                                  <w:caps/>
                                  <w:color w:val="156082" w:themeColor="accent1"/>
                                  <w:sz w:val="64"/>
                                  <w:szCs w:val="64"/>
                                </w:rPr>
                                <w:t>Programme:</w:t>
                              </w:r>
                              <w:r w:rsidRPr="00F00F45">
                                <w:rPr>
                                  <w:caps/>
                                  <w:color w:val="156082" w:themeColor="accent1"/>
                                  <w:sz w:val="64"/>
                                  <w:szCs w:val="64"/>
                                </w:rPr>
                                <w:t xml:space="preserve"> </w:t>
                              </w:r>
                              <w:r w:rsidRPr="00F00F45">
                                <w:rPr>
                                  <w:caps/>
                                  <w:color w:val="156082" w:themeColor="accent1"/>
                                  <w:sz w:val="64"/>
                                  <w:szCs w:val="64"/>
                                </w:rPr>
                                <w:t>BSc Computing Portfolio, BA Computer Animation, BA Games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759409" w14:textId="4CE01F0B" w:rsidR="00C179AB" w:rsidRDefault="000C0FE9" w:rsidP="00C179AB">
                              <w:pPr>
                                <w:rPr>
                                  <w:smallCaps/>
                                  <w:color w:val="404040" w:themeColor="text1" w:themeTint="BF"/>
                                  <w:sz w:val="36"/>
                                  <w:szCs w:val="36"/>
                                </w:rPr>
                              </w:pPr>
                              <w:r w:rsidRPr="000C0FE9">
                                <w:rPr>
                                  <w:color w:val="404040" w:themeColor="text1" w:themeTint="BF"/>
                                  <w:sz w:val="36"/>
                                  <w:szCs w:val="36"/>
                                </w:rPr>
                                <w:t>Module: Emerging Trends</w:t>
                              </w:r>
                            </w:p>
                          </w:sdtContent>
                        </w:sdt>
                      </w:txbxContent>
                    </v:textbox>
                    <w10:wrap type="square" anchorx="page" anchory="page"/>
                  </v:shape>
                </w:pict>
              </mc:Fallback>
            </mc:AlternateContent>
          </w:r>
        </w:p>
        <w:p w14:paraId="33B5FDCF" w14:textId="266A1318" w:rsidR="001867FE" w:rsidRDefault="00C179AB">
          <w:r>
            <w:br w:type="page"/>
          </w:r>
        </w:p>
      </w:sdtContent>
    </w:sdt>
    <w:sdt>
      <w:sdtPr>
        <w:rPr>
          <w:rFonts w:asciiTheme="minorHAnsi" w:eastAsiaTheme="minorHAnsi" w:hAnsiTheme="minorHAnsi" w:cstheme="minorBidi"/>
          <w:color w:val="auto"/>
          <w:kern w:val="2"/>
          <w:sz w:val="22"/>
          <w:szCs w:val="22"/>
          <w:lang w:val="en-GB"/>
          <w14:ligatures w14:val="standardContextual"/>
        </w:rPr>
        <w:id w:val="-1836920303"/>
        <w:docPartObj>
          <w:docPartGallery w:val="Table of Contents"/>
          <w:docPartUnique/>
        </w:docPartObj>
      </w:sdtPr>
      <w:sdtEndPr>
        <w:rPr>
          <w:b/>
          <w:bCs/>
          <w:noProof/>
        </w:rPr>
      </w:sdtEndPr>
      <w:sdtContent>
        <w:p w14:paraId="08832968" w14:textId="02C448F3" w:rsidR="00B92BE4" w:rsidRDefault="00B92BE4">
          <w:pPr>
            <w:pStyle w:val="TOCHeading"/>
          </w:pPr>
          <w:r>
            <w:t>Table of Contents</w:t>
          </w:r>
          <w:r w:rsidR="008D4AFC" w:rsidRPr="008D4AFC">
            <w:rPr>
              <w:rFonts w:asciiTheme="minorHAnsi" w:eastAsiaTheme="minorHAnsi" w:hAnsiTheme="minorHAnsi" w:cstheme="minorBidi"/>
              <w:color w:val="auto"/>
              <w:kern w:val="2"/>
              <w:sz w:val="22"/>
              <w:szCs w:val="22"/>
              <w:lang w:val="en-GB"/>
              <w14:ligatures w14:val="standardContextual"/>
            </w:rPr>
            <w:t xml:space="preserve"> </w:t>
          </w:r>
          <w:proofErr w:type="gramStart"/>
          <w:r w:rsidR="008D4AFC" w:rsidRPr="008D4AFC">
            <w:t>Individual</w:t>
          </w:r>
          <w:r w:rsidR="008D4AFC" w:rsidRPr="008D4AFC">
            <w:rPr>
              <w:rFonts w:asciiTheme="minorHAnsi" w:eastAsiaTheme="minorHAnsi" w:hAnsiTheme="minorHAnsi" w:cstheme="minorBidi"/>
              <w:color w:val="auto"/>
              <w:kern w:val="2"/>
              <w:sz w:val="22"/>
              <w:szCs w:val="22"/>
              <w:lang w:val="en-GB"/>
              <w14:ligatures w14:val="standardContextual"/>
            </w:rPr>
            <w:t xml:space="preserve"> </w:t>
          </w:r>
          <w:r w:rsidR="008D4AFC" w:rsidRPr="008D4AFC">
            <w:t>,</w:t>
          </w:r>
          <w:proofErr w:type="gramEnd"/>
        </w:p>
        <w:p w14:paraId="6CFE7495" w14:textId="7B7145FE" w:rsidR="001E6035" w:rsidRDefault="00B92BE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214775" w:history="1">
            <w:r w:rsidR="001E6035" w:rsidRPr="00BB17E9">
              <w:rPr>
                <w:rStyle w:val="Hyperlink"/>
                <w:rFonts w:ascii="Cambria" w:eastAsia="Cambria" w:hAnsi="Cambria" w:cs="Cambria"/>
                <w:b/>
                <w:bCs/>
                <w:noProof/>
              </w:rPr>
              <w:t>Introduction</w:t>
            </w:r>
            <w:r w:rsidR="001E6035">
              <w:rPr>
                <w:noProof/>
                <w:webHidden/>
              </w:rPr>
              <w:tab/>
            </w:r>
            <w:r w:rsidR="001E6035">
              <w:rPr>
                <w:noProof/>
                <w:webHidden/>
              </w:rPr>
              <w:fldChar w:fldCharType="begin"/>
            </w:r>
            <w:r w:rsidR="001E6035">
              <w:rPr>
                <w:noProof/>
                <w:webHidden/>
              </w:rPr>
              <w:instrText xml:space="preserve"> PAGEREF _Toc237214775 \h </w:instrText>
            </w:r>
            <w:r w:rsidR="001E6035">
              <w:rPr>
                <w:noProof/>
                <w:webHidden/>
              </w:rPr>
            </w:r>
            <w:r w:rsidR="001E6035">
              <w:rPr>
                <w:noProof/>
                <w:webHidden/>
              </w:rPr>
              <w:fldChar w:fldCharType="separate"/>
            </w:r>
            <w:r w:rsidR="001E6035">
              <w:rPr>
                <w:noProof/>
                <w:webHidden/>
              </w:rPr>
              <w:t>2</w:t>
            </w:r>
            <w:r w:rsidR="001E6035">
              <w:rPr>
                <w:noProof/>
                <w:webHidden/>
              </w:rPr>
              <w:fldChar w:fldCharType="end"/>
            </w:r>
          </w:hyperlink>
        </w:p>
        <w:p w14:paraId="78CB7B40" w14:textId="19AF79C5" w:rsidR="001E6035" w:rsidRDefault="001E6035">
          <w:pPr>
            <w:pStyle w:val="TOC1"/>
            <w:tabs>
              <w:tab w:val="right" w:leader="dot" w:pos="9016"/>
            </w:tabs>
            <w:rPr>
              <w:rFonts w:eastAsiaTheme="minorEastAsia"/>
              <w:noProof/>
              <w:sz w:val="24"/>
              <w:szCs w:val="24"/>
              <w:lang w:eastAsia="en-GB"/>
            </w:rPr>
          </w:pPr>
          <w:hyperlink w:anchor="_Toc237214776" w:history="1">
            <w:r w:rsidRPr="00BB17E9">
              <w:rPr>
                <w:rStyle w:val="Hyperlink"/>
                <w:rFonts w:ascii="Cambria" w:eastAsia="Cambria" w:hAnsi="Cambria" w:cs="Cambria"/>
                <w:b/>
                <w:bCs/>
                <w:noProof/>
              </w:rPr>
              <w:t>Team Collaboration and Working Experience</w:t>
            </w:r>
            <w:r>
              <w:rPr>
                <w:noProof/>
                <w:webHidden/>
              </w:rPr>
              <w:tab/>
            </w:r>
            <w:r>
              <w:rPr>
                <w:noProof/>
                <w:webHidden/>
              </w:rPr>
              <w:fldChar w:fldCharType="begin"/>
            </w:r>
            <w:r>
              <w:rPr>
                <w:noProof/>
                <w:webHidden/>
              </w:rPr>
              <w:instrText xml:space="preserve"> PAGEREF _Toc237214776 \h </w:instrText>
            </w:r>
            <w:r>
              <w:rPr>
                <w:noProof/>
                <w:webHidden/>
              </w:rPr>
            </w:r>
            <w:r>
              <w:rPr>
                <w:noProof/>
                <w:webHidden/>
              </w:rPr>
              <w:fldChar w:fldCharType="separate"/>
            </w:r>
            <w:r>
              <w:rPr>
                <w:noProof/>
                <w:webHidden/>
              </w:rPr>
              <w:t>2</w:t>
            </w:r>
            <w:r>
              <w:rPr>
                <w:noProof/>
                <w:webHidden/>
              </w:rPr>
              <w:fldChar w:fldCharType="end"/>
            </w:r>
          </w:hyperlink>
        </w:p>
        <w:p w14:paraId="314441A8" w14:textId="3C5AC924" w:rsidR="001E6035" w:rsidRDefault="001E6035">
          <w:pPr>
            <w:pStyle w:val="TOC1"/>
            <w:tabs>
              <w:tab w:val="right" w:leader="dot" w:pos="9016"/>
            </w:tabs>
            <w:rPr>
              <w:rFonts w:eastAsiaTheme="minorEastAsia"/>
              <w:noProof/>
              <w:sz w:val="24"/>
              <w:szCs w:val="24"/>
              <w:lang w:eastAsia="en-GB"/>
            </w:rPr>
          </w:pPr>
          <w:hyperlink w:anchor="_Toc237214777" w:history="1">
            <w:r w:rsidRPr="00BB17E9">
              <w:rPr>
                <w:rStyle w:val="Hyperlink"/>
                <w:rFonts w:ascii="Cambria" w:eastAsia="Cambria" w:hAnsi="Cambria" w:cs="Cambria"/>
                <w:b/>
                <w:bCs/>
                <w:noProof/>
              </w:rPr>
              <w:t>Technical Contribution and Personal Learning</w:t>
            </w:r>
            <w:r>
              <w:rPr>
                <w:noProof/>
                <w:webHidden/>
              </w:rPr>
              <w:tab/>
            </w:r>
            <w:r>
              <w:rPr>
                <w:noProof/>
                <w:webHidden/>
              </w:rPr>
              <w:fldChar w:fldCharType="begin"/>
            </w:r>
            <w:r>
              <w:rPr>
                <w:noProof/>
                <w:webHidden/>
              </w:rPr>
              <w:instrText xml:space="preserve"> PAGEREF _Toc237214777 \h </w:instrText>
            </w:r>
            <w:r>
              <w:rPr>
                <w:noProof/>
                <w:webHidden/>
              </w:rPr>
            </w:r>
            <w:r>
              <w:rPr>
                <w:noProof/>
                <w:webHidden/>
              </w:rPr>
              <w:fldChar w:fldCharType="separate"/>
            </w:r>
            <w:r>
              <w:rPr>
                <w:noProof/>
                <w:webHidden/>
              </w:rPr>
              <w:t>3</w:t>
            </w:r>
            <w:r>
              <w:rPr>
                <w:noProof/>
                <w:webHidden/>
              </w:rPr>
              <w:fldChar w:fldCharType="end"/>
            </w:r>
          </w:hyperlink>
        </w:p>
        <w:p w14:paraId="2297AA2B" w14:textId="080490C9" w:rsidR="001E6035" w:rsidRDefault="001E6035">
          <w:pPr>
            <w:pStyle w:val="TOC1"/>
            <w:tabs>
              <w:tab w:val="right" w:leader="dot" w:pos="9016"/>
            </w:tabs>
            <w:rPr>
              <w:rFonts w:eastAsiaTheme="minorEastAsia"/>
              <w:noProof/>
              <w:sz w:val="24"/>
              <w:szCs w:val="24"/>
              <w:lang w:eastAsia="en-GB"/>
            </w:rPr>
          </w:pPr>
          <w:hyperlink w:anchor="_Toc237214778" w:history="1">
            <w:r w:rsidRPr="00BB17E9">
              <w:rPr>
                <w:rStyle w:val="Hyperlink"/>
                <w:rFonts w:ascii="Cambria" w:eastAsia="Cambria" w:hAnsi="Cambria" w:cs="Cambria"/>
                <w:b/>
                <w:bCs/>
                <w:noProof/>
              </w:rPr>
              <w:t>Community and Societal Impact</w:t>
            </w:r>
            <w:r>
              <w:rPr>
                <w:noProof/>
                <w:webHidden/>
              </w:rPr>
              <w:tab/>
            </w:r>
            <w:r>
              <w:rPr>
                <w:noProof/>
                <w:webHidden/>
              </w:rPr>
              <w:fldChar w:fldCharType="begin"/>
            </w:r>
            <w:r>
              <w:rPr>
                <w:noProof/>
                <w:webHidden/>
              </w:rPr>
              <w:instrText xml:space="preserve"> PAGEREF _Toc237214778 \h </w:instrText>
            </w:r>
            <w:r>
              <w:rPr>
                <w:noProof/>
                <w:webHidden/>
              </w:rPr>
            </w:r>
            <w:r>
              <w:rPr>
                <w:noProof/>
                <w:webHidden/>
              </w:rPr>
              <w:fldChar w:fldCharType="separate"/>
            </w:r>
            <w:r>
              <w:rPr>
                <w:noProof/>
                <w:webHidden/>
              </w:rPr>
              <w:t>3</w:t>
            </w:r>
            <w:r>
              <w:rPr>
                <w:noProof/>
                <w:webHidden/>
              </w:rPr>
              <w:fldChar w:fldCharType="end"/>
            </w:r>
          </w:hyperlink>
        </w:p>
        <w:p w14:paraId="2F67E8D2" w14:textId="708B361B" w:rsidR="001E6035" w:rsidRDefault="001E6035">
          <w:pPr>
            <w:pStyle w:val="TOC1"/>
            <w:tabs>
              <w:tab w:val="right" w:leader="dot" w:pos="9016"/>
            </w:tabs>
            <w:rPr>
              <w:rFonts w:eastAsiaTheme="minorEastAsia"/>
              <w:noProof/>
              <w:sz w:val="24"/>
              <w:szCs w:val="24"/>
              <w:lang w:eastAsia="en-GB"/>
            </w:rPr>
          </w:pPr>
          <w:hyperlink w:anchor="_Toc237214779" w:history="1">
            <w:r w:rsidRPr="00BB17E9">
              <w:rPr>
                <w:rStyle w:val="Hyperlink"/>
                <w:rFonts w:ascii="Cambria" w:eastAsia="Cambria" w:hAnsi="Cambria" w:cs="Cambria"/>
                <w:b/>
                <w:bCs/>
                <w:noProof/>
              </w:rPr>
              <w:t>Reflective Evaluation: Challenges and Growth</w:t>
            </w:r>
            <w:r>
              <w:rPr>
                <w:noProof/>
                <w:webHidden/>
              </w:rPr>
              <w:tab/>
            </w:r>
            <w:r>
              <w:rPr>
                <w:noProof/>
                <w:webHidden/>
              </w:rPr>
              <w:fldChar w:fldCharType="begin"/>
            </w:r>
            <w:r>
              <w:rPr>
                <w:noProof/>
                <w:webHidden/>
              </w:rPr>
              <w:instrText xml:space="preserve"> PAGEREF _Toc237214779 \h </w:instrText>
            </w:r>
            <w:r>
              <w:rPr>
                <w:noProof/>
                <w:webHidden/>
              </w:rPr>
            </w:r>
            <w:r>
              <w:rPr>
                <w:noProof/>
                <w:webHidden/>
              </w:rPr>
              <w:fldChar w:fldCharType="separate"/>
            </w:r>
            <w:r>
              <w:rPr>
                <w:noProof/>
                <w:webHidden/>
              </w:rPr>
              <w:t>4</w:t>
            </w:r>
            <w:r>
              <w:rPr>
                <w:noProof/>
                <w:webHidden/>
              </w:rPr>
              <w:fldChar w:fldCharType="end"/>
            </w:r>
          </w:hyperlink>
        </w:p>
        <w:p w14:paraId="405B98C8" w14:textId="6727CBD1" w:rsidR="001E6035" w:rsidRDefault="001E6035">
          <w:pPr>
            <w:pStyle w:val="TOC1"/>
            <w:tabs>
              <w:tab w:val="right" w:leader="dot" w:pos="9016"/>
            </w:tabs>
            <w:rPr>
              <w:rFonts w:eastAsiaTheme="minorEastAsia"/>
              <w:noProof/>
              <w:sz w:val="24"/>
              <w:szCs w:val="24"/>
              <w:lang w:eastAsia="en-GB"/>
            </w:rPr>
          </w:pPr>
          <w:hyperlink w:anchor="_Toc237214780" w:history="1">
            <w:r w:rsidRPr="00BB17E9">
              <w:rPr>
                <w:rStyle w:val="Hyperlink"/>
                <w:rFonts w:ascii="Cambria" w:eastAsia="Cambria" w:hAnsi="Cambria" w:cs="Cambria"/>
                <w:b/>
                <w:bCs/>
                <w:noProof/>
              </w:rPr>
              <w:t>Conclusion and Future Application</w:t>
            </w:r>
            <w:r>
              <w:rPr>
                <w:noProof/>
                <w:webHidden/>
              </w:rPr>
              <w:tab/>
            </w:r>
            <w:r>
              <w:rPr>
                <w:noProof/>
                <w:webHidden/>
              </w:rPr>
              <w:fldChar w:fldCharType="begin"/>
            </w:r>
            <w:r>
              <w:rPr>
                <w:noProof/>
                <w:webHidden/>
              </w:rPr>
              <w:instrText xml:space="preserve"> PAGEREF _Toc237214780 \h </w:instrText>
            </w:r>
            <w:r>
              <w:rPr>
                <w:noProof/>
                <w:webHidden/>
              </w:rPr>
            </w:r>
            <w:r>
              <w:rPr>
                <w:noProof/>
                <w:webHidden/>
              </w:rPr>
              <w:fldChar w:fldCharType="separate"/>
            </w:r>
            <w:r>
              <w:rPr>
                <w:noProof/>
                <w:webHidden/>
              </w:rPr>
              <w:t>4</w:t>
            </w:r>
            <w:r>
              <w:rPr>
                <w:noProof/>
                <w:webHidden/>
              </w:rPr>
              <w:fldChar w:fldCharType="end"/>
            </w:r>
          </w:hyperlink>
        </w:p>
        <w:p w14:paraId="1500F7FE" w14:textId="5D254DD4" w:rsidR="001E6035" w:rsidRDefault="001E6035">
          <w:pPr>
            <w:pStyle w:val="TOC1"/>
            <w:tabs>
              <w:tab w:val="right" w:leader="dot" w:pos="9016"/>
            </w:tabs>
            <w:rPr>
              <w:rFonts w:eastAsiaTheme="minorEastAsia"/>
              <w:noProof/>
              <w:sz w:val="24"/>
              <w:szCs w:val="24"/>
              <w:lang w:eastAsia="en-GB"/>
            </w:rPr>
          </w:pPr>
          <w:hyperlink w:anchor="_Toc237214781" w:history="1">
            <w:r w:rsidRPr="00BB17E9">
              <w:rPr>
                <w:rStyle w:val="Hyperlink"/>
                <w:rFonts w:ascii="Cambria" w:eastAsia="Cambria" w:hAnsi="Cambria" w:cs="Cambria"/>
                <w:b/>
                <w:bCs/>
                <w:noProof/>
              </w:rPr>
              <w:t>References</w:t>
            </w:r>
            <w:r>
              <w:rPr>
                <w:noProof/>
                <w:webHidden/>
              </w:rPr>
              <w:tab/>
            </w:r>
            <w:r>
              <w:rPr>
                <w:noProof/>
                <w:webHidden/>
              </w:rPr>
              <w:fldChar w:fldCharType="begin"/>
            </w:r>
            <w:r>
              <w:rPr>
                <w:noProof/>
                <w:webHidden/>
              </w:rPr>
              <w:instrText xml:space="preserve"> PAGEREF _Toc237214781 \h </w:instrText>
            </w:r>
            <w:r>
              <w:rPr>
                <w:noProof/>
                <w:webHidden/>
              </w:rPr>
            </w:r>
            <w:r>
              <w:rPr>
                <w:noProof/>
                <w:webHidden/>
              </w:rPr>
              <w:fldChar w:fldCharType="separate"/>
            </w:r>
            <w:r>
              <w:rPr>
                <w:noProof/>
                <w:webHidden/>
              </w:rPr>
              <w:t>4</w:t>
            </w:r>
            <w:r>
              <w:rPr>
                <w:noProof/>
                <w:webHidden/>
              </w:rPr>
              <w:fldChar w:fldCharType="end"/>
            </w:r>
          </w:hyperlink>
        </w:p>
        <w:p w14:paraId="2AD83753" w14:textId="61367BC0" w:rsidR="00B92BE4" w:rsidRDefault="00B92BE4">
          <w:r>
            <w:rPr>
              <w:b/>
              <w:bCs/>
              <w:noProof/>
            </w:rPr>
            <w:fldChar w:fldCharType="end"/>
          </w:r>
        </w:p>
      </w:sdtContent>
    </w:sdt>
    <w:p w14:paraId="66F7B40C" w14:textId="0C2E52F9" w:rsidR="00B92BE4" w:rsidRDefault="00B92BE4"/>
    <w:p w14:paraId="6831D606" w14:textId="77777777" w:rsidR="00B92BE4" w:rsidRDefault="00B92BE4">
      <w:r>
        <w:br w:type="page"/>
      </w:r>
    </w:p>
    <w:p w14:paraId="17B7CBE7" w14:textId="77777777" w:rsidR="000B5620" w:rsidRDefault="000B5620" w:rsidP="000B5620">
      <w:pPr>
        <w:spacing w:after="60"/>
        <w:jc w:val="center"/>
      </w:pPr>
      <w:r>
        <w:rPr>
          <w:rFonts w:ascii="Cambria" w:eastAsia="Cambria" w:hAnsi="Cambria" w:cs="Cambria"/>
          <w:b/>
          <w:bCs/>
          <w:sz w:val="36"/>
          <w:szCs w:val="36"/>
        </w:rPr>
        <w:lastRenderedPageBreak/>
        <w:t>Individual Reflective Journal</w:t>
      </w:r>
    </w:p>
    <w:p w14:paraId="011609F4" w14:textId="77777777" w:rsidR="000B5620" w:rsidRDefault="000B5620" w:rsidP="000B5620">
      <w:pPr>
        <w:spacing w:after="40"/>
        <w:jc w:val="center"/>
      </w:pPr>
      <w:proofErr w:type="spellStart"/>
      <w:r>
        <w:rPr>
          <w:rFonts w:ascii="Cambria" w:eastAsia="Cambria" w:hAnsi="Cambria" w:cs="Cambria"/>
          <w:i/>
          <w:iCs/>
          <w:color w:val="333333"/>
          <w:sz w:val="26"/>
          <w:szCs w:val="26"/>
        </w:rPr>
        <w:t>SecureLog</w:t>
      </w:r>
      <w:proofErr w:type="spellEnd"/>
      <w:r>
        <w:rPr>
          <w:rFonts w:ascii="Cambria" w:eastAsia="Cambria" w:hAnsi="Cambria" w:cs="Cambria"/>
          <w:i/>
          <w:iCs/>
          <w:color w:val="333333"/>
          <w:sz w:val="26"/>
          <w:szCs w:val="26"/>
        </w:rPr>
        <w:t xml:space="preserve"> AI: ML-Powered Log Anomaly Detection</w:t>
      </w:r>
    </w:p>
    <w:p w14:paraId="45888F7C" w14:textId="77777777" w:rsidR="000B5620" w:rsidRDefault="000B5620" w:rsidP="000B5620">
      <w:pPr>
        <w:spacing w:after="400"/>
        <w:jc w:val="center"/>
      </w:pPr>
      <w:r>
        <w:rPr>
          <w:rFonts w:ascii="Calibri" w:eastAsia="Calibri" w:hAnsi="Calibri" w:cs="Calibri"/>
          <w:color w:val="555555"/>
          <w:sz w:val="20"/>
          <w:szCs w:val="20"/>
        </w:rPr>
        <w:t>Andy Onyedikachukwu Ibeh · Frontend &amp; API Lead · UWTSD Hackathon 2026</w:t>
      </w:r>
    </w:p>
    <w:p w14:paraId="22F56A95" w14:textId="77777777" w:rsidR="000B5620" w:rsidRDefault="000B5620" w:rsidP="000B5620">
      <w:pPr>
        <w:pStyle w:val="Heading1"/>
        <w:spacing w:before="120" w:after="120"/>
      </w:pPr>
      <w:bookmarkStart w:id="0" w:name="_Toc237214775"/>
      <w:r>
        <w:rPr>
          <w:rFonts w:ascii="Cambria" w:eastAsia="Cambria" w:hAnsi="Cambria" w:cs="Cambria"/>
          <w:b/>
          <w:bCs/>
          <w:sz w:val="28"/>
          <w:szCs w:val="28"/>
        </w:rPr>
        <w:t>Introduction</w:t>
      </w:r>
      <w:bookmarkEnd w:id="0"/>
    </w:p>
    <w:p w14:paraId="3C068F99" w14:textId="76B070D9" w:rsidR="000B5620" w:rsidRDefault="000B5620" w:rsidP="000B5620">
      <w:pPr>
        <w:spacing w:after="200" w:line="288" w:lineRule="auto"/>
        <w:jc w:val="both"/>
      </w:pPr>
      <w:r>
        <w:rPr>
          <w:rFonts w:ascii="Calibri" w:eastAsia="Calibri" w:hAnsi="Calibri" w:cs="Calibri"/>
          <w:sz w:val="24"/>
          <w:szCs w:val="24"/>
        </w:rPr>
        <w:t>Over the six weeks</w:t>
      </w:r>
      <w:r w:rsidR="000C2964">
        <w:rPr>
          <w:rFonts w:ascii="Calibri" w:eastAsia="Calibri" w:hAnsi="Calibri" w:cs="Calibri"/>
          <w:sz w:val="24"/>
          <w:szCs w:val="24"/>
        </w:rPr>
        <w:t>,</w:t>
      </w:r>
      <w:r>
        <w:rPr>
          <w:rFonts w:ascii="Calibri" w:eastAsia="Calibri" w:hAnsi="Calibri" w:cs="Calibri"/>
          <w:sz w:val="24"/>
          <w:szCs w:val="24"/>
        </w:rPr>
        <w:t xml:space="preserve"> Piero and I designed and built </w:t>
      </w:r>
      <w:proofErr w:type="spellStart"/>
      <w:r>
        <w:rPr>
          <w:rFonts w:ascii="Calibri" w:eastAsia="Calibri" w:hAnsi="Calibri" w:cs="Calibri"/>
          <w:sz w:val="24"/>
          <w:szCs w:val="24"/>
        </w:rPr>
        <w:t>SecureLog</w:t>
      </w:r>
      <w:proofErr w:type="spellEnd"/>
      <w:r>
        <w:rPr>
          <w:rFonts w:ascii="Calibri" w:eastAsia="Calibri" w:hAnsi="Calibri" w:cs="Calibri"/>
          <w:sz w:val="24"/>
          <w:szCs w:val="24"/>
        </w:rPr>
        <w:t xml:space="preserve"> AI</w:t>
      </w:r>
      <w:r w:rsidR="00D853D4">
        <w:rPr>
          <w:rFonts w:ascii="Calibri" w:eastAsia="Calibri" w:hAnsi="Calibri" w:cs="Calibri"/>
          <w:sz w:val="24"/>
          <w:szCs w:val="24"/>
        </w:rPr>
        <w:t>. This unsupervised machine learning system</w:t>
      </w:r>
      <w:r>
        <w:rPr>
          <w:rFonts w:ascii="Calibri" w:eastAsia="Calibri" w:hAnsi="Calibri" w:cs="Calibri"/>
          <w:sz w:val="24"/>
          <w:szCs w:val="24"/>
        </w:rPr>
        <w:t xml:space="preserve"> flags anomalous log events without relying on brittle, rule-based alerting. I served as Frontend and API Lead, and this journal is my personal reflection on that experience: what the project could mean for organisations beyond our own two-person team, how well we worked together, and what I have learned about myself as a developer and a collaborator, working under real-time pressure rather than in a classroom exercise. Independent evaluation of enterprise Security Information and Event Management systems continues to show that high volumes of low-quality alerts remain one of the most persistent operational problems in the sector, with real incidents routinely lost in the noise [1]. At the same time, the commercial tools capable of addressing this properly </w:t>
      </w:r>
      <w:r w:rsidR="00D853D4">
        <w:rPr>
          <w:rFonts w:ascii="Calibri" w:eastAsia="Calibri" w:hAnsi="Calibri" w:cs="Calibri"/>
          <w:sz w:val="24"/>
          <w:szCs w:val="24"/>
        </w:rPr>
        <w:t xml:space="preserve">incur licensing costs that make them entirely out of reach for small organisations </w:t>
      </w:r>
      <w:r>
        <w:rPr>
          <w:rFonts w:ascii="Calibri" w:eastAsia="Calibri" w:hAnsi="Calibri" w:cs="Calibri"/>
          <w:sz w:val="24"/>
          <w:szCs w:val="24"/>
        </w:rPr>
        <w:t>[2]. Reflecting honestly on both the technical and interpersonal dimensions of this project has helped me understand why closing that gap, even at hackathon scale, felt worth the effort.</w:t>
      </w:r>
    </w:p>
    <w:p w14:paraId="62BFC6A2" w14:textId="77777777" w:rsidR="000B5620" w:rsidRDefault="000B5620" w:rsidP="000B5620">
      <w:pPr>
        <w:pStyle w:val="Heading1"/>
        <w:spacing w:before="120" w:after="120"/>
      </w:pPr>
      <w:bookmarkStart w:id="1" w:name="_Toc237214776"/>
      <w:r>
        <w:rPr>
          <w:rFonts w:ascii="Cambria" w:eastAsia="Cambria" w:hAnsi="Cambria" w:cs="Cambria"/>
          <w:b/>
          <w:bCs/>
          <w:sz w:val="28"/>
          <w:szCs w:val="28"/>
        </w:rPr>
        <w:t>Team Collaboration and Working Experience</w:t>
      </w:r>
      <w:bookmarkEnd w:id="1"/>
    </w:p>
    <w:p w14:paraId="72341DD3" w14:textId="77777777" w:rsidR="000B5620" w:rsidRDefault="000B5620" w:rsidP="000B5620">
      <w:pPr>
        <w:spacing w:after="200" w:line="288" w:lineRule="auto"/>
        <w:jc w:val="both"/>
      </w:pPr>
      <w:r>
        <w:rPr>
          <w:rFonts w:ascii="Calibri" w:eastAsia="Calibri" w:hAnsi="Calibri" w:cs="Calibri"/>
          <w:sz w:val="24"/>
          <w:szCs w:val="24"/>
        </w:rPr>
        <w:t>From the outset, Piero and I divided ownership formally: I took the Frontend and API Lead role, covering the upload interface, results presentation, and security hardening, while Piero led the Machine Learning and Data pipeline. This division was not accidental. Recent research into long-running student development teams shows that clear role division and lightweight, tool-mediated coordination are strong predictors of steady progress once other academic and personal commitments compete for time [3], and that description matches our experience closely; alongside this hackathon, I was also balancing my responsibilities as a private hire driver and community obligations, so a fixed weekly call with asynchronous updates in between made the difference between steady progress and drift. We used MS Teams for topic-specific discussion, GitHub for branch-based development, and a shared Planner board to keep actions visible to us both, a pattern consistent with studies of hybrid Agile teams that combine synchronous and asynchronous coordination across academic and industry contexts [4].</w:t>
      </w:r>
    </w:p>
    <w:p w14:paraId="546913D9" w14:textId="77777777" w:rsidR="000B5620" w:rsidRDefault="000B5620" w:rsidP="000B5620">
      <w:pPr>
        <w:spacing w:after="200" w:line="288" w:lineRule="auto"/>
        <w:jc w:val="both"/>
      </w:pPr>
      <w:r>
        <w:rPr>
          <w:rFonts w:ascii="Calibri" w:eastAsia="Calibri" w:hAnsi="Calibri" w:cs="Calibri"/>
          <w:sz w:val="24"/>
          <w:szCs w:val="24"/>
        </w:rPr>
        <w:t xml:space="preserve">Looking back honestly, I think Piero and I performed well as a team, though not without friction. Piero's grounding in the machine learning literature meant he could justify model choices quickly, while I was sometimes slower translating those choices into an interface a non-technical analyst could trust. Where I contributed most was in pushing back on assumptions, insisting our disclaimers and thresholds were stated honestly rather than </w:t>
      </w:r>
      <w:r>
        <w:rPr>
          <w:rFonts w:ascii="Calibri" w:eastAsia="Calibri" w:hAnsi="Calibri" w:cs="Calibri"/>
          <w:sz w:val="24"/>
          <w:szCs w:val="24"/>
        </w:rPr>
        <w:lastRenderedPageBreak/>
        <w:t>oversold. Structured reflective assessment of project-based work has been shown to strengthen exactly this kind of teamwork and problem-solving capability, by asking students to evaluate the reasoning behind decisions rather than only the outcomes [5]. Applying that discipline throughout the project, rather than only at the end, is something I would build into any future team from day one.</w:t>
      </w:r>
    </w:p>
    <w:p w14:paraId="5E2B50C2" w14:textId="77777777" w:rsidR="000B5620" w:rsidRDefault="000B5620" w:rsidP="000B5620">
      <w:pPr>
        <w:pStyle w:val="Heading1"/>
        <w:spacing w:before="120" w:after="120"/>
      </w:pPr>
      <w:bookmarkStart w:id="2" w:name="_Toc237214777"/>
      <w:r>
        <w:rPr>
          <w:rFonts w:ascii="Cambria" w:eastAsia="Cambria" w:hAnsi="Cambria" w:cs="Cambria"/>
          <w:b/>
          <w:bCs/>
          <w:sz w:val="28"/>
          <w:szCs w:val="28"/>
        </w:rPr>
        <w:t>Technical Contribution and Personal Learning</w:t>
      </w:r>
      <w:bookmarkEnd w:id="2"/>
    </w:p>
    <w:p w14:paraId="3EC61604" w14:textId="77777777" w:rsidR="000B5620" w:rsidRDefault="000B5620" w:rsidP="000B5620">
      <w:pPr>
        <w:spacing w:after="200" w:line="288" w:lineRule="auto"/>
        <w:jc w:val="both"/>
      </w:pPr>
      <w:r>
        <w:rPr>
          <w:rFonts w:ascii="Calibri" w:eastAsia="Calibri" w:hAnsi="Calibri" w:cs="Calibri"/>
          <w:sz w:val="24"/>
          <w:szCs w:val="24"/>
        </w:rPr>
        <w:t xml:space="preserve">My direct contribution centred on upload handling, validation, and the results interface, plus the security-hardening decisions that kept the prototype's attack surface small. Working alongside Piero's unsupervised isolation-forest model deepened my understanding of why unsupervised approaches are gaining traction in real security research: recent work on isolation-forest detection over high-volume network traffic confirms that this family of methods scales to real-time settings without needing any labelled attack data [6], which is exactly the property that made our own approach viable inside a six-week timeline. I also learned how much of the real difficulty in log-based anomaly detection sits upstream of the model itself. Diverse and inconsistent log formats remain the main obstacle to automated </w:t>
      </w:r>
      <w:proofErr w:type="gramStart"/>
      <w:r>
        <w:rPr>
          <w:rFonts w:ascii="Calibri" w:eastAsia="Calibri" w:hAnsi="Calibri" w:cs="Calibri"/>
          <w:sz w:val="24"/>
          <w:szCs w:val="24"/>
        </w:rPr>
        <w:t>analysis, and</w:t>
      </w:r>
      <w:proofErr w:type="gramEnd"/>
      <w:r>
        <w:rPr>
          <w:rFonts w:ascii="Calibri" w:eastAsia="Calibri" w:hAnsi="Calibri" w:cs="Calibri"/>
          <w:sz w:val="24"/>
          <w:szCs w:val="24"/>
        </w:rPr>
        <w:t xml:space="preserve"> standardising that intake is treated as essential groundwork in the wider literature [7], a lesson I only appreciated fully once I was the one writing the parsing and validation logic that fed Piero's model. Presenting anomaly scores as a short, ranked list rather than a raw table was my own design decision, informed by evidence that unsupervised, text-based anomaly detection needs to stay interpretable if it is to generalise usefully beyond the training sample [8]. That single choice, more than any other, is what analysts responded to positively when we demonstrated the prototype.</w:t>
      </w:r>
    </w:p>
    <w:p w14:paraId="504774BD" w14:textId="77777777" w:rsidR="000B5620" w:rsidRDefault="000B5620" w:rsidP="000B5620">
      <w:pPr>
        <w:pStyle w:val="Heading1"/>
        <w:spacing w:before="120" w:after="120"/>
      </w:pPr>
      <w:bookmarkStart w:id="3" w:name="_Toc237214778"/>
      <w:r>
        <w:rPr>
          <w:rFonts w:ascii="Cambria" w:eastAsia="Cambria" w:hAnsi="Cambria" w:cs="Cambria"/>
          <w:b/>
          <w:bCs/>
          <w:sz w:val="28"/>
          <w:szCs w:val="28"/>
        </w:rPr>
        <w:t>Community and Societal Impact</w:t>
      </w:r>
      <w:bookmarkEnd w:id="3"/>
    </w:p>
    <w:p w14:paraId="605655F8" w14:textId="77777777" w:rsidR="000B5620" w:rsidRDefault="000B5620" w:rsidP="000B5620">
      <w:pPr>
        <w:spacing w:after="200" w:line="288" w:lineRule="auto"/>
        <w:jc w:val="both"/>
      </w:pPr>
      <w:r>
        <w:rPr>
          <w:rFonts w:ascii="Calibri" w:eastAsia="Calibri" w:hAnsi="Calibri" w:cs="Calibri"/>
          <w:sz w:val="24"/>
          <w:szCs w:val="24"/>
        </w:rPr>
        <w:t xml:space="preserve">Beyond the hackathon, the aspect of this project I feel most strongly about is who currently cannot access decent anomaly detection at all. Independent evaluation of commercial Security Information and Event Management platforms puts three-year total cost of ownership at fifty thousand dollars or more for mid-tier products, and past a quarter of a million dollars for enterprise suites [2], a figure that puts genuinely capable detection out of reach for small businesses, charities, and community organisations of the kind I am involved with outside my studies. Because </w:t>
      </w:r>
      <w:proofErr w:type="spellStart"/>
      <w:r>
        <w:rPr>
          <w:rFonts w:ascii="Calibri" w:eastAsia="Calibri" w:hAnsi="Calibri" w:cs="Calibri"/>
          <w:sz w:val="24"/>
          <w:szCs w:val="24"/>
        </w:rPr>
        <w:t>SecureLog</w:t>
      </w:r>
      <w:proofErr w:type="spellEnd"/>
      <w:r>
        <w:rPr>
          <w:rFonts w:ascii="Calibri" w:eastAsia="Calibri" w:hAnsi="Calibri" w:cs="Calibri"/>
          <w:sz w:val="24"/>
          <w:szCs w:val="24"/>
        </w:rPr>
        <w:t xml:space="preserve"> AI runs entirely on a single CPU-only machine with no licence fee and no cloud dependency, it directly addresses that gap for exactly the organisations least able to absorb a data breach. Wider reviews of machine learning in cybersecurity increasingly frame accessible, open tooling as necessary rather than optional, given how unevenly resourced organisations are when defending themselves [9], and any production version would still need to be built against a recognised risk management framework before being trusted with real data [10]. On a personal level, this resonates with my role as President of </w:t>
      </w:r>
      <w:proofErr w:type="spellStart"/>
      <w:r>
        <w:rPr>
          <w:rFonts w:ascii="Calibri" w:eastAsia="Calibri" w:hAnsi="Calibri" w:cs="Calibri"/>
          <w:sz w:val="24"/>
          <w:szCs w:val="24"/>
        </w:rPr>
        <w:t>Nzuko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Obodoukwu</w:t>
      </w:r>
      <w:proofErr w:type="spellEnd"/>
      <w:r>
        <w:rPr>
          <w:rFonts w:ascii="Calibri" w:eastAsia="Calibri" w:hAnsi="Calibri" w:cs="Calibri"/>
          <w:sz w:val="24"/>
          <w:szCs w:val="24"/>
        </w:rPr>
        <w:t xml:space="preserve"> UK: community organisations run on volunteer time and modest budgets, and they are exactly the kind of body that could benefit from a tool </w:t>
      </w:r>
      <w:r>
        <w:rPr>
          <w:rFonts w:ascii="Calibri" w:eastAsia="Calibri" w:hAnsi="Calibri" w:cs="Calibri"/>
          <w:sz w:val="24"/>
          <w:szCs w:val="24"/>
        </w:rPr>
        <w:lastRenderedPageBreak/>
        <w:t xml:space="preserve">like this without needing a dedicated security analyst on staff. I do not think </w:t>
      </w:r>
      <w:proofErr w:type="spellStart"/>
      <w:r>
        <w:rPr>
          <w:rFonts w:ascii="Calibri" w:eastAsia="Calibri" w:hAnsi="Calibri" w:cs="Calibri"/>
          <w:sz w:val="24"/>
          <w:szCs w:val="24"/>
        </w:rPr>
        <w:t>SecureLog</w:t>
      </w:r>
      <w:proofErr w:type="spellEnd"/>
      <w:r>
        <w:rPr>
          <w:rFonts w:ascii="Calibri" w:eastAsia="Calibri" w:hAnsi="Calibri" w:cs="Calibri"/>
          <w:sz w:val="24"/>
          <w:szCs w:val="24"/>
        </w:rPr>
        <w:t xml:space="preserve"> AI in its current prototype form is ready for that kind of deployment, but the direction it points in, cheap, local, and honest about its own limitations, is one I would like to keep developing well beyond this hackathon.</w:t>
      </w:r>
    </w:p>
    <w:p w14:paraId="6B2CE6BB" w14:textId="77777777" w:rsidR="000B5620" w:rsidRDefault="000B5620" w:rsidP="000B5620">
      <w:pPr>
        <w:pStyle w:val="Heading1"/>
        <w:spacing w:before="120" w:after="120"/>
      </w:pPr>
      <w:bookmarkStart w:id="4" w:name="_Toc237214779"/>
      <w:r>
        <w:rPr>
          <w:rFonts w:ascii="Cambria" w:eastAsia="Cambria" w:hAnsi="Cambria" w:cs="Cambria"/>
          <w:b/>
          <w:bCs/>
          <w:sz w:val="28"/>
          <w:szCs w:val="28"/>
        </w:rPr>
        <w:t>Reflective Evaluation: Challenges and Growth</w:t>
      </w:r>
      <w:bookmarkEnd w:id="4"/>
    </w:p>
    <w:p w14:paraId="349C7365" w14:textId="77777777" w:rsidR="000B5620" w:rsidRDefault="000B5620" w:rsidP="000B5620">
      <w:pPr>
        <w:spacing w:after="200" w:line="288" w:lineRule="auto"/>
        <w:jc w:val="both"/>
      </w:pPr>
      <w:r>
        <w:rPr>
          <w:rFonts w:ascii="Calibri" w:eastAsia="Calibri" w:hAnsi="Calibri" w:cs="Calibri"/>
          <w:sz w:val="24"/>
          <w:szCs w:val="24"/>
        </w:rPr>
        <w:t xml:space="preserve">The hardest part of this project for me was not technical but personal: learning to say clearly, in front of an audience, what the prototype could not yet do. Guidance on reflective practice in higher education stresses that genuine reflection </w:t>
      </w:r>
      <w:proofErr w:type="gramStart"/>
      <w:r>
        <w:rPr>
          <w:rFonts w:ascii="Calibri" w:eastAsia="Calibri" w:hAnsi="Calibri" w:cs="Calibri"/>
          <w:sz w:val="24"/>
          <w:szCs w:val="24"/>
        </w:rPr>
        <w:t>has to</w:t>
      </w:r>
      <w:proofErr w:type="gramEnd"/>
      <w:r>
        <w:rPr>
          <w:rFonts w:ascii="Calibri" w:eastAsia="Calibri" w:hAnsi="Calibri" w:cs="Calibri"/>
          <w:sz w:val="24"/>
          <w:szCs w:val="24"/>
        </w:rPr>
        <w:t xml:space="preserve"> move past simply describing events and towards analysing why they happened the way they did, feeding that analysis forward into future work rather than only summarising the past [11]. I found that far harder to do honestly under time pressure than I expected. Writing this journal has been useful precisely because it forced me to separate what went well from what I would change, rather than let the two </w:t>
      </w:r>
      <w:proofErr w:type="gramStart"/>
      <w:r>
        <w:rPr>
          <w:rFonts w:ascii="Calibri" w:eastAsia="Calibri" w:hAnsi="Calibri" w:cs="Calibri"/>
          <w:sz w:val="24"/>
          <w:szCs w:val="24"/>
        </w:rPr>
        <w:t>blur</w:t>
      </w:r>
      <w:proofErr w:type="gramEnd"/>
      <w:r>
        <w:rPr>
          <w:rFonts w:ascii="Calibri" w:eastAsia="Calibri" w:hAnsi="Calibri" w:cs="Calibri"/>
          <w:sz w:val="24"/>
          <w:szCs w:val="24"/>
        </w:rPr>
        <w:t xml:space="preserve"> into a single positive account, in the same spirit as the structured evaluation and action-planning stages recommended for reflective assessment of project work [5]. For me, that means carrying the habit of naming assumptions explicitly into whatever project I take on next, technical or otherwise.</w:t>
      </w:r>
    </w:p>
    <w:p w14:paraId="7103AD0D" w14:textId="77777777" w:rsidR="000B5620" w:rsidRDefault="000B5620" w:rsidP="000B5620">
      <w:pPr>
        <w:pStyle w:val="Heading1"/>
        <w:spacing w:before="120" w:after="120"/>
      </w:pPr>
      <w:bookmarkStart w:id="5" w:name="_Toc237214780"/>
      <w:r>
        <w:rPr>
          <w:rFonts w:ascii="Cambria" w:eastAsia="Cambria" w:hAnsi="Cambria" w:cs="Cambria"/>
          <w:b/>
          <w:bCs/>
          <w:sz w:val="28"/>
          <w:szCs w:val="28"/>
        </w:rPr>
        <w:t>Conclusion and Future Application</w:t>
      </w:r>
      <w:bookmarkEnd w:id="5"/>
    </w:p>
    <w:p w14:paraId="3512B0E0" w14:textId="77777777" w:rsidR="000B5620" w:rsidRDefault="000B5620" w:rsidP="000B5620">
      <w:pPr>
        <w:spacing w:after="200" w:line="288" w:lineRule="auto"/>
        <w:jc w:val="both"/>
      </w:pPr>
      <w:r>
        <w:rPr>
          <w:rFonts w:ascii="Calibri" w:eastAsia="Calibri" w:hAnsi="Calibri" w:cs="Calibri"/>
          <w:sz w:val="24"/>
          <w:szCs w:val="24"/>
        </w:rPr>
        <w:t xml:space="preserve">Working on </w:t>
      </w:r>
      <w:proofErr w:type="spellStart"/>
      <w:r>
        <w:rPr>
          <w:rFonts w:ascii="Calibri" w:eastAsia="Calibri" w:hAnsi="Calibri" w:cs="Calibri"/>
          <w:sz w:val="24"/>
          <w:szCs w:val="24"/>
        </w:rPr>
        <w:t>SecureLog</w:t>
      </w:r>
      <w:proofErr w:type="spellEnd"/>
      <w:r>
        <w:rPr>
          <w:rFonts w:ascii="Calibri" w:eastAsia="Calibri" w:hAnsi="Calibri" w:cs="Calibri"/>
          <w:sz w:val="24"/>
          <w:szCs w:val="24"/>
        </w:rPr>
        <w:t xml:space="preserve"> AI has changed how I think about both teamwork and technology. I now see clear role division, honest disclosure of limitations, and low-cost accessibility as connected values rather than separate design choices, and the hybrid, tool-mediated way Piero and I coordinated across a busy six weeks is one I would deliberately repeat on any future team project [4]. We built something modest, but the underlying idea, that good detection should not require a large budget, is one I intend to keep exploring, both technically and through the community organisations I am part of, long after this hackathon report is submitted, since the need it responds to will not have gone away [2].</w:t>
      </w:r>
    </w:p>
    <w:p w14:paraId="2918639C" w14:textId="77777777" w:rsidR="000B5620" w:rsidRDefault="000B5620" w:rsidP="000B5620">
      <w:pPr>
        <w:pStyle w:val="Heading1"/>
        <w:spacing w:before="300" w:after="160"/>
      </w:pPr>
      <w:bookmarkStart w:id="6" w:name="_Toc237214781"/>
      <w:r>
        <w:rPr>
          <w:rFonts w:ascii="Cambria" w:eastAsia="Cambria" w:hAnsi="Cambria" w:cs="Cambria"/>
          <w:b/>
          <w:bCs/>
          <w:sz w:val="28"/>
          <w:szCs w:val="28"/>
        </w:rPr>
        <w:t>References</w:t>
      </w:r>
      <w:bookmarkEnd w:id="6"/>
    </w:p>
    <w:p w14:paraId="27B2102B" w14:textId="77777777" w:rsidR="000B5620" w:rsidRDefault="000B5620" w:rsidP="000B5620">
      <w:pPr>
        <w:spacing w:after="140" w:line="264" w:lineRule="auto"/>
        <w:ind w:left="431" w:hanging="431"/>
      </w:pPr>
      <w:r>
        <w:rPr>
          <w:rFonts w:ascii="Calibri" w:eastAsia="Calibri" w:hAnsi="Calibri" w:cs="Calibri"/>
        </w:rPr>
        <w:t>[1] T. Ban, T. Takahashi, S. Ndichu, and D. Inoue, "Breaking alert fatigue: AI-assisted SIEM framework for effective incident response," Appl. Sci., vol. 13, no. 11, Art. no. 6610, 2023.</w:t>
      </w:r>
    </w:p>
    <w:p w14:paraId="752319CF" w14:textId="77777777" w:rsidR="000B5620" w:rsidRDefault="000B5620" w:rsidP="000B5620">
      <w:pPr>
        <w:spacing w:after="140" w:line="264" w:lineRule="auto"/>
        <w:ind w:left="431" w:hanging="431"/>
      </w:pPr>
      <w:r>
        <w:rPr>
          <w:rFonts w:ascii="Calibri" w:eastAsia="Calibri" w:hAnsi="Calibri" w:cs="Calibri"/>
        </w:rPr>
        <w:t>[2] J. Manzoor, A. Waleed, A. F. Jamali, and A. Masood, "Cybersecurity on a budget: Evaluating security and performance of open-source SIEM solutions for SMEs," PLOS ONE, vol. 19, no. 3, Art. no. e0301183, 2024.</w:t>
      </w:r>
    </w:p>
    <w:p w14:paraId="5EA21262" w14:textId="77777777" w:rsidR="000B5620" w:rsidRDefault="000B5620" w:rsidP="000B5620">
      <w:pPr>
        <w:spacing w:after="140" w:line="264" w:lineRule="auto"/>
        <w:ind w:left="431" w:hanging="431"/>
      </w:pPr>
      <w:r>
        <w:rPr>
          <w:rFonts w:ascii="Calibri" w:eastAsia="Calibri" w:hAnsi="Calibri" w:cs="Calibri"/>
        </w:rPr>
        <w:t xml:space="preserve">[3] N. </w:t>
      </w:r>
      <w:proofErr w:type="spellStart"/>
      <w:r>
        <w:rPr>
          <w:rFonts w:ascii="Calibri" w:eastAsia="Calibri" w:hAnsi="Calibri" w:cs="Calibri"/>
        </w:rPr>
        <w:t>Damianova</w:t>
      </w:r>
      <w:proofErr w:type="spellEnd"/>
      <w:r>
        <w:rPr>
          <w:rFonts w:ascii="Calibri" w:eastAsia="Calibri" w:hAnsi="Calibri" w:cs="Calibri"/>
        </w:rPr>
        <w:t xml:space="preserve"> and S. Berrezueta-Guzman, "The anatomy of a successful student Scrum team: Motivation, personalities, and academic adaptation," arXiv:2601.03364, Jan. 2026.</w:t>
      </w:r>
    </w:p>
    <w:p w14:paraId="0AA820EE" w14:textId="77777777" w:rsidR="000B5620" w:rsidRDefault="000B5620" w:rsidP="000B5620">
      <w:pPr>
        <w:spacing w:after="140" w:line="264" w:lineRule="auto"/>
        <w:ind w:left="431" w:hanging="431"/>
      </w:pPr>
      <w:r>
        <w:rPr>
          <w:rFonts w:ascii="Calibri" w:eastAsia="Calibri" w:hAnsi="Calibri" w:cs="Calibri"/>
        </w:rPr>
        <w:t xml:space="preserve">[4] D. Khanna, E. L. Christensen, S. </w:t>
      </w:r>
      <w:proofErr w:type="spellStart"/>
      <w:r>
        <w:rPr>
          <w:rFonts w:ascii="Calibri" w:eastAsia="Calibri" w:hAnsi="Calibri" w:cs="Calibri"/>
        </w:rPr>
        <w:t>Gosu</w:t>
      </w:r>
      <w:proofErr w:type="spellEnd"/>
      <w:r>
        <w:rPr>
          <w:rFonts w:ascii="Calibri" w:eastAsia="Calibri" w:hAnsi="Calibri" w:cs="Calibri"/>
        </w:rPr>
        <w:t xml:space="preserve">, X. Wang, and M. Paasivaara, "Hybrid work meets agile software development: A systematic mapping study," in Proc. IEEE/ACM 17th Int. Conf. Cooperative and Human Aspects of </w:t>
      </w:r>
      <w:proofErr w:type="spellStart"/>
      <w:r>
        <w:rPr>
          <w:rFonts w:ascii="Calibri" w:eastAsia="Calibri" w:hAnsi="Calibri" w:cs="Calibri"/>
        </w:rPr>
        <w:t>Softw</w:t>
      </w:r>
      <w:proofErr w:type="spellEnd"/>
      <w:r>
        <w:rPr>
          <w:rFonts w:ascii="Calibri" w:eastAsia="Calibri" w:hAnsi="Calibri" w:cs="Calibri"/>
        </w:rPr>
        <w:t>. Eng. (CHASE), 2024, pp. 57-67.</w:t>
      </w:r>
    </w:p>
    <w:p w14:paraId="6F041071" w14:textId="77777777" w:rsidR="000B5620" w:rsidRDefault="000B5620" w:rsidP="000B5620">
      <w:pPr>
        <w:spacing w:after="140" w:line="264" w:lineRule="auto"/>
        <w:ind w:left="431" w:hanging="431"/>
      </w:pPr>
      <w:r>
        <w:rPr>
          <w:rFonts w:ascii="Calibri" w:eastAsia="Calibri" w:hAnsi="Calibri" w:cs="Calibri"/>
        </w:rPr>
        <w:lastRenderedPageBreak/>
        <w:t>[5] K. S. Praveena, J. F, C. M. Patil, and B. K, "Using Gibb's reflective model approach for enhancing project-based learning among students through reflective assessment," J. Eng. Educ. Transform., vol. 38, no. 2, pp. 148-155, 2025.</w:t>
      </w:r>
    </w:p>
    <w:p w14:paraId="09F7B1EB" w14:textId="77777777" w:rsidR="000B5620" w:rsidRDefault="000B5620" w:rsidP="000B5620">
      <w:pPr>
        <w:spacing w:after="140" w:line="264" w:lineRule="auto"/>
        <w:ind w:left="431" w:hanging="431"/>
      </w:pPr>
      <w:r>
        <w:rPr>
          <w:rFonts w:ascii="Calibri" w:eastAsia="Calibri" w:hAnsi="Calibri" w:cs="Calibri"/>
        </w:rPr>
        <w:t>[6] P. Zhang, F. He, H. Zhang, J. Hu, X. Huang, J. Wang, X. Yin, H. Zhu, and Y. Li, "Real-time malicious traffic detection with online isolation forest over SD-WAN," IEEE Trans. Inf. Forensics Security, vol. 18, pp. 2076-2090, 2023.</w:t>
      </w:r>
    </w:p>
    <w:p w14:paraId="7E714960" w14:textId="77777777" w:rsidR="000B5620" w:rsidRDefault="000B5620" w:rsidP="000B5620">
      <w:pPr>
        <w:spacing w:after="140" w:line="264" w:lineRule="auto"/>
        <w:ind w:left="431" w:hanging="431"/>
      </w:pPr>
      <w:r>
        <w:rPr>
          <w:rFonts w:ascii="Calibri" w:eastAsia="Calibri" w:hAnsi="Calibri" w:cs="Calibri"/>
        </w:rPr>
        <w:t xml:space="preserve">[7] T. Zhang, H. Qiu, G. Castellano, M. Rifai, C. S. Chen, and F. Pianese, "System log parsing: A survey," IEEE Trans. </w:t>
      </w:r>
      <w:proofErr w:type="spellStart"/>
      <w:r>
        <w:rPr>
          <w:rFonts w:ascii="Calibri" w:eastAsia="Calibri" w:hAnsi="Calibri" w:cs="Calibri"/>
        </w:rPr>
        <w:t>Knowl</w:t>
      </w:r>
      <w:proofErr w:type="spellEnd"/>
      <w:r>
        <w:rPr>
          <w:rFonts w:ascii="Calibri" w:eastAsia="Calibri" w:hAnsi="Calibri" w:cs="Calibri"/>
        </w:rPr>
        <w:t>. Data Eng., vol. 35, no. 8, pp. 8596-8614, 2023.</w:t>
      </w:r>
    </w:p>
    <w:p w14:paraId="5B18F33E" w14:textId="77777777" w:rsidR="000B5620" w:rsidRDefault="000B5620" w:rsidP="000B5620">
      <w:pPr>
        <w:spacing w:after="140" w:line="264" w:lineRule="auto"/>
        <w:ind w:left="431" w:hanging="431"/>
      </w:pPr>
      <w:r>
        <w:rPr>
          <w:rFonts w:ascii="Calibri" w:eastAsia="Calibri" w:hAnsi="Calibri" w:cs="Calibri"/>
        </w:rPr>
        <w:t xml:space="preserve">[8] A. C. E. de Moura, G. P. Rocha Filho, M. F. Caetano, J. J. C. </w:t>
      </w:r>
      <w:proofErr w:type="spellStart"/>
      <w:r>
        <w:rPr>
          <w:rFonts w:ascii="Calibri" w:eastAsia="Calibri" w:hAnsi="Calibri" w:cs="Calibri"/>
        </w:rPr>
        <w:t>Gondim</w:t>
      </w:r>
      <w:proofErr w:type="spellEnd"/>
      <w:r>
        <w:rPr>
          <w:rFonts w:ascii="Calibri" w:eastAsia="Calibri" w:hAnsi="Calibri" w:cs="Calibri"/>
        </w:rPr>
        <w:t xml:space="preserve">, A. Araujo, M. A. Marotta, and L. </w:t>
      </w:r>
      <w:proofErr w:type="spellStart"/>
      <w:r>
        <w:rPr>
          <w:rFonts w:ascii="Calibri" w:eastAsia="Calibri" w:hAnsi="Calibri" w:cs="Calibri"/>
        </w:rPr>
        <w:t>Bondan</w:t>
      </w:r>
      <w:proofErr w:type="spellEnd"/>
      <w:r>
        <w:rPr>
          <w:rFonts w:ascii="Calibri" w:eastAsia="Calibri" w:hAnsi="Calibri" w:cs="Calibri"/>
        </w:rPr>
        <w:t xml:space="preserve">, "Anomaly detection in logs: A comparative analysis of unsupervised algorithms," in Proc. 13th Symp. Languages, Applications and Technologies (SLATE), </w:t>
      </w:r>
      <w:proofErr w:type="spellStart"/>
      <w:r>
        <w:rPr>
          <w:rFonts w:ascii="Calibri" w:eastAsia="Calibri" w:hAnsi="Calibri" w:cs="Calibri"/>
        </w:rPr>
        <w:t>OASIcs</w:t>
      </w:r>
      <w:proofErr w:type="spellEnd"/>
      <w:r>
        <w:rPr>
          <w:rFonts w:ascii="Calibri" w:eastAsia="Calibri" w:hAnsi="Calibri" w:cs="Calibri"/>
        </w:rPr>
        <w:t>, vol. 120, 2024, pp. 12:1-12:14.</w:t>
      </w:r>
    </w:p>
    <w:p w14:paraId="673865AA" w14:textId="77777777" w:rsidR="000B5620" w:rsidRDefault="000B5620" w:rsidP="000B5620">
      <w:pPr>
        <w:spacing w:after="140" w:line="264" w:lineRule="auto"/>
        <w:ind w:left="431" w:hanging="431"/>
      </w:pPr>
      <w:r>
        <w:rPr>
          <w:rFonts w:ascii="Calibri" w:eastAsia="Calibri" w:hAnsi="Calibri" w:cs="Calibri"/>
        </w:rPr>
        <w:t xml:space="preserve">[9] U. I. Okoli, O. C. Obi, A. O. Adewusi, and T. O. Abrahams, "Machine learning in cybersecurity: A review of threat detection and </w:t>
      </w:r>
      <w:proofErr w:type="spellStart"/>
      <w:r>
        <w:rPr>
          <w:rFonts w:ascii="Calibri" w:eastAsia="Calibri" w:hAnsi="Calibri" w:cs="Calibri"/>
        </w:rPr>
        <w:t>defense</w:t>
      </w:r>
      <w:proofErr w:type="spellEnd"/>
      <w:r>
        <w:rPr>
          <w:rFonts w:ascii="Calibri" w:eastAsia="Calibri" w:hAnsi="Calibri" w:cs="Calibri"/>
        </w:rPr>
        <w:t xml:space="preserve"> mechanisms," World J. Adv. Res. Rev., vol. 21, no. 1, pp. 2286-2295, 2024.</w:t>
      </w:r>
    </w:p>
    <w:p w14:paraId="79A12A48" w14:textId="77777777" w:rsidR="000B5620" w:rsidRDefault="000B5620" w:rsidP="000B5620">
      <w:pPr>
        <w:spacing w:after="140" w:line="264" w:lineRule="auto"/>
        <w:ind w:left="431" w:hanging="431"/>
      </w:pPr>
      <w:r>
        <w:rPr>
          <w:rFonts w:ascii="Calibri" w:eastAsia="Calibri" w:hAnsi="Calibri" w:cs="Calibri"/>
        </w:rPr>
        <w:t>[10] NIST, "Artificial intelligence risk management framework (AI RMF 1.0)," NIST AI 100-1, 2023.</w:t>
      </w:r>
    </w:p>
    <w:p w14:paraId="36E01234" w14:textId="77777777" w:rsidR="000B5620" w:rsidRDefault="000B5620" w:rsidP="000B5620">
      <w:pPr>
        <w:spacing w:after="140" w:line="264" w:lineRule="auto"/>
        <w:ind w:left="431" w:hanging="431"/>
      </w:pPr>
      <w:r>
        <w:rPr>
          <w:rFonts w:ascii="Calibri" w:eastAsia="Calibri" w:hAnsi="Calibri" w:cs="Calibri"/>
        </w:rPr>
        <w:t xml:space="preserve">[11] M. Harvey, G. </w:t>
      </w:r>
      <w:proofErr w:type="spellStart"/>
      <w:r>
        <w:rPr>
          <w:rFonts w:ascii="Calibri" w:eastAsia="Calibri" w:hAnsi="Calibri" w:cs="Calibri"/>
        </w:rPr>
        <w:t>Walkerden</w:t>
      </w:r>
      <w:proofErr w:type="spellEnd"/>
      <w:r>
        <w:rPr>
          <w:rFonts w:ascii="Calibri" w:eastAsia="Calibri" w:hAnsi="Calibri" w:cs="Calibri"/>
        </w:rPr>
        <w:t>, A. Semple, K. McLachlan, K. Lloyd, and A. Bosanquet, "Reflecting on reflective practice: issues, possibilities and guidance principles," High. Educ. Res. Dev., vol. 44, no. 7, pp. 1849-1857, 2025.</w:t>
      </w:r>
    </w:p>
    <w:p w14:paraId="2228A428" w14:textId="77777777" w:rsidR="00B92BE4" w:rsidRDefault="00B92BE4"/>
    <w:sectPr w:rsidR="00B92BE4" w:rsidSect="00C179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9AB"/>
    <w:rsid w:val="000B5620"/>
    <w:rsid w:val="000C0FE9"/>
    <w:rsid w:val="000C2964"/>
    <w:rsid w:val="000E277A"/>
    <w:rsid w:val="0018294A"/>
    <w:rsid w:val="001867FE"/>
    <w:rsid w:val="001E6035"/>
    <w:rsid w:val="003D5627"/>
    <w:rsid w:val="00450BA5"/>
    <w:rsid w:val="00462F90"/>
    <w:rsid w:val="004B0386"/>
    <w:rsid w:val="00563E44"/>
    <w:rsid w:val="00596FFB"/>
    <w:rsid w:val="00855C87"/>
    <w:rsid w:val="0086739A"/>
    <w:rsid w:val="00877F6B"/>
    <w:rsid w:val="008D4AFC"/>
    <w:rsid w:val="00AE0B2D"/>
    <w:rsid w:val="00B92BE4"/>
    <w:rsid w:val="00C179AB"/>
    <w:rsid w:val="00D853D4"/>
    <w:rsid w:val="00EE45E6"/>
    <w:rsid w:val="00F00F45"/>
    <w:rsid w:val="00F27F0B"/>
    <w:rsid w:val="00F91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52DE"/>
  <w15:chartTrackingRefBased/>
  <w15:docId w15:val="{F47969EA-216E-4A03-B6F6-E5E54A13A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9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9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9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9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9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9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9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9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9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9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9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9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9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9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9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9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9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9AB"/>
    <w:rPr>
      <w:rFonts w:eastAsiaTheme="majorEastAsia" w:cstheme="majorBidi"/>
      <w:color w:val="272727" w:themeColor="text1" w:themeTint="D8"/>
    </w:rPr>
  </w:style>
  <w:style w:type="paragraph" w:styleId="Title">
    <w:name w:val="Title"/>
    <w:basedOn w:val="Normal"/>
    <w:next w:val="Normal"/>
    <w:link w:val="TitleChar"/>
    <w:uiPriority w:val="10"/>
    <w:qFormat/>
    <w:rsid w:val="00C17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9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9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9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9AB"/>
    <w:pPr>
      <w:spacing w:before="160"/>
      <w:jc w:val="center"/>
    </w:pPr>
    <w:rPr>
      <w:i/>
      <w:iCs/>
      <w:color w:val="404040" w:themeColor="text1" w:themeTint="BF"/>
    </w:rPr>
  </w:style>
  <w:style w:type="character" w:customStyle="1" w:styleId="QuoteChar">
    <w:name w:val="Quote Char"/>
    <w:basedOn w:val="DefaultParagraphFont"/>
    <w:link w:val="Quote"/>
    <w:uiPriority w:val="29"/>
    <w:rsid w:val="00C179AB"/>
    <w:rPr>
      <w:i/>
      <w:iCs/>
      <w:color w:val="404040" w:themeColor="text1" w:themeTint="BF"/>
    </w:rPr>
  </w:style>
  <w:style w:type="paragraph" w:styleId="ListParagraph">
    <w:name w:val="List Paragraph"/>
    <w:basedOn w:val="Normal"/>
    <w:uiPriority w:val="34"/>
    <w:qFormat/>
    <w:rsid w:val="00C179AB"/>
    <w:pPr>
      <w:ind w:left="720"/>
      <w:contextualSpacing/>
    </w:pPr>
  </w:style>
  <w:style w:type="character" w:styleId="IntenseEmphasis">
    <w:name w:val="Intense Emphasis"/>
    <w:basedOn w:val="DefaultParagraphFont"/>
    <w:uiPriority w:val="21"/>
    <w:qFormat/>
    <w:rsid w:val="00C179AB"/>
    <w:rPr>
      <w:i/>
      <w:iCs/>
      <w:color w:val="0F4761" w:themeColor="accent1" w:themeShade="BF"/>
    </w:rPr>
  </w:style>
  <w:style w:type="paragraph" w:styleId="IntenseQuote">
    <w:name w:val="Intense Quote"/>
    <w:basedOn w:val="Normal"/>
    <w:next w:val="Normal"/>
    <w:link w:val="IntenseQuoteChar"/>
    <w:uiPriority w:val="30"/>
    <w:qFormat/>
    <w:rsid w:val="00C17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9AB"/>
    <w:rPr>
      <w:i/>
      <w:iCs/>
      <w:color w:val="0F4761" w:themeColor="accent1" w:themeShade="BF"/>
    </w:rPr>
  </w:style>
  <w:style w:type="character" w:styleId="IntenseReference">
    <w:name w:val="Intense Reference"/>
    <w:basedOn w:val="DefaultParagraphFont"/>
    <w:uiPriority w:val="32"/>
    <w:qFormat/>
    <w:rsid w:val="00C179AB"/>
    <w:rPr>
      <w:b/>
      <w:bCs/>
      <w:smallCaps/>
      <w:color w:val="0F4761" w:themeColor="accent1" w:themeShade="BF"/>
      <w:spacing w:val="5"/>
    </w:rPr>
  </w:style>
  <w:style w:type="paragraph" w:styleId="NoSpacing">
    <w:name w:val="No Spacing"/>
    <w:link w:val="NoSpacingChar"/>
    <w:uiPriority w:val="1"/>
    <w:qFormat/>
    <w:rsid w:val="00C179A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179AB"/>
    <w:rPr>
      <w:rFonts w:eastAsiaTheme="minorEastAsia"/>
      <w:kern w:val="0"/>
      <w:lang w:val="en-US"/>
      <w14:ligatures w14:val="none"/>
    </w:rPr>
  </w:style>
  <w:style w:type="paragraph" w:styleId="TOCHeading">
    <w:name w:val="TOC Heading"/>
    <w:basedOn w:val="Heading1"/>
    <w:next w:val="Normal"/>
    <w:uiPriority w:val="39"/>
    <w:unhideWhenUsed/>
    <w:qFormat/>
    <w:rsid w:val="00B92BE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92BE4"/>
    <w:pPr>
      <w:spacing w:after="100"/>
    </w:pPr>
  </w:style>
  <w:style w:type="character" w:styleId="Hyperlink">
    <w:name w:val="Hyperlink"/>
    <w:basedOn w:val="DefaultParagraphFont"/>
    <w:uiPriority w:val="99"/>
    <w:unhideWhenUsed/>
    <w:rsid w:val="00B92BE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2335550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EA9050-40A1-40F2-8759-F9BCB1FC0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1677</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BSc Computing Portfolio, BA Computer Animation, BA Games Design.</dc:title>
  <dc:subject>Module: Emerging Trends</dc:subject>
  <dc:creator>STUDENT NAME: ANDY ONYEDIKACHUKWU IBEH</dc:creator>
  <cp:keywords/>
  <dc:description/>
  <cp:lastModifiedBy>Andy Ibeh</cp:lastModifiedBy>
  <cp:revision>2</cp:revision>
  <dcterms:created xsi:type="dcterms:W3CDTF">2026-08-10T00:26:00Z</dcterms:created>
  <dcterms:modified xsi:type="dcterms:W3CDTF">2026-08-10T00:26:00Z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619e7941-aeeb-45b1-a151-115974c37a8e</vt:lpwstr>
  </property>
</Properties>
</file>