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164547171"/>
        <w:docPartObj>
          <w:docPartGallery w:val="Cover Pages"/>
          <w:docPartUnique/>
        </w:docPartObj>
      </w:sdtPr>
      <w:sdtEndPr>
        <w:rPr>
          <w:rFonts w:eastAsiaTheme="minorHAnsi"/>
          <w:color w:val="auto"/>
        </w:rPr>
      </w:sdtEndPr>
      <w:sdtContent>
        <w:p w14:paraId="23285527" w14:textId="232FC807" w:rsidR="001013C0" w:rsidRDefault="001013C0">
          <w:pPr>
            <w:pStyle w:val="NoSpacing"/>
            <w:spacing w:before="1540" w:after="240"/>
            <w:jc w:val="center"/>
            <w:rPr>
              <w:color w:val="156082" w:themeColor="accent1"/>
            </w:rPr>
          </w:pPr>
          <w:r>
            <w:rPr>
              <w:noProof/>
              <w:color w:val="156082" w:themeColor="accent1"/>
            </w:rPr>
            <w:drawing>
              <wp:inline distT="0" distB="0" distL="0" distR="0" wp14:anchorId="2680D8BE" wp14:editId="3807C41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74342684A2894F21A0A48EDF18F59D3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577AA7" w14:textId="1178A1F0" w:rsidR="001013C0" w:rsidRDefault="001013C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Walmart</w:t>
              </w:r>
            </w:p>
          </w:sdtContent>
        </w:sdt>
        <w:sdt>
          <w:sdtPr>
            <w:rPr>
              <w:color w:val="156082" w:themeColor="accent1"/>
              <w:sz w:val="28"/>
              <w:szCs w:val="28"/>
            </w:rPr>
            <w:alias w:val="Subtitle"/>
            <w:tag w:val=""/>
            <w:id w:val="328029620"/>
            <w:placeholder>
              <w:docPart w:val="FB70F68D3638445EA0177203B34166D3"/>
            </w:placeholder>
            <w:dataBinding w:prefixMappings="xmlns:ns0='http://purl.org/dc/elements/1.1/' xmlns:ns1='http://schemas.openxmlformats.org/package/2006/metadata/core-properties' " w:xpath="/ns1:coreProperties[1]/ns0:subject[1]" w:storeItemID="{6C3C8BC8-F283-45AE-878A-BAB7291924A1}"/>
            <w:text/>
          </w:sdtPr>
          <w:sdtContent>
            <w:p w14:paraId="00094F6F" w14:textId="3A6C442C" w:rsidR="001013C0" w:rsidRDefault="001013C0">
              <w:pPr>
                <w:pStyle w:val="NoSpacing"/>
                <w:jc w:val="center"/>
                <w:rPr>
                  <w:color w:val="156082" w:themeColor="accent1"/>
                  <w:sz w:val="28"/>
                  <w:szCs w:val="28"/>
                </w:rPr>
              </w:pPr>
              <w:r>
                <w:rPr>
                  <w:color w:val="156082" w:themeColor="accent1"/>
                  <w:sz w:val="28"/>
                  <w:szCs w:val="28"/>
                </w:rPr>
                <w:t xml:space="preserve">Financial Management </w:t>
              </w:r>
            </w:p>
          </w:sdtContent>
        </w:sdt>
        <w:p w14:paraId="003904FC" w14:textId="77777777" w:rsidR="001013C0" w:rsidRDefault="001013C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CF972D4" wp14:editId="28B700C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4T00:00:00Z">
                                    <w:dateFormat w:val="MMMM d, yyyy"/>
                                    <w:lid w:val="en-US"/>
                                    <w:storeMappedDataAs w:val="dateTime"/>
                                    <w:calendar w:val="gregorian"/>
                                  </w:date>
                                </w:sdtPr>
                                <w:sdtContent>
                                  <w:p w14:paraId="3B6359A8" w14:textId="02688F27" w:rsidR="001013C0" w:rsidRDefault="001013C0">
                                    <w:pPr>
                                      <w:pStyle w:val="NoSpacing"/>
                                      <w:spacing w:after="40"/>
                                      <w:jc w:val="center"/>
                                      <w:rPr>
                                        <w:caps/>
                                        <w:color w:val="156082" w:themeColor="accent1"/>
                                        <w:sz w:val="28"/>
                                        <w:szCs w:val="28"/>
                                      </w:rPr>
                                    </w:pPr>
                                    <w:r>
                                      <w:rPr>
                                        <w:caps/>
                                        <w:color w:val="156082" w:themeColor="accent1"/>
                                        <w:sz w:val="28"/>
                                        <w:szCs w:val="28"/>
                                      </w:rPr>
                                      <w:t>April 24, 2024</w:t>
                                    </w:r>
                                  </w:p>
                                </w:sdtContent>
                              </w:sdt>
                              <w:p w14:paraId="6D73525A" w14:textId="028578F9" w:rsidR="001013C0" w:rsidRDefault="001013C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University of wales trinity saint david</w:t>
                                    </w:r>
                                  </w:sdtContent>
                                </w:sdt>
                              </w:p>
                              <w:p w14:paraId="7C2B3C1B" w14:textId="36AAF3B7" w:rsidR="001013C0" w:rsidRDefault="001013C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LCMB7002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F972D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4T00:00:00Z">
                              <w:dateFormat w:val="MMMM d, yyyy"/>
                              <w:lid w:val="en-US"/>
                              <w:storeMappedDataAs w:val="dateTime"/>
                              <w:calendar w:val="gregorian"/>
                            </w:date>
                          </w:sdtPr>
                          <w:sdtContent>
                            <w:p w14:paraId="3B6359A8" w14:textId="02688F27" w:rsidR="001013C0" w:rsidRDefault="001013C0">
                              <w:pPr>
                                <w:pStyle w:val="NoSpacing"/>
                                <w:spacing w:after="40"/>
                                <w:jc w:val="center"/>
                                <w:rPr>
                                  <w:caps/>
                                  <w:color w:val="156082" w:themeColor="accent1"/>
                                  <w:sz w:val="28"/>
                                  <w:szCs w:val="28"/>
                                </w:rPr>
                              </w:pPr>
                              <w:r>
                                <w:rPr>
                                  <w:caps/>
                                  <w:color w:val="156082" w:themeColor="accent1"/>
                                  <w:sz w:val="28"/>
                                  <w:szCs w:val="28"/>
                                </w:rPr>
                                <w:t>April 24, 2024</w:t>
                              </w:r>
                            </w:p>
                          </w:sdtContent>
                        </w:sdt>
                        <w:p w14:paraId="6D73525A" w14:textId="028578F9" w:rsidR="001013C0" w:rsidRDefault="001013C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University of wales trinity saint david</w:t>
                              </w:r>
                            </w:sdtContent>
                          </w:sdt>
                        </w:p>
                        <w:p w14:paraId="7C2B3C1B" w14:textId="36AAF3B7" w:rsidR="001013C0" w:rsidRDefault="001013C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LCMB7002</w:t>
                              </w:r>
                            </w:sdtContent>
                          </w:sdt>
                        </w:p>
                      </w:txbxContent>
                    </v:textbox>
                    <w10:wrap anchorx="margin" anchory="page"/>
                  </v:shape>
                </w:pict>
              </mc:Fallback>
            </mc:AlternateContent>
          </w:r>
          <w:r>
            <w:rPr>
              <w:noProof/>
              <w:color w:val="156082" w:themeColor="accent1"/>
            </w:rPr>
            <w:drawing>
              <wp:inline distT="0" distB="0" distL="0" distR="0" wp14:anchorId="0FA51933" wp14:editId="4BC483A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7AA377" w14:textId="202F5336" w:rsidR="001013C0" w:rsidRDefault="001013C0">
          <w:r>
            <w:br w:type="page"/>
          </w:r>
        </w:p>
      </w:sdtContent>
    </w:sdt>
    <w:sdt>
      <w:sdtPr>
        <w:rPr>
          <w:rFonts w:asciiTheme="minorHAnsi" w:eastAsiaTheme="minorHAnsi" w:hAnsiTheme="minorHAnsi" w:cstheme="minorBidi"/>
          <w:color w:val="auto"/>
          <w:sz w:val="22"/>
          <w:szCs w:val="22"/>
        </w:rPr>
        <w:id w:val="279231039"/>
        <w:docPartObj>
          <w:docPartGallery w:val="Table of Contents"/>
          <w:docPartUnique/>
        </w:docPartObj>
      </w:sdtPr>
      <w:sdtEndPr>
        <w:rPr>
          <w:b/>
          <w:bCs/>
          <w:noProof/>
        </w:rPr>
      </w:sdtEndPr>
      <w:sdtContent>
        <w:p w14:paraId="667D03FA" w14:textId="26A49F29" w:rsidR="001013C0" w:rsidRDefault="001013C0" w:rsidP="001013C0">
          <w:pPr>
            <w:pStyle w:val="TOCHeading"/>
          </w:pPr>
          <w:r>
            <w:t>Table of Contents</w:t>
          </w:r>
        </w:p>
        <w:p w14:paraId="650E8195" w14:textId="77777777" w:rsidR="001013C0" w:rsidRDefault="001013C0" w:rsidP="001013C0">
          <w:pPr>
            <w:pStyle w:val="TOC1"/>
            <w:tabs>
              <w:tab w:val="left" w:pos="440"/>
              <w:tab w:val="right" w:leader="dot" w:pos="10070"/>
            </w:tabs>
            <w:rPr>
              <w:rFonts w:eastAsiaTheme="minorEastAsia"/>
              <w:noProof/>
            </w:rPr>
          </w:pPr>
          <w:hyperlink w:anchor="_Toc164718590" w:history="1">
            <w:r w:rsidRPr="00972328">
              <w:rPr>
                <w:rStyle w:val="Hyperlink"/>
                <w:noProof/>
              </w:rPr>
              <w:t>1.</w:t>
            </w:r>
            <w:r>
              <w:rPr>
                <w:rFonts w:eastAsiaTheme="minorEastAsia"/>
                <w:noProof/>
              </w:rPr>
              <w:tab/>
            </w:r>
            <w:r w:rsidRPr="00972328">
              <w:rPr>
                <w:rStyle w:val="Hyperlink"/>
                <w:b/>
                <w:noProof/>
              </w:rPr>
              <w:t>Introduction</w:t>
            </w:r>
            <w:r>
              <w:rPr>
                <w:noProof/>
                <w:webHidden/>
              </w:rPr>
              <w:tab/>
            </w:r>
            <w:r>
              <w:rPr>
                <w:noProof/>
                <w:webHidden/>
              </w:rPr>
              <w:fldChar w:fldCharType="begin"/>
            </w:r>
            <w:r>
              <w:rPr>
                <w:noProof/>
                <w:webHidden/>
              </w:rPr>
              <w:instrText xml:space="preserve"> PAGEREF _Toc164718590 \h 2</w:instrText>
            </w:r>
            <w:r>
              <w:rPr>
                <w:noProof/>
                <w:webHidden/>
              </w:rPr>
            </w:r>
            <w:r>
              <w:rPr>
                <w:noProof/>
                <w:webHidden/>
              </w:rPr>
              <w:fldChar w:fldCharType="separate"/>
            </w:r>
            <w:r>
              <w:rPr>
                <w:noProof/>
                <w:webHidden/>
              </w:rPr>
              <w:t>3</w:t>
            </w:r>
            <w:r>
              <w:rPr>
                <w:noProof/>
                <w:webHidden/>
              </w:rPr>
              <w:fldChar w:fldCharType="end"/>
            </w:r>
          </w:hyperlink>
        </w:p>
        <w:p w14:paraId="788E2351"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1.1.</w:t>
          </w:r>
          <w:r>
            <w:rPr>
              <w:rFonts w:eastAsiaTheme="minorEastAsia"/>
              <w:noProof/>
            </w:rPr>
            <w:tab/>
          </w:r>
          <w:r w:rsidRPr="00972328">
            <w:rPr>
              <w:rStyle w:val="Hyperlink"/>
              <w:b/>
              <w:noProof/>
            </w:rPr>
            <w:t>History</w:t>
          </w:r>
          <w:r>
            <w:rPr>
              <w:noProof/>
              <w:webHidden/>
            </w:rPr>
            <w:tab/>
            <w:t>2</w:t>
          </w:r>
        </w:p>
        <w:p w14:paraId="7FEDD3BB"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1.2.</w:t>
          </w:r>
          <w:r>
            <w:rPr>
              <w:rFonts w:eastAsiaTheme="minorEastAsia"/>
              <w:noProof/>
            </w:rPr>
            <w:tab/>
          </w:r>
          <w:r w:rsidRPr="00972328">
            <w:rPr>
              <w:rStyle w:val="Hyperlink"/>
              <w:b/>
              <w:noProof/>
            </w:rPr>
            <w:t>Major competitor</w:t>
          </w:r>
          <w:r>
            <w:rPr>
              <w:noProof/>
              <w:webHidden/>
            </w:rPr>
            <w:tab/>
            <w:t>3</w:t>
          </w:r>
        </w:p>
        <w:p w14:paraId="61E0B022"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1.3.</w:t>
          </w:r>
          <w:r>
            <w:rPr>
              <w:rFonts w:eastAsiaTheme="minorEastAsia"/>
              <w:noProof/>
            </w:rPr>
            <w:tab/>
          </w:r>
          <w:r w:rsidRPr="00972328">
            <w:rPr>
              <w:rStyle w:val="Hyperlink"/>
              <w:b/>
              <w:noProof/>
            </w:rPr>
            <w:t>Major events</w:t>
          </w:r>
          <w:r>
            <w:rPr>
              <w:noProof/>
              <w:webHidden/>
            </w:rPr>
            <w:tab/>
            <w:t>3</w:t>
          </w:r>
        </w:p>
        <w:p w14:paraId="03D1E44B" w14:textId="77777777" w:rsidR="001013C0" w:rsidRDefault="001013C0" w:rsidP="001013C0">
          <w:pPr>
            <w:pStyle w:val="TOC1"/>
            <w:tabs>
              <w:tab w:val="left" w:pos="440"/>
              <w:tab w:val="right" w:leader="dot" w:pos="10070"/>
            </w:tabs>
            <w:rPr>
              <w:rFonts w:eastAsiaTheme="minorEastAsia"/>
              <w:noProof/>
            </w:rPr>
          </w:pPr>
          <w:r w:rsidRPr="00972328">
            <w:rPr>
              <w:rStyle w:val="Hyperlink"/>
              <w:b/>
              <w:noProof/>
            </w:rPr>
            <w:t>2.</w:t>
          </w:r>
          <w:r>
            <w:rPr>
              <w:rFonts w:eastAsiaTheme="minorEastAsia"/>
              <w:noProof/>
            </w:rPr>
            <w:tab/>
          </w:r>
          <w:r w:rsidRPr="00972328">
            <w:rPr>
              <w:rStyle w:val="Hyperlink"/>
              <w:b/>
              <w:noProof/>
            </w:rPr>
            <w:t>Calculation of financial ratios</w:t>
          </w:r>
          <w:r>
            <w:rPr>
              <w:noProof/>
              <w:webHidden/>
            </w:rPr>
            <w:tab/>
            <w:t>4</w:t>
          </w:r>
        </w:p>
        <w:p w14:paraId="262FBFDA"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2.1.</w:t>
          </w:r>
          <w:r>
            <w:rPr>
              <w:rFonts w:eastAsiaTheme="minorEastAsia"/>
              <w:noProof/>
            </w:rPr>
            <w:tab/>
          </w:r>
          <w:r w:rsidRPr="00972328">
            <w:rPr>
              <w:rStyle w:val="Hyperlink"/>
              <w:b/>
              <w:noProof/>
            </w:rPr>
            <w:t>Profitability Ratios:</w:t>
          </w:r>
          <w:r>
            <w:rPr>
              <w:noProof/>
              <w:webHidden/>
            </w:rPr>
            <w:tab/>
            <w:t>5</w:t>
          </w:r>
        </w:p>
        <w:p w14:paraId="10DFE74A"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2.2.</w:t>
          </w:r>
          <w:r>
            <w:rPr>
              <w:rFonts w:eastAsiaTheme="minorEastAsia"/>
              <w:noProof/>
            </w:rPr>
            <w:tab/>
          </w:r>
          <w:r w:rsidRPr="00972328">
            <w:rPr>
              <w:rStyle w:val="Hyperlink"/>
              <w:b/>
              <w:noProof/>
            </w:rPr>
            <w:t>Liquidity Ratios:</w:t>
          </w:r>
          <w:r>
            <w:rPr>
              <w:noProof/>
              <w:webHidden/>
            </w:rPr>
            <w:tab/>
            <w:t>5</w:t>
          </w:r>
        </w:p>
        <w:p w14:paraId="78B8B43B"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2.3.</w:t>
          </w:r>
          <w:r>
            <w:rPr>
              <w:rFonts w:eastAsiaTheme="minorEastAsia"/>
              <w:noProof/>
            </w:rPr>
            <w:tab/>
          </w:r>
          <w:r w:rsidRPr="00972328">
            <w:rPr>
              <w:rStyle w:val="Hyperlink"/>
              <w:b/>
              <w:noProof/>
            </w:rPr>
            <w:t>Gearing (Leverage) Ratios:</w:t>
          </w:r>
          <w:r>
            <w:rPr>
              <w:noProof/>
              <w:webHidden/>
            </w:rPr>
            <w:tab/>
            <w:t>6</w:t>
          </w:r>
        </w:p>
        <w:p w14:paraId="60E73E08"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2.4.</w:t>
          </w:r>
          <w:r>
            <w:rPr>
              <w:rFonts w:eastAsiaTheme="minorEastAsia"/>
              <w:noProof/>
            </w:rPr>
            <w:tab/>
          </w:r>
          <w:r w:rsidRPr="00972328">
            <w:rPr>
              <w:rStyle w:val="Hyperlink"/>
              <w:b/>
              <w:noProof/>
            </w:rPr>
            <w:t>Efficiency Ratios:</w:t>
          </w:r>
          <w:r>
            <w:rPr>
              <w:noProof/>
              <w:webHidden/>
            </w:rPr>
            <w:tab/>
            <w:t>7</w:t>
          </w:r>
        </w:p>
        <w:p w14:paraId="2243A9D3" w14:textId="77777777" w:rsidR="001013C0" w:rsidRDefault="001013C0" w:rsidP="001013C0">
          <w:pPr>
            <w:pStyle w:val="TOC1"/>
            <w:tabs>
              <w:tab w:val="left" w:pos="440"/>
              <w:tab w:val="right" w:leader="dot" w:pos="10070"/>
            </w:tabs>
            <w:rPr>
              <w:rFonts w:eastAsiaTheme="minorEastAsia"/>
              <w:noProof/>
            </w:rPr>
          </w:pPr>
          <w:r w:rsidRPr="00972328">
            <w:rPr>
              <w:rStyle w:val="Hyperlink"/>
              <w:b/>
              <w:noProof/>
            </w:rPr>
            <w:t>3.</w:t>
          </w:r>
          <w:r>
            <w:rPr>
              <w:rFonts w:eastAsiaTheme="minorEastAsia"/>
              <w:noProof/>
            </w:rPr>
            <w:tab/>
          </w:r>
          <w:r w:rsidRPr="00972328">
            <w:rPr>
              <w:rStyle w:val="Hyperlink"/>
              <w:b/>
              <w:noProof/>
            </w:rPr>
            <w:t>Evaluation of the ratios</w:t>
          </w:r>
          <w:r>
            <w:rPr>
              <w:noProof/>
              <w:webHidden/>
            </w:rPr>
            <w:tab/>
            <w:t>7</w:t>
          </w:r>
        </w:p>
        <w:p w14:paraId="18D6D33B" w14:textId="77777777" w:rsidR="001013C0" w:rsidRDefault="001013C0" w:rsidP="001013C0">
          <w:pPr>
            <w:pStyle w:val="TOC1"/>
            <w:tabs>
              <w:tab w:val="left" w:pos="440"/>
              <w:tab w:val="right" w:leader="dot" w:pos="10070"/>
            </w:tabs>
            <w:rPr>
              <w:rFonts w:eastAsiaTheme="minorEastAsia"/>
              <w:noProof/>
            </w:rPr>
          </w:pPr>
          <w:r w:rsidRPr="00972328">
            <w:rPr>
              <w:rStyle w:val="Hyperlink"/>
              <w:b/>
              <w:noProof/>
            </w:rPr>
            <w:t>4.</w:t>
          </w:r>
          <w:r>
            <w:rPr>
              <w:rFonts w:eastAsiaTheme="minorEastAsia"/>
              <w:noProof/>
            </w:rPr>
            <w:tab/>
          </w:r>
          <w:r w:rsidRPr="00972328">
            <w:rPr>
              <w:rStyle w:val="Hyperlink"/>
              <w:b/>
              <w:noProof/>
            </w:rPr>
            <w:t>Comparison with Competitor</w:t>
          </w:r>
          <w:r>
            <w:rPr>
              <w:noProof/>
              <w:webHidden/>
            </w:rPr>
            <w:tab/>
            <w:t>8</w:t>
          </w:r>
        </w:p>
        <w:p w14:paraId="04722E2B"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4.1.</w:t>
          </w:r>
          <w:r>
            <w:rPr>
              <w:rFonts w:eastAsiaTheme="minorEastAsia"/>
              <w:noProof/>
            </w:rPr>
            <w:tab/>
          </w:r>
          <w:r w:rsidRPr="00972328">
            <w:rPr>
              <w:rStyle w:val="Hyperlink"/>
              <w:b/>
              <w:noProof/>
            </w:rPr>
            <w:t>Net Profit Margin:</w:t>
          </w:r>
          <w:r>
            <w:rPr>
              <w:noProof/>
              <w:webHidden/>
            </w:rPr>
            <w:tab/>
            <w:t>9</w:t>
          </w:r>
        </w:p>
        <w:p w14:paraId="2B61CFC9"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4.2.</w:t>
          </w:r>
          <w:r>
            <w:rPr>
              <w:rFonts w:eastAsiaTheme="minorEastAsia"/>
              <w:noProof/>
            </w:rPr>
            <w:tab/>
          </w:r>
          <w:r w:rsidRPr="00972328">
            <w:rPr>
              <w:rStyle w:val="Hyperlink"/>
              <w:b/>
              <w:noProof/>
            </w:rPr>
            <w:t>Current Ratio:</w:t>
          </w:r>
          <w:r>
            <w:rPr>
              <w:noProof/>
              <w:webHidden/>
            </w:rPr>
            <w:tab/>
            <w:t>9</w:t>
          </w:r>
        </w:p>
        <w:p w14:paraId="626D1348"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4.3.</w:t>
          </w:r>
          <w:r>
            <w:rPr>
              <w:rFonts w:eastAsiaTheme="minorEastAsia"/>
              <w:noProof/>
            </w:rPr>
            <w:tab/>
          </w:r>
          <w:r w:rsidRPr="00972328">
            <w:rPr>
              <w:rStyle w:val="Hyperlink"/>
              <w:b/>
              <w:noProof/>
            </w:rPr>
            <w:t>Debt-to-Equity Ratio:</w:t>
          </w:r>
          <w:r>
            <w:rPr>
              <w:noProof/>
              <w:webHidden/>
            </w:rPr>
            <w:tab/>
            <w:t>10</w:t>
          </w:r>
        </w:p>
        <w:p w14:paraId="0D899304"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4.4.</w:t>
          </w:r>
          <w:r>
            <w:rPr>
              <w:rFonts w:eastAsiaTheme="minorEastAsia"/>
              <w:noProof/>
            </w:rPr>
            <w:tab/>
          </w:r>
          <w:r w:rsidRPr="00972328">
            <w:rPr>
              <w:rStyle w:val="Hyperlink"/>
              <w:b/>
              <w:noProof/>
            </w:rPr>
            <w:t>Asset Turnover Ratio</w:t>
          </w:r>
          <w:r>
            <w:rPr>
              <w:noProof/>
              <w:webHidden/>
            </w:rPr>
            <w:tab/>
            <w:t>10</w:t>
          </w:r>
        </w:p>
        <w:p w14:paraId="71D9BC78" w14:textId="77777777" w:rsidR="001013C0" w:rsidRDefault="001013C0" w:rsidP="001013C0">
          <w:pPr>
            <w:pStyle w:val="TOC1"/>
            <w:tabs>
              <w:tab w:val="left" w:pos="440"/>
              <w:tab w:val="right" w:leader="dot" w:pos="10070"/>
            </w:tabs>
            <w:rPr>
              <w:rFonts w:eastAsiaTheme="minorEastAsia"/>
              <w:noProof/>
            </w:rPr>
          </w:pPr>
          <w:r w:rsidRPr="00972328">
            <w:rPr>
              <w:rStyle w:val="Hyperlink"/>
              <w:b/>
              <w:noProof/>
            </w:rPr>
            <w:t>5.</w:t>
          </w:r>
          <w:r>
            <w:rPr>
              <w:rFonts w:eastAsiaTheme="minorEastAsia"/>
              <w:noProof/>
            </w:rPr>
            <w:tab/>
          </w:r>
          <w:r w:rsidRPr="00972328">
            <w:rPr>
              <w:rStyle w:val="Hyperlink"/>
              <w:b/>
              <w:noProof/>
            </w:rPr>
            <w:t>Recommendations on improving the financial management</w:t>
          </w:r>
          <w:r>
            <w:rPr>
              <w:noProof/>
              <w:webHidden/>
            </w:rPr>
            <w:tab/>
            <w:t>10</w:t>
          </w:r>
        </w:p>
        <w:p w14:paraId="49203464" w14:textId="77777777" w:rsidR="001013C0" w:rsidRDefault="001013C0" w:rsidP="001013C0">
          <w:pPr>
            <w:pStyle w:val="TOC1"/>
            <w:tabs>
              <w:tab w:val="left" w:pos="440"/>
              <w:tab w:val="right" w:leader="dot" w:pos="10070"/>
            </w:tabs>
            <w:rPr>
              <w:rFonts w:eastAsiaTheme="minorEastAsia"/>
              <w:noProof/>
            </w:rPr>
          </w:pPr>
          <w:r w:rsidRPr="00972328">
            <w:rPr>
              <w:rStyle w:val="Hyperlink"/>
              <w:b/>
              <w:noProof/>
            </w:rPr>
            <w:t>6.</w:t>
          </w:r>
          <w:r>
            <w:rPr>
              <w:rFonts w:eastAsiaTheme="minorEastAsia"/>
              <w:noProof/>
            </w:rPr>
            <w:tab/>
          </w:r>
          <w:r w:rsidRPr="00972328">
            <w:rPr>
              <w:rStyle w:val="Hyperlink"/>
              <w:b/>
              <w:noProof/>
            </w:rPr>
            <w:t>Calculation of PBP, ARR and NPV</w:t>
          </w:r>
          <w:r>
            <w:rPr>
              <w:noProof/>
              <w:webHidden/>
            </w:rPr>
            <w:tab/>
            <w:t>11</w:t>
          </w:r>
        </w:p>
        <w:p w14:paraId="7386B046"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6.1.</w:t>
          </w:r>
          <w:r>
            <w:rPr>
              <w:rFonts w:eastAsiaTheme="minorEastAsia"/>
              <w:noProof/>
            </w:rPr>
            <w:tab/>
          </w:r>
          <w:r w:rsidRPr="00972328">
            <w:rPr>
              <w:rStyle w:val="Hyperlink"/>
              <w:b/>
              <w:noProof/>
            </w:rPr>
            <w:t>Project A:</w:t>
          </w:r>
          <w:r>
            <w:rPr>
              <w:noProof/>
              <w:webHidden/>
            </w:rPr>
            <w:tab/>
            <w:t>11</w:t>
          </w:r>
        </w:p>
        <w:p w14:paraId="1125665E"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6.2.</w:t>
          </w:r>
          <w:r>
            <w:rPr>
              <w:rFonts w:eastAsiaTheme="minorEastAsia"/>
              <w:noProof/>
            </w:rPr>
            <w:tab/>
          </w:r>
          <w:r w:rsidRPr="00972328">
            <w:rPr>
              <w:rStyle w:val="Hyperlink"/>
              <w:b/>
              <w:noProof/>
            </w:rPr>
            <w:t>Project B</w:t>
          </w:r>
          <w:r>
            <w:rPr>
              <w:noProof/>
              <w:webHidden/>
            </w:rPr>
            <w:tab/>
            <w:t>12</w:t>
          </w:r>
        </w:p>
        <w:p w14:paraId="62D4DE37" w14:textId="77777777" w:rsidR="001013C0" w:rsidRDefault="001013C0" w:rsidP="001013C0">
          <w:pPr>
            <w:pStyle w:val="TOC2"/>
            <w:tabs>
              <w:tab w:val="right" w:leader="dot" w:pos="10070"/>
            </w:tabs>
            <w:rPr>
              <w:rFonts w:eastAsiaTheme="minorEastAsia"/>
              <w:noProof/>
            </w:rPr>
          </w:pPr>
          <w:r w:rsidRPr="00972328">
            <w:rPr>
              <w:rStyle w:val="Hyperlink"/>
              <w:b/>
              <w:noProof/>
            </w:rPr>
            <w:t>6.3 Evaluation of both projects</w:t>
          </w:r>
          <w:r>
            <w:rPr>
              <w:noProof/>
              <w:webHidden/>
            </w:rPr>
            <w:tab/>
            <w:t>13</w:t>
          </w:r>
        </w:p>
        <w:p w14:paraId="1B5DDB6B" w14:textId="77777777" w:rsidR="001013C0" w:rsidRDefault="001013C0" w:rsidP="001013C0">
          <w:pPr>
            <w:pStyle w:val="TOC2"/>
            <w:tabs>
              <w:tab w:val="left" w:pos="880"/>
              <w:tab w:val="right" w:leader="dot" w:pos="10070"/>
            </w:tabs>
            <w:rPr>
              <w:rFonts w:eastAsiaTheme="minorEastAsia"/>
              <w:noProof/>
            </w:rPr>
          </w:pPr>
          <w:r w:rsidRPr="00972328">
            <w:rPr>
              <w:rStyle w:val="Hyperlink"/>
              <w:b/>
              <w:noProof/>
            </w:rPr>
            <w:t>6.5</w:t>
          </w:r>
          <w:r>
            <w:rPr>
              <w:rFonts w:eastAsiaTheme="minorEastAsia"/>
              <w:noProof/>
            </w:rPr>
            <w:tab/>
          </w:r>
          <w:r w:rsidRPr="00972328">
            <w:rPr>
              <w:rStyle w:val="Hyperlink"/>
              <w:b/>
              <w:noProof/>
            </w:rPr>
            <w:t>Recommendations on selection of project</w:t>
          </w:r>
          <w:r>
            <w:rPr>
              <w:noProof/>
              <w:webHidden/>
            </w:rPr>
            <w:tab/>
            <w:t>14</w:t>
          </w:r>
        </w:p>
        <w:p w14:paraId="7AB75FE0" w14:textId="77777777" w:rsidR="001013C0" w:rsidRDefault="001013C0" w:rsidP="001013C0">
          <w:pPr>
            <w:pStyle w:val="TOC1"/>
            <w:tabs>
              <w:tab w:val="left" w:pos="440"/>
              <w:tab w:val="right" w:leader="dot" w:pos="10070"/>
            </w:tabs>
            <w:rPr>
              <w:rFonts w:eastAsiaTheme="minorEastAsia"/>
              <w:noProof/>
            </w:rPr>
          </w:pPr>
          <w:r w:rsidRPr="00972328">
            <w:rPr>
              <w:rStyle w:val="Hyperlink"/>
              <w:b/>
              <w:noProof/>
            </w:rPr>
            <w:t>7.</w:t>
          </w:r>
          <w:r>
            <w:rPr>
              <w:rFonts w:eastAsiaTheme="minorEastAsia"/>
              <w:noProof/>
            </w:rPr>
            <w:tab/>
          </w:r>
          <w:r w:rsidRPr="00972328">
            <w:rPr>
              <w:rStyle w:val="Hyperlink"/>
              <w:b/>
              <w:noProof/>
            </w:rPr>
            <w:t>Recalculations of NPV, ARR, Payback period</w:t>
          </w:r>
          <w:r>
            <w:rPr>
              <w:noProof/>
              <w:webHidden/>
            </w:rPr>
            <w:tab/>
            <w:t>14</w:t>
          </w:r>
        </w:p>
        <w:p w14:paraId="67E60391" w14:textId="77777777" w:rsidR="001013C0" w:rsidRDefault="001013C0" w:rsidP="001013C0">
          <w:pPr>
            <w:pStyle w:val="TOC1"/>
            <w:tabs>
              <w:tab w:val="left" w:pos="440"/>
              <w:tab w:val="right" w:leader="dot" w:pos="10070"/>
            </w:tabs>
            <w:rPr>
              <w:rFonts w:eastAsiaTheme="minorEastAsia"/>
              <w:noProof/>
            </w:rPr>
          </w:pPr>
          <w:r w:rsidRPr="00972328">
            <w:rPr>
              <w:rStyle w:val="Hyperlink"/>
              <w:b/>
              <w:noProof/>
            </w:rPr>
            <w:t>8.</w:t>
          </w:r>
          <w:r>
            <w:rPr>
              <w:rFonts w:eastAsiaTheme="minorEastAsia"/>
              <w:noProof/>
            </w:rPr>
            <w:tab/>
          </w:r>
          <w:r w:rsidRPr="00972328">
            <w:rPr>
              <w:rStyle w:val="Hyperlink"/>
              <w:b/>
              <w:noProof/>
            </w:rPr>
            <w:t>Advantages and shortcomings of the PBP, ARR and NPV</w:t>
          </w:r>
          <w:r>
            <w:rPr>
              <w:noProof/>
              <w:webHidden/>
            </w:rPr>
            <w:tab/>
            <w:t>16</w:t>
          </w:r>
        </w:p>
        <w:p w14:paraId="7E23C0CA" w14:textId="77777777" w:rsidR="001013C0" w:rsidRDefault="001013C0" w:rsidP="001013C0">
          <w:pPr>
            <w:pStyle w:val="TOC1"/>
            <w:tabs>
              <w:tab w:val="left" w:pos="440"/>
              <w:tab w:val="right" w:leader="dot" w:pos="10070"/>
            </w:tabs>
            <w:rPr>
              <w:rFonts w:eastAsiaTheme="minorEastAsia"/>
              <w:noProof/>
            </w:rPr>
          </w:pPr>
          <w:r w:rsidRPr="00972328">
            <w:rPr>
              <w:rStyle w:val="Hyperlink"/>
              <w:b/>
              <w:noProof/>
            </w:rPr>
            <w:t>9.</w:t>
          </w:r>
          <w:r>
            <w:rPr>
              <w:rFonts w:eastAsiaTheme="minorEastAsia"/>
              <w:noProof/>
            </w:rPr>
            <w:tab/>
          </w:r>
          <w:r w:rsidRPr="00972328">
            <w:rPr>
              <w:rStyle w:val="Hyperlink"/>
              <w:b/>
              <w:noProof/>
            </w:rPr>
            <w:t>Non-financial factors</w:t>
          </w:r>
          <w:r>
            <w:rPr>
              <w:noProof/>
              <w:webHidden/>
            </w:rPr>
            <w:tab/>
            <w:t>17</w:t>
          </w:r>
        </w:p>
        <w:p w14:paraId="3CA813E6" w14:textId="77777777" w:rsidR="001013C0" w:rsidRDefault="001013C0" w:rsidP="001013C0">
          <w:pPr>
            <w:pStyle w:val="TOC1"/>
            <w:tabs>
              <w:tab w:val="left" w:pos="660"/>
              <w:tab w:val="right" w:leader="dot" w:pos="10070"/>
            </w:tabs>
            <w:rPr>
              <w:rFonts w:eastAsiaTheme="minorEastAsia"/>
              <w:noProof/>
            </w:rPr>
          </w:pPr>
          <w:r w:rsidRPr="00972328">
            <w:rPr>
              <w:rStyle w:val="Hyperlink"/>
              <w:b/>
              <w:noProof/>
            </w:rPr>
            <w:t>10.</w:t>
          </w:r>
          <w:r>
            <w:rPr>
              <w:rFonts w:eastAsiaTheme="minorEastAsia"/>
              <w:noProof/>
            </w:rPr>
            <w:tab/>
          </w:r>
          <w:r w:rsidRPr="00972328">
            <w:rPr>
              <w:rStyle w:val="Hyperlink"/>
              <w:b/>
              <w:noProof/>
            </w:rPr>
            <w:t>References</w:t>
          </w:r>
          <w:r>
            <w:rPr>
              <w:noProof/>
              <w:webHidden/>
            </w:rPr>
            <w:tab/>
            <w:t>18</w:t>
          </w:r>
        </w:p>
        <w:p w14:paraId="1710249E" w14:textId="77777777" w:rsidR="001013C0" w:rsidRDefault="001013C0" w:rsidP="001013C0">
          <w:pPr>
            <w:rPr>
              <w:b/>
              <w:bCs/>
              <w:noProof/>
            </w:rPr>
          </w:pPr>
        </w:p>
        <w:p w14:paraId="61596E81" w14:textId="77777777" w:rsidR="001013C0" w:rsidRPr="002A1BC4" w:rsidRDefault="001013C0" w:rsidP="001013C0">
          <w:pPr>
            <w:rPr>
              <w:b/>
              <w:bCs/>
              <w:noProof/>
              <w:sz w:val="36"/>
            </w:rPr>
          </w:pPr>
          <w:r w:rsidRPr="002A1BC4">
            <w:rPr>
              <w:b/>
              <w:bCs/>
              <w:noProof/>
              <w:sz w:val="36"/>
            </w:rPr>
            <w:t xml:space="preserve">Index </w:t>
          </w:r>
        </w:p>
        <w:p w14:paraId="3EF1320A" w14:textId="77777777" w:rsidR="001013C0" w:rsidRDefault="001013C0" w:rsidP="001013C0">
          <w:pPr>
            <w:rPr>
              <w:b/>
              <w:i/>
              <w:szCs w:val="24"/>
              <w:lang w:val="en-GB"/>
            </w:rPr>
          </w:pPr>
          <w:r w:rsidRPr="00F82D26">
            <w:rPr>
              <w:b/>
              <w:i/>
              <w:szCs w:val="24"/>
              <w:lang w:val="en-GB"/>
            </w:rPr>
            <w:t>Table 1:  Data of Walmart Financial Statements for Ratio Analysis</w:t>
          </w:r>
        </w:p>
        <w:p w14:paraId="4619880B" w14:textId="77777777" w:rsidR="001013C0" w:rsidRPr="005F6673" w:rsidRDefault="001013C0" w:rsidP="001013C0">
          <w:pPr>
            <w:spacing w:line="276" w:lineRule="auto"/>
            <w:jc w:val="both"/>
            <w:rPr>
              <w:sz w:val="24"/>
              <w:szCs w:val="24"/>
            </w:rPr>
          </w:pPr>
          <w:r>
            <w:rPr>
              <w:b/>
              <w:bCs/>
              <w:sz w:val="24"/>
              <w:szCs w:val="24"/>
            </w:rPr>
            <w:t xml:space="preserve">Equations </w:t>
          </w:r>
        </w:p>
        <w:p w14:paraId="5C84E2BD" w14:textId="77777777" w:rsidR="001013C0" w:rsidRPr="002A1BC4" w:rsidRDefault="001013C0" w:rsidP="001013C0">
          <w:pPr>
            <w:pStyle w:val="ListParagraph"/>
            <w:numPr>
              <w:ilvl w:val="0"/>
              <w:numId w:val="14"/>
            </w:numPr>
            <w:spacing w:line="276" w:lineRule="auto"/>
            <w:jc w:val="both"/>
            <w:rPr>
              <w:sz w:val="24"/>
              <w:szCs w:val="24"/>
            </w:rPr>
          </w:pPr>
          <w:r w:rsidRPr="002A1BC4">
            <w:rPr>
              <w:b/>
              <w:bCs/>
              <w:sz w:val="24"/>
              <w:szCs w:val="24"/>
            </w:rPr>
            <w:t>Net Profit Margin</w:t>
          </w:r>
          <w:r w:rsidRPr="002A1BC4">
            <w:rPr>
              <w:bCs/>
              <w:sz w:val="24"/>
              <w:szCs w:val="24"/>
            </w:rPr>
            <w:t>:</w:t>
          </w:r>
          <w:r w:rsidRPr="002A1BC4">
            <w:rPr>
              <w:sz w:val="24"/>
              <w:szCs w:val="24"/>
            </w:rPr>
            <w:t xml:space="preserve"> Net Profit Margin = (Net Income / Revenue) x 100</w:t>
          </w:r>
        </w:p>
        <w:p w14:paraId="70FB5735" w14:textId="77777777" w:rsidR="001013C0" w:rsidRPr="002A1BC4" w:rsidRDefault="001013C0" w:rsidP="001013C0">
          <w:pPr>
            <w:pStyle w:val="ListParagraph"/>
            <w:numPr>
              <w:ilvl w:val="0"/>
              <w:numId w:val="14"/>
            </w:numPr>
            <w:spacing w:line="276" w:lineRule="auto"/>
            <w:jc w:val="both"/>
            <w:rPr>
              <w:sz w:val="24"/>
              <w:szCs w:val="24"/>
            </w:rPr>
          </w:pPr>
          <w:r w:rsidRPr="002A1BC4">
            <w:rPr>
              <w:b/>
              <w:bCs/>
              <w:sz w:val="24"/>
              <w:szCs w:val="24"/>
            </w:rPr>
            <w:t>Current Ratio</w:t>
          </w:r>
          <w:r w:rsidRPr="002A1BC4">
            <w:rPr>
              <w:bCs/>
              <w:sz w:val="24"/>
              <w:szCs w:val="24"/>
            </w:rPr>
            <w:t>:</w:t>
          </w:r>
          <w:r w:rsidRPr="002A1BC4">
            <w:rPr>
              <w:sz w:val="24"/>
              <w:szCs w:val="24"/>
            </w:rPr>
            <w:t xml:space="preserve"> Current Ratio = Current Assets / Current Liabilities</w:t>
          </w:r>
        </w:p>
        <w:p w14:paraId="754D7154" w14:textId="77777777" w:rsidR="001013C0" w:rsidRPr="002A1BC4" w:rsidRDefault="001013C0" w:rsidP="001013C0">
          <w:pPr>
            <w:pStyle w:val="ListParagraph"/>
            <w:numPr>
              <w:ilvl w:val="0"/>
              <w:numId w:val="14"/>
            </w:numPr>
            <w:spacing w:line="276" w:lineRule="auto"/>
            <w:jc w:val="both"/>
            <w:rPr>
              <w:sz w:val="24"/>
              <w:szCs w:val="24"/>
            </w:rPr>
          </w:pPr>
          <w:r w:rsidRPr="002A1BC4">
            <w:rPr>
              <w:b/>
              <w:bCs/>
              <w:sz w:val="24"/>
              <w:szCs w:val="24"/>
            </w:rPr>
            <w:t>Debt-to-Equity Ratio</w:t>
          </w:r>
          <w:r w:rsidRPr="002A1BC4">
            <w:rPr>
              <w:bCs/>
              <w:sz w:val="24"/>
              <w:szCs w:val="24"/>
            </w:rPr>
            <w:t>:</w:t>
          </w:r>
          <w:r w:rsidRPr="002A1BC4">
            <w:rPr>
              <w:sz w:val="24"/>
              <w:szCs w:val="24"/>
            </w:rPr>
            <w:t xml:space="preserve"> Debt-to-Equity Ratio = Total Debt / Shareholders' Equity</w:t>
          </w:r>
        </w:p>
        <w:p w14:paraId="3701A511" w14:textId="77777777" w:rsidR="001013C0" w:rsidRPr="002A1BC4" w:rsidRDefault="001013C0" w:rsidP="001013C0">
          <w:pPr>
            <w:pStyle w:val="ListParagraph"/>
            <w:numPr>
              <w:ilvl w:val="0"/>
              <w:numId w:val="14"/>
            </w:numPr>
            <w:spacing w:line="276" w:lineRule="auto"/>
            <w:jc w:val="both"/>
            <w:rPr>
              <w:b/>
              <w:sz w:val="24"/>
              <w:szCs w:val="24"/>
            </w:rPr>
          </w:pPr>
          <w:r w:rsidRPr="002A1BC4">
            <w:rPr>
              <w:b/>
              <w:bCs/>
              <w:sz w:val="24"/>
              <w:szCs w:val="24"/>
            </w:rPr>
            <w:t>Asset Turnover Ratio</w:t>
          </w:r>
          <w:r w:rsidRPr="002A1BC4">
            <w:rPr>
              <w:bCs/>
              <w:sz w:val="24"/>
              <w:szCs w:val="24"/>
            </w:rPr>
            <w:t>:</w:t>
          </w:r>
          <w:r w:rsidRPr="002A1BC4">
            <w:rPr>
              <w:sz w:val="24"/>
              <w:szCs w:val="24"/>
            </w:rPr>
            <w:t xml:space="preserve"> Asset Turnover Ratio = Revenue / Average Total Assets</w:t>
          </w:r>
        </w:p>
        <w:p w14:paraId="55265943" w14:textId="77777777" w:rsidR="001013C0" w:rsidRPr="002A1BC4" w:rsidRDefault="001013C0" w:rsidP="001013C0">
          <w:pPr>
            <w:spacing w:line="276" w:lineRule="auto"/>
            <w:rPr>
              <w:b/>
              <w:i/>
              <w:szCs w:val="24"/>
            </w:rPr>
          </w:pPr>
          <w:r w:rsidRPr="002A1BC4">
            <w:rPr>
              <w:b/>
              <w:i/>
              <w:szCs w:val="24"/>
            </w:rPr>
            <w:lastRenderedPageBreak/>
            <w:t>Table 2: Data from financial statements of Amazon</w:t>
          </w:r>
        </w:p>
        <w:p w14:paraId="3B3B423F" w14:textId="77777777" w:rsidR="001013C0" w:rsidRPr="002A1BC4" w:rsidRDefault="001013C0" w:rsidP="001013C0">
          <w:pPr>
            <w:spacing w:line="276" w:lineRule="auto"/>
            <w:rPr>
              <w:b/>
              <w:i/>
              <w:szCs w:val="24"/>
            </w:rPr>
          </w:pPr>
          <w:r w:rsidRPr="002A1BC4">
            <w:rPr>
              <w:b/>
              <w:i/>
              <w:szCs w:val="24"/>
            </w:rPr>
            <w:t>Table 3: Rations of Walmart and Amazon</w:t>
          </w:r>
        </w:p>
        <w:p w14:paraId="6B693BBB" w14:textId="77777777" w:rsidR="001013C0" w:rsidRPr="002A1BC4" w:rsidRDefault="001013C0" w:rsidP="001013C0">
          <w:pPr>
            <w:spacing w:line="276" w:lineRule="auto"/>
            <w:jc w:val="both"/>
            <w:rPr>
              <w:b/>
              <w:sz w:val="24"/>
              <w:szCs w:val="24"/>
            </w:rPr>
          </w:pPr>
        </w:p>
        <w:p w14:paraId="3F2574C3" w14:textId="77777777" w:rsidR="001013C0" w:rsidRPr="002A1BC4" w:rsidRDefault="001013C0" w:rsidP="001013C0">
          <w:pPr>
            <w:spacing w:line="276" w:lineRule="auto"/>
            <w:jc w:val="both"/>
            <w:rPr>
              <w:b/>
              <w:sz w:val="24"/>
              <w:szCs w:val="24"/>
            </w:rPr>
          </w:pPr>
        </w:p>
        <w:p w14:paraId="1AFD3230" w14:textId="77777777" w:rsidR="001013C0" w:rsidRPr="005F6673" w:rsidRDefault="001013C0" w:rsidP="001013C0">
          <w:pPr>
            <w:spacing w:line="276" w:lineRule="auto"/>
            <w:jc w:val="both"/>
            <w:rPr>
              <w:sz w:val="24"/>
              <w:szCs w:val="24"/>
            </w:rPr>
          </w:pPr>
        </w:p>
        <w:p w14:paraId="7E7B0AA4" w14:textId="77777777" w:rsidR="001013C0" w:rsidRDefault="001013C0" w:rsidP="001013C0"/>
      </w:sdtContent>
    </w:sdt>
    <w:p w14:paraId="5154200D" w14:textId="77777777" w:rsidR="001013C0" w:rsidRDefault="001013C0" w:rsidP="001013C0">
      <w:pPr>
        <w:spacing w:line="276" w:lineRule="auto"/>
        <w:jc w:val="both"/>
        <w:rPr>
          <w:sz w:val="24"/>
          <w:szCs w:val="24"/>
        </w:rPr>
      </w:pPr>
    </w:p>
    <w:p w14:paraId="235E70E9" w14:textId="77777777" w:rsidR="001013C0" w:rsidRDefault="001013C0" w:rsidP="001013C0">
      <w:pPr>
        <w:spacing w:line="276" w:lineRule="auto"/>
        <w:jc w:val="both"/>
        <w:rPr>
          <w:sz w:val="24"/>
          <w:szCs w:val="24"/>
        </w:rPr>
      </w:pPr>
    </w:p>
    <w:p w14:paraId="791E5A7B" w14:textId="77777777" w:rsidR="001013C0" w:rsidRDefault="001013C0" w:rsidP="001013C0">
      <w:pPr>
        <w:spacing w:line="276" w:lineRule="auto"/>
        <w:jc w:val="both"/>
        <w:rPr>
          <w:sz w:val="24"/>
          <w:szCs w:val="24"/>
        </w:rPr>
      </w:pPr>
    </w:p>
    <w:p w14:paraId="1C821799" w14:textId="77777777" w:rsidR="001013C0" w:rsidRDefault="001013C0" w:rsidP="001013C0">
      <w:pPr>
        <w:spacing w:line="276" w:lineRule="auto"/>
        <w:jc w:val="both"/>
        <w:rPr>
          <w:sz w:val="24"/>
          <w:szCs w:val="24"/>
        </w:rPr>
      </w:pPr>
    </w:p>
    <w:p w14:paraId="45D0063F" w14:textId="77777777" w:rsidR="001013C0" w:rsidRDefault="001013C0" w:rsidP="001013C0">
      <w:pPr>
        <w:spacing w:line="276" w:lineRule="auto"/>
        <w:jc w:val="both"/>
        <w:rPr>
          <w:sz w:val="24"/>
          <w:szCs w:val="24"/>
        </w:rPr>
      </w:pPr>
    </w:p>
    <w:p w14:paraId="588C8B88" w14:textId="77777777" w:rsidR="001013C0" w:rsidRDefault="001013C0" w:rsidP="001013C0">
      <w:pPr>
        <w:spacing w:line="276" w:lineRule="auto"/>
        <w:jc w:val="both"/>
        <w:rPr>
          <w:sz w:val="24"/>
          <w:szCs w:val="24"/>
        </w:rPr>
      </w:pPr>
    </w:p>
    <w:p w14:paraId="22D1C8C9" w14:textId="77777777" w:rsidR="001013C0" w:rsidRDefault="001013C0" w:rsidP="001013C0">
      <w:pPr>
        <w:spacing w:line="276" w:lineRule="auto"/>
        <w:jc w:val="both"/>
        <w:rPr>
          <w:sz w:val="24"/>
          <w:szCs w:val="24"/>
        </w:rPr>
      </w:pPr>
    </w:p>
    <w:p w14:paraId="65107B78" w14:textId="77777777" w:rsidR="001013C0" w:rsidRDefault="001013C0" w:rsidP="001013C0">
      <w:pPr>
        <w:spacing w:line="276" w:lineRule="auto"/>
        <w:jc w:val="both"/>
        <w:rPr>
          <w:sz w:val="24"/>
          <w:szCs w:val="24"/>
        </w:rPr>
      </w:pPr>
    </w:p>
    <w:p w14:paraId="445D8A21" w14:textId="77777777" w:rsidR="001013C0" w:rsidRDefault="001013C0" w:rsidP="001013C0">
      <w:pPr>
        <w:spacing w:line="276" w:lineRule="auto"/>
        <w:jc w:val="both"/>
        <w:rPr>
          <w:sz w:val="24"/>
          <w:szCs w:val="24"/>
        </w:rPr>
      </w:pPr>
    </w:p>
    <w:p w14:paraId="5388DE2B" w14:textId="77777777" w:rsidR="001013C0" w:rsidRDefault="001013C0" w:rsidP="001013C0">
      <w:pPr>
        <w:spacing w:line="276" w:lineRule="auto"/>
        <w:jc w:val="both"/>
        <w:rPr>
          <w:sz w:val="24"/>
          <w:szCs w:val="24"/>
        </w:rPr>
      </w:pPr>
    </w:p>
    <w:p w14:paraId="44BFEAB7" w14:textId="77777777" w:rsidR="001013C0" w:rsidRDefault="001013C0" w:rsidP="001013C0">
      <w:pPr>
        <w:spacing w:line="276" w:lineRule="auto"/>
        <w:jc w:val="both"/>
        <w:rPr>
          <w:sz w:val="24"/>
          <w:szCs w:val="24"/>
        </w:rPr>
      </w:pPr>
    </w:p>
    <w:p w14:paraId="119C592E" w14:textId="77777777" w:rsidR="001013C0" w:rsidRDefault="001013C0" w:rsidP="001013C0">
      <w:pPr>
        <w:spacing w:line="276" w:lineRule="auto"/>
        <w:jc w:val="both"/>
        <w:rPr>
          <w:sz w:val="24"/>
          <w:szCs w:val="24"/>
        </w:rPr>
      </w:pPr>
    </w:p>
    <w:p w14:paraId="3616065D" w14:textId="77777777" w:rsidR="001013C0" w:rsidRDefault="001013C0" w:rsidP="001013C0">
      <w:pPr>
        <w:spacing w:line="276" w:lineRule="auto"/>
        <w:jc w:val="both"/>
        <w:rPr>
          <w:sz w:val="24"/>
          <w:szCs w:val="24"/>
        </w:rPr>
      </w:pPr>
    </w:p>
    <w:p w14:paraId="05FEF0A9" w14:textId="77777777" w:rsidR="001013C0" w:rsidRDefault="001013C0" w:rsidP="001013C0">
      <w:pPr>
        <w:spacing w:line="276" w:lineRule="auto"/>
        <w:jc w:val="both"/>
        <w:rPr>
          <w:sz w:val="24"/>
          <w:szCs w:val="24"/>
        </w:rPr>
      </w:pPr>
    </w:p>
    <w:p w14:paraId="206332D4" w14:textId="77777777" w:rsidR="001013C0" w:rsidRDefault="001013C0" w:rsidP="001013C0">
      <w:pPr>
        <w:spacing w:line="276" w:lineRule="auto"/>
        <w:jc w:val="both"/>
        <w:rPr>
          <w:sz w:val="24"/>
          <w:szCs w:val="24"/>
        </w:rPr>
      </w:pPr>
    </w:p>
    <w:p w14:paraId="18A1A1AB" w14:textId="77777777" w:rsidR="001013C0" w:rsidRDefault="001013C0" w:rsidP="001013C0">
      <w:pPr>
        <w:spacing w:line="276" w:lineRule="auto"/>
        <w:jc w:val="both"/>
        <w:rPr>
          <w:sz w:val="24"/>
          <w:szCs w:val="24"/>
        </w:rPr>
      </w:pPr>
    </w:p>
    <w:p w14:paraId="0BC3EEDF" w14:textId="77777777" w:rsidR="001013C0" w:rsidRDefault="001013C0" w:rsidP="001013C0">
      <w:pPr>
        <w:spacing w:line="276" w:lineRule="auto"/>
        <w:jc w:val="both"/>
        <w:rPr>
          <w:sz w:val="24"/>
          <w:szCs w:val="24"/>
        </w:rPr>
      </w:pPr>
    </w:p>
    <w:p w14:paraId="76AF9B01" w14:textId="77777777" w:rsidR="001013C0" w:rsidRPr="006E3436" w:rsidRDefault="001013C0" w:rsidP="001013C0">
      <w:pPr>
        <w:spacing w:line="276" w:lineRule="auto"/>
        <w:jc w:val="both"/>
        <w:rPr>
          <w:sz w:val="24"/>
          <w:szCs w:val="24"/>
        </w:rPr>
      </w:pPr>
    </w:p>
    <w:p w14:paraId="49DA65D5" w14:textId="77777777" w:rsidR="001013C0" w:rsidRPr="006E3436" w:rsidRDefault="001013C0" w:rsidP="001013C0">
      <w:pPr>
        <w:pStyle w:val="ListParagraph"/>
        <w:numPr>
          <w:ilvl w:val="0"/>
          <w:numId w:val="7"/>
        </w:numPr>
        <w:spacing w:line="276" w:lineRule="auto"/>
        <w:jc w:val="both"/>
        <w:rPr>
          <w:rStyle w:val="Heading1Char"/>
          <w:rFonts w:asciiTheme="minorHAnsi" w:eastAsiaTheme="minorHAnsi" w:hAnsiTheme="minorHAnsi" w:cstheme="minorBidi"/>
          <w:color w:val="auto"/>
          <w:sz w:val="24"/>
          <w:szCs w:val="24"/>
        </w:rPr>
      </w:pPr>
      <w:bookmarkStart w:id="0" w:name="_Toc164718590"/>
      <w:r w:rsidRPr="006E3436">
        <w:rPr>
          <w:rStyle w:val="Heading1Char"/>
          <w:b/>
          <w:color w:val="000000" w:themeColor="text1"/>
        </w:rPr>
        <w:t>Introduction</w:t>
      </w:r>
      <w:bookmarkEnd w:id="0"/>
      <w:r w:rsidRPr="006E3436">
        <w:rPr>
          <w:rStyle w:val="Heading1Char"/>
          <w:b/>
          <w:color w:val="000000" w:themeColor="text1"/>
        </w:rPr>
        <w:t xml:space="preserve"> </w:t>
      </w:r>
    </w:p>
    <w:p w14:paraId="5A816894" w14:textId="77777777" w:rsidR="001013C0" w:rsidRDefault="001013C0" w:rsidP="001013C0">
      <w:pPr>
        <w:pStyle w:val="Heading2"/>
        <w:numPr>
          <w:ilvl w:val="1"/>
          <w:numId w:val="7"/>
        </w:numPr>
        <w:tabs>
          <w:tab w:val="num" w:pos="360"/>
        </w:tabs>
        <w:ind w:left="0" w:firstLine="0"/>
        <w:rPr>
          <w:rStyle w:val="Heading2Char"/>
          <w:b/>
          <w:color w:val="000000" w:themeColor="text1"/>
        </w:rPr>
      </w:pPr>
      <w:bookmarkStart w:id="1" w:name="_Toc164718591"/>
      <w:r w:rsidRPr="006E3436">
        <w:rPr>
          <w:rStyle w:val="Heading2Char"/>
          <w:b/>
          <w:color w:val="000000" w:themeColor="text1"/>
        </w:rPr>
        <w:t>History</w:t>
      </w:r>
      <w:bookmarkEnd w:id="1"/>
      <w:r w:rsidRPr="006E3436">
        <w:rPr>
          <w:rStyle w:val="Heading2Char"/>
          <w:b/>
          <w:color w:val="000000" w:themeColor="text1"/>
        </w:rPr>
        <w:t xml:space="preserve"> </w:t>
      </w:r>
    </w:p>
    <w:p w14:paraId="3195EB8E" w14:textId="77777777" w:rsidR="001013C0" w:rsidRPr="006E3436" w:rsidRDefault="001013C0" w:rsidP="001013C0"/>
    <w:p w14:paraId="5F7A6EBE" w14:textId="77777777" w:rsidR="001013C0" w:rsidRPr="006E3436" w:rsidRDefault="001013C0" w:rsidP="001013C0">
      <w:pPr>
        <w:spacing w:line="276" w:lineRule="auto"/>
        <w:jc w:val="both"/>
        <w:rPr>
          <w:sz w:val="24"/>
          <w:szCs w:val="24"/>
        </w:rPr>
      </w:pPr>
      <w:r w:rsidRPr="006E3436">
        <w:rPr>
          <w:sz w:val="24"/>
          <w:szCs w:val="24"/>
        </w:rPr>
        <w:lastRenderedPageBreak/>
        <w:t xml:space="preserve">Founded in 1962 by Sam Walton, Walmart Inc. stands as the world's largest retailer, basing on the revenues, having extended to a number of superstores, grocery stores, and discount stores all over the world. The </w:t>
      </w:r>
      <w:r>
        <w:rPr>
          <w:sz w:val="24"/>
          <w:szCs w:val="24"/>
        </w:rPr>
        <w:t>retail sector in which it reign</w:t>
      </w:r>
      <w:r w:rsidRPr="006E3436">
        <w:rPr>
          <w:sz w:val="24"/>
          <w:szCs w:val="24"/>
        </w:rPr>
        <w:t xml:space="preserve"> in the industry is discount and supermarket retailing. Walmart operates with a set of values that underlie very much the business model, centered on "cost leadership," focusing on pricing that is the lowest for the range of products which form part of the selling assortment, which contributed significantly to </w:t>
      </w:r>
      <w:r>
        <w:rPr>
          <w:sz w:val="24"/>
          <w:szCs w:val="24"/>
        </w:rPr>
        <w:t xml:space="preserve">its success on the marketplace </w:t>
      </w:r>
      <w:r w:rsidRPr="00E3772E">
        <w:rPr>
          <w:sz w:val="24"/>
          <w:szCs w:val="24"/>
        </w:rPr>
        <w:t>(Walton, 2020)</w:t>
      </w:r>
      <w:r>
        <w:rPr>
          <w:sz w:val="24"/>
          <w:szCs w:val="24"/>
        </w:rPr>
        <w:t>.</w:t>
      </w:r>
    </w:p>
    <w:p w14:paraId="76F745CA" w14:textId="77777777" w:rsidR="001013C0" w:rsidRPr="006E3436" w:rsidRDefault="001013C0" w:rsidP="001013C0">
      <w:pPr>
        <w:spacing w:line="276" w:lineRule="auto"/>
        <w:jc w:val="both"/>
        <w:rPr>
          <w:sz w:val="24"/>
          <w:szCs w:val="24"/>
        </w:rPr>
      </w:pPr>
      <w:r w:rsidRPr="006E3436">
        <w:rPr>
          <w:sz w:val="24"/>
          <w:szCs w:val="24"/>
        </w:rPr>
        <w:t xml:space="preserve">The company is publicly traded and majority-owned by the Walton family. Starting with a single store in Rogers, Arkansas, it has now spread across the United States of America and is even a multinational corporation, with revenues well over $559 billion and more than 2.3 million </w:t>
      </w:r>
      <w:r>
        <w:rPr>
          <w:sz w:val="24"/>
          <w:szCs w:val="24"/>
        </w:rPr>
        <w:t>employees throughout the globe.</w:t>
      </w:r>
    </w:p>
    <w:p w14:paraId="073D3D43" w14:textId="77777777" w:rsidR="001013C0" w:rsidRDefault="001013C0" w:rsidP="001013C0">
      <w:pPr>
        <w:spacing w:line="276" w:lineRule="auto"/>
        <w:jc w:val="both"/>
        <w:rPr>
          <w:sz w:val="24"/>
          <w:szCs w:val="24"/>
        </w:rPr>
      </w:pPr>
      <w:r w:rsidRPr="006E3436">
        <w:rPr>
          <w:sz w:val="24"/>
          <w:szCs w:val="24"/>
        </w:rPr>
        <w:t>In the United States alone, Walmart was reported to be the largest grocery retailer in 2019. For Walmart, the real strategic priority lies in the mammoth and efficient supply chain with direct dealings with suppliers and strategic relationships with vendors. Its distribution system is also one of the largest in the U.S. and is backed through private satellite communication with results in efficient operational management and cost reduction.</w:t>
      </w:r>
    </w:p>
    <w:p w14:paraId="5363F5F3" w14:textId="77777777" w:rsidR="001013C0" w:rsidRDefault="001013C0" w:rsidP="001013C0">
      <w:pPr>
        <w:spacing w:line="276" w:lineRule="auto"/>
        <w:jc w:val="both"/>
        <w:rPr>
          <w:sz w:val="24"/>
          <w:szCs w:val="24"/>
        </w:rPr>
      </w:pPr>
    </w:p>
    <w:p w14:paraId="3CDF5779" w14:textId="77777777" w:rsidR="001013C0" w:rsidRPr="006E3436" w:rsidRDefault="001013C0" w:rsidP="001013C0">
      <w:pPr>
        <w:spacing w:line="276" w:lineRule="auto"/>
        <w:jc w:val="both"/>
        <w:rPr>
          <w:sz w:val="24"/>
          <w:szCs w:val="24"/>
        </w:rPr>
      </w:pPr>
    </w:p>
    <w:p w14:paraId="5F2BA1E2" w14:textId="77777777" w:rsidR="001013C0" w:rsidRDefault="001013C0" w:rsidP="001013C0">
      <w:pPr>
        <w:pStyle w:val="Heading2"/>
        <w:numPr>
          <w:ilvl w:val="1"/>
          <w:numId w:val="7"/>
        </w:numPr>
        <w:tabs>
          <w:tab w:val="num" w:pos="360"/>
        </w:tabs>
        <w:ind w:left="0" w:firstLine="0"/>
        <w:rPr>
          <w:b/>
          <w:color w:val="000000" w:themeColor="text1"/>
        </w:rPr>
      </w:pPr>
      <w:bookmarkStart w:id="2" w:name="_Toc164718592"/>
      <w:r w:rsidRPr="006E3436">
        <w:rPr>
          <w:b/>
          <w:color w:val="000000" w:themeColor="text1"/>
        </w:rPr>
        <w:t>Major competitor</w:t>
      </w:r>
      <w:bookmarkEnd w:id="2"/>
    </w:p>
    <w:p w14:paraId="27EE4EA5" w14:textId="77777777" w:rsidR="001013C0" w:rsidRPr="006E3436" w:rsidRDefault="001013C0" w:rsidP="001013C0"/>
    <w:p w14:paraId="7C4BC6DC" w14:textId="77777777" w:rsidR="001013C0" w:rsidRPr="006E3436" w:rsidRDefault="001013C0" w:rsidP="001013C0">
      <w:pPr>
        <w:spacing w:line="276" w:lineRule="auto"/>
        <w:jc w:val="both"/>
        <w:rPr>
          <w:sz w:val="24"/>
          <w:szCs w:val="24"/>
        </w:rPr>
      </w:pPr>
      <w:r w:rsidRPr="006E3436">
        <w:rPr>
          <w:sz w:val="24"/>
          <w:szCs w:val="24"/>
        </w:rPr>
        <w:t>Walmart, as a leading retailer, faces competition from several major companies, each with its own distinct business focus and market strategy:</w:t>
      </w:r>
    </w:p>
    <w:p w14:paraId="0218EB99" w14:textId="77777777" w:rsidR="001013C0" w:rsidRPr="006E3436" w:rsidRDefault="001013C0" w:rsidP="001013C0">
      <w:pPr>
        <w:pStyle w:val="ListParagraph"/>
        <w:numPr>
          <w:ilvl w:val="0"/>
          <w:numId w:val="8"/>
        </w:numPr>
        <w:spacing w:line="276" w:lineRule="auto"/>
        <w:jc w:val="both"/>
        <w:rPr>
          <w:sz w:val="24"/>
          <w:szCs w:val="24"/>
        </w:rPr>
      </w:pPr>
      <w:r w:rsidRPr="006E3436">
        <w:rPr>
          <w:b/>
          <w:bCs/>
          <w:sz w:val="24"/>
          <w:szCs w:val="24"/>
        </w:rPr>
        <w:t>Amazon</w:t>
      </w:r>
      <w:r w:rsidRPr="006E3436">
        <w:rPr>
          <w:sz w:val="24"/>
          <w:szCs w:val="24"/>
        </w:rPr>
        <w:t xml:space="preserve"> - A behemoth in the e-commerce sector, Amazon offers an extensive range of products from electronics to groceries, often at competitive prices compared to physical stores. It's well-known for convenience and a vast selection of goods, making it a significant competitor to Walmart's online and brick-and-mortar operations</w:t>
      </w:r>
      <w:r>
        <w:rPr>
          <w:sz w:val="24"/>
          <w:szCs w:val="24"/>
        </w:rPr>
        <w:t xml:space="preserve"> </w:t>
      </w:r>
      <w:r w:rsidRPr="0016492E">
        <w:rPr>
          <w:rStyle w:val="Hyperlink"/>
          <w:sz w:val="24"/>
          <w:szCs w:val="24"/>
        </w:rPr>
        <w:t>https://www.comparably.com/</w:t>
      </w:r>
      <w:r>
        <w:rPr>
          <w:sz w:val="24"/>
          <w:szCs w:val="24"/>
        </w:rPr>
        <w:t xml:space="preserve"> </w:t>
      </w:r>
      <w:r w:rsidRPr="006E3436">
        <w:rPr>
          <w:sz w:val="24"/>
          <w:szCs w:val="24"/>
        </w:rPr>
        <w:t>.</w:t>
      </w:r>
    </w:p>
    <w:p w14:paraId="111301DC" w14:textId="77777777" w:rsidR="001013C0" w:rsidRPr="006E3436" w:rsidRDefault="001013C0" w:rsidP="001013C0">
      <w:pPr>
        <w:pStyle w:val="ListParagraph"/>
        <w:numPr>
          <w:ilvl w:val="0"/>
          <w:numId w:val="8"/>
        </w:numPr>
        <w:spacing w:line="276" w:lineRule="auto"/>
        <w:jc w:val="both"/>
        <w:rPr>
          <w:sz w:val="24"/>
          <w:szCs w:val="24"/>
        </w:rPr>
      </w:pPr>
      <w:r w:rsidRPr="006E3436">
        <w:rPr>
          <w:b/>
          <w:bCs/>
          <w:sz w:val="24"/>
          <w:szCs w:val="24"/>
        </w:rPr>
        <w:t>Costco</w:t>
      </w:r>
      <w:r w:rsidRPr="006E3436">
        <w:rPr>
          <w:sz w:val="24"/>
          <w:szCs w:val="24"/>
        </w:rPr>
        <w:t xml:space="preserve"> - Operating a chain of membership warehouses, Costco targets large families and businesses, offering bulk products at low prices. With a strong presence in the United States and a growing global footprint, Costco is a key player in the retail market, directly competing with Walmart on price and value</w:t>
      </w:r>
      <w:r>
        <w:rPr>
          <w:sz w:val="24"/>
          <w:szCs w:val="24"/>
        </w:rPr>
        <w:t xml:space="preserve"> </w:t>
      </w:r>
      <w:r w:rsidRPr="0016492E">
        <w:rPr>
          <w:rStyle w:val="Hyperlink"/>
          <w:sz w:val="24"/>
          <w:szCs w:val="24"/>
        </w:rPr>
        <w:t>https://www.comparably.com/</w:t>
      </w:r>
      <w:r>
        <w:rPr>
          <w:sz w:val="24"/>
          <w:szCs w:val="24"/>
        </w:rPr>
        <w:t xml:space="preserve"> </w:t>
      </w:r>
      <w:r w:rsidRPr="006E3436">
        <w:rPr>
          <w:sz w:val="24"/>
          <w:szCs w:val="24"/>
        </w:rPr>
        <w:t>.</w:t>
      </w:r>
    </w:p>
    <w:p w14:paraId="213B0E06" w14:textId="77777777" w:rsidR="001013C0" w:rsidRPr="006E3436" w:rsidRDefault="001013C0" w:rsidP="001013C0">
      <w:pPr>
        <w:pStyle w:val="ListParagraph"/>
        <w:numPr>
          <w:ilvl w:val="0"/>
          <w:numId w:val="8"/>
        </w:numPr>
        <w:spacing w:line="276" w:lineRule="auto"/>
        <w:jc w:val="both"/>
        <w:rPr>
          <w:sz w:val="24"/>
          <w:szCs w:val="24"/>
        </w:rPr>
      </w:pPr>
      <w:r w:rsidRPr="006E3436">
        <w:rPr>
          <w:b/>
          <w:bCs/>
          <w:sz w:val="24"/>
          <w:szCs w:val="24"/>
        </w:rPr>
        <w:t>Kroger</w:t>
      </w:r>
      <w:r w:rsidRPr="006E3436">
        <w:rPr>
          <w:sz w:val="24"/>
          <w:szCs w:val="24"/>
        </w:rPr>
        <w:t xml:space="preserve"> - As one of the largest grocery chains in the U.S., Kroger offers a variety of retail stores including supermarkets and multi-department stores. With substantial revenue and a solid customer base, Kroger presents stiff competition </w:t>
      </w:r>
      <w:r w:rsidRPr="006E3436">
        <w:rPr>
          <w:sz w:val="24"/>
          <w:szCs w:val="24"/>
        </w:rPr>
        <w:lastRenderedPageBreak/>
        <w:t>to Walmart, especially in the grocery segment</w:t>
      </w:r>
      <w:r>
        <w:rPr>
          <w:sz w:val="24"/>
          <w:szCs w:val="24"/>
        </w:rPr>
        <w:t xml:space="preserve"> </w:t>
      </w:r>
      <w:r w:rsidRPr="0016492E">
        <w:rPr>
          <w:rStyle w:val="Hyperlink"/>
          <w:sz w:val="24"/>
          <w:szCs w:val="24"/>
        </w:rPr>
        <w:t>https://businessmodelanalyst.com/</w:t>
      </w:r>
      <w:r>
        <w:rPr>
          <w:sz w:val="24"/>
          <w:szCs w:val="24"/>
        </w:rPr>
        <w:t xml:space="preserve"> </w:t>
      </w:r>
      <w:r w:rsidRPr="006E3436">
        <w:rPr>
          <w:sz w:val="24"/>
          <w:szCs w:val="24"/>
        </w:rPr>
        <w:t>.</w:t>
      </w:r>
    </w:p>
    <w:p w14:paraId="7195B007" w14:textId="77777777" w:rsidR="001013C0" w:rsidRPr="006E3436" w:rsidRDefault="001013C0" w:rsidP="001013C0">
      <w:pPr>
        <w:pStyle w:val="ListParagraph"/>
        <w:numPr>
          <w:ilvl w:val="0"/>
          <w:numId w:val="8"/>
        </w:numPr>
        <w:spacing w:line="276" w:lineRule="auto"/>
        <w:jc w:val="both"/>
        <w:rPr>
          <w:sz w:val="24"/>
          <w:szCs w:val="24"/>
        </w:rPr>
      </w:pPr>
      <w:r w:rsidRPr="006E3436">
        <w:rPr>
          <w:b/>
          <w:bCs/>
          <w:sz w:val="24"/>
          <w:szCs w:val="24"/>
        </w:rPr>
        <w:t>The Home Depot</w:t>
      </w:r>
      <w:r w:rsidRPr="006E3436">
        <w:rPr>
          <w:sz w:val="24"/>
          <w:szCs w:val="24"/>
        </w:rPr>
        <w:t xml:space="preserve"> - Specializing in home improvement products, The Home Depot is the world's largest home improvement retailer. With a wide range of tools, construction products, and services, it competes with Walmart in the DIY and home goods market</w:t>
      </w:r>
      <w:r>
        <w:rPr>
          <w:sz w:val="24"/>
          <w:szCs w:val="24"/>
        </w:rPr>
        <w:t xml:space="preserve"> </w:t>
      </w:r>
      <w:r w:rsidRPr="0016492E">
        <w:rPr>
          <w:rStyle w:val="Hyperlink"/>
          <w:sz w:val="24"/>
          <w:szCs w:val="24"/>
        </w:rPr>
        <w:t>https://businessmodelanalyst.com/</w:t>
      </w:r>
      <w:r>
        <w:rPr>
          <w:sz w:val="24"/>
          <w:szCs w:val="24"/>
        </w:rPr>
        <w:t xml:space="preserve"> </w:t>
      </w:r>
      <w:r w:rsidRPr="006E3436">
        <w:rPr>
          <w:sz w:val="24"/>
          <w:szCs w:val="24"/>
        </w:rPr>
        <w:t>.</w:t>
      </w:r>
    </w:p>
    <w:p w14:paraId="168EF10F" w14:textId="77777777" w:rsidR="001013C0" w:rsidRDefault="001013C0" w:rsidP="001013C0">
      <w:pPr>
        <w:pStyle w:val="ListParagraph"/>
        <w:numPr>
          <w:ilvl w:val="0"/>
          <w:numId w:val="8"/>
        </w:numPr>
        <w:spacing w:line="276" w:lineRule="auto"/>
        <w:jc w:val="both"/>
        <w:rPr>
          <w:sz w:val="24"/>
          <w:szCs w:val="24"/>
        </w:rPr>
      </w:pPr>
      <w:r w:rsidRPr="006E3436">
        <w:rPr>
          <w:b/>
          <w:bCs/>
          <w:sz w:val="24"/>
          <w:szCs w:val="24"/>
        </w:rPr>
        <w:t>Walgreens Boots Alliance, Inc.</w:t>
      </w:r>
      <w:r w:rsidRPr="006E3436">
        <w:rPr>
          <w:sz w:val="24"/>
          <w:szCs w:val="24"/>
        </w:rPr>
        <w:t xml:space="preserve"> - As one of the largest pharmacy store chains in the U.S., Walgreens offers health and wellness products, filling prescriptions, photo services, and more. Its focus on healthcare and consumer services puts it in competition with Walmart's pharmacy and health product offerings</w:t>
      </w:r>
      <w:r w:rsidRPr="00BB01D3">
        <w:t xml:space="preserve"> </w:t>
      </w:r>
      <w:r w:rsidRPr="0016492E">
        <w:rPr>
          <w:rStyle w:val="Hyperlink"/>
          <w:sz w:val="24"/>
          <w:szCs w:val="24"/>
        </w:rPr>
        <w:t>https://businessmodelanalyst.com/</w:t>
      </w:r>
      <w:r>
        <w:rPr>
          <w:sz w:val="24"/>
          <w:szCs w:val="24"/>
        </w:rPr>
        <w:t xml:space="preserve"> </w:t>
      </w:r>
      <w:r w:rsidRPr="006E3436">
        <w:rPr>
          <w:sz w:val="24"/>
          <w:szCs w:val="24"/>
        </w:rPr>
        <w:t>.</w:t>
      </w:r>
    </w:p>
    <w:p w14:paraId="04C29150" w14:textId="77777777" w:rsidR="001013C0" w:rsidRPr="006E3436" w:rsidRDefault="001013C0" w:rsidP="001013C0">
      <w:pPr>
        <w:pStyle w:val="ListParagraph"/>
        <w:spacing w:line="276" w:lineRule="auto"/>
        <w:jc w:val="both"/>
        <w:rPr>
          <w:sz w:val="24"/>
          <w:szCs w:val="24"/>
        </w:rPr>
      </w:pPr>
    </w:p>
    <w:p w14:paraId="374D5AC4" w14:textId="77777777" w:rsidR="001013C0" w:rsidRDefault="001013C0" w:rsidP="001013C0">
      <w:pPr>
        <w:pStyle w:val="Heading2"/>
        <w:numPr>
          <w:ilvl w:val="1"/>
          <w:numId w:val="7"/>
        </w:numPr>
        <w:tabs>
          <w:tab w:val="num" w:pos="360"/>
        </w:tabs>
        <w:ind w:left="0" w:firstLine="0"/>
        <w:rPr>
          <w:b/>
          <w:color w:val="000000" w:themeColor="text1"/>
        </w:rPr>
      </w:pPr>
      <w:bookmarkStart w:id="3" w:name="_Toc164718593"/>
      <w:r w:rsidRPr="006E3436">
        <w:rPr>
          <w:b/>
          <w:color w:val="000000" w:themeColor="text1"/>
        </w:rPr>
        <w:t>Major events</w:t>
      </w:r>
      <w:bookmarkEnd w:id="3"/>
    </w:p>
    <w:p w14:paraId="2D9FED97" w14:textId="77777777" w:rsidR="001013C0" w:rsidRPr="006E3436" w:rsidRDefault="001013C0" w:rsidP="001013C0"/>
    <w:p w14:paraId="6B6A9245" w14:textId="77777777" w:rsidR="001013C0" w:rsidRPr="006E3436" w:rsidRDefault="001013C0" w:rsidP="001013C0">
      <w:pPr>
        <w:spacing w:line="276" w:lineRule="auto"/>
        <w:jc w:val="both"/>
        <w:rPr>
          <w:sz w:val="24"/>
          <w:szCs w:val="24"/>
        </w:rPr>
      </w:pPr>
      <w:r w:rsidRPr="006E3436">
        <w:rPr>
          <w:sz w:val="24"/>
          <w:szCs w:val="24"/>
        </w:rPr>
        <w:t>Over the last five years, Walmart has continued to refine its business strategy in order to address the key challenges at hand and unlock new opportunities. Key highlights include:</w:t>
      </w:r>
    </w:p>
    <w:p w14:paraId="727A47CA" w14:textId="77777777" w:rsidR="001013C0" w:rsidRPr="006E3436" w:rsidRDefault="001013C0" w:rsidP="001013C0">
      <w:pPr>
        <w:spacing w:line="276" w:lineRule="auto"/>
        <w:jc w:val="both"/>
        <w:rPr>
          <w:sz w:val="24"/>
          <w:szCs w:val="24"/>
        </w:rPr>
      </w:pPr>
      <w:r w:rsidRPr="006E3436">
        <w:rPr>
          <w:b/>
          <w:sz w:val="24"/>
          <w:szCs w:val="24"/>
        </w:rPr>
        <w:t>Supply Chain Innovation</w:t>
      </w:r>
      <w:r w:rsidRPr="006E3436">
        <w:rPr>
          <w:sz w:val="24"/>
          <w:szCs w:val="24"/>
        </w:rPr>
        <w:t>: In April 2023, Walmart defined its next-generation supply chain as part of the strategy on the path of growth.</w:t>
      </w:r>
    </w:p>
    <w:p w14:paraId="582111C8" w14:textId="77777777" w:rsidR="001013C0" w:rsidRPr="006E3436" w:rsidRDefault="001013C0" w:rsidP="001013C0">
      <w:pPr>
        <w:spacing w:line="276" w:lineRule="auto"/>
        <w:jc w:val="both"/>
        <w:rPr>
          <w:sz w:val="24"/>
          <w:szCs w:val="24"/>
        </w:rPr>
      </w:pPr>
      <w:r w:rsidRPr="006E3436">
        <w:rPr>
          <w:sz w:val="24"/>
          <w:szCs w:val="24"/>
        </w:rPr>
        <w:t>About 65% of their stores are meant to be automated by the end of Fiscal Year 2026. The idea is through this the capability of better-stocking items for more consistency and quality delivery services to stores and from stores to customers</w:t>
      </w:r>
      <w:r>
        <w:rPr>
          <w:sz w:val="24"/>
          <w:szCs w:val="24"/>
        </w:rPr>
        <w:t xml:space="preserve"> </w:t>
      </w:r>
      <w:r w:rsidRPr="0016492E">
        <w:rPr>
          <w:rStyle w:val="Hyperlink"/>
          <w:sz w:val="24"/>
          <w:szCs w:val="24"/>
        </w:rPr>
        <w:t>https://corporate.walmart.com/</w:t>
      </w:r>
      <w:r>
        <w:rPr>
          <w:sz w:val="24"/>
          <w:szCs w:val="24"/>
        </w:rPr>
        <w:t xml:space="preserve"> </w:t>
      </w:r>
      <w:r w:rsidRPr="006E3436">
        <w:rPr>
          <w:sz w:val="24"/>
          <w:szCs w:val="24"/>
        </w:rPr>
        <w:t>.</w:t>
      </w:r>
    </w:p>
    <w:p w14:paraId="07B41A2C" w14:textId="77777777" w:rsidR="001013C0" w:rsidRPr="006E3436" w:rsidRDefault="001013C0" w:rsidP="001013C0">
      <w:pPr>
        <w:spacing w:line="276" w:lineRule="auto"/>
        <w:jc w:val="both"/>
        <w:rPr>
          <w:sz w:val="24"/>
          <w:szCs w:val="24"/>
        </w:rPr>
      </w:pPr>
      <w:r w:rsidRPr="006E3436">
        <w:rPr>
          <w:b/>
          <w:sz w:val="24"/>
          <w:szCs w:val="24"/>
        </w:rPr>
        <w:t>Annual Reports and Shareholders' Meetings</w:t>
      </w:r>
      <w:r w:rsidRPr="006E3436">
        <w:rPr>
          <w:sz w:val="24"/>
          <w:szCs w:val="24"/>
        </w:rPr>
        <w:t>: This marks the date when Walmart publishes its yearly reports and shares the annual shareholders' meetings. The report for 2021 highlighted the company's resilience at the time of the pandemic and plans for continuing to invest in a diverse and inclusive workforce</w:t>
      </w:r>
      <w:r>
        <w:rPr>
          <w:sz w:val="24"/>
          <w:szCs w:val="24"/>
        </w:rPr>
        <w:t xml:space="preserve"> </w:t>
      </w:r>
      <w:r w:rsidRPr="0016492E">
        <w:rPr>
          <w:rStyle w:val="Hyperlink"/>
          <w:sz w:val="24"/>
          <w:szCs w:val="24"/>
        </w:rPr>
        <w:t>https://corporate.walmart.com/</w:t>
      </w:r>
      <w:r>
        <w:rPr>
          <w:sz w:val="24"/>
          <w:szCs w:val="24"/>
        </w:rPr>
        <w:t xml:space="preserve"> </w:t>
      </w:r>
      <w:r w:rsidRPr="006E3436">
        <w:rPr>
          <w:sz w:val="24"/>
          <w:szCs w:val="24"/>
        </w:rPr>
        <w:t>.</w:t>
      </w:r>
    </w:p>
    <w:p w14:paraId="235CCEC5" w14:textId="77777777" w:rsidR="001013C0" w:rsidRPr="006E3436" w:rsidRDefault="001013C0" w:rsidP="001013C0">
      <w:pPr>
        <w:spacing w:line="276" w:lineRule="auto"/>
        <w:jc w:val="both"/>
        <w:rPr>
          <w:sz w:val="24"/>
          <w:szCs w:val="24"/>
        </w:rPr>
      </w:pPr>
      <w:r w:rsidRPr="006E3436">
        <w:rPr>
          <w:b/>
          <w:sz w:val="24"/>
          <w:szCs w:val="24"/>
        </w:rPr>
        <w:t>COVID-19 Response</w:t>
      </w:r>
      <w:r w:rsidRPr="006E3436">
        <w:rPr>
          <w:sz w:val="24"/>
          <w:szCs w:val="24"/>
        </w:rPr>
        <w:t>: During the time of the COVID-19 pandemic, Walmart uniquely responded to giving cash bonuses to its associates, even those who were displaced, setting up testing sites, and contributing to vaccination efforts. It indicated said efforts were part of duties to associates and communities around them</w:t>
      </w:r>
      <w:r w:rsidRPr="00186C1E">
        <w:t xml:space="preserve"> </w:t>
      </w:r>
      <w:r w:rsidRPr="0016492E">
        <w:rPr>
          <w:rStyle w:val="Hyperlink"/>
          <w:sz w:val="24"/>
          <w:szCs w:val="24"/>
        </w:rPr>
        <w:t>https://corporate.walmart.com/</w:t>
      </w:r>
      <w:r>
        <w:rPr>
          <w:sz w:val="24"/>
          <w:szCs w:val="24"/>
        </w:rPr>
        <w:t xml:space="preserve"> </w:t>
      </w:r>
      <w:r w:rsidRPr="006E3436">
        <w:rPr>
          <w:sz w:val="24"/>
          <w:szCs w:val="24"/>
        </w:rPr>
        <w:t xml:space="preserve">. </w:t>
      </w:r>
    </w:p>
    <w:p w14:paraId="3A752BAA" w14:textId="77777777" w:rsidR="001013C0" w:rsidRPr="006E3436" w:rsidRDefault="001013C0" w:rsidP="001013C0">
      <w:pPr>
        <w:spacing w:line="276" w:lineRule="auto"/>
        <w:jc w:val="both"/>
        <w:rPr>
          <w:sz w:val="24"/>
          <w:szCs w:val="24"/>
        </w:rPr>
      </w:pPr>
      <w:r w:rsidRPr="006E3436">
        <w:rPr>
          <w:b/>
          <w:sz w:val="24"/>
          <w:szCs w:val="24"/>
        </w:rPr>
        <w:t>Investment in Sustainability and Equity</w:t>
      </w:r>
      <w:r w:rsidRPr="006E3436">
        <w:rPr>
          <w:sz w:val="24"/>
          <w:szCs w:val="24"/>
        </w:rPr>
        <w:t>: One of the goals declared by Walmart for 2020 was to be a regenerative company, handling responsibilities such as racial equity, which can be considered an intention for sustainability and a philosophy based on equity. This has been actualized since its founding</w:t>
      </w:r>
      <w:r>
        <w:rPr>
          <w:sz w:val="24"/>
          <w:szCs w:val="24"/>
        </w:rPr>
        <w:t xml:space="preserve"> </w:t>
      </w:r>
      <w:r w:rsidRPr="0016492E">
        <w:rPr>
          <w:rStyle w:val="Hyperlink"/>
          <w:sz w:val="24"/>
          <w:szCs w:val="24"/>
        </w:rPr>
        <w:t>https://corporate.walmart.com/</w:t>
      </w:r>
      <w:r>
        <w:rPr>
          <w:sz w:val="24"/>
          <w:szCs w:val="24"/>
        </w:rPr>
        <w:t xml:space="preserve"> </w:t>
      </w:r>
      <w:r w:rsidRPr="006E3436">
        <w:rPr>
          <w:sz w:val="24"/>
          <w:szCs w:val="24"/>
        </w:rPr>
        <w:t>.</w:t>
      </w:r>
    </w:p>
    <w:p w14:paraId="3C18F944" w14:textId="77777777" w:rsidR="001013C0" w:rsidRDefault="001013C0" w:rsidP="001013C0">
      <w:pPr>
        <w:pStyle w:val="Heading1"/>
        <w:numPr>
          <w:ilvl w:val="0"/>
          <w:numId w:val="7"/>
        </w:numPr>
        <w:tabs>
          <w:tab w:val="num" w:pos="360"/>
        </w:tabs>
        <w:ind w:left="0" w:firstLine="0"/>
        <w:rPr>
          <w:rFonts w:eastAsiaTheme="minorHAnsi"/>
          <w:b/>
          <w:color w:val="000000" w:themeColor="text1"/>
        </w:rPr>
      </w:pPr>
      <w:bookmarkStart w:id="4" w:name="_Toc162208547"/>
      <w:bookmarkStart w:id="5" w:name="_Toc163310224"/>
      <w:bookmarkStart w:id="6" w:name="_Toc164718594"/>
      <w:r w:rsidRPr="006E3436">
        <w:rPr>
          <w:rFonts w:eastAsiaTheme="minorHAnsi"/>
          <w:b/>
          <w:color w:val="000000" w:themeColor="text1"/>
        </w:rPr>
        <w:lastRenderedPageBreak/>
        <w:t>Calculation of financial ratios</w:t>
      </w:r>
      <w:bookmarkEnd w:id="4"/>
      <w:bookmarkEnd w:id="5"/>
      <w:bookmarkEnd w:id="6"/>
    </w:p>
    <w:p w14:paraId="251F7DBF" w14:textId="77777777" w:rsidR="001013C0" w:rsidRPr="006E3436" w:rsidRDefault="001013C0" w:rsidP="001013C0"/>
    <w:p w14:paraId="4427CC46" w14:textId="77777777" w:rsidR="001013C0" w:rsidRDefault="001013C0" w:rsidP="001013C0">
      <w:pPr>
        <w:spacing w:line="276" w:lineRule="auto"/>
        <w:jc w:val="both"/>
        <w:rPr>
          <w:sz w:val="24"/>
          <w:szCs w:val="24"/>
        </w:rPr>
      </w:pPr>
      <w:r w:rsidRPr="006E3436">
        <w:rPr>
          <w:sz w:val="24"/>
          <w:szCs w:val="24"/>
        </w:rPr>
        <w:t>The following is an in-depth critical review of Walmart's financial performance for the most recent financial year. This will cover profitability, liquidity, gearing, and efficiency ratios:</w:t>
      </w:r>
    </w:p>
    <w:p w14:paraId="45D462A2" w14:textId="77777777" w:rsidR="001013C0" w:rsidRDefault="001013C0" w:rsidP="001013C0">
      <w:pPr>
        <w:spacing w:line="276" w:lineRule="auto"/>
        <w:jc w:val="both"/>
        <w:rPr>
          <w:sz w:val="24"/>
          <w:szCs w:val="24"/>
        </w:rPr>
      </w:pPr>
    </w:p>
    <w:p w14:paraId="7FD8CC72" w14:textId="77777777" w:rsidR="001013C0" w:rsidRPr="006E3436" w:rsidRDefault="001013C0" w:rsidP="001013C0">
      <w:pPr>
        <w:spacing w:line="276" w:lineRule="auto"/>
        <w:jc w:val="both"/>
        <w:rPr>
          <w:sz w:val="24"/>
          <w:szCs w:val="24"/>
        </w:rPr>
      </w:pPr>
      <w:r>
        <w:rPr>
          <w:sz w:val="24"/>
          <w:szCs w:val="24"/>
        </w:rPr>
        <w:t>Here is Walmart Financial details:</w:t>
      </w:r>
    </w:p>
    <w:tbl>
      <w:tblPr>
        <w:tblStyle w:val="GridTable4-Accent6"/>
        <w:tblW w:w="0" w:type="auto"/>
        <w:tblLook w:val="04A0" w:firstRow="1" w:lastRow="0" w:firstColumn="1" w:lastColumn="0" w:noHBand="0" w:noVBand="1"/>
      </w:tblPr>
      <w:tblGrid>
        <w:gridCol w:w="5885"/>
        <w:gridCol w:w="3131"/>
      </w:tblGrid>
      <w:tr w:rsidR="001013C0" w:rsidRPr="006E3436" w14:paraId="60CF48FB" w14:textId="77777777" w:rsidTr="002A1BC4">
        <w:trPr>
          <w:cnfStyle w:val="100000000000" w:firstRow="1" w:lastRow="0" w:firstColumn="0" w:lastColumn="0" w:oddVBand="0" w:evenVBand="0" w:oddHBand="0" w:evenHBand="0" w:firstRowFirstColumn="0" w:firstRowLastColumn="0" w:lastRowFirstColumn="0" w:lastRowLastColumn="0"/>
          <w:trHeight w:val="109"/>
        </w:trPr>
        <w:tc>
          <w:tcPr>
            <w:cnfStyle w:val="001000000000" w:firstRow="0" w:lastRow="0" w:firstColumn="1" w:lastColumn="0" w:oddVBand="0" w:evenVBand="0" w:oddHBand="0" w:evenHBand="0" w:firstRowFirstColumn="0" w:firstRowLastColumn="0" w:lastRowFirstColumn="0" w:lastRowLastColumn="0"/>
            <w:tcW w:w="5885" w:type="dxa"/>
            <w:shd w:val="clear" w:color="auto" w:fill="156082" w:themeFill="accent1"/>
          </w:tcPr>
          <w:p w14:paraId="3B282B53" w14:textId="77777777" w:rsidR="001013C0" w:rsidRPr="006E3436" w:rsidRDefault="001013C0" w:rsidP="002A1BC4">
            <w:pPr>
              <w:spacing w:after="160" w:line="276" w:lineRule="auto"/>
              <w:jc w:val="both"/>
              <w:rPr>
                <w:sz w:val="24"/>
                <w:szCs w:val="24"/>
                <w:lang w:val="en-GB"/>
              </w:rPr>
            </w:pPr>
            <w:r w:rsidRPr="006E3436">
              <w:rPr>
                <w:sz w:val="24"/>
                <w:szCs w:val="24"/>
                <w:lang w:val="en-GB"/>
              </w:rPr>
              <w:t>NO</w:t>
            </w:r>
          </w:p>
        </w:tc>
        <w:tc>
          <w:tcPr>
            <w:tcW w:w="3131" w:type="dxa"/>
            <w:shd w:val="clear" w:color="auto" w:fill="156082" w:themeFill="accent1"/>
          </w:tcPr>
          <w:p w14:paraId="0F12D703" w14:textId="77777777" w:rsidR="001013C0" w:rsidRPr="006E3436" w:rsidRDefault="001013C0" w:rsidP="002A1BC4">
            <w:pPr>
              <w:spacing w:after="160" w:line="276" w:lineRule="auto"/>
              <w:jc w:val="both"/>
              <w:cnfStyle w:val="100000000000" w:firstRow="1" w:lastRow="0" w:firstColumn="0" w:lastColumn="0" w:oddVBand="0" w:evenVBand="0" w:oddHBand="0" w:evenHBand="0" w:firstRowFirstColumn="0" w:firstRowLastColumn="0" w:lastRowFirstColumn="0" w:lastRowLastColumn="0"/>
              <w:rPr>
                <w:sz w:val="24"/>
                <w:szCs w:val="24"/>
                <w:lang w:val="en-GB"/>
              </w:rPr>
            </w:pPr>
            <w:r w:rsidRPr="006E3436">
              <w:rPr>
                <w:sz w:val="24"/>
                <w:szCs w:val="24"/>
                <w:lang w:val="en-GB"/>
              </w:rPr>
              <w:t xml:space="preserve">$ in Millions </w:t>
            </w:r>
          </w:p>
        </w:tc>
      </w:tr>
      <w:tr w:rsidR="001013C0" w:rsidRPr="006E3436" w14:paraId="4278CF82" w14:textId="77777777" w:rsidTr="002A1BC4">
        <w:trPr>
          <w:cnfStyle w:val="000000100000" w:firstRow="0" w:lastRow="0" w:firstColumn="0" w:lastColumn="0" w:oddVBand="0" w:evenVBand="0" w:oddHBand="1" w:evenHBand="0" w:firstRowFirstColumn="0" w:firstRowLastColumn="0" w:lastRowFirstColumn="0" w:lastRowLastColumn="0"/>
          <w:trHeight w:val="102"/>
        </w:trPr>
        <w:tc>
          <w:tcPr>
            <w:cnfStyle w:val="001000000000" w:firstRow="0" w:lastRow="0" w:firstColumn="1" w:lastColumn="0" w:oddVBand="0" w:evenVBand="0" w:oddHBand="0" w:evenHBand="0" w:firstRowFirstColumn="0" w:firstRowLastColumn="0" w:lastRowFirstColumn="0" w:lastRowLastColumn="0"/>
            <w:tcW w:w="5885" w:type="dxa"/>
          </w:tcPr>
          <w:p w14:paraId="0B2FBC8C"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Net Income </w:t>
            </w:r>
          </w:p>
        </w:tc>
        <w:tc>
          <w:tcPr>
            <w:tcW w:w="3131" w:type="dxa"/>
          </w:tcPr>
          <w:p w14:paraId="416107E6" w14:textId="77777777" w:rsidR="001013C0" w:rsidRPr="006E3436" w:rsidRDefault="001013C0" w:rsidP="002A1BC4">
            <w:pPr>
              <w:spacing w:after="160" w:line="276" w:lineRule="auto"/>
              <w:jc w:val="center"/>
              <w:cnfStyle w:val="000000100000" w:firstRow="0" w:lastRow="0" w:firstColumn="0" w:lastColumn="0" w:oddVBand="0" w:evenVBand="0" w:oddHBand="1" w:evenHBand="0" w:firstRowFirstColumn="0" w:firstRowLastColumn="0" w:lastRowFirstColumn="0" w:lastRowLastColumn="0"/>
              <w:rPr>
                <w:b/>
                <w:sz w:val="24"/>
                <w:szCs w:val="24"/>
                <w:lang w:val="en-GB"/>
              </w:rPr>
            </w:pPr>
            <w:r w:rsidRPr="006E3436">
              <w:rPr>
                <w:b/>
                <w:sz w:val="24"/>
                <w:szCs w:val="24"/>
                <w:lang w:val="en-GB"/>
              </w:rPr>
              <w:t>13910</w:t>
            </w:r>
          </w:p>
        </w:tc>
      </w:tr>
      <w:tr w:rsidR="001013C0" w:rsidRPr="006E3436" w14:paraId="3AB18EB3" w14:textId="77777777" w:rsidTr="002A1BC4">
        <w:trPr>
          <w:trHeight w:val="109"/>
        </w:trPr>
        <w:tc>
          <w:tcPr>
            <w:cnfStyle w:val="001000000000" w:firstRow="0" w:lastRow="0" w:firstColumn="1" w:lastColumn="0" w:oddVBand="0" w:evenVBand="0" w:oddHBand="0" w:evenHBand="0" w:firstRowFirstColumn="0" w:firstRowLastColumn="0" w:lastRowFirstColumn="0" w:lastRowLastColumn="0"/>
            <w:tcW w:w="5885" w:type="dxa"/>
          </w:tcPr>
          <w:p w14:paraId="2FBD769C"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Revenue </w:t>
            </w:r>
          </w:p>
        </w:tc>
        <w:tc>
          <w:tcPr>
            <w:tcW w:w="3131" w:type="dxa"/>
          </w:tcPr>
          <w:p w14:paraId="127C03FC" w14:textId="77777777" w:rsidR="001013C0" w:rsidRPr="006E3436" w:rsidRDefault="001013C0" w:rsidP="002A1BC4">
            <w:pPr>
              <w:spacing w:after="160" w:line="276" w:lineRule="auto"/>
              <w:jc w:val="center"/>
              <w:cnfStyle w:val="000000000000" w:firstRow="0" w:lastRow="0" w:firstColumn="0" w:lastColumn="0" w:oddVBand="0" w:evenVBand="0" w:oddHBand="0" w:evenHBand="0" w:firstRowFirstColumn="0" w:firstRowLastColumn="0" w:lastRowFirstColumn="0" w:lastRowLastColumn="0"/>
              <w:rPr>
                <w:b/>
                <w:sz w:val="24"/>
                <w:szCs w:val="24"/>
                <w:lang w:val="en-GB"/>
              </w:rPr>
            </w:pPr>
            <w:r w:rsidRPr="006E3436">
              <w:rPr>
                <w:b/>
                <w:sz w:val="24"/>
                <w:szCs w:val="24"/>
                <w:lang w:val="en-GB"/>
              </w:rPr>
              <w:t>572750</w:t>
            </w:r>
          </w:p>
        </w:tc>
      </w:tr>
      <w:tr w:rsidR="001013C0" w:rsidRPr="006E3436" w14:paraId="273A838B" w14:textId="77777777" w:rsidTr="002A1BC4">
        <w:trPr>
          <w:cnfStyle w:val="000000100000" w:firstRow="0" w:lastRow="0" w:firstColumn="0" w:lastColumn="0" w:oddVBand="0" w:evenVBand="0" w:oddHBand="1" w:evenHBand="0" w:firstRowFirstColumn="0" w:firstRowLastColumn="0" w:lastRowFirstColumn="0" w:lastRowLastColumn="0"/>
          <w:trHeight w:val="109"/>
        </w:trPr>
        <w:tc>
          <w:tcPr>
            <w:cnfStyle w:val="001000000000" w:firstRow="0" w:lastRow="0" w:firstColumn="1" w:lastColumn="0" w:oddVBand="0" w:evenVBand="0" w:oddHBand="0" w:evenHBand="0" w:firstRowFirstColumn="0" w:firstRowLastColumn="0" w:lastRowFirstColumn="0" w:lastRowLastColumn="0"/>
            <w:tcW w:w="5885" w:type="dxa"/>
          </w:tcPr>
          <w:p w14:paraId="48BC2CB0"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Current Assets </w:t>
            </w:r>
          </w:p>
        </w:tc>
        <w:tc>
          <w:tcPr>
            <w:tcW w:w="3131" w:type="dxa"/>
          </w:tcPr>
          <w:p w14:paraId="760B3699" w14:textId="77777777" w:rsidR="001013C0" w:rsidRPr="006E3436" w:rsidRDefault="001013C0" w:rsidP="002A1BC4">
            <w:pPr>
              <w:spacing w:after="160" w:line="276" w:lineRule="auto"/>
              <w:jc w:val="center"/>
              <w:cnfStyle w:val="000000100000" w:firstRow="0" w:lastRow="0" w:firstColumn="0" w:lastColumn="0" w:oddVBand="0" w:evenVBand="0" w:oddHBand="1" w:evenHBand="0" w:firstRowFirstColumn="0" w:firstRowLastColumn="0" w:lastRowFirstColumn="0" w:lastRowLastColumn="0"/>
              <w:rPr>
                <w:b/>
                <w:sz w:val="24"/>
                <w:szCs w:val="24"/>
                <w:lang w:val="en-GB"/>
              </w:rPr>
            </w:pPr>
            <w:r w:rsidRPr="006E3436">
              <w:rPr>
                <w:b/>
                <w:sz w:val="24"/>
                <w:szCs w:val="24"/>
                <w:lang w:val="en-GB"/>
              </w:rPr>
              <w:t>81070</w:t>
            </w:r>
          </w:p>
        </w:tc>
      </w:tr>
      <w:tr w:rsidR="001013C0" w:rsidRPr="006E3436" w14:paraId="7DADF21C" w14:textId="77777777" w:rsidTr="002A1BC4">
        <w:trPr>
          <w:trHeight w:val="147"/>
        </w:trPr>
        <w:tc>
          <w:tcPr>
            <w:cnfStyle w:val="001000000000" w:firstRow="0" w:lastRow="0" w:firstColumn="1" w:lastColumn="0" w:oddVBand="0" w:evenVBand="0" w:oddHBand="0" w:evenHBand="0" w:firstRowFirstColumn="0" w:firstRowLastColumn="0" w:lastRowFirstColumn="0" w:lastRowLastColumn="0"/>
            <w:tcW w:w="5885" w:type="dxa"/>
          </w:tcPr>
          <w:p w14:paraId="0AD53DFF"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Current Liabilities </w:t>
            </w:r>
          </w:p>
        </w:tc>
        <w:tc>
          <w:tcPr>
            <w:tcW w:w="3131" w:type="dxa"/>
          </w:tcPr>
          <w:p w14:paraId="31B81297" w14:textId="77777777" w:rsidR="001013C0" w:rsidRPr="006E3436" w:rsidRDefault="001013C0" w:rsidP="002A1BC4">
            <w:pPr>
              <w:spacing w:after="160" w:line="276" w:lineRule="auto"/>
              <w:jc w:val="center"/>
              <w:cnfStyle w:val="000000000000" w:firstRow="0" w:lastRow="0" w:firstColumn="0" w:lastColumn="0" w:oddVBand="0" w:evenVBand="0" w:oddHBand="0" w:evenHBand="0" w:firstRowFirstColumn="0" w:firstRowLastColumn="0" w:lastRowFirstColumn="0" w:lastRowLastColumn="0"/>
              <w:rPr>
                <w:b/>
                <w:sz w:val="24"/>
                <w:szCs w:val="24"/>
                <w:lang w:val="en-GB"/>
              </w:rPr>
            </w:pPr>
            <w:r w:rsidRPr="006E3436">
              <w:rPr>
                <w:b/>
                <w:sz w:val="24"/>
                <w:szCs w:val="24"/>
              </w:rPr>
              <w:t>87,379</w:t>
            </w:r>
          </w:p>
        </w:tc>
      </w:tr>
      <w:tr w:rsidR="001013C0" w:rsidRPr="006E3436" w14:paraId="430C7088" w14:textId="77777777" w:rsidTr="002A1BC4">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5885" w:type="dxa"/>
          </w:tcPr>
          <w:p w14:paraId="152E1269"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Total Debts </w:t>
            </w:r>
          </w:p>
        </w:tc>
        <w:tc>
          <w:tcPr>
            <w:tcW w:w="3131" w:type="dxa"/>
          </w:tcPr>
          <w:p w14:paraId="238511E6" w14:textId="77777777" w:rsidR="001013C0" w:rsidRPr="006E3436" w:rsidRDefault="001013C0" w:rsidP="002A1BC4">
            <w:pPr>
              <w:spacing w:after="160" w:line="276" w:lineRule="auto"/>
              <w:jc w:val="center"/>
              <w:cnfStyle w:val="000000100000" w:firstRow="0" w:lastRow="0" w:firstColumn="0" w:lastColumn="0" w:oddVBand="0" w:evenVBand="0" w:oddHBand="1" w:evenHBand="0" w:firstRowFirstColumn="0" w:firstRowLastColumn="0" w:lastRowFirstColumn="0" w:lastRowLastColumn="0"/>
              <w:rPr>
                <w:b/>
                <w:sz w:val="24"/>
                <w:szCs w:val="24"/>
                <w:lang w:val="en-GB"/>
              </w:rPr>
            </w:pPr>
            <w:r w:rsidRPr="006E3436">
              <w:rPr>
                <w:b/>
                <w:sz w:val="24"/>
                <w:szCs w:val="24"/>
                <w:lang w:val="en-GB"/>
              </w:rPr>
              <w:t>58418</w:t>
            </w:r>
          </w:p>
        </w:tc>
      </w:tr>
      <w:tr w:rsidR="001013C0" w:rsidRPr="006E3436" w14:paraId="6F43A60F" w14:textId="77777777" w:rsidTr="002A1BC4">
        <w:trPr>
          <w:trHeight w:val="102"/>
        </w:trPr>
        <w:tc>
          <w:tcPr>
            <w:cnfStyle w:val="001000000000" w:firstRow="0" w:lastRow="0" w:firstColumn="1" w:lastColumn="0" w:oddVBand="0" w:evenVBand="0" w:oddHBand="0" w:evenHBand="0" w:firstRowFirstColumn="0" w:firstRowLastColumn="0" w:lastRowFirstColumn="0" w:lastRowLastColumn="0"/>
            <w:tcW w:w="5885" w:type="dxa"/>
          </w:tcPr>
          <w:p w14:paraId="4F45F24A"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Shareholders’ Equity </w:t>
            </w:r>
          </w:p>
        </w:tc>
        <w:tc>
          <w:tcPr>
            <w:tcW w:w="3131" w:type="dxa"/>
          </w:tcPr>
          <w:p w14:paraId="496CD567" w14:textId="77777777" w:rsidR="001013C0" w:rsidRPr="006E3436" w:rsidRDefault="001013C0" w:rsidP="002A1BC4">
            <w:pPr>
              <w:spacing w:after="160" w:line="276" w:lineRule="auto"/>
              <w:jc w:val="center"/>
              <w:cnfStyle w:val="000000000000" w:firstRow="0" w:lastRow="0" w:firstColumn="0" w:lastColumn="0" w:oddVBand="0" w:evenVBand="0" w:oddHBand="0" w:evenHBand="0" w:firstRowFirstColumn="0" w:firstRowLastColumn="0" w:lastRowFirstColumn="0" w:lastRowLastColumn="0"/>
              <w:rPr>
                <w:b/>
                <w:sz w:val="24"/>
                <w:szCs w:val="24"/>
                <w:lang w:val="en-GB"/>
              </w:rPr>
            </w:pPr>
            <w:r w:rsidRPr="006E3436">
              <w:rPr>
                <w:b/>
                <w:sz w:val="24"/>
                <w:szCs w:val="24"/>
                <w:lang w:val="en-GB"/>
              </w:rPr>
              <w:t>91891</w:t>
            </w:r>
          </w:p>
        </w:tc>
      </w:tr>
      <w:tr w:rsidR="001013C0" w:rsidRPr="006E3436" w14:paraId="133D5347" w14:textId="77777777" w:rsidTr="002A1BC4">
        <w:trPr>
          <w:cnfStyle w:val="000000100000" w:firstRow="0" w:lastRow="0" w:firstColumn="0" w:lastColumn="0" w:oddVBand="0" w:evenVBand="0" w:oddHBand="1" w:evenHBand="0" w:firstRowFirstColumn="0" w:firstRowLastColumn="0" w:lastRowFirstColumn="0" w:lastRowLastColumn="0"/>
          <w:trHeight w:val="38"/>
        </w:trPr>
        <w:tc>
          <w:tcPr>
            <w:cnfStyle w:val="001000000000" w:firstRow="0" w:lastRow="0" w:firstColumn="1" w:lastColumn="0" w:oddVBand="0" w:evenVBand="0" w:oddHBand="0" w:evenHBand="0" w:firstRowFirstColumn="0" w:firstRowLastColumn="0" w:lastRowFirstColumn="0" w:lastRowLastColumn="0"/>
            <w:tcW w:w="5885" w:type="dxa"/>
          </w:tcPr>
          <w:p w14:paraId="11467EE5"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Average Total Assets </w:t>
            </w:r>
          </w:p>
        </w:tc>
        <w:tc>
          <w:tcPr>
            <w:tcW w:w="3131" w:type="dxa"/>
          </w:tcPr>
          <w:p w14:paraId="587ECAF7" w14:textId="77777777" w:rsidR="001013C0" w:rsidRPr="006E3436" w:rsidRDefault="001013C0" w:rsidP="002A1BC4">
            <w:pPr>
              <w:spacing w:after="160" w:line="276" w:lineRule="auto"/>
              <w:jc w:val="center"/>
              <w:cnfStyle w:val="000000100000" w:firstRow="0" w:lastRow="0" w:firstColumn="0" w:lastColumn="0" w:oddVBand="0" w:evenVBand="0" w:oddHBand="1" w:evenHBand="0" w:firstRowFirstColumn="0" w:firstRowLastColumn="0" w:lastRowFirstColumn="0" w:lastRowLastColumn="0"/>
              <w:rPr>
                <w:b/>
                <w:sz w:val="24"/>
                <w:szCs w:val="24"/>
                <w:lang w:val="en-GB"/>
              </w:rPr>
            </w:pPr>
            <w:r w:rsidRPr="006E3436">
              <w:rPr>
                <w:b/>
                <w:sz w:val="24"/>
                <w:szCs w:val="24"/>
              </w:rPr>
              <w:t>244,860</w:t>
            </w:r>
          </w:p>
        </w:tc>
      </w:tr>
    </w:tbl>
    <w:p w14:paraId="32B093B3" w14:textId="77777777" w:rsidR="001013C0" w:rsidRDefault="001013C0" w:rsidP="001013C0">
      <w:pPr>
        <w:spacing w:line="276" w:lineRule="auto"/>
        <w:jc w:val="both"/>
        <w:rPr>
          <w:sz w:val="24"/>
          <w:szCs w:val="24"/>
          <w:lang w:val="en-GB"/>
        </w:rPr>
      </w:pPr>
    </w:p>
    <w:p w14:paraId="3B1F09C0" w14:textId="77777777" w:rsidR="001013C0" w:rsidRPr="006E3436" w:rsidRDefault="001013C0" w:rsidP="001013C0">
      <w:pPr>
        <w:spacing w:line="276" w:lineRule="auto"/>
        <w:jc w:val="center"/>
        <w:rPr>
          <w:sz w:val="24"/>
          <w:szCs w:val="24"/>
          <w:lang w:val="en-GB"/>
        </w:rPr>
      </w:pPr>
      <w:r w:rsidRPr="002A1BC4">
        <w:rPr>
          <w:b/>
          <w:i/>
          <w:szCs w:val="24"/>
          <w:lang w:val="en-GB"/>
        </w:rPr>
        <w:t>Table 1:  Data of Walmart Financial Statements for Ratio Analysis</w:t>
      </w:r>
    </w:p>
    <w:p w14:paraId="30C5EEC8" w14:textId="77777777" w:rsidR="001013C0" w:rsidRPr="003E6409" w:rsidRDefault="001013C0" w:rsidP="001013C0">
      <w:pPr>
        <w:pStyle w:val="Heading2"/>
        <w:numPr>
          <w:ilvl w:val="1"/>
          <w:numId w:val="7"/>
        </w:numPr>
        <w:tabs>
          <w:tab w:val="num" w:pos="360"/>
        </w:tabs>
        <w:ind w:left="0" w:firstLine="0"/>
        <w:rPr>
          <w:b/>
          <w:color w:val="000000" w:themeColor="text1"/>
        </w:rPr>
      </w:pPr>
      <w:bookmarkStart w:id="7" w:name="_Toc163310225"/>
      <w:bookmarkStart w:id="8" w:name="_Toc164718595"/>
      <w:r w:rsidRPr="003E6409">
        <w:rPr>
          <w:b/>
          <w:color w:val="000000" w:themeColor="text1"/>
        </w:rPr>
        <w:t>Profitability Ratios:</w:t>
      </w:r>
      <w:bookmarkEnd w:id="7"/>
      <w:bookmarkEnd w:id="8"/>
      <w:r w:rsidRPr="003E6409">
        <w:rPr>
          <w:b/>
          <w:color w:val="000000" w:themeColor="text1"/>
        </w:rPr>
        <w:t xml:space="preserve"> </w:t>
      </w:r>
    </w:p>
    <w:p w14:paraId="346634F1" w14:textId="77777777" w:rsidR="001013C0" w:rsidRPr="006E3436" w:rsidRDefault="001013C0" w:rsidP="001013C0">
      <w:pPr>
        <w:spacing w:line="276" w:lineRule="auto"/>
        <w:jc w:val="both"/>
        <w:rPr>
          <w:sz w:val="24"/>
          <w:szCs w:val="24"/>
        </w:rPr>
      </w:pPr>
    </w:p>
    <w:p w14:paraId="5009C390" w14:textId="77777777" w:rsidR="001013C0" w:rsidRPr="006E3436" w:rsidRDefault="001013C0" w:rsidP="001013C0">
      <w:pPr>
        <w:spacing w:line="276" w:lineRule="auto"/>
        <w:jc w:val="both"/>
        <w:rPr>
          <w:sz w:val="24"/>
          <w:szCs w:val="24"/>
        </w:rPr>
      </w:pPr>
      <w:r w:rsidRPr="006E3436">
        <w:rPr>
          <w:sz w:val="24"/>
          <w:szCs w:val="24"/>
        </w:rPr>
        <w:t>Profitability ratios measure the income of the company with respect to its income, assets, equity, and other financial metrics of the company. From the point of view of ascertaining financial soundness and also from the point of view of capacity for growth, distributing dividends, and luring in investors, they hold relevance.</w:t>
      </w:r>
    </w:p>
    <w:p w14:paraId="21A04621" w14:textId="77777777" w:rsidR="001013C0" w:rsidRPr="005F6673" w:rsidRDefault="001013C0" w:rsidP="001013C0">
      <w:pPr>
        <w:spacing w:line="276" w:lineRule="auto"/>
        <w:jc w:val="both"/>
        <w:rPr>
          <w:sz w:val="24"/>
          <w:szCs w:val="24"/>
        </w:rPr>
      </w:pPr>
      <w:r w:rsidRPr="005F6673">
        <w:rPr>
          <w:b/>
          <w:bCs/>
          <w:sz w:val="24"/>
          <w:szCs w:val="24"/>
        </w:rPr>
        <w:t>Net Profit Margin</w:t>
      </w:r>
    </w:p>
    <w:p w14:paraId="1CAF1929" w14:textId="77777777" w:rsidR="001013C0" w:rsidRPr="005F6673" w:rsidRDefault="001013C0" w:rsidP="001013C0">
      <w:pPr>
        <w:spacing w:line="276" w:lineRule="auto"/>
        <w:jc w:val="both"/>
        <w:rPr>
          <w:sz w:val="24"/>
          <w:szCs w:val="24"/>
        </w:rPr>
      </w:pPr>
      <w:r w:rsidRPr="005F6673">
        <w:rPr>
          <w:bCs/>
          <w:sz w:val="24"/>
          <w:szCs w:val="24"/>
        </w:rPr>
        <w:t>Formula:</w:t>
      </w:r>
      <w:r w:rsidRPr="005F6673">
        <w:rPr>
          <w:sz w:val="24"/>
          <w:szCs w:val="24"/>
        </w:rPr>
        <w:t xml:space="preserve"> Net Profit Margin = (Net Income / Revenue) x 100</w:t>
      </w:r>
      <w:r>
        <w:rPr>
          <w:sz w:val="24"/>
          <w:szCs w:val="24"/>
        </w:rPr>
        <w:t xml:space="preserve"> </w:t>
      </w:r>
      <w:r w:rsidRPr="00F64BDF">
        <w:rPr>
          <w:rStyle w:val="Hyperlink"/>
          <w:i/>
          <w:sz w:val="24"/>
          <w:szCs w:val="24"/>
        </w:rPr>
        <w:t>https://www.researchgate.net/</w:t>
      </w:r>
      <w:r>
        <w:rPr>
          <w:i/>
          <w:sz w:val="24"/>
          <w:szCs w:val="24"/>
        </w:rPr>
        <w:t xml:space="preserve"> </w:t>
      </w:r>
    </w:p>
    <w:p w14:paraId="04650414" w14:textId="77777777" w:rsidR="001013C0" w:rsidRPr="005F6673" w:rsidRDefault="001013C0" w:rsidP="001013C0">
      <w:pPr>
        <w:spacing w:line="276" w:lineRule="auto"/>
        <w:jc w:val="both"/>
        <w:rPr>
          <w:sz w:val="24"/>
          <w:szCs w:val="24"/>
        </w:rPr>
      </w:pPr>
      <w:r w:rsidRPr="005F6673">
        <w:rPr>
          <w:bCs/>
          <w:sz w:val="24"/>
          <w:szCs w:val="24"/>
        </w:rPr>
        <w:t>Net Profit Margin= (</w:t>
      </w:r>
      <w:r w:rsidRPr="005F6673">
        <w:rPr>
          <w:sz w:val="24"/>
          <w:szCs w:val="24"/>
          <w:lang w:val="en-GB"/>
        </w:rPr>
        <w:t>13910</w:t>
      </w:r>
      <w:r w:rsidRPr="005F6673">
        <w:rPr>
          <w:bCs/>
          <w:sz w:val="24"/>
          <w:szCs w:val="24"/>
        </w:rPr>
        <w:t>/</w:t>
      </w:r>
      <w:r w:rsidRPr="005F6673">
        <w:rPr>
          <w:sz w:val="24"/>
          <w:szCs w:val="24"/>
          <w:lang w:val="en-GB"/>
        </w:rPr>
        <w:t>572750)</w:t>
      </w:r>
      <w:r w:rsidRPr="005F6673">
        <w:rPr>
          <w:sz w:val="24"/>
          <w:szCs w:val="24"/>
        </w:rPr>
        <w:t xml:space="preserve"> x 100= 2.4 %</w:t>
      </w:r>
    </w:p>
    <w:p w14:paraId="325A2000" w14:textId="77777777" w:rsidR="001013C0" w:rsidRPr="005F6673" w:rsidRDefault="001013C0" w:rsidP="001013C0">
      <w:pPr>
        <w:spacing w:line="276" w:lineRule="auto"/>
        <w:jc w:val="both"/>
        <w:rPr>
          <w:b/>
          <w:sz w:val="24"/>
          <w:szCs w:val="24"/>
          <w:lang w:val="en-GB"/>
        </w:rPr>
      </w:pPr>
      <w:r w:rsidRPr="005F6673">
        <w:rPr>
          <w:b/>
          <w:sz w:val="24"/>
          <w:szCs w:val="24"/>
        </w:rPr>
        <w:t>Results</w:t>
      </w:r>
    </w:p>
    <w:p w14:paraId="468A6456" w14:textId="272B80A7" w:rsidR="001013C0" w:rsidRPr="006E3436" w:rsidRDefault="001013C0" w:rsidP="001013C0">
      <w:pPr>
        <w:spacing w:line="276" w:lineRule="auto"/>
        <w:jc w:val="both"/>
        <w:rPr>
          <w:sz w:val="24"/>
          <w:szCs w:val="24"/>
        </w:rPr>
      </w:pPr>
      <w:r w:rsidRPr="006E3436">
        <w:rPr>
          <w:sz w:val="24"/>
          <w:szCs w:val="24"/>
        </w:rPr>
        <w:t xml:space="preserve">The Net Profit Margin at 2.4%, therefore, will imply that for every dollar realized as revenues, 0.024 dollars are </w:t>
      </w:r>
      <w:r w:rsidR="008F3B5E" w:rsidRPr="006E3436">
        <w:rPr>
          <w:sz w:val="24"/>
          <w:szCs w:val="24"/>
        </w:rPr>
        <w:t>retained</w:t>
      </w:r>
      <w:r w:rsidRPr="006E3436">
        <w:rPr>
          <w:sz w:val="24"/>
          <w:szCs w:val="24"/>
        </w:rPr>
        <w:t xml:space="preserve"> as net income by Walmart. A Net Profit Margin of </w:t>
      </w:r>
      <w:r w:rsidRPr="006E3436">
        <w:rPr>
          <w:sz w:val="24"/>
          <w:szCs w:val="24"/>
        </w:rPr>
        <w:lastRenderedPageBreak/>
        <w:t>2.4% would generally be acceptable within certain industries, particularly those that work with high volumes and low margins, two characteristics found in a majority of retail operations. This margin shows that Walmart management runs business operations effectively with high ability to turn sales into actual profit. Even at the scale of Walmart, even a small percentage is represented by a sizable absolute amount of profit. That can show, compared with the market averages and historical performance, if Walmart is raising the profitability, keeping stable, or maybe losing profitability. This should best be viewed within other financial metrics and operating factors that impact the overall picture in respect of financial soundness and performance of the organization.</w:t>
      </w:r>
    </w:p>
    <w:p w14:paraId="463803E5" w14:textId="77777777" w:rsidR="001013C0" w:rsidRPr="005F6673" w:rsidRDefault="001013C0" w:rsidP="001013C0">
      <w:pPr>
        <w:pStyle w:val="Heading2"/>
        <w:numPr>
          <w:ilvl w:val="1"/>
          <w:numId w:val="7"/>
        </w:numPr>
        <w:tabs>
          <w:tab w:val="num" w:pos="360"/>
        </w:tabs>
        <w:ind w:left="0" w:firstLine="0"/>
        <w:rPr>
          <w:b/>
          <w:color w:val="000000" w:themeColor="text1"/>
        </w:rPr>
      </w:pPr>
      <w:bookmarkStart w:id="9" w:name="_Toc163310226"/>
      <w:bookmarkStart w:id="10" w:name="_Toc164718596"/>
      <w:r w:rsidRPr="005F6673">
        <w:rPr>
          <w:b/>
          <w:color w:val="000000" w:themeColor="text1"/>
        </w:rPr>
        <w:t>Liquidity Ratios:</w:t>
      </w:r>
      <w:bookmarkEnd w:id="9"/>
      <w:bookmarkEnd w:id="10"/>
    </w:p>
    <w:p w14:paraId="6DFA3B0F" w14:textId="77777777" w:rsidR="001013C0" w:rsidRPr="006E3436" w:rsidRDefault="001013C0" w:rsidP="001013C0">
      <w:pPr>
        <w:spacing w:line="276" w:lineRule="auto"/>
        <w:jc w:val="both"/>
        <w:rPr>
          <w:sz w:val="24"/>
          <w:szCs w:val="24"/>
        </w:rPr>
      </w:pPr>
    </w:p>
    <w:p w14:paraId="33B8AA9B" w14:textId="77777777" w:rsidR="001013C0" w:rsidRPr="006E3436" w:rsidRDefault="001013C0" w:rsidP="001013C0">
      <w:pPr>
        <w:spacing w:line="276" w:lineRule="auto"/>
        <w:jc w:val="both"/>
        <w:rPr>
          <w:sz w:val="24"/>
          <w:szCs w:val="24"/>
          <w:lang w:val="en-GB"/>
        </w:rPr>
      </w:pPr>
      <w:r w:rsidRPr="006E3436">
        <w:rPr>
          <w:sz w:val="24"/>
          <w:szCs w:val="24"/>
          <w:lang w:val="en-GB"/>
        </w:rPr>
        <w:t>Liquidity ratios look at the capability of a firm to meet short-term obligations using its current or quick assets. The high liquidity ratio would indicate that the current ratio of the company is 4 and 5 times larger than the actual current ratio in covering short-term debt.</w:t>
      </w:r>
    </w:p>
    <w:p w14:paraId="4E75D566" w14:textId="77777777" w:rsidR="001013C0" w:rsidRPr="005F6673" w:rsidRDefault="001013C0" w:rsidP="001013C0">
      <w:pPr>
        <w:spacing w:line="276" w:lineRule="auto"/>
        <w:jc w:val="both"/>
        <w:rPr>
          <w:b/>
          <w:sz w:val="24"/>
          <w:szCs w:val="24"/>
        </w:rPr>
      </w:pPr>
      <w:r w:rsidRPr="005F6673">
        <w:rPr>
          <w:b/>
          <w:bCs/>
          <w:sz w:val="24"/>
          <w:szCs w:val="24"/>
        </w:rPr>
        <w:t>Current Ratio</w:t>
      </w:r>
    </w:p>
    <w:p w14:paraId="198882C6" w14:textId="77777777" w:rsidR="001013C0" w:rsidRPr="002A1BC4" w:rsidRDefault="001013C0" w:rsidP="001013C0">
      <w:pPr>
        <w:spacing w:line="276" w:lineRule="auto"/>
        <w:jc w:val="both"/>
        <w:rPr>
          <w:i/>
          <w:sz w:val="24"/>
          <w:szCs w:val="24"/>
        </w:rPr>
      </w:pPr>
      <w:r w:rsidRPr="005F6673">
        <w:rPr>
          <w:bCs/>
          <w:sz w:val="24"/>
          <w:szCs w:val="24"/>
        </w:rPr>
        <w:t>Formula:</w:t>
      </w:r>
      <w:r w:rsidRPr="005F6673">
        <w:rPr>
          <w:sz w:val="24"/>
          <w:szCs w:val="24"/>
        </w:rPr>
        <w:t xml:space="preserve"> Current Ratio = Current Assets / Current Liabilities</w:t>
      </w:r>
      <w:r>
        <w:rPr>
          <w:sz w:val="24"/>
          <w:szCs w:val="24"/>
        </w:rPr>
        <w:t xml:space="preserve"> </w:t>
      </w:r>
      <w:r w:rsidRPr="00F64BDF">
        <w:rPr>
          <w:rStyle w:val="Hyperlink"/>
          <w:i/>
          <w:sz w:val="24"/>
          <w:szCs w:val="24"/>
        </w:rPr>
        <w:t>https://www.researchgate.net/</w:t>
      </w:r>
      <w:r>
        <w:rPr>
          <w:i/>
          <w:sz w:val="24"/>
          <w:szCs w:val="24"/>
        </w:rPr>
        <w:t xml:space="preserve"> </w:t>
      </w:r>
    </w:p>
    <w:p w14:paraId="250D9BCE" w14:textId="77777777" w:rsidR="001013C0" w:rsidRPr="005F6673" w:rsidRDefault="001013C0" w:rsidP="001013C0">
      <w:pPr>
        <w:spacing w:line="276" w:lineRule="auto"/>
        <w:jc w:val="both"/>
        <w:rPr>
          <w:sz w:val="24"/>
          <w:szCs w:val="24"/>
          <w:lang w:val="en-GB"/>
        </w:rPr>
      </w:pPr>
      <w:r w:rsidRPr="005F6673">
        <w:rPr>
          <w:bCs/>
          <w:sz w:val="24"/>
          <w:szCs w:val="24"/>
        </w:rPr>
        <w:t>Current Ratio</w:t>
      </w:r>
      <w:r w:rsidRPr="005F6673">
        <w:rPr>
          <w:sz w:val="24"/>
          <w:szCs w:val="24"/>
        </w:rPr>
        <w:t xml:space="preserve">= </w:t>
      </w:r>
      <w:r w:rsidRPr="005F6673">
        <w:rPr>
          <w:sz w:val="24"/>
          <w:szCs w:val="24"/>
          <w:lang w:val="en-GB"/>
        </w:rPr>
        <w:t>81070/87,379= 0.92</w:t>
      </w:r>
    </w:p>
    <w:p w14:paraId="161EF851" w14:textId="77777777" w:rsidR="001013C0" w:rsidRPr="005F6673" w:rsidRDefault="001013C0" w:rsidP="001013C0">
      <w:pPr>
        <w:spacing w:line="276" w:lineRule="auto"/>
        <w:jc w:val="both"/>
        <w:rPr>
          <w:b/>
          <w:sz w:val="24"/>
          <w:szCs w:val="24"/>
          <w:lang w:val="en-GB"/>
        </w:rPr>
      </w:pPr>
      <w:r w:rsidRPr="005F6673">
        <w:rPr>
          <w:b/>
          <w:sz w:val="24"/>
          <w:szCs w:val="24"/>
        </w:rPr>
        <w:t>Results</w:t>
      </w:r>
    </w:p>
    <w:p w14:paraId="3D290408" w14:textId="32357E81" w:rsidR="001013C0" w:rsidRPr="006E3436" w:rsidRDefault="001013C0" w:rsidP="001013C0">
      <w:pPr>
        <w:spacing w:line="276" w:lineRule="auto"/>
        <w:jc w:val="both"/>
        <w:rPr>
          <w:sz w:val="24"/>
          <w:szCs w:val="24"/>
        </w:rPr>
      </w:pPr>
      <w:r w:rsidRPr="006E3436">
        <w:rPr>
          <w:sz w:val="24"/>
          <w:szCs w:val="24"/>
        </w:rPr>
        <w:t xml:space="preserve">A Current Ratio of 0.92 means that Walmart has $0.92 of the current assets to cover every one dollar of the current liabilities. This kind of ratio, therefore, leads to </w:t>
      </w:r>
      <w:r w:rsidR="008F3B5E" w:rsidRPr="006E3436">
        <w:rPr>
          <w:sz w:val="24"/>
          <w:szCs w:val="24"/>
        </w:rPr>
        <w:t>the conclusion</w:t>
      </w:r>
      <w:r w:rsidRPr="006E3436">
        <w:rPr>
          <w:sz w:val="24"/>
          <w:szCs w:val="24"/>
        </w:rPr>
        <w:t xml:space="preserve"> that the company may not offset its short-term obligations in full by using short-term assets. Generally, a Current Ratio of 1 and above would be considered satisfactory, since it means the company would be able to meet their short-term obligations without having to liquidate long-term assets or pumping in more money in the business. A Current Ratio falling below 1, as is the case with Walmart, should ring an alarm bell logically in the minds of the Company's Short Term Liquidity and the ability to meet up with immediate financial obligation. Though it's important to note that this can be common in certain industries like retail, where typically working capital management is tighter. But this ratio should be taken in the context both of the industry average and historical performance of the firm. Further analysis related to the other liquidity ratios and cash flow and credit lines may be able to provide more complete clues with respect to the company's liquidity position. The ratio is one that both investors and creditors would be keen to look at where large changes may suggest some problems with liquidity. The size and market position, however, of Walmart could also mean that it might have ways of doing this effective management of short-term liabilities.</w:t>
      </w:r>
    </w:p>
    <w:p w14:paraId="698C811E" w14:textId="77777777" w:rsidR="001013C0" w:rsidRPr="005F6673" w:rsidRDefault="001013C0" w:rsidP="001013C0">
      <w:pPr>
        <w:pStyle w:val="Heading2"/>
        <w:numPr>
          <w:ilvl w:val="1"/>
          <w:numId w:val="7"/>
        </w:numPr>
        <w:tabs>
          <w:tab w:val="num" w:pos="360"/>
        </w:tabs>
        <w:ind w:left="0" w:firstLine="0"/>
        <w:rPr>
          <w:b/>
          <w:color w:val="000000" w:themeColor="text1"/>
        </w:rPr>
      </w:pPr>
      <w:bookmarkStart w:id="11" w:name="_Toc163310227"/>
      <w:bookmarkStart w:id="12" w:name="_Toc164718597"/>
      <w:r w:rsidRPr="005F6673">
        <w:rPr>
          <w:b/>
          <w:color w:val="000000" w:themeColor="text1"/>
        </w:rPr>
        <w:lastRenderedPageBreak/>
        <w:t>Gearing (Leverage) Ratios:</w:t>
      </w:r>
      <w:bookmarkEnd w:id="11"/>
      <w:bookmarkEnd w:id="12"/>
    </w:p>
    <w:p w14:paraId="4E425069" w14:textId="77777777" w:rsidR="001013C0" w:rsidRPr="006E3436" w:rsidRDefault="001013C0" w:rsidP="001013C0">
      <w:pPr>
        <w:spacing w:line="276" w:lineRule="auto"/>
        <w:jc w:val="both"/>
        <w:rPr>
          <w:sz w:val="24"/>
          <w:szCs w:val="24"/>
        </w:rPr>
      </w:pPr>
    </w:p>
    <w:p w14:paraId="6113B74A" w14:textId="794C95CA" w:rsidR="001013C0" w:rsidRPr="006E3436" w:rsidRDefault="001013C0" w:rsidP="001013C0">
      <w:pPr>
        <w:spacing w:line="276" w:lineRule="auto"/>
        <w:jc w:val="both"/>
        <w:rPr>
          <w:sz w:val="24"/>
          <w:szCs w:val="24"/>
        </w:rPr>
      </w:pPr>
      <w:r w:rsidRPr="006E3436">
        <w:rPr>
          <w:sz w:val="24"/>
          <w:szCs w:val="24"/>
        </w:rPr>
        <w:t xml:space="preserve">Gearing ratios, sometimes called leverage ratios, take into consideration the proportion to which the operations of a firm are financed by equity as compared to creditor financing. This is of much use </w:t>
      </w:r>
      <w:r w:rsidR="008F3B5E" w:rsidRPr="006E3436">
        <w:rPr>
          <w:sz w:val="24"/>
          <w:szCs w:val="24"/>
        </w:rPr>
        <w:t>to</w:t>
      </w:r>
      <w:r w:rsidRPr="006E3436">
        <w:rPr>
          <w:sz w:val="24"/>
          <w:szCs w:val="24"/>
        </w:rPr>
        <w:t xml:space="preserve"> gauge the financial structure and the level of the risk which the company has undertaken.</w:t>
      </w:r>
    </w:p>
    <w:p w14:paraId="4C6B8858" w14:textId="77777777" w:rsidR="001013C0" w:rsidRPr="005F6673" w:rsidRDefault="001013C0" w:rsidP="001013C0">
      <w:pPr>
        <w:spacing w:line="276" w:lineRule="auto"/>
        <w:jc w:val="both"/>
        <w:rPr>
          <w:b/>
          <w:sz w:val="24"/>
          <w:szCs w:val="24"/>
        </w:rPr>
      </w:pPr>
      <w:r w:rsidRPr="005F6673">
        <w:rPr>
          <w:b/>
          <w:bCs/>
          <w:sz w:val="24"/>
          <w:szCs w:val="24"/>
        </w:rPr>
        <w:t>Debt-to-Equity Ratio</w:t>
      </w:r>
    </w:p>
    <w:p w14:paraId="545A787A" w14:textId="77777777" w:rsidR="001013C0" w:rsidRPr="002A1BC4" w:rsidRDefault="001013C0" w:rsidP="001013C0">
      <w:pPr>
        <w:spacing w:line="276" w:lineRule="auto"/>
        <w:jc w:val="both"/>
        <w:rPr>
          <w:i/>
          <w:sz w:val="24"/>
          <w:szCs w:val="24"/>
        </w:rPr>
      </w:pPr>
      <w:r w:rsidRPr="005F6673">
        <w:rPr>
          <w:bCs/>
          <w:sz w:val="24"/>
          <w:szCs w:val="24"/>
        </w:rPr>
        <w:t>Formula:</w:t>
      </w:r>
      <w:r w:rsidRPr="005F6673">
        <w:rPr>
          <w:sz w:val="24"/>
          <w:szCs w:val="24"/>
        </w:rPr>
        <w:t xml:space="preserve"> Debt-to-Equity Ratio = Total Debt / Shareholders' Equity</w:t>
      </w:r>
      <w:r>
        <w:rPr>
          <w:sz w:val="24"/>
          <w:szCs w:val="24"/>
        </w:rPr>
        <w:t xml:space="preserve"> </w:t>
      </w:r>
      <w:r w:rsidRPr="00F64BDF">
        <w:rPr>
          <w:rStyle w:val="Hyperlink"/>
          <w:i/>
          <w:sz w:val="24"/>
          <w:szCs w:val="24"/>
        </w:rPr>
        <w:t>https://www.researchgate.net/</w:t>
      </w:r>
      <w:r>
        <w:rPr>
          <w:i/>
          <w:sz w:val="24"/>
          <w:szCs w:val="24"/>
        </w:rPr>
        <w:t xml:space="preserve"> </w:t>
      </w:r>
    </w:p>
    <w:p w14:paraId="2DCCB85D" w14:textId="77777777" w:rsidR="001013C0" w:rsidRPr="005F6673" w:rsidRDefault="001013C0" w:rsidP="001013C0">
      <w:pPr>
        <w:spacing w:line="276" w:lineRule="auto"/>
        <w:jc w:val="both"/>
        <w:rPr>
          <w:sz w:val="24"/>
          <w:szCs w:val="24"/>
          <w:lang w:val="en-GB"/>
        </w:rPr>
      </w:pPr>
      <w:r w:rsidRPr="005F6673">
        <w:rPr>
          <w:bCs/>
          <w:sz w:val="24"/>
          <w:szCs w:val="24"/>
        </w:rPr>
        <w:t>Debt-to-Equity Ratio</w:t>
      </w:r>
      <w:r w:rsidRPr="005F6673">
        <w:rPr>
          <w:sz w:val="24"/>
          <w:szCs w:val="24"/>
        </w:rPr>
        <w:t xml:space="preserve">: </w:t>
      </w:r>
      <w:r w:rsidRPr="005F6673">
        <w:rPr>
          <w:sz w:val="24"/>
          <w:szCs w:val="24"/>
          <w:lang w:val="en-GB"/>
        </w:rPr>
        <w:t>58418/91891</w:t>
      </w:r>
      <w:r w:rsidRPr="005F6673">
        <w:rPr>
          <w:sz w:val="24"/>
          <w:szCs w:val="24"/>
        </w:rPr>
        <w:t>= 0.63</w:t>
      </w:r>
    </w:p>
    <w:p w14:paraId="21C98BAC" w14:textId="77777777" w:rsidR="001013C0" w:rsidRPr="005F6673" w:rsidRDefault="001013C0" w:rsidP="001013C0">
      <w:pPr>
        <w:spacing w:line="276" w:lineRule="auto"/>
        <w:jc w:val="both"/>
        <w:rPr>
          <w:b/>
          <w:sz w:val="24"/>
          <w:szCs w:val="24"/>
          <w:lang w:val="en-GB"/>
        </w:rPr>
      </w:pPr>
      <w:r w:rsidRPr="005F6673">
        <w:rPr>
          <w:b/>
          <w:sz w:val="24"/>
          <w:szCs w:val="24"/>
        </w:rPr>
        <w:t>Results</w:t>
      </w:r>
    </w:p>
    <w:p w14:paraId="4C000EB0" w14:textId="77777777" w:rsidR="001013C0" w:rsidRPr="006E3436" w:rsidRDefault="001013C0" w:rsidP="001013C0">
      <w:pPr>
        <w:spacing w:line="276" w:lineRule="auto"/>
        <w:jc w:val="both"/>
        <w:rPr>
          <w:vanish/>
          <w:sz w:val="24"/>
          <w:szCs w:val="24"/>
        </w:rPr>
      </w:pPr>
      <w:r w:rsidRPr="006E3436">
        <w:rPr>
          <w:sz w:val="24"/>
          <w:szCs w:val="24"/>
        </w:rPr>
        <w:t>A 0.63 Debt-to-Equity Ratio entails, for every $1 of equity, Walmart has $0.63 in debt. This signifies a moderate level of financial leverage. A lower Debt-to-Equity Ratio would generally be considered better because it would indicate a low risk of insolvency and suggest that the main part of the company's funding is provided from equity rather than debt. It means that Walmart's financing is balanced with a share of both parts of debt and equity but not overly depending on debt. What is more important is the fact that the ratio is also within the standards of industries. On the other hand, companies in the retail business always find themselves having a higher ratio since their operations are capital intensive. This is a ratio which the investors and creditors may evaluate with respect to the risk from the financial structure of the company. On the other hand, such a moderate ratio, like Walmart's, might be considered a very positive signal since the company is not plagued by the overhang of debt and enjoys a stable equity base. This ratio, of course, should be taken hand in hand with the rest of the financial metrics and general economic context to make some weighted judgments about the real financial soundness and risk of the company.</w:t>
      </w:r>
      <w:r w:rsidRPr="006E3436">
        <w:rPr>
          <w:vanish/>
          <w:sz w:val="24"/>
          <w:szCs w:val="24"/>
        </w:rPr>
        <w:t>Top of Form</w:t>
      </w:r>
    </w:p>
    <w:p w14:paraId="39406189" w14:textId="77777777" w:rsidR="001013C0" w:rsidRPr="006E3436" w:rsidRDefault="001013C0" w:rsidP="001013C0">
      <w:pPr>
        <w:spacing w:line="276" w:lineRule="auto"/>
        <w:jc w:val="both"/>
        <w:rPr>
          <w:sz w:val="24"/>
          <w:szCs w:val="24"/>
        </w:rPr>
      </w:pPr>
    </w:p>
    <w:p w14:paraId="75EA9850" w14:textId="77777777" w:rsidR="001013C0" w:rsidRPr="005F6673" w:rsidRDefault="001013C0" w:rsidP="001013C0">
      <w:pPr>
        <w:pStyle w:val="Heading2"/>
        <w:numPr>
          <w:ilvl w:val="1"/>
          <w:numId w:val="7"/>
        </w:numPr>
        <w:tabs>
          <w:tab w:val="num" w:pos="360"/>
        </w:tabs>
        <w:ind w:left="0" w:firstLine="0"/>
        <w:rPr>
          <w:b/>
          <w:color w:val="000000" w:themeColor="text1"/>
        </w:rPr>
      </w:pPr>
      <w:bookmarkStart w:id="13" w:name="_Toc163310228"/>
      <w:bookmarkStart w:id="14" w:name="_Toc164718598"/>
      <w:r w:rsidRPr="005F6673">
        <w:rPr>
          <w:b/>
          <w:color w:val="000000" w:themeColor="text1"/>
        </w:rPr>
        <w:t>Efficiency Ratios:</w:t>
      </w:r>
      <w:bookmarkEnd w:id="13"/>
      <w:bookmarkEnd w:id="14"/>
    </w:p>
    <w:p w14:paraId="43E22335" w14:textId="77777777" w:rsidR="001013C0" w:rsidRPr="006E3436" w:rsidRDefault="001013C0" w:rsidP="001013C0">
      <w:pPr>
        <w:spacing w:line="276" w:lineRule="auto"/>
        <w:jc w:val="both"/>
        <w:rPr>
          <w:sz w:val="24"/>
          <w:szCs w:val="24"/>
        </w:rPr>
      </w:pPr>
    </w:p>
    <w:p w14:paraId="556D82B1" w14:textId="77777777" w:rsidR="001013C0" w:rsidRPr="006E3436" w:rsidRDefault="001013C0" w:rsidP="001013C0">
      <w:pPr>
        <w:spacing w:line="276" w:lineRule="auto"/>
        <w:jc w:val="both"/>
        <w:rPr>
          <w:sz w:val="24"/>
          <w:szCs w:val="24"/>
          <w:lang w:val="en-GB"/>
        </w:rPr>
      </w:pPr>
      <w:r w:rsidRPr="006E3436">
        <w:rPr>
          <w:sz w:val="24"/>
          <w:szCs w:val="24"/>
          <w:lang w:val="en-GB"/>
        </w:rPr>
        <w:t>Efficiency ratios are also called activity ratios. They point towards the effectiveness of management in the deployment of resources both internally and outside.</w:t>
      </w:r>
    </w:p>
    <w:p w14:paraId="653BA35B" w14:textId="77777777" w:rsidR="001013C0" w:rsidRPr="005F6673" w:rsidRDefault="001013C0" w:rsidP="001013C0">
      <w:pPr>
        <w:spacing w:line="276" w:lineRule="auto"/>
        <w:jc w:val="both"/>
        <w:rPr>
          <w:b/>
          <w:sz w:val="24"/>
          <w:szCs w:val="24"/>
        </w:rPr>
      </w:pPr>
      <w:r w:rsidRPr="005F6673">
        <w:rPr>
          <w:b/>
          <w:bCs/>
          <w:sz w:val="24"/>
          <w:szCs w:val="24"/>
        </w:rPr>
        <w:t>Asset Turnover Ratio</w:t>
      </w:r>
    </w:p>
    <w:p w14:paraId="3BF6B8D8" w14:textId="77777777" w:rsidR="001013C0" w:rsidRPr="002A1BC4" w:rsidRDefault="001013C0" w:rsidP="001013C0">
      <w:pPr>
        <w:spacing w:line="276" w:lineRule="auto"/>
        <w:jc w:val="both"/>
        <w:rPr>
          <w:i/>
          <w:sz w:val="24"/>
          <w:szCs w:val="24"/>
        </w:rPr>
      </w:pPr>
      <w:r w:rsidRPr="005F6673">
        <w:rPr>
          <w:bCs/>
          <w:sz w:val="24"/>
          <w:szCs w:val="24"/>
        </w:rPr>
        <w:t>Formula:</w:t>
      </w:r>
      <w:r w:rsidRPr="005F6673">
        <w:rPr>
          <w:sz w:val="24"/>
          <w:szCs w:val="24"/>
        </w:rPr>
        <w:t xml:space="preserve"> Asset Turnover Ratio = Revenue / Average Total Assets</w:t>
      </w:r>
      <w:r>
        <w:rPr>
          <w:sz w:val="24"/>
          <w:szCs w:val="24"/>
        </w:rPr>
        <w:t xml:space="preserve"> </w:t>
      </w:r>
      <w:r w:rsidRPr="00F64BDF">
        <w:rPr>
          <w:rStyle w:val="Hyperlink"/>
          <w:i/>
          <w:sz w:val="24"/>
          <w:szCs w:val="24"/>
        </w:rPr>
        <w:t>https://www.researchgate.net/</w:t>
      </w:r>
      <w:r>
        <w:rPr>
          <w:i/>
          <w:sz w:val="24"/>
          <w:szCs w:val="24"/>
        </w:rPr>
        <w:t xml:space="preserve"> </w:t>
      </w:r>
    </w:p>
    <w:p w14:paraId="031E07B2" w14:textId="77777777" w:rsidR="001013C0" w:rsidRPr="005F6673" w:rsidRDefault="001013C0" w:rsidP="001013C0">
      <w:pPr>
        <w:spacing w:line="276" w:lineRule="auto"/>
        <w:jc w:val="both"/>
        <w:rPr>
          <w:sz w:val="24"/>
          <w:szCs w:val="24"/>
        </w:rPr>
      </w:pPr>
      <w:r w:rsidRPr="005F6673">
        <w:rPr>
          <w:sz w:val="24"/>
          <w:szCs w:val="24"/>
        </w:rPr>
        <w:t xml:space="preserve">Asset Turnover Ratio = </w:t>
      </w:r>
      <w:r w:rsidRPr="005F6673">
        <w:rPr>
          <w:sz w:val="24"/>
          <w:szCs w:val="24"/>
          <w:lang w:val="en-GB"/>
        </w:rPr>
        <w:t>572750</w:t>
      </w:r>
      <w:r w:rsidRPr="005F6673">
        <w:rPr>
          <w:sz w:val="24"/>
          <w:szCs w:val="24"/>
        </w:rPr>
        <w:t>/ 244,860 = 2.33</w:t>
      </w:r>
    </w:p>
    <w:p w14:paraId="3219E73F" w14:textId="77777777" w:rsidR="001013C0" w:rsidRPr="005F6673" w:rsidRDefault="001013C0" w:rsidP="001013C0">
      <w:pPr>
        <w:spacing w:line="276" w:lineRule="auto"/>
        <w:jc w:val="both"/>
        <w:rPr>
          <w:b/>
          <w:sz w:val="24"/>
          <w:szCs w:val="24"/>
          <w:lang w:val="en-GB"/>
        </w:rPr>
      </w:pPr>
      <w:r w:rsidRPr="005F6673">
        <w:rPr>
          <w:b/>
          <w:sz w:val="24"/>
          <w:szCs w:val="24"/>
        </w:rPr>
        <w:lastRenderedPageBreak/>
        <w:t>Results</w:t>
      </w:r>
    </w:p>
    <w:p w14:paraId="26C91C7B" w14:textId="77777777" w:rsidR="001013C0" w:rsidRPr="006E3436" w:rsidRDefault="001013C0" w:rsidP="001013C0">
      <w:pPr>
        <w:spacing w:line="276" w:lineRule="auto"/>
        <w:jc w:val="both"/>
        <w:rPr>
          <w:sz w:val="24"/>
          <w:szCs w:val="24"/>
        </w:rPr>
      </w:pPr>
      <w:r w:rsidRPr="006E3436">
        <w:rPr>
          <w:sz w:val="24"/>
          <w:szCs w:val="24"/>
        </w:rPr>
        <w:t>An Asset Turnover Ratio of 2.33 would mean that Walmart can generate $2.33 in revenue for each dollar of its asset. This evidently shows a high efficiency level of asset usage in revenue production. A higher ratio would indicate good use of assets by the company in generating sales. In the case of Walmart, a ratio of 2.33 is taken as good, more so for a retail company like it, where the investment into inventory and physical assets is huge. So, this ratio should be compared to industry averages and with competitors to judge this performance relative to others. For a retail giant like Walmart, due to its huge scale and very efficient operations, the expectation is that there should exist a higher asset turnover ratio. The ratio also indicates an indication of Walmart's inventory moving at a fast rate and the asset base yielding high volume sales in a base in both. This would be typical for successful retail businesses. Analysts and investors usually use this ratio to determine how the company is operationally efficient. A ratio as high as that for Walmart is generally appreciated, meaning that it effectively converts its assets to generate sales.</w:t>
      </w:r>
    </w:p>
    <w:p w14:paraId="0C5654D5" w14:textId="77777777" w:rsidR="001013C0" w:rsidRDefault="001013C0" w:rsidP="001013C0">
      <w:pPr>
        <w:pStyle w:val="Heading1"/>
        <w:numPr>
          <w:ilvl w:val="0"/>
          <w:numId w:val="7"/>
        </w:numPr>
        <w:tabs>
          <w:tab w:val="num" w:pos="360"/>
        </w:tabs>
        <w:ind w:left="0" w:firstLine="0"/>
        <w:rPr>
          <w:b/>
          <w:color w:val="000000" w:themeColor="text1"/>
        </w:rPr>
      </w:pPr>
      <w:bookmarkStart w:id="15" w:name="_Toc164718599"/>
      <w:r w:rsidRPr="005F6673">
        <w:rPr>
          <w:b/>
          <w:color w:val="000000" w:themeColor="text1"/>
        </w:rPr>
        <w:t>Evaluation of the ratios</w:t>
      </w:r>
      <w:bookmarkEnd w:id="15"/>
    </w:p>
    <w:p w14:paraId="6701210E" w14:textId="77777777" w:rsidR="001013C0" w:rsidRPr="005F6673" w:rsidRDefault="001013C0" w:rsidP="001013C0"/>
    <w:p w14:paraId="315E0056" w14:textId="77777777" w:rsidR="001013C0" w:rsidRPr="005F6673" w:rsidRDefault="001013C0" w:rsidP="001013C0">
      <w:pPr>
        <w:spacing w:line="276" w:lineRule="auto"/>
        <w:jc w:val="both"/>
        <w:rPr>
          <w:b/>
          <w:sz w:val="24"/>
          <w:szCs w:val="24"/>
        </w:rPr>
      </w:pPr>
      <w:r w:rsidRPr="005F6673">
        <w:rPr>
          <w:b/>
          <w:sz w:val="24"/>
          <w:szCs w:val="24"/>
        </w:rPr>
        <w:t>Net Profit Margin (2.4%)</w:t>
      </w:r>
    </w:p>
    <w:p w14:paraId="7E3FAC72" w14:textId="338ABB9C" w:rsidR="001013C0" w:rsidRPr="006E3436" w:rsidRDefault="008F3B5E" w:rsidP="001013C0">
      <w:pPr>
        <w:spacing w:line="276" w:lineRule="auto"/>
        <w:jc w:val="both"/>
        <w:rPr>
          <w:sz w:val="24"/>
          <w:szCs w:val="24"/>
        </w:rPr>
      </w:pPr>
      <w:r>
        <w:rPr>
          <w:sz w:val="24"/>
          <w:szCs w:val="24"/>
        </w:rPr>
        <w:t>I</w:t>
      </w:r>
      <w:r w:rsidR="001013C0" w:rsidRPr="006E3436">
        <w:rPr>
          <w:sz w:val="24"/>
          <w:szCs w:val="24"/>
        </w:rPr>
        <w:t>t is an important measure of profitability. Net profit margin, standing at 2.4%, might be treated as a small one for a retail giant in an industry with high margins, like Walmart. However, it is characteristic for the retail sector, which has its high-volume, low-margin business model</w:t>
      </w:r>
      <w:r w:rsidR="001013C0">
        <w:rPr>
          <w:sz w:val="24"/>
          <w:szCs w:val="24"/>
        </w:rPr>
        <w:t xml:space="preserve"> </w:t>
      </w:r>
      <w:r w:rsidR="001013C0" w:rsidRPr="00DD4120">
        <w:rPr>
          <w:sz w:val="24"/>
          <w:szCs w:val="24"/>
        </w:rPr>
        <w:t>(Brigham &amp; Houston, 2019)</w:t>
      </w:r>
      <w:r w:rsidR="001013C0" w:rsidRPr="006E3436">
        <w:rPr>
          <w:sz w:val="24"/>
          <w:szCs w:val="24"/>
        </w:rPr>
        <w:t>.</w:t>
      </w:r>
    </w:p>
    <w:p w14:paraId="6BC77D02" w14:textId="51E4FBD9" w:rsidR="001013C0" w:rsidRPr="006E3436" w:rsidRDefault="008F3B5E" w:rsidP="001013C0">
      <w:pPr>
        <w:spacing w:line="276" w:lineRule="auto"/>
        <w:jc w:val="both"/>
        <w:rPr>
          <w:sz w:val="24"/>
          <w:szCs w:val="24"/>
        </w:rPr>
      </w:pPr>
      <w:r>
        <w:rPr>
          <w:sz w:val="24"/>
          <w:szCs w:val="24"/>
        </w:rPr>
        <w:t>C</w:t>
      </w:r>
      <w:r w:rsidR="001013C0" w:rsidRPr="006E3436">
        <w:rPr>
          <w:sz w:val="24"/>
          <w:szCs w:val="24"/>
        </w:rPr>
        <w:t>omparing the net profit margin against industry averages and its historical performance. With that said, they would also seem to take Walmart's 2.4% margin and use it as an indication of the operational efficiency of the firm at its scale and the ability to post profits despite the thin margins</w:t>
      </w:r>
      <w:r w:rsidR="001013C0">
        <w:rPr>
          <w:sz w:val="24"/>
          <w:szCs w:val="24"/>
        </w:rPr>
        <w:t xml:space="preserve"> </w:t>
      </w:r>
      <w:r w:rsidR="001013C0" w:rsidRPr="00DD4120">
        <w:rPr>
          <w:sz w:val="24"/>
          <w:szCs w:val="24"/>
        </w:rPr>
        <w:t>(Ross et al., 2019)</w:t>
      </w:r>
      <w:r w:rsidR="001013C0" w:rsidRPr="006E3436">
        <w:rPr>
          <w:sz w:val="24"/>
          <w:szCs w:val="24"/>
        </w:rPr>
        <w:t>.</w:t>
      </w:r>
    </w:p>
    <w:p w14:paraId="5F13AFA2" w14:textId="77777777" w:rsidR="001013C0" w:rsidRPr="005F6673" w:rsidRDefault="001013C0" w:rsidP="001013C0">
      <w:pPr>
        <w:spacing w:line="276" w:lineRule="auto"/>
        <w:jc w:val="both"/>
        <w:rPr>
          <w:b/>
          <w:sz w:val="24"/>
          <w:szCs w:val="24"/>
        </w:rPr>
      </w:pPr>
      <w:r w:rsidRPr="005F6673">
        <w:rPr>
          <w:b/>
          <w:sz w:val="24"/>
          <w:szCs w:val="24"/>
        </w:rPr>
        <w:t>Current Ratio (0.92)</w:t>
      </w:r>
    </w:p>
    <w:p w14:paraId="1145C813" w14:textId="77777777" w:rsidR="001013C0" w:rsidRPr="006E3436" w:rsidRDefault="001013C0" w:rsidP="001013C0">
      <w:pPr>
        <w:spacing w:line="276" w:lineRule="auto"/>
        <w:jc w:val="both"/>
        <w:rPr>
          <w:sz w:val="24"/>
          <w:szCs w:val="24"/>
        </w:rPr>
      </w:pPr>
      <w:r w:rsidRPr="006E3436">
        <w:rPr>
          <w:sz w:val="24"/>
          <w:szCs w:val="24"/>
        </w:rPr>
        <w:t>For the current ratio that is less than 1, Gitman says it can be an indication of problems in liquidity. He goes on to indicate that a slightly less than ideal ratio might be nothing to be worried about for companies such as Walmart, with strong cash flows and inventory turnover. The company's ability to convert inventory quickly into cash provides a ratio even a little lower than 1 with some flexibility</w:t>
      </w:r>
      <w:r>
        <w:rPr>
          <w:sz w:val="24"/>
          <w:szCs w:val="24"/>
        </w:rPr>
        <w:t xml:space="preserve"> </w:t>
      </w:r>
      <w:r w:rsidRPr="00DD4120">
        <w:rPr>
          <w:sz w:val="24"/>
          <w:szCs w:val="24"/>
        </w:rPr>
        <w:t>(Gitman, 2017)</w:t>
      </w:r>
      <w:r w:rsidRPr="006E3436">
        <w:rPr>
          <w:sz w:val="24"/>
          <w:szCs w:val="24"/>
        </w:rPr>
        <w:t>.</w:t>
      </w:r>
    </w:p>
    <w:p w14:paraId="3D193BCC" w14:textId="386CE661" w:rsidR="001013C0" w:rsidRPr="006E3436" w:rsidRDefault="008F3B5E" w:rsidP="001013C0">
      <w:pPr>
        <w:spacing w:line="276" w:lineRule="auto"/>
        <w:jc w:val="both"/>
        <w:rPr>
          <w:sz w:val="24"/>
          <w:szCs w:val="24"/>
        </w:rPr>
      </w:pPr>
      <w:r>
        <w:rPr>
          <w:sz w:val="24"/>
          <w:szCs w:val="24"/>
        </w:rPr>
        <w:t>T</w:t>
      </w:r>
      <w:r w:rsidR="001013C0" w:rsidRPr="006E3436">
        <w:rPr>
          <w:sz w:val="24"/>
          <w:szCs w:val="24"/>
        </w:rPr>
        <w:t xml:space="preserve">he current ratio is useful as a liquidity indicator but should not be used alone. </w:t>
      </w:r>
      <w:r>
        <w:rPr>
          <w:sz w:val="24"/>
          <w:szCs w:val="24"/>
        </w:rPr>
        <w:t xml:space="preserve">It is </w:t>
      </w:r>
      <w:r w:rsidR="001013C0" w:rsidRPr="006E3436">
        <w:rPr>
          <w:sz w:val="24"/>
          <w:szCs w:val="24"/>
        </w:rPr>
        <w:t>recommend that it is also necessary to assess the cash conversion cycle and the operational efficiency of Walmart to reach a more valid conclusion about the liquidity of the company</w:t>
      </w:r>
      <w:r w:rsidR="001013C0">
        <w:rPr>
          <w:sz w:val="24"/>
          <w:szCs w:val="24"/>
        </w:rPr>
        <w:t xml:space="preserve"> </w:t>
      </w:r>
      <w:r w:rsidR="001013C0" w:rsidRPr="00DD4120">
        <w:rPr>
          <w:sz w:val="24"/>
          <w:szCs w:val="24"/>
        </w:rPr>
        <w:t>(Brealey et al., 2020)</w:t>
      </w:r>
      <w:r w:rsidR="001013C0" w:rsidRPr="006E3436">
        <w:rPr>
          <w:sz w:val="24"/>
          <w:szCs w:val="24"/>
        </w:rPr>
        <w:t>.</w:t>
      </w:r>
    </w:p>
    <w:p w14:paraId="0C17D21C" w14:textId="77777777" w:rsidR="001013C0" w:rsidRPr="005F6673" w:rsidRDefault="001013C0" w:rsidP="001013C0">
      <w:pPr>
        <w:spacing w:line="276" w:lineRule="auto"/>
        <w:jc w:val="both"/>
        <w:rPr>
          <w:b/>
          <w:sz w:val="24"/>
          <w:szCs w:val="24"/>
        </w:rPr>
      </w:pPr>
      <w:r w:rsidRPr="005F6673">
        <w:rPr>
          <w:b/>
          <w:sz w:val="24"/>
          <w:szCs w:val="24"/>
        </w:rPr>
        <w:t>Debt-to-Equity Ratio (0.63)</w:t>
      </w:r>
    </w:p>
    <w:p w14:paraId="08E43D37" w14:textId="35D9983D" w:rsidR="001013C0" w:rsidRPr="006E3436" w:rsidRDefault="008F3B5E" w:rsidP="001013C0">
      <w:pPr>
        <w:spacing w:line="276" w:lineRule="auto"/>
        <w:jc w:val="both"/>
        <w:rPr>
          <w:sz w:val="24"/>
          <w:szCs w:val="24"/>
        </w:rPr>
      </w:pPr>
      <w:r>
        <w:rPr>
          <w:sz w:val="24"/>
          <w:szCs w:val="24"/>
        </w:rPr>
        <w:lastRenderedPageBreak/>
        <w:t>T</w:t>
      </w:r>
      <w:r w:rsidR="001013C0" w:rsidRPr="006E3436">
        <w:rPr>
          <w:sz w:val="24"/>
          <w:szCs w:val="24"/>
        </w:rPr>
        <w:t>he debt-to-equity ratio is low when a company has a conservative strategy of financing and, correspondingly, low financial risk. The ratio of 0.63 of the company indicates balanced financing by optimal combinations of debt and equity capital without resorting to over-leveraging</w:t>
      </w:r>
      <w:r w:rsidR="001013C0">
        <w:rPr>
          <w:sz w:val="24"/>
          <w:szCs w:val="24"/>
        </w:rPr>
        <w:t xml:space="preserve"> </w:t>
      </w:r>
      <w:r w:rsidR="001013C0" w:rsidRPr="00DD4120">
        <w:rPr>
          <w:sz w:val="24"/>
          <w:szCs w:val="24"/>
        </w:rPr>
        <w:t>(Titman et al., 2017)</w:t>
      </w:r>
      <w:r w:rsidR="001013C0" w:rsidRPr="006E3436">
        <w:rPr>
          <w:sz w:val="24"/>
          <w:szCs w:val="24"/>
        </w:rPr>
        <w:t>.</w:t>
      </w:r>
    </w:p>
    <w:p w14:paraId="370D0D92" w14:textId="77777777" w:rsidR="001013C0" w:rsidRPr="006E3436" w:rsidRDefault="001013C0" w:rsidP="001013C0">
      <w:pPr>
        <w:spacing w:line="276" w:lineRule="auto"/>
        <w:jc w:val="both"/>
        <w:rPr>
          <w:sz w:val="24"/>
          <w:szCs w:val="24"/>
        </w:rPr>
      </w:pPr>
      <w:r w:rsidRPr="006E3436">
        <w:rPr>
          <w:sz w:val="24"/>
          <w:szCs w:val="24"/>
        </w:rPr>
        <w:t>Damodaran might gauge Walmart's debt-to-equity ratio as a financial management signal. He could say that the moderate leverage by the company allows flexibility for growth initiatives and, at the same time, provides a firm base for the business</w:t>
      </w:r>
      <w:r>
        <w:rPr>
          <w:sz w:val="24"/>
          <w:szCs w:val="24"/>
        </w:rPr>
        <w:t xml:space="preserve"> </w:t>
      </w:r>
      <w:r w:rsidRPr="00DD4120">
        <w:rPr>
          <w:sz w:val="24"/>
          <w:szCs w:val="24"/>
        </w:rPr>
        <w:t>(Damodaran, 2012)</w:t>
      </w:r>
      <w:r w:rsidRPr="006E3436">
        <w:rPr>
          <w:sz w:val="24"/>
          <w:szCs w:val="24"/>
        </w:rPr>
        <w:t>.</w:t>
      </w:r>
    </w:p>
    <w:p w14:paraId="0ACE626C" w14:textId="77777777" w:rsidR="001013C0" w:rsidRPr="005F6673" w:rsidRDefault="001013C0" w:rsidP="001013C0">
      <w:pPr>
        <w:spacing w:line="276" w:lineRule="auto"/>
        <w:jc w:val="both"/>
        <w:rPr>
          <w:b/>
          <w:sz w:val="24"/>
          <w:szCs w:val="24"/>
        </w:rPr>
      </w:pPr>
      <w:r>
        <w:rPr>
          <w:b/>
          <w:sz w:val="24"/>
          <w:szCs w:val="24"/>
        </w:rPr>
        <w:t>Asset Turnover Ratio (2.33)</w:t>
      </w:r>
    </w:p>
    <w:p w14:paraId="2AA28E8B" w14:textId="77B22C08" w:rsidR="001013C0" w:rsidRPr="006E3436" w:rsidRDefault="001013C0" w:rsidP="001013C0">
      <w:pPr>
        <w:spacing w:line="276" w:lineRule="auto"/>
        <w:jc w:val="both"/>
        <w:rPr>
          <w:sz w:val="24"/>
          <w:szCs w:val="24"/>
        </w:rPr>
      </w:pPr>
      <w:r w:rsidRPr="006E3436">
        <w:rPr>
          <w:sz w:val="24"/>
          <w:szCs w:val="24"/>
        </w:rPr>
        <w:t>2.33 of Walmart indicates that the company can effectively use assets in sales generation and is a determinant factor in the competition of the industry</w:t>
      </w:r>
      <w:r>
        <w:rPr>
          <w:sz w:val="24"/>
          <w:szCs w:val="24"/>
        </w:rPr>
        <w:t xml:space="preserve"> </w:t>
      </w:r>
      <w:r w:rsidRPr="00DD4120">
        <w:rPr>
          <w:sz w:val="24"/>
          <w:szCs w:val="24"/>
        </w:rPr>
        <w:t>(</w:t>
      </w:r>
      <w:proofErr w:type="spellStart"/>
      <w:r w:rsidRPr="00DD4120">
        <w:rPr>
          <w:sz w:val="24"/>
          <w:szCs w:val="24"/>
        </w:rPr>
        <w:t>Kieso</w:t>
      </w:r>
      <w:proofErr w:type="spellEnd"/>
      <w:r w:rsidRPr="00DD4120">
        <w:rPr>
          <w:sz w:val="24"/>
          <w:szCs w:val="24"/>
        </w:rPr>
        <w:t xml:space="preserve"> et al., 2018)</w:t>
      </w:r>
      <w:r w:rsidRPr="006E3436">
        <w:rPr>
          <w:sz w:val="24"/>
          <w:szCs w:val="24"/>
        </w:rPr>
        <w:t>.</w:t>
      </w:r>
    </w:p>
    <w:p w14:paraId="39434503" w14:textId="77777777" w:rsidR="001013C0" w:rsidRPr="006E3436" w:rsidRDefault="001013C0" w:rsidP="001013C0">
      <w:pPr>
        <w:spacing w:line="276" w:lineRule="auto"/>
        <w:jc w:val="both"/>
        <w:rPr>
          <w:sz w:val="24"/>
          <w:szCs w:val="24"/>
        </w:rPr>
      </w:pPr>
      <w:r w:rsidRPr="006E3436">
        <w:rPr>
          <w:sz w:val="24"/>
          <w:szCs w:val="24"/>
        </w:rPr>
        <w:t>Horngren, Sundem, and Stratton would likely point to Walmart's high asset turnover ratio, in support of revenue generation. This shows a good sense of efficiency in the way it is able to manage its large asset base, such as inventory and stores</w:t>
      </w:r>
      <w:r>
        <w:rPr>
          <w:sz w:val="24"/>
          <w:szCs w:val="24"/>
        </w:rPr>
        <w:t xml:space="preserve"> </w:t>
      </w:r>
      <w:r w:rsidRPr="00DD4120">
        <w:rPr>
          <w:sz w:val="24"/>
          <w:szCs w:val="24"/>
        </w:rPr>
        <w:t>(Horngren et al., 2014)</w:t>
      </w:r>
      <w:r w:rsidRPr="006E3436">
        <w:rPr>
          <w:sz w:val="24"/>
          <w:szCs w:val="24"/>
        </w:rPr>
        <w:t>.</w:t>
      </w:r>
    </w:p>
    <w:p w14:paraId="64BB47C0" w14:textId="77777777" w:rsidR="001013C0" w:rsidRPr="005F6673" w:rsidRDefault="001013C0" w:rsidP="001013C0">
      <w:pPr>
        <w:pStyle w:val="Heading1"/>
        <w:numPr>
          <w:ilvl w:val="0"/>
          <w:numId w:val="7"/>
        </w:numPr>
        <w:tabs>
          <w:tab w:val="num" w:pos="360"/>
        </w:tabs>
        <w:ind w:left="0" w:firstLine="0"/>
      </w:pPr>
      <w:bookmarkStart w:id="16" w:name="_Toc164718600"/>
      <w:r w:rsidRPr="005F6673">
        <w:rPr>
          <w:b/>
          <w:color w:val="000000" w:themeColor="text1"/>
        </w:rPr>
        <w:t>Comparison with Competitor</w:t>
      </w:r>
      <w:bookmarkEnd w:id="16"/>
    </w:p>
    <w:p w14:paraId="7FBC6B69" w14:textId="7433EE63" w:rsidR="001013C0" w:rsidRPr="005F6673" w:rsidRDefault="001013C0" w:rsidP="001013C0">
      <w:pPr>
        <w:spacing w:line="276" w:lineRule="auto"/>
        <w:jc w:val="both"/>
        <w:rPr>
          <w:b/>
          <w:sz w:val="24"/>
          <w:szCs w:val="24"/>
        </w:rPr>
      </w:pPr>
      <w:r w:rsidRPr="005F6673">
        <w:rPr>
          <w:b/>
          <w:sz w:val="24"/>
          <w:szCs w:val="24"/>
        </w:rPr>
        <w:t xml:space="preserve">Amazon financial </w:t>
      </w:r>
      <w:r w:rsidR="008F3B5E" w:rsidRPr="005F6673">
        <w:rPr>
          <w:b/>
          <w:sz w:val="24"/>
          <w:szCs w:val="24"/>
        </w:rPr>
        <w:t>report</w:t>
      </w:r>
      <w:r w:rsidR="008F3B5E">
        <w:rPr>
          <w:b/>
          <w:sz w:val="24"/>
          <w:szCs w:val="24"/>
        </w:rPr>
        <w:t>.</w:t>
      </w:r>
    </w:p>
    <w:tbl>
      <w:tblPr>
        <w:tblStyle w:val="GridTable4-Accent6"/>
        <w:tblW w:w="0" w:type="auto"/>
        <w:tblLook w:val="04A0" w:firstRow="1" w:lastRow="0" w:firstColumn="1" w:lastColumn="0" w:noHBand="0" w:noVBand="1"/>
      </w:tblPr>
      <w:tblGrid>
        <w:gridCol w:w="4399"/>
        <w:gridCol w:w="2341"/>
      </w:tblGrid>
      <w:tr w:rsidR="001013C0" w:rsidRPr="006E3436" w14:paraId="1AE09ABA" w14:textId="77777777" w:rsidTr="002A1BC4">
        <w:trPr>
          <w:cnfStyle w:val="100000000000" w:firstRow="1" w:lastRow="0" w:firstColumn="0" w:lastColumn="0" w:oddVBand="0" w:evenVBand="0" w:oddHBand="0" w:evenHBand="0" w:firstRowFirstColumn="0" w:firstRowLastColumn="0" w:lastRowFirstColumn="0" w:lastRowLastColumn="0"/>
          <w:trHeight w:val="107"/>
        </w:trPr>
        <w:tc>
          <w:tcPr>
            <w:cnfStyle w:val="001000000000" w:firstRow="0" w:lastRow="0" w:firstColumn="1" w:lastColumn="0" w:oddVBand="0" w:evenVBand="0" w:oddHBand="0" w:evenHBand="0" w:firstRowFirstColumn="0" w:firstRowLastColumn="0" w:lastRowFirstColumn="0" w:lastRowLastColumn="0"/>
            <w:tcW w:w="4399" w:type="dxa"/>
            <w:shd w:val="clear" w:color="auto" w:fill="156082" w:themeFill="accent1"/>
          </w:tcPr>
          <w:p w14:paraId="7A71931A" w14:textId="77777777" w:rsidR="001013C0" w:rsidRPr="006E3436" w:rsidRDefault="001013C0" w:rsidP="002A1BC4">
            <w:pPr>
              <w:spacing w:after="160" w:line="276" w:lineRule="auto"/>
              <w:jc w:val="both"/>
              <w:rPr>
                <w:sz w:val="24"/>
                <w:szCs w:val="24"/>
                <w:lang w:val="en-GB"/>
              </w:rPr>
            </w:pPr>
            <w:r w:rsidRPr="006E3436">
              <w:rPr>
                <w:sz w:val="24"/>
                <w:szCs w:val="24"/>
                <w:lang w:val="en-GB"/>
              </w:rPr>
              <w:t>NO</w:t>
            </w:r>
          </w:p>
        </w:tc>
        <w:tc>
          <w:tcPr>
            <w:tcW w:w="2341" w:type="dxa"/>
            <w:shd w:val="clear" w:color="auto" w:fill="156082" w:themeFill="accent1"/>
          </w:tcPr>
          <w:p w14:paraId="7225454D" w14:textId="77777777" w:rsidR="001013C0" w:rsidRPr="006E3436" w:rsidRDefault="001013C0" w:rsidP="002A1BC4">
            <w:pPr>
              <w:spacing w:after="160" w:line="276" w:lineRule="auto"/>
              <w:jc w:val="both"/>
              <w:cnfStyle w:val="100000000000" w:firstRow="1" w:lastRow="0" w:firstColumn="0" w:lastColumn="0" w:oddVBand="0" w:evenVBand="0" w:oddHBand="0" w:evenHBand="0" w:firstRowFirstColumn="0" w:firstRowLastColumn="0" w:lastRowFirstColumn="0" w:lastRowLastColumn="0"/>
              <w:rPr>
                <w:sz w:val="24"/>
                <w:szCs w:val="24"/>
                <w:lang w:val="en-GB"/>
              </w:rPr>
            </w:pPr>
            <w:r w:rsidRPr="006E3436">
              <w:rPr>
                <w:sz w:val="24"/>
                <w:szCs w:val="24"/>
                <w:lang w:val="en-GB"/>
              </w:rPr>
              <w:t xml:space="preserve">$ in Millions </w:t>
            </w:r>
          </w:p>
        </w:tc>
      </w:tr>
      <w:tr w:rsidR="001013C0" w:rsidRPr="006E3436" w14:paraId="325EF427" w14:textId="77777777" w:rsidTr="002A1BC4">
        <w:trPr>
          <w:cnfStyle w:val="000000100000" w:firstRow="0" w:lastRow="0" w:firstColumn="0" w:lastColumn="0" w:oddVBand="0" w:evenVBand="0" w:oddHBand="1" w:evenHBand="0" w:firstRowFirstColumn="0" w:firstRowLastColumn="0" w:lastRowFirstColumn="0" w:lastRowLastColumn="0"/>
          <w:trHeight w:val="228"/>
        </w:trPr>
        <w:tc>
          <w:tcPr>
            <w:cnfStyle w:val="001000000000" w:firstRow="0" w:lastRow="0" w:firstColumn="1" w:lastColumn="0" w:oddVBand="0" w:evenVBand="0" w:oddHBand="0" w:evenHBand="0" w:firstRowFirstColumn="0" w:firstRowLastColumn="0" w:lastRowFirstColumn="0" w:lastRowLastColumn="0"/>
            <w:tcW w:w="4399" w:type="dxa"/>
          </w:tcPr>
          <w:p w14:paraId="359C9FDF"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Net Income </w:t>
            </w:r>
          </w:p>
        </w:tc>
        <w:tc>
          <w:tcPr>
            <w:tcW w:w="2341" w:type="dxa"/>
          </w:tcPr>
          <w:p w14:paraId="54AE00BB" w14:textId="77777777" w:rsidR="001013C0" w:rsidRPr="006E3436" w:rsidRDefault="001013C0" w:rsidP="002A1BC4">
            <w:pPr>
              <w:spacing w:after="160"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6E3436">
              <w:rPr>
                <w:b/>
                <w:sz w:val="24"/>
                <w:szCs w:val="24"/>
                <w:lang w:val="en-GB"/>
              </w:rPr>
              <w:t>-2,722</w:t>
            </w:r>
          </w:p>
        </w:tc>
      </w:tr>
      <w:tr w:rsidR="001013C0" w:rsidRPr="006E3436" w14:paraId="2A2181B2" w14:textId="77777777" w:rsidTr="002A1BC4">
        <w:trPr>
          <w:trHeight w:val="228"/>
        </w:trPr>
        <w:tc>
          <w:tcPr>
            <w:cnfStyle w:val="001000000000" w:firstRow="0" w:lastRow="0" w:firstColumn="1" w:lastColumn="0" w:oddVBand="0" w:evenVBand="0" w:oddHBand="0" w:evenHBand="0" w:firstRowFirstColumn="0" w:firstRowLastColumn="0" w:lastRowFirstColumn="0" w:lastRowLastColumn="0"/>
            <w:tcW w:w="4399" w:type="dxa"/>
          </w:tcPr>
          <w:p w14:paraId="7FC95D6C"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Revenue </w:t>
            </w:r>
          </w:p>
        </w:tc>
        <w:tc>
          <w:tcPr>
            <w:tcW w:w="2341" w:type="dxa"/>
          </w:tcPr>
          <w:p w14:paraId="6B11EF98" w14:textId="77777777" w:rsidR="001013C0" w:rsidRPr="006E3436" w:rsidRDefault="001013C0" w:rsidP="002A1BC4">
            <w:pPr>
              <w:spacing w:after="160" w:line="276" w:lineRule="auto"/>
              <w:jc w:val="both"/>
              <w:cnfStyle w:val="000000000000" w:firstRow="0" w:lastRow="0" w:firstColumn="0" w:lastColumn="0" w:oddVBand="0" w:evenVBand="0" w:oddHBand="0" w:evenHBand="0" w:firstRowFirstColumn="0" w:firstRowLastColumn="0" w:lastRowFirstColumn="0" w:lastRowLastColumn="0"/>
              <w:rPr>
                <w:b/>
                <w:sz w:val="24"/>
                <w:szCs w:val="24"/>
                <w:lang w:val="en-GB"/>
              </w:rPr>
            </w:pPr>
            <w:r w:rsidRPr="006E3436">
              <w:rPr>
                <w:b/>
                <w:sz w:val="24"/>
                <w:szCs w:val="24"/>
                <w:lang w:val="en-GB"/>
              </w:rPr>
              <w:t>513,980</w:t>
            </w:r>
          </w:p>
        </w:tc>
      </w:tr>
      <w:tr w:rsidR="001013C0" w:rsidRPr="006E3436" w14:paraId="6E64A6AF" w14:textId="77777777" w:rsidTr="002A1BC4">
        <w:trPr>
          <w:cnfStyle w:val="000000100000" w:firstRow="0" w:lastRow="0" w:firstColumn="0" w:lastColumn="0" w:oddVBand="0" w:evenVBand="0" w:oddHBand="1" w:evenHBand="0" w:firstRowFirstColumn="0" w:firstRowLastColumn="0" w:lastRowFirstColumn="0" w:lastRowLastColumn="0"/>
          <w:trHeight w:val="228"/>
        </w:trPr>
        <w:tc>
          <w:tcPr>
            <w:cnfStyle w:val="001000000000" w:firstRow="0" w:lastRow="0" w:firstColumn="1" w:lastColumn="0" w:oddVBand="0" w:evenVBand="0" w:oddHBand="0" w:evenHBand="0" w:firstRowFirstColumn="0" w:firstRowLastColumn="0" w:lastRowFirstColumn="0" w:lastRowLastColumn="0"/>
            <w:tcW w:w="4399" w:type="dxa"/>
          </w:tcPr>
          <w:p w14:paraId="62795DA8"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Current Assets </w:t>
            </w:r>
          </w:p>
        </w:tc>
        <w:tc>
          <w:tcPr>
            <w:tcW w:w="2341" w:type="dxa"/>
          </w:tcPr>
          <w:p w14:paraId="650AE79F" w14:textId="77777777" w:rsidR="001013C0" w:rsidRPr="006E3436" w:rsidRDefault="001013C0" w:rsidP="002A1BC4">
            <w:pPr>
              <w:spacing w:after="160"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6E3436">
              <w:rPr>
                <w:b/>
                <w:sz w:val="24"/>
                <w:szCs w:val="24"/>
                <w:lang w:val="en-GB"/>
              </w:rPr>
              <w:t>146,791</w:t>
            </w:r>
          </w:p>
        </w:tc>
      </w:tr>
      <w:tr w:rsidR="001013C0" w:rsidRPr="006E3436" w14:paraId="005B2C79" w14:textId="77777777" w:rsidTr="002A1BC4">
        <w:trPr>
          <w:trHeight w:val="228"/>
        </w:trPr>
        <w:tc>
          <w:tcPr>
            <w:cnfStyle w:val="001000000000" w:firstRow="0" w:lastRow="0" w:firstColumn="1" w:lastColumn="0" w:oddVBand="0" w:evenVBand="0" w:oddHBand="0" w:evenHBand="0" w:firstRowFirstColumn="0" w:firstRowLastColumn="0" w:lastRowFirstColumn="0" w:lastRowLastColumn="0"/>
            <w:tcW w:w="4399" w:type="dxa"/>
          </w:tcPr>
          <w:p w14:paraId="265B854E"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Current Liabilities </w:t>
            </w:r>
          </w:p>
        </w:tc>
        <w:tc>
          <w:tcPr>
            <w:tcW w:w="2341" w:type="dxa"/>
          </w:tcPr>
          <w:p w14:paraId="2015D362" w14:textId="77777777" w:rsidR="001013C0" w:rsidRPr="006E3436" w:rsidRDefault="001013C0" w:rsidP="002A1BC4">
            <w:pPr>
              <w:spacing w:after="160" w:line="276" w:lineRule="auto"/>
              <w:jc w:val="both"/>
              <w:cnfStyle w:val="000000000000" w:firstRow="0" w:lastRow="0" w:firstColumn="0" w:lastColumn="0" w:oddVBand="0" w:evenVBand="0" w:oddHBand="0" w:evenHBand="0" w:firstRowFirstColumn="0" w:firstRowLastColumn="0" w:lastRowFirstColumn="0" w:lastRowLastColumn="0"/>
              <w:rPr>
                <w:b/>
                <w:sz w:val="24"/>
                <w:szCs w:val="24"/>
                <w:lang w:val="en-GB"/>
              </w:rPr>
            </w:pPr>
            <w:r w:rsidRPr="006E3436">
              <w:rPr>
                <w:sz w:val="24"/>
                <w:szCs w:val="24"/>
              </w:rPr>
              <w:t>155,393</w:t>
            </w:r>
          </w:p>
        </w:tc>
      </w:tr>
      <w:tr w:rsidR="001013C0" w:rsidRPr="006E3436" w14:paraId="2023E973" w14:textId="77777777" w:rsidTr="002A1BC4">
        <w:trPr>
          <w:cnfStyle w:val="000000100000" w:firstRow="0" w:lastRow="0" w:firstColumn="0" w:lastColumn="0" w:oddVBand="0" w:evenVBand="0" w:oddHBand="1" w:evenHBand="0" w:firstRowFirstColumn="0" w:firstRowLastColumn="0" w:lastRowFirstColumn="0" w:lastRowLastColumn="0"/>
          <w:trHeight w:val="228"/>
        </w:trPr>
        <w:tc>
          <w:tcPr>
            <w:cnfStyle w:val="001000000000" w:firstRow="0" w:lastRow="0" w:firstColumn="1" w:lastColumn="0" w:oddVBand="0" w:evenVBand="0" w:oddHBand="0" w:evenHBand="0" w:firstRowFirstColumn="0" w:firstRowLastColumn="0" w:lastRowFirstColumn="0" w:lastRowLastColumn="0"/>
            <w:tcW w:w="4399" w:type="dxa"/>
          </w:tcPr>
          <w:p w14:paraId="44C5D794"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Total Debts </w:t>
            </w:r>
          </w:p>
        </w:tc>
        <w:tc>
          <w:tcPr>
            <w:tcW w:w="2341" w:type="dxa"/>
          </w:tcPr>
          <w:p w14:paraId="74EC1664" w14:textId="77777777" w:rsidR="001013C0" w:rsidRPr="006E3436" w:rsidRDefault="001013C0" w:rsidP="002A1BC4">
            <w:pPr>
              <w:spacing w:after="160"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6E3436">
              <w:rPr>
                <w:b/>
                <w:sz w:val="24"/>
                <w:szCs w:val="24"/>
                <w:lang w:val="en-GB"/>
              </w:rPr>
              <w:t>169,900</w:t>
            </w:r>
          </w:p>
        </w:tc>
      </w:tr>
      <w:tr w:rsidR="001013C0" w:rsidRPr="006E3436" w14:paraId="6F025BEA" w14:textId="77777777" w:rsidTr="002A1BC4">
        <w:trPr>
          <w:trHeight w:val="228"/>
        </w:trPr>
        <w:tc>
          <w:tcPr>
            <w:cnfStyle w:val="001000000000" w:firstRow="0" w:lastRow="0" w:firstColumn="1" w:lastColumn="0" w:oddVBand="0" w:evenVBand="0" w:oddHBand="0" w:evenHBand="0" w:firstRowFirstColumn="0" w:firstRowLastColumn="0" w:lastRowFirstColumn="0" w:lastRowLastColumn="0"/>
            <w:tcW w:w="4399" w:type="dxa"/>
          </w:tcPr>
          <w:p w14:paraId="1CBFA2A4"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Shareholders’ Equity </w:t>
            </w:r>
          </w:p>
        </w:tc>
        <w:tc>
          <w:tcPr>
            <w:tcW w:w="2341" w:type="dxa"/>
          </w:tcPr>
          <w:p w14:paraId="7ECF3A73" w14:textId="77777777" w:rsidR="001013C0" w:rsidRPr="006E3436" w:rsidRDefault="001013C0" w:rsidP="002A1BC4">
            <w:pPr>
              <w:spacing w:after="160" w:line="276" w:lineRule="auto"/>
              <w:jc w:val="both"/>
              <w:cnfStyle w:val="000000000000" w:firstRow="0" w:lastRow="0" w:firstColumn="0" w:lastColumn="0" w:oddVBand="0" w:evenVBand="0" w:oddHBand="0" w:evenHBand="0" w:firstRowFirstColumn="0" w:firstRowLastColumn="0" w:lastRowFirstColumn="0" w:lastRowLastColumn="0"/>
              <w:rPr>
                <w:b/>
                <w:sz w:val="24"/>
                <w:szCs w:val="24"/>
                <w:lang w:val="en-GB"/>
              </w:rPr>
            </w:pPr>
            <w:r w:rsidRPr="006E3436">
              <w:rPr>
                <w:b/>
                <w:sz w:val="24"/>
                <w:szCs w:val="24"/>
                <w:lang w:val="en-GB"/>
              </w:rPr>
              <w:t>146,043</w:t>
            </w:r>
          </w:p>
        </w:tc>
      </w:tr>
      <w:tr w:rsidR="001013C0" w:rsidRPr="006E3436" w14:paraId="2BC168FB" w14:textId="77777777" w:rsidTr="002A1BC4">
        <w:trPr>
          <w:cnfStyle w:val="000000100000" w:firstRow="0" w:lastRow="0" w:firstColumn="0" w:lastColumn="0" w:oddVBand="0" w:evenVBand="0" w:oddHBand="1" w:evenHBand="0" w:firstRowFirstColumn="0" w:firstRowLastColumn="0" w:lastRowFirstColumn="0" w:lastRowLastColumn="0"/>
          <w:trHeight w:val="98"/>
        </w:trPr>
        <w:tc>
          <w:tcPr>
            <w:cnfStyle w:val="001000000000" w:firstRow="0" w:lastRow="0" w:firstColumn="1" w:lastColumn="0" w:oddVBand="0" w:evenVBand="0" w:oddHBand="0" w:evenHBand="0" w:firstRowFirstColumn="0" w:firstRowLastColumn="0" w:lastRowFirstColumn="0" w:lastRowLastColumn="0"/>
            <w:tcW w:w="4399" w:type="dxa"/>
          </w:tcPr>
          <w:p w14:paraId="488D0FE0" w14:textId="77777777" w:rsidR="001013C0" w:rsidRPr="006E3436" w:rsidRDefault="001013C0" w:rsidP="002A1BC4">
            <w:pPr>
              <w:spacing w:after="160" w:line="276" w:lineRule="auto"/>
              <w:jc w:val="both"/>
              <w:rPr>
                <w:sz w:val="24"/>
                <w:szCs w:val="24"/>
                <w:lang w:val="en-GB"/>
              </w:rPr>
            </w:pPr>
            <w:r w:rsidRPr="006E3436">
              <w:rPr>
                <w:sz w:val="24"/>
                <w:szCs w:val="24"/>
                <w:lang w:val="en-GB"/>
              </w:rPr>
              <w:t xml:space="preserve">Average Total Assets </w:t>
            </w:r>
          </w:p>
        </w:tc>
        <w:tc>
          <w:tcPr>
            <w:tcW w:w="2341" w:type="dxa"/>
          </w:tcPr>
          <w:p w14:paraId="66A6E58E" w14:textId="77777777" w:rsidR="001013C0" w:rsidRPr="006E3436" w:rsidRDefault="001013C0" w:rsidP="002A1BC4">
            <w:pPr>
              <w:spacing w:after="160"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6E3436">
              <w:rPr>
                <w:sz w:val="24"/>
                <w:szCs w:val="24"/>
              </w:rPr>
              <w:t>462,675</w:t>
            </w:r>
          </w:p>
        </w:tc>
      </w:tr>
    </w:tbl>
    <w:p w14:paraId="35E52A58" w14:textId="77777777" w:rsidR="001013C0" w:rsidRDefault="001013C0" w:rsidP="001013C0">
      <w:pPr>
        <w:spacing w:line="276" w:lineRule="auto"/>
        <w:rPr>
          <w:b/>
          <w:i/>
          <w:szCs w:val="24"/>
        </w:rPr>
      </w:pPr>
    </w:p>
    <w:p w14:paraId="33963E8C" w14:textId="77777777" w:rsidR="001013C0" w:rsidRPr="002A1BC4" w:rsidRDefault="001013C0" w:rsidP="001013C0">
      <w:pPr>
        <w:spacing w:line="276" w:lineRule="auto"/>
        <w:rPr>
          <w:b/>
          <w:i/>
          <w:szCs w:val="24"/>
        </w:rPr>
      </w:pPr>
      <w:r w:rsidRPr="002A1BC4">
        <w:rPr>
          <w:b/>
          <w:i/>
          <w:szCs w:val="24"/>
        </w:rPr>
        <w:t>Table 2: Data from financial statements of Amazon</w:t>
      </w:r>
    </w:p>
    <w:p w14:paraId="25EA4CC3" w14:textId="77777777" w:rsidR="001013C0" w:rsidRPr="006E3436" w:rsidRDefault="001013C0" w:rsidP="001013C0">
      <w:pPr>
        <w:spacing w:line="276" w:lineRule="auto"/>
        <w:jc w:val="both"/>
        <w:rPr>
          <w:sz w:val="24"/>
          <w:szCs w:val="24"/>
        </w:rPr>
      </w:pPr>
      <w:r w:rsidRPr="006E3436">
        <w:rPr>
          <w:sz w:val="24"/>
          <w:szCs w:val="24"/>
        </w:rPr>
        <w:t>Here's a comparison of Walmart to Amazon based on the financial ratios calculated: so for calculation there is need to calculate Amazon’s financial ratios;</w:t>
      </w:r>
    </w:p>
    <w:tbl>
      <w:tblPr>
        <w:tblStyle w:val="GridTable4-Accent6"/>
        <w:tblpPr w:leftFromText="180" w:rightFromText="180" w:vertAnchor="text" w:horzAnchor="margin" w:tblpY="168"/>
        <w:tblW w:w="8591" w:type="dxa"/>
        <w:tblLook w:val="04A0" w:firstRow="1" w:lastRow="0" w:firstColumn="1" w:lastColumn="0" w:noHBand="0" w:noVBand="1"/>
      </w:tblPr>
      <w:tblGrid>
        <w:gridCol w:w="4541"/>
        <w:gridCol w:w="2083"/>
        <w:gridCol w:w="1967"/>
      </w:tblGrid>
      <w:tr w:rsidR="001013C0" w:rsidRPr="006E3436" w14:paraId="0629E535" w14:textId="77777777" w:rsidTr="002A1BC4">
        <w:trPr>
          <w:cnfStyle w:val="100000000000" w:firstRow="1" w:lastRow="0" w:firstColumn="0" w:lastColumn="0" w:oddVBand="0" w:evenVBand="0" w:oddHBand="0" w:evenHBand="0" w:firstRowFirstColumn="0" w:firstRowLastColumn="0" w:lastRowFirstColumn="0" w:lastRowLastColumn="0"/>
          <w:trHeight w:val="726"/>
        </w:trPr>
        <w:tc>
          <w:tcPr>
            <w:cnfStyle w:val="001000000000" w:firstRow="0" w:lastRow="0" w:firstColumn="1" w:lastColumn="0" w:oddVBand="0" w:evenVBand="0" w:oddHBand="0" w:evenHBand="0" w:firstRowFirstColumn="0" w:firstRowLastColumn="0" w:lastRowFirstColumn="0" w:lastRowLastColumn="0"/>
            <w:tcW w:w="0" w:type="auto"/>
            <w:shd w:val="clear" w:color="auto" w:fill="156082" w:themeFill="accent1"/>
          </w:tcPr>
          <w:p w14:paraId="288FAEC1" w14:textId="77777777" w:rsidR="001013C0" w:rsidRPr="006E3436" w:rsidRDefault="001013C0" w:rsidP="002A1BC4">
            <w:pPr>
              <w:spacing w:line="276" w:lineRule="auto"/>
              <w:jc w:val="both"/>
              <w:rPr>
                <w:sz w:val="24"/>
                <w:szCs w:val="24"/>
              </w:rPr>
            </w:pPr>
            <w:r w:rsidRPr="006E3436">
              <w:rPr>
                <w:sz w:val="24"/>
                <w:szCs w:val="24"/>
              </w:rPr>
              <w:lastRenderedPageBreak/>
              <w:t>Ratios</w:t>
            </w:r>
          </w:p>
        </w:tc>
        <w:tc>
          <w:tcPr>
            <w:tcW w:w="0" w:type="auto"/>
            <w:shd w:val="clear" w:color="auto" w:fill="156082" w:themeFill="accent1"/>
          </w:tcPr>
          <w:p w14:paraId="2B2FFAC1" w14:textId="77777777" w:rsidR="001013C0" w:rsidRPr="006E3436" w:rsidRDefault="001013C0" w:rsidP="002A1BC4">
            <w:pPr>
              <w:spacing w:line="276"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6E3436">
              <w:rPr>
                <w:sz w:val="24"/>
                <w:szCs w:val="24"/>
              </w:rPr>
              <w:t>Walmart</w:t>
            </w:r>
          </w:p>
        </w:tc>
        <w:tc>
          <w:tcPr>
            <w:tcW w:w="0" w:type="auto"/>
            <w:shd w:val="clear" w:color="auto" w:fill="156082" w:themeFill="accent1"/>
          </w:tcPr>
          <w:p w14:paraId="6AB39361" w14:textId="77777777" w:rsidR="001013C0" w:rsidRPr="006E3436" w:rsidRDefault="001013C0" w:rsidP="002A1BC4">
            <w:pPr>
              <w:spacing w:line="276"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6E3436">
              <w:rPr>
                <w:sz w:val="24"/>
                <w:szCs w:val="24"/>
              </w:rPr>
              <w:t>Amazon</w:t>
            </w:r>
          </w:p>
        </w:tc>
      </w:tr>
      <w:tr w:rsidR="001013C0" w:rsidRPr="006E3436" w14:paraId="04B0E09B" w14:textId="77777777" w:rsidTr="002A1BC4">
        <w:trPr>
          <w:cnfStyle w:val="000000100000" w:firstRow="0" w:lastRow="0" w:firstColumn="0" w:lastColumn="0" w:oddVBand="0" w:evenVBand="0" w:oddHBand="1"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0" w:type="auto"/>
          </w:tcPr>
          <w:p w14:paraId="104AC420" w14:textId="77777777" w:rsidR="001013C0" w:rsidRPr="006E3436" w:rsidRDefault="001013C0" w:rsidP="002A1BC4">
            <w:pPr>
              <w:spacing w:line="276" w:lineRule="auto"/>
              <w:jc w:val="both"/>
              <w:rPr>
                <w:sz w:val="24"/>
                <w:szCs w:val="24"/>
              </w:rPr>
            </w:pPr>
            <w:r w:rsidRPr="006E3436">
              <w:rPr>
                <w:sz w:val="24"/>
                <w:szCs w:val="24"/>
              </w:rPr>
              <w:t>Net Profit Margin</w:t>
            </w:r>
          </w:p>
        </w:tc>
        <w:tc>
          <w:tcPr>
            <w:tcW w:w="0" w:type="auto"/>
          </w:tcPr>
          <w:p w14:paraId="1F52B700" w14:textId="77777777" w:rsidR="001013C0" w:rsidRPr="006E3436" w:rsidRDefault="001013C0" w:rsidP="002A1BC4">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6E3436">
              <w:rPr>
                <w:sz w:val="24"/>
                <w:szCs w:val="24"/>
              </w:rPr>
              <w:t>2.4%</w:t>
            </w:r>
          </w:p>
        </w:tc>
        <w:tc>
          <w:tcPr>
            <w:tcW w:w="0" w:type="auto"/>
          </w:tcPr>
          <w:p w14:paraId="43433764" w14:textId="77777777" w:rsidR="001013C0" w:rsidRPr="006E3436" w:rsidRDefault="001013C0" w:rsidP="002A1BC4">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6E3436">
              <w:rPr>
                <w:sz w:val="24"/>
                <w:szCs w:val="24"/>
              </w:rPr>
              <w:t>-0.005%</w:t>
            </w:r>
          </w:p>
        </w:tc>
      </w:tr>
      <w:tr w:rsidR="001013C0" w:rsidRPr="006E3436" w14:paraId="3124ADD1" w14:textId="77777777" w:rsidTr="002A1BC4">
        <w:trPr>
          <w:trHeight w:val="437"/>
        </w:trPr>
        <w:tc>
          <w:tcPr>
            <w:cnfStyle w:val="001000000000" w:firstRow="0" w:lastRow="0" w:firstColumn="1" w:lastColumn="0" w:oddVBand="0" w:evenVBand="0" w:oddHBand="0" w:evenHBand="0" w:firstRowFirstColumn="0" w:firstRowLastColumn="0" w:lastRowFirstColumn="0" w:lastRowLastColumn="0"/>
            <w:tcW w:w="0" w:type="auto"/>
          </w:tcPr>
          <w:p w14:paraId="10A555A8" w14:textId="77777777" w:rsidR="001013C0" w:rsidRPr="006E3436" w:rsidRDefault="001013C0" w:rsidP="002A1BC4">
            <w:pPr>
              <w:spacing w:line="276" w:lineRule="auto"/>
              <w:jc w:val="both"/>
              <w:rPr>
                <w:sz w:val="24"/>
                <w:szCs w:val="24"/>
              </w:rPr>
            </w:pPr>
            <w:r w:rsidRPr="006E3436">
              <w:rPr>
                <w:sz w:val="24"/>
                <w:szCs w:val="24"/>
              </w:rPr>
              <w:t>Current Ratio</w:t>
            </w:r>
          </w:p>
        </w:tc>
        <w:tc>
          <w:tcPr>
            <w:tcW w:w="0" w:type="auto"/>
          </w:tcPr>
          <w:p w14:paraId="31D3BC1D" w14:textId="77777777" w:rsidR="001013C0" w:rsidRPr="006E3436" w:rsidRDefault="001013C0" w:rsidP="002A1BC4">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6E3436">
              <w:rPr>
                <w:sz w:val="24"/>
                <w:szCs w:val="24"/>
              </w:rPr>
              <w:t>0.92</w:t>
            </w:r>
          </w:p>
        </w:tc>
        <w:tc>
          <w:tcPr>
            <w:tcW w:w="0" w:type="auto"/>
          </w:tcPr>
          <w:p w14:paraId="22E47336" w14:textId="77777777" w:rsidR="001013C0" w:rsidRPr="006E3436" w:rsidRDefault="001013C0" w:rsidP="002A1BC4">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6E3436">
              <w:rPr>
                <w:sz w:val="24"/>
                <w:szCs w:val="24"/>
              </w:rPr>
              <w:t>0.94</w:t>
            </w:r>
          </w:p>
        </w:tc>
      </w:tr>
      <w:tr w:rsidR="001013C0" w:rsidRPr="006E3436" w14:paraId="196E82D3" w14:textId="77777777" w:rsidTr="002A1BC4">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0" w:type="auto"/>
          </w:tcPr>
          <w:p w14:paraId="672D048A" w14:textId="77777777" w:rsidR="001013C0" w:rsidRPr="006E3436" w:rsidRDefault="001013C0" w:rsidP="002A1BC4">
            <w:pPr>
              <w:spacing w:line="276" w:lineRule="auto"/>
              <w:jc w:val="both"/>
              <w:rPr>
                <w:sz w:val="24"/>
                <w:szCs w:val="24"/>
              </w:rPr>
            </w:pPr>
            <w:r w:rsidRPr="006E3436">
              <w:rPr>
                <w:sz w:val="24"/>
                <w:szCs w:val="24"/>
              </w:rPr>
              <w:t>Debt-to-Equity Ratio</w:t>
            </w:r>
          </w:p>
        </w:tc>
        <w:tc>
          <w:tcPr>
            <w:tcW w:w="0" w:type="auto"/>
          </w:tcPr>
          <w:p w14:paraId="45140543" w14:textId="77777777" w:rsidR="001013C0" w:rsidRPr="006E3436" w:rsidRDefault="001013C0" w:rsidP="002A1BC4">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6E3436">
              <w:rPr>
                <w:sz w:val="24"/>
                <w:szCs w:val="24"/>
              </w:rPr>
              <w:t>0.63</w:t>
            </w:r>
          </w:p>
        </w:tc>
        <w:tc>
          <w:tcPr>
            <w:tcW w:w="0" w:type="auto"/>
          </w:tcPr>
          <w:p w14:paraId="2C1AC118" w14:textId="77777777" w:rsidR="001013C0" w:rsidRPr="006E3436" w:rsidRDefault="001013C0" w:rsidP="002A1BC4">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6E3436">
              <w:rPr>
                <w:sz w:val="24"/>
                <w:szCs w:val="24"/>
              </w:rPr>
              <w:t>1.16</w:t>
            </w:r>
          </w:p>
        </w:tc>
      </w:tr>
      <w:tr w:rsidR="001013C0" w:rsidRPr="006E3436" w14:paraId="19EB06B8" w14:textId="77777777" w:rsidTr="002A1BC4">
        <w:trPr>
          <w:trHeight w:val="437"/>
        </w:trPr>
        <w:tc>
          <w:tcPr>
            <w:cnfStyle w:val="001000000000" w:firstRow="0" w:lastRow="0" w:firstColumn="1" w:lastColumn="0" w:oddVBand="0" w:evenVBand="0" w:oddHBand="0" w:evenHBand="0" w:firstRowFirstColumn="0" w:firstRowLastColumn="0" w:lastRowFirstColumn="0" w:lastRowLastColumn="0"/>
            <w:tcW w:w="0" w:type="auto"/>
          </w:tcPr>
          <w:p w14:paraId="3F9D889B" w14:textId="77777777" w:rsidR="001013C0" w:rsidRPr="006E3436" w:rsidRDefault="001013C0" w:rsidP="002A1BC4">
            <w:pPr>
              <w:spacing w:line="276" w:lineRule="auto"/>
              <w:jc w:val="both"/>
              <w:rPr>
                <w:sz w:val="24"/>
                <w:szCs w:val="24"/>
              </w:rPr>
            </w:pPr>
            <w:r w:rsidRPr="006E3436">
              <w:rPr>
                <w:sz w:val="24"/>
                <w:szCs w:val="24"/>
              </w:rPr>
              <w:t>Asset Turnover Ratio:</w:t>
            </w:r>
          </w:p>
        </w:tc>
        <w:tc>
          <w:tcPr>
            <w:tcW w:w="0" w:type="auto"/>
          </w:tcPr>
          <w:p w14:paraId="198E85BE" w14:textId="77777777" w:rsidR="001013C0" w:rsidRPr="006E3436" w:rsidRDefault="001013C0" w:rsidP="002A1BC4">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6E3436">
              <w:rPr>
                <w:sz w:val="24"/>
                <w:szCs w:val="24"/>
              </w:rPr>
              <w:t>2.33</w:t>
            </w:r>
          </w:p>
        </w:tc>
        <w:tc>
          <w:tcPr>
            <w:tcW w:w="0" w:type="auto"/>
          </w:tcPr>
          <w:p w14:paraId="0BAD7EED" w14:textId="77777777" w:rsidR="001013C0" w:rsidRPr="006E3436" w:rsidRDefault="001013C0" w:rsidP="002A1BC4">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6E3436">
              <w:rPr>
                <w:sz w:val="24"/>
                <w:szCs w:val="24"/>
              </w:rPr>
              <w:t>1.11</w:t>
            </w:r>
          </w:p>
        </w:tc>
      </w:tr>
    </w:tbl>
    <w:p w14:paraId="686D724B" w14:textId="77777777" w:rsidR="001013C0" w:rsidRPr="006E3436" w:rsidRDefault="001013C0" w:rsidP="001013C0">
      <w:pPr>
        <w:spacing w:line="276" w:lineRule="auto"/>
        <w:jc w:val="both"/>
        <w:rPr>
          <w:sz w:val="24"/>
          <w:szCs w:val="24"/>
        </w:rPr>
      </w:pPr>
    </w:p>
    <w:p w14:paraId="49C6A2F4" w14:textId="77777777" w:rsidR="001013C0" w:rsidRPr="006E3436" w:rsidRDefault="001013C0" w:rsidP="001013C0">
      <w:pPr>
        <w:spacing w:line="276" w:lineRule="auto"/>
        <w:jc w:val="both"/>
        <w:rPr>
          <w:sz w:val="24"/>
          <w:szCs w:val="24"/>
        </w:rPr>
      </w:pPr>
    </w:p>
    <w:p w14:paraId="64664035" w14:textId="77777777" w:rsidR="001013C0" w:rsidRPr="006E3436" w:rsidRDefault="001013C0" w:rsidP="001013C0">
      <w:pPr>
        <w:spacing w:line="276" w:lineRule="auto"/>
        <w:jc w:val="both"/>
        <w:rPr>
          <w:sz w:val="24"/>
          <w:szCs w:val="24"/>
        </w:rPr>
      </w:pPr>
    </w:p>
    <w:p w14:paraId="41BA1BBA" w14:textId="77777777" w:rsidR="001013C0" w:rsidRPr="006E3436" w:rsidRDefault="001013C0" w:rsidP="001013C0">
      <w:pPr>
        <w:spacing w:line="276" w:lineRule="auto"/>
        <w:jc w:val="both"/>
        <w:rPr>
          <w:sz w:val="24"/>
          <w:szCs w:val="24"/>
        </w:rPr>
      </w:pPr>
    </w:p>
    <w:p w14:paraId="1BC68CAF" w14:textId="77777777" w:rsidR="001013C0" w:rsidRPr="006E3436" w:rsidRDefault="001013C0" w:rsidP="001013C0">
      <w:pPr>
        <w:spacing w:line="276" w:lineRule="auto"/>
        <w:jc w:val="both"/>
        <w:rPr>
          <w:sz w:val="24"/>
          <w:szCs w:val="24"/>
        </w:rPr>
      </w:pPr>
    </w:p>
    <w:p w14:paraId="2B0FCE72" w14:textId="77777777" w:rsidR="001013C0" w:rsidRPr="006E3436" w:rsidRDefault="001013C0" w:rsidP="001013C0">
      <w:pPr>
        <w:spacing w:line="276" w:lineRule="auto"/>
        <w:jc w:val="both"/>
        <w:rPr>
          <w:sz w:val="24"/>
          <w:szCs w:val="24"/>
        </w:rPr>
      </w:pPr>
    </w:p>
    <w:p w14:paraId="186FC016" w14:textId="77777777" w:rsidR="001013C0" w:rsidRPr="00F82D26" w:rsidRDefault="001013C0" w:rsidP="001013C0">
      <w:pPr>
        <w:spacing w:line="276" w:lineRule="auto"/>
        <w:rPr>
          <w:b/>
          <w:i/>
          <w:sz w:val="24"/>
          <w:szCs w:val="24"/>
        </w:rPr>
      </w:pPr>
      <w:r>
        <w:rPr>
          <w:b/>
          <w:i/>
          <w:sz w:val="24"/>
          <w:szCs w:val="24"/>
        </w:rPr>
        <w:t>Table 3</w:t>
      </w:r>
      <w:r w:rsidRPr="00F82D26">
        <w:rPr>
          <w:b/>
          <w:i/>
          <w:sz w:val="24"/>
          <w:szCs w:val="24"/>
        </w:rPr>
        <w:t xml:space="preserve">: </w:t>
      </w:r>
      <w:r>
        <w:rPr>
          <w:b/>
          <w:i/>
          <w:sz w:val="24"/>
          <w:szCs w:val="24"/>
        </w:rPr>
        <w:t>Rations of Walmart and Amazon</w:t>
      </w:r>
    </w:p>
    <w:p w14:paraId="1228C936" w14:textId="77777777" w:rsidR="001013C0" w:rsidRPr="002A1BC4" w:rsidRDefault="001013C0" w:rsidP="001013C0">
      <w:pPr>
        <w:spacing w:line="276" w:lineRule="auto"/>
        <w:jc w:val="both"/>
        <w:rPr>
          <w:b/>
          <w:sz w:val="24"/>
          <w:szCs w:val="24"/>
        </w:rPr>
      </w:pPr>
      <w:r w:rsidRPr="002A1BC4">
        <w:rPr>
          <w:b/>
          <w:sz w:val="24"/>
          <w:szCs w:val="24"/>
        </w:rPr>
        <w:t xml:space="preserve">Results </w:t>
      </w:r>
    </w:p>
    <w:p w14:paraId="41BBDF74" w14:textId="77777777" w:rsidR="001013C0" w:rsidRDefault="001013C0" w:rsidP="001013C0">
      <w:pPr>
        <w:pStyle w:val="Heading2"/>
        <w:numPr>
          <w:ilvl w:val="1"/>
          <w:numId w:val="7"/>
        </w:numPr>
        <w:tabs>
          <w:tab w:val="num" w:pos="360"/>
        </w:tabs>
        <w:ind w:left="0" w:firstLine="0"/>
        <w:rPr>
          <w:b/>
          <w:color w:val="000000" w:themeColor="text1"/>
        </w:rPr>
      </w:pPr>
      <w:bookmarkStart w:id="17" w:name="_Toc164718601"/>
      <w:r w:rsidRPr="005F6673">
        <w:rPr>
          <w:b/>
          <w:color w:val="000000" w:themeColor="text1"/>
        </w:rPr>
        <w:t>Net Profit Margin:</w:t>
      </w:r>
      <w:bookmarkEnd w:id="17"/>
      <w:r w:rsidRPr="005F6673">
        <w:rPr>
          <w:b/>
          <w:color w:val="000000" w:themeColor="text1"/>
        </w:rPr>
        <w:t xml:space="preserve"> </w:t>
      </w:r>
    </w:p>
    <w:p w14:paraId="5F783FE1" w14:textId="77777777" w:rsidR="001013C0" w:rsidRPr="005F6673" w:rsidRDefault="001013C0" w:rsidP="001013C0"/>
    <w:p w14:paraId="2337734E" w14:textId="1C692422" w:rsidR="001013C0" w:rsidRPr="005F6673" w:rsidRDefault="001013C0" w:rsidP="001013C0">
      <w:pPr>
        <w:pStyle w:val="ListParagraph"/>
        <w:numPr>
          <w:ilvl w:val="0"/>
          <w:numId w:val="12"/>
        </w:numPr>
        <w:spacing w:line="276" w:lineRule="auto"/>
        <w:jc w:val="both"/>
        <w:rPr>
          <w:sz w:val="24"/>
          <w:szCs w:val="24"/>
        </w:rPr>
      </w:pPr>
      <w:r w:rsidRPr="005F6673">
        <w:rPr>
          <w:sz w:val="24"/>
          <w:szCs w:val="24"/>
        </w:rPr>
        <w:t xml:space="preserve">Its net profit margin of 2.4% indicates that there is a profit of $2.4 made per </w:t>
      </w:r>
      <w:r w:rsidR="008F3B5E" w:rsidRPr="005F6673">
        <w:rPr>
          <w:sz w:val="24"/>
          <w:szCs w:val="24"/>
        </w:rPr>
        <w:t>$</w:t>
      </w:r>
      <w:r w:rsidRPr="005F6673">
        <w:rPr>
          <w:sz w:val="24"/>
          <w:szCs w:val="24"/>
        </w:rPr>
        <w:t xml:space="preserve">100 revenue. This shows that Walmart is working efficiently and controlling its expenses duly. </w:t>
      </w:r>
    </w:p>
    <w:p w14:paraId="214F45A3" w14:textId="3D99DF82" w:rsidR="001013C0" w:rsidRPr="005F6673" w:rsidRDefault="001013C0" w:rsidP="001013C0">
      <w:pPr>
        <w:pStyle w:val="ListParagraph"/>
        <w:numPr>
          <w:ilvl w:val="0"/>
          <w:numId w:val="12"/>
        </w:numPr>
        <w:spacing w:line="276" w:lineRule="auto"/>
        <w:jc w:val="both"/>
        <w:rPr>
          <w:sz w:val="24"/>
          <w:szCs w:val="24"/>
        </w:rPr>
      </w:pPr>
      <w:r w:rsidRPr="005F6673">
        <w:rPr>
          <w:sz w:val="24"/>
          <w:szCs w:val="24"/>
        </w:rPr>
        <w:t xml:space="preserve">The net profit margin of Amazon amounts to -0.005%, indicating that it basically is breaking even with almost no profit out of every $100 revenue. This </w:t>
      </w:r>
      <w:r w:rsidR="008F3B5E" w:rsidRPr="005F6673">
        <w:rPr>
          <w:sz w:val="24"/>
          <w:szCs w:val="24"/>
        </w:rPr>
        <w:t>could</w:t>
      </w:r>
      <w:r w:rsidRPr="005F6673">
        <w:rPr>
          <w:sz w:val="24"/>
          <w:szCs w:val="24"/>
        </w:rPr>
        <w:t xml:space="preserve"> perhaps be attributed to massive investment in the growth and expansion of the business, characteristics typical of most tech companies, of which Amazon is one.</w:t>
      </w:r>
    </w:p>
    <w:p w14:paraId="792F50EF" w14:textId="77777777" w:rsidR="001013C0" w:rsidRDefault="001013C0" w:rsidP="001013C0">
      <w:pPr>
        <w:pStyle w:val="Heading2"/>
        <w:numPr>
          <w:ilvl w:val="1"/>
          <w:numId w:val="7"/>
        </w:numPr>
        <w:tabs>
          <w:tab w:val="num" w:pos="360"/>
        </w:tabs>
        <w:ind w:left="0" w:firstLine="0"/>
        <w:rPr>
          <w:b/>
          <w:color w:val="000000" w:themeColor="text1"/>
        </w:rPr>
      </w:pPr>
      <w:bookmarkStart w:id="18" w:name="_Toc164718602"/>
      <w:r w:rsidRPr="005F6673">
        <w:rPr>
          <w:b/>
          <w:color w:val="000000" w:themeColor="text1"/>
        </w:rPr>
        <w:t>Current Ratio:</w:t>
      </w:r>
      <w:bookmarkEnd w:id="18"/>
      <w:r w:rsidRPr="005F6673">
        <w:rPr>
          <w:b/>
          <w:color w:val="000000" w:themeColor="text1"/>
        </w:rPr>
        <w:t xml:space="preserve"> </w:t>
      </w:r>
    </w:p>
    <w:p w14:paraId="2740CF0C" w14:textId="77777777" w:rsidR="001013C0" w:rsidRPr="005F6673" w:rsidRDefault="001013C0" w:rsidP="001013C0"/>
    <w:p w14:paraId="7C53BA53" w14:textId="7548D07F" w:rsidR="001013C0" w:rsidRPr="005F6673" w:rsidRDefault="001013C0" w:rsidP="001013C0">
      <w:pPr>
        <w:pStyle w:val="ListParagraph"/>
        <w:numPr>
          <w:ilvl w:val="0"/>
          <w:numId w:val="11"/>
        </w:numPr>
        <w:spacing w:line="276" w:lineRule="auto"/>
        <w:jc w:val="both"/>
        <w:rPr>
          <w:sz w:val="24"/>
          <w:szCs w:val="24"/>
        </w:rPr>
      </w:pPr>
      <w:r w:rsidRPr="005F6673">
        <w:rPr>
          <w:sz w:val="24"/>
          <w:szCs w:val="24"/>
        </w:rPr>
        <w:t xml:space="preserve">Its current ratio of 0.92 would mean that Walmart </w:t>
      </w:r>
      <w:r w:rsidR="008F3B5E" w:rsidRPr="005F6673">
        <w:rPr>
          <w:sz w:val="24"/>
          <w:szCs w:val="24"/>
        </w:rPr>
        <w:t>has slightly</w:t>
      </w:r>
      <w:r w:rsidRPr="005F6673">
        <w:rPr>
          <w:sz w:val="24"/>
          <w:szCs w:val="24"/>
        </w:rPr>
        <w:t xml:space="preserve"> current assets that are less than the current liabilities. The most probable will be a cause of short-term liquidity distress. However, the current ratios of retail firms are usually below one since they tend to have high inventory turnovers. </w:t>
      </w:r>
    </w:p>
    <w:p w14:paraId="3320007C" w14:textId="77777777" w:rsidR="001013C0" w:rsidRPr="005F6673" w:rsidRDefault="001013C0" w:rsidP="001013C0">
      <w:pPr>
        <w:pStyle w:val="ListParagraph"/>
        <w:numPr>
          <w:ilvl w:val="0"/>
          <w:numId w:val="11"/>
        </w:numPr>
        <w:spacing w:line="276" w:lineRule="auto"/>
        <w:jc w:val="both"/>
        <w:rPr>
          <w:sz w:val="24"/>
          <w:szCs w:val="24"/>
        </w:rPr>
      </w:pPr>
      <w:r w:rsidRPr="005F6673">
        <w:rPr>
          <w:sz w:val="24"/>
          <w:szCs w:val="24"/>
        </w:rPr>
        <w:t>With a current ratio of 0.94, it indicates that Amazon holds slightly better short-term liquidity compared to Walmart. But, in absolute figures, it still is less than 1, indicating that Amazon also has more current liabilities than current assets.</w:t>
      </w:r>
    </w:p>
    <w:p w14:paraId="6DBF521C" w14:textId="77777777" w:rsidR="001013C0" w:rsidRDefault="001013C0" w:rsidP="001013C0">
      <w:pPr>
        <w:pStyle w:val="Heading2"/>
        <w:numPr>
          <w:ilvl w:val="1"/>
          <w:numId w:val="7"/>
        </w:numPr>
        <w:tabs>
          <w:tab w:val="num" w:pos="360"/>
        </w:tabs>
        <w:ind w:left="0" w:firstLine="0"/>
        <w:rPr>
          <w:b/>
          <w:color w:val="000000" w:themeColor="text1"/>
        </w:rPr>
      </w:pPr>
      <w:bookmarkStart w:id="19" w:name="_Toc164718603"/>
      <w:r w:rsidRPr="005F6673">
        <w:rPr>
          <w:b/>
          <w:color w:val="000000" w:themeColor="text1"/>
        </w:rPr>
        <w:lastRenderedPageBreak/>
        <w:t>Debt-to-Equity Ratio:</w:t>
      </w:r>
      <w:bookmarkEnd w:id="19"/>
      <w:r w:rsidRPr="005F6673">
        <w:rPr>
          <w:b/>
          <w:color w:val="000000" w:themeColor="text1"/>
        </w:rPr>
        <w:t xml:space="preserve"> </w:t>
      </w:r>
    </w:p>
    <w:p w14:paraId="5FBDFDCC" w14:textId="77777777" w:rsidR="001013C0" w:rsidRPr="005F6673" w:rsidRDefault="001013C0" w:rsidP="001013C0"/>
    <w:p w14:paraId="16BE5E3E" w14:textId="77777777" w:rsidR="001013C0" w:rsidRPr="005F6673" w:rsidRDefault="001013C0" w:rsidP="001013C0">
      <w:pPr>
        <w:pStyle w:val="ListParagraph"/>
        <w:numPr>
          <w:ilvl w:val="0"/>
          <w:numId w:val="10"/>
        </w:numPr>
        <w:spacing w:line="276" w:lineRule="auto"/>
        <w:jc w:val="both"/>
        <w:rPr>
          <w:sz w:val="24"/>
          <w:szCs w:val="24"/>
        </w:rPr>
      </w:pPr>
      <w:r w:rsidRPr="005F6673">
        <w:rPr>
          <w:sz w:val="24"/>
          <w:szCs w:val="24"/>
        </w:rPr>
        <w:t xml:space="preserve">Walmart has a debt-to-equity of 0.63, showing that it holds debts at a moderate rate compared to equity. This may indicate that Walmart balances the approach to finance its operations with a mix of both debt and equity. </w:t>
      </w:r>
    </w:p>
    <w:p w14:paraId="20322FEA" w14:textId="25962E75" w:rsidR="001013C0" w:rsidRPr="005F6673" w:rsidRDefault="001013C0" w:rsidP="001013C0">
      <w:pPr>
        <w:pStyle w:val="ListParagraph"/>
        <w:numPr>
          <w:ilvl w:val="0"/>
          <w:numId w:val="10"/>
        </w:numPr>
        <w:spacing w:line="276" w:lineRule="auto"/>
        <w:jc w:val="both"/>
        <w:rPr>
          <w:sz w:val="24"/>
          <w:szCs w:val="24"/>
        </w:rPr>
      </w:pPr>
      <w:r w:rsidRPr="005F6673">
        <w:rPr>
          <w:sz w:val="24"/>
          <w:szCs w:val="24"/>
        </w:rPr>
        <w:t xml:space="preserve">Amazon has a debt-to-equity ratio of 1.16, which is very high compared to Walmart. This implies that Amazon has far more dependencies on debts to finance their operations, either by very aggressive expansion </w:t>
      </w:r>
      <w:r w:rsidR="008F3B5E" w:rsidRPr="005F6673">
        <w:rPr>
          <w:sz w:val="24"/>
          <w:szCs w:val="24"/>
        </w:rPr>
        <w:t>or</w:t>
      </w:r>
      <w:r w:rsidRPr="005F6673">
        <w:rPr>
          <w:sz w:val="24"/>
          <w:szCs w:val="24"/>
        </w:rPr>
        <w:t xml:space="preserve"> investment strategies.</w:t>
      </w:r>
    </w:p>
    <w:p w14:paraId="4064F11C" w14:textId="77777777" w:rsidR="001013C0" w:rsidRDefault="001013C0" w:rsidP="001013C0">
      <w:pPr>
        <w:pStyle w:val="ListParagraph"/>
        <w:numPr>
          <w:ilvl w:val="1"/>
          <w:numId w:val="7"/>
        </w:numPr>
        <w:spacing w:line="276" w:lineRule="auto"/>
        <w:jc w:val="both"/>
        <w:rPr>
          <w:b/>
          <w:color w:val="000000" w:themeColor="text1"/>
          <w:sz w:val="24"/>
          <w:szCs w:val="24"/>
        </w:rPr>
      </w:pPr>
      <w:bookmarkStart w:id="20" w:name="_Toc164718604"/>
      <w:r w:rsidRPr="005F6673">
        <w:rPr>
          <w:rStyle w:val="Heading2Char"/>
          <w:b/>
          <w:color w:val="000000" w:themeColor="text1"/>
        </w:rPr>
        <w:t>Asset Turnover Ratio</w:t>
      </w:r>
      <w:bookmarkEnd w:id="20"/>
      <w:r w:rsidRPr="005F6673">
        <w:rPr>
          <w:b/>
          <w:color w:val="000000" w:themeColor="text1"/>
          <w:sz w:val="24"/>
          <w:szCs w:val="24"/>
        </w:rPr>
        <w:t xml:space="preserve">: </w:t>
      </w:r>
    </w:p>
    <w:p w14:paraId="7B82957C" w14:textId="77777777" w:rsidR="001013C0" w:rsidRPr="005F6673" w:rsidRDefault="001013C0" w:rsidP="001013C0">
      <w:pPr>
        <w:pStyle w:val="ListParagraph"/>
        <w:spacing w:line="276" w:lineRule="auto"/>
        <w:ind w:left="792"/>
        <w:jc w:val="both"/>
        <w:rPr>
          <w:b/>
          <w:color w:val="000000" w:themeColor="text1"/>
          <w:sz w:val="24"/>
          <w:szCs w:val="24"/>
        </w:rPr>
      </w:pPr>
    </w:p>
    <w:p w14:paraId="5BADBFD7" w14:textId="1AAACF0F" w:rsidR="001013C0" w:rsidRPr="005F6673" w:rsidRDefault="001013C0" w:rsidP="001013C0">
      <w:pPr>
        <w:pStyle w:val="ListParagraph"/>
        <w:numPr>
          <w:ilvl w:val="0"/>
          <w:numId w:val="9"/>
        </w:numPr>
        <w:spacing w:line="276" w:lineRule="auto"/>
        <w:jc w:val="both"/>
        <w:rPr>
          <w:sz w:val="24"/>
          <w:szCs w:val="24"/>
        </w:rPr>
      </w:pPr>
      <w:r w:rsidRPr="005F6673">
        <w:rPr>
          <w:sz w:val="24"/>
          <w:szCs w:val="24"/>
        </w:rPr>
        <w:t xml:space="preserve">From this asset turnover ratio of 2.33, Walmart shows how it can be able to generate 2.33 dollars in revenues for every dollar in the asset. In the real sense, this is </w:t>
      </w:r>
      <w:r w:rsidR="008F3B5E" w:rsidRPr="005F6673">
        <w:rPr>
          <w:sz w:val="24"/>
          <w:szCs w:val="24"/>
        </w:rPr>
        <w:t>a great</w:t>
      </w:r>
      <w:r w:rsidRPr="005F6673">
        <w:rPr>
          <w:sz w:val="24"/>
          <w:szCs w:val="24"/>
        </w:rPr>
        <w:t xml:space="preserve"> performance showing how Walmart effectively runs its assets to a position where it can easily generate more sales. </w:t>
      </w:r>
    </w:p>
    <w:p w14:paraId="33A57672" w14:textId="77777777" w:rsidR="001013C0" w:rsidRPr="005F6673" w:rsidRDefault="001013C0" w:rsidP="001013C0">
      <w:pPr>
        <w:pStyle w:val="ListParagraph"/>
        <w:numPr>
          <w:ilvl w:val="0"/>
          <w:numId w:val="9"/>
        </w:numPr>
        <w:spacing w:line="276" w:lineRule="auto"/>
        <w:jc w:val="both"/>
        <w:rPr>
          <w:sz w:val="24"/>
          <w:szCs w:val="24"/>
        </w:rPr>
      </w:pPr>
      <w:r w:rsidRPr="005F6673">
        <w:rPr>
          <w:sz w:val="24"/>
          <w:szCs w:val="24"/>
        </w:rPr>
        <w:t>Being 1.11, it points out the fact that the asset turnover ratio of Amazon is still lower in comparison to Walmart. That is to say, less income is being realized with every single dollar of asset on Amazon, probably because they have more investment in fixed assets, for example, technology infrastructure.</w:t>
      </w:r>
    </w:p>
    <w:p w14:paraId="6DBDB6FF" w14:textId="77777777" w:rsidR="001013C0" w:rsidRPr="006E3436" w:rsidRDefault="001013C0" w:rsidP="001013C0">
      <w:pPr>
        <w:spacing w:line="276" w:lineRule="auto"/>
        <w:jc w:val="both"/>
        <w:rPr>
          <w:sz w:val="24"/>
          <w:szCs w:val="24"/>
        </w:rPr>
      </w:pPr>
      <w:r w:rsidRPr="006E3436">
        <w:rPr>
          <w:sz w:val="24"/>
          <w:szCs w:val="24"/>
        </w:rPr>
        <w:t>Overall, compared to Amazon, Walmart appears to be more operationally efficient and of higher profitability due to the larger values for net profit margin and asset turnover ratio. But the better current liquidity position is above Amazon, and does use more debt for financing, as indicated by above industry debt to equity. The financial performance and the strategy differences reflect different business models and different industry dynamics between the two companies.</w:t>
      </w:r>
    </w:p>
    <w:p w14:paraId="22224EB2" w14:textId="77777777" w:rsidR="001013C0" w:rsidRPr="006E3436" w:rsidRDefault="001013C0" w:rsidP="001013C0">
      <w:pPr>
        <w:spacing w:line="276" w:lineRule="auto"/>
        <w:jc w:val="both"/>
        <w:rPr>
          <w:sz w:val="24"/>
          <w:szCs w:val="24"/>
        </w:rPr>
      </w:pPr>
    </w:p>
    <w:p w14:paraId="1931D876" w14:textId="2FDE4D21" w:rsidR="001013C0" w:rsidRDefault="001013C0" w:rsidP="001013C0">
      <w:pPr>
        <w:pStyle w:val="Heading1"/>
        <w:numPr>
          <w:ilvl w:val="0"/>
          <w:numId w:val="7"/>
        </w:numPr>
        <w:tabs>
          <w:tab w:val="num" w:pos="360"/>
        </w:tabs>
        <w:ind w:left="0" w:firstLine="0"/>
        <w:rPr>
          <w:b/>
          <w:color w:val="000000" w:themeColor="text1"/>
        </w:rPr>
      </w:pPr>
      <w:bookmarkStart w:id="21" w:name="_Toc164718605"/>
      <w:r w:rsidRPr="005F6673">
        <w:rPr>
          <w:b/>
          <w:color w:val="000000" w:themeColor="text1"/>
        </w:rPr>
        <w:t xml:space="preserve">Recommendations on improving the financial </w:t>
      </w:r>
      <w:bookmarkEnd w:id="21"/>
      <w:r w:rsidR="008F3B5E" w:rsidRPr="005F6673">
        <w:rPr>
          <w:b/>
          <w:color w:val="000000" w:themeColor="text1"/>
        </w:rPr>
        <w:t>management.</w:t>
      </w:r>
    </w:p>
    <w:p w14:paraId="2849D985" w14:textId="77777777" w:rsidR="001013C0" w:rsidRPr="005F6673" w:rsidRDefault="001013C0" w:rsidP="001013C0"/>
    <w:p w14:paraId="342A9510" w14:textId="77777777" w:rsidR="001013C0" w:rsidRPr="006E3436" w:rsidRDefault="001013C0" w:rsidP="001013C0">
      <w:pPr>
        <w:spacing w:line="276" w:lineRule="auto"/>
        <w:jc w:val="both"/>
        <w:rPr>
          <w:sz w:val="24"/>
          <w:szCs w:val="24"/>
        </w:rPr>
      </w:pPr>
      <w:r w:rsidRPr="006E3436">
        <w:rPr>
          <w:sz w:val="24"/>
          <w:szCs w:val="24"/>
        </w:rPr>
        <w:t>The following, therefore, are recommended herein for use in the improvement of Walmart's way of managing its finances.</w:t>
      </w:r>
    </w:p>
    <w:p w14:paraId="60A5672B" w14:textId="77777777" w:rsidR="001013C0" w:rsidRPr="006E3436" w:rsidRDefault="001013C0" w:rsidP="001013C0">
      <w:pPr>
        <w:spacing w:line="276" w:lineRule="auto"/>
        <w:jc w:val="both"/>
        <w:rPr>
          <w:sz w:val="24"/>
          <w:szCs w:val="24"/>
        </w:rPr>
      </w:pPr>
      <w:r w:rsidRPr="005F6673">
        <w:rPr>
          <w:b/>
          <w:sz w:val="24"/>
          <w:szCs w:val="24"/>
        </w:rPr>
        <w:t>Enhance Profitability</w:t>
      </w:r>
      <w:r w:rsidRPr="006E3436">
        <w:rPr>
          <w:sz w:val="24"/>
          <w:szCs w:val="24"/>
        </w:rPr>
        <w:t>: While Walmart's net profit margin is positive, there is room for improvement.</w:t>
      </w:r>
    </w:p>
    <w:p w14:paraId="4473CD17" w14:textId="13A8306B" w:rsidR="001013C0" w:rsidRPr="006E3436" w:rsidRDefault="001013C0" w:rsidP="001013C0">
      <w:pPr>
        <w:spacing w:line="276" w:lineRule="auto"/>
        <w:jc w:val="both"/>
        <w:rPr>
          <w:sz w:val="24"/>
          <w:szCs w:val="24"/>
        </w:rPr>
      </w:pPr>
      <w:r w:rsidRPr="006E3436">
        <w:rPr>
          <w:sz w:val="24"/>
          <w:szCs w:val="24"/>
        </w:rPr>
        <w:t xml:space="preserve">The company could devise strategies that focus on reducing </w:t>
      </w:r>
      <w:r w:rsidR="008F3B5E" w:rsidRPr="006E3436">
        <w:rPr>
          <w:sz w:val="24"/>
          <w:szCs w:val="24"/>
        </w:rPr>
        <w:t>costs</w:t>
      </w:r>
      <w:r w:rsidRPr="006E3436">
        <w:rPr>
          <w:sz w:val="24"/>
          <w:szCs w:val="24"/>
        </w:rPr>
        <w:t xml:space="preserve">, including supply chain optimization for efficient operation, and use technology to minimize operational </w:t>
      </w:r>
      <w:r w:rsidRPr="006E3436">
        <w:rPr>
          <w:sz w:val="24"/>
          <w:szCs w:val="24"/>
        </w:rPr>
        <w:lastRenderedPageBreak/>
        <w:t>expenses. The second strategy will bring out efforts by the company to increase revenue through an expansion of its e-commerce operations and during market entry.</w:t>
      </w:r>
    </w:p>
    <w:p w14:paraId="298FB77C" w14:textId="1A442BCD" w:rsidR="001013C0" w:rsidRPr="006E3436" w:rsidRDefault="001013C0" w:rsidP="001013C0">
      <w:pPr>
        <w:spacing w:line="276" w:lineRule="auto"/>
        <w:jc w:val="both"/>
        <w:rPr>
          <w:sz w:val="24"/>
          <w:szCs w:val="24"/>
        </w:rPr>
      </w:pPr>
      <w:r w:rsidRPr="005F6673">
        <w:rPr>
          <w:b/>
          <w:sz w:val="24"/>
          <w:szCs w:val="24"/>
        </w:rPr>
        <w:t>Improve Liquidity</w:t>
      </w:r>
      <w:r w:rsidRPr="006E3436">
        <w:rPr>
          <w:sz w:val="24"/>
          <w:szCs w:val="24"/>
        </w:rPr>
        <w:t xml:space="preserve">: With a current ratio below 1, it would </w:t>
      </w:r>
      <w:r w:rsidR="008F3B5E" w:rsidRPr="006E3436">
        <w:rPr>
          <w:sz w:val="24"/>
          <w:szCs w:val="24"/>
        </w:rPr>
        <w:t>mean</w:t>
      </w:r>
      <w:r w:rsidRPr="006E3436">
        <w:rPr>
          <w:sz w:val="24"/>
          <w:szCs w:val="24"/>
        </w:rPr>
        <w:t xml:space="preserve"> that Walmart has liquidity problems in the short term. The company should improve its current assets or decrease current liabilities. An increase might take place through better management of inventory, negotiation of longer terms of payment with suppliers, or refinancing short-term debt with long-term debt</w:t>
      </w:r>
      <w:r>
        <w:rPr>
          <w:sz w:val="24"/>
          <w:szCs w:val="24"/>
        </w:rPr>
        <w:t xml:space="preserve"> </w:t>
      </w:r>
      <w:r w:rsidRPr="00E07146">
        <w:rPr>
          <w:sz w:val="24"/>
          <w:szCs w:val="24"/>
        </w:rPr>
        <w:t>(</w:t>
      </w:r>
      <w:proofErr w:type="spellStart"/>
      <w:r w:rsidRPr="00E07146">
        <w:rPr>
          <w:sz w:val="24"/>
          <w:szCs w:val="24"/>
        </w:rPr>
        <w:t>Kuchumov</w:t>
      </w:r>
      <w:proofErr w:type="spellEnd"/>
      <w:r w:rsidRPr="00E07146">
        <w:rPr>
          <w:sz w:val="24"/>
          <w:szCs w:val="24"/>
        </w:rPr>
        <w:t xml:space="preserve"> et al., 2022)</w:t>
      </w:r>
      <w:r w:rsidRPr="006E3436">
        <w:rPr>
          <w:sz w:val="24"/>
          <w:szCs w:val="24"/>
        </w:rPr>
        <w:t>.</w:t>
      </w:r>
    </w:p>
    <w:p w14:paraId="097ED882" w14:textId="77777777" w:rsidR="001013C0" w:rsidRPr="006E3436" w:rsidRDefault="001013C0" w:rsidP="001013C0">
      <w:pPr>
        <w:spacing w:line="276" w:lineRule="auto"/>
        <w:jc w:val="both"/>
        <w:rPr>
          <w:sz w:val="24"/>
          <w:szCs w:val="24"/>
        </w:rPr>
      </w:pPr>
      <w:r w:rsidRPr="005F6673">
        <w:rPr>
          <w:b/>
          <w:sz w:val="24"/>
          <w:szCs w:val="24"/>
        </w:rPr>
        <w:t>Optimize Debt Management</w:t>
      </w:r>
      <w:r w:rsidRPr="006E3436">
        <w:rPr>
          <w:sz w:val="24"/>
          <w:szCs w:val="24"/>
        </w:rPr>
        <w:t>: Even though the debt-to-equity ratio of Walmart stands at a reasonable level, the management has to take due care that the debt level is under a close check and always remains at a manageable level. In this circumstance, Walmart can undergo debt restructuring or refinancing to benefit from low interest rates or a change in borrowing terms</w:t>
      </w:r>
      <w:r>
        <w:rPr>
          <w:sz w:val="24"/>
          <w:szCs w:val="24"/>
        </w:rPr>
        <w:t xml:space="preserve"> </w:t>
      </w:r>
      <w:r w:rsidRPr="00E07146">
        <w:rPr>
          <w:bCs/>
          <w:sz w:val="24"/>
          <w:szCs w:val="24"/>
        </w:rPr>
        <w:t xml:space="preserve">(Shapiro and </w:t>
      </w:r>
      <w:proofErr w:type="spellStart"/>
      <w:r w:rsidRPr="00E07146">
        <w:rPr>
          <w:bCs/>
          <w:sz w:val="24"/>
          <w:szCs w:val="24"/>
        </w:rPr>
        <w:t>Hanouna</w:t>
      </w:r>
      <w:proofErr w:type="spellEnd"/>
      <w:r w:rsidRPr="00E07146">
        <w:rPr>
          <w:bCs/>
          <w:sz w:val="24"/>
          <w:szCs w:val="24"/>
        </w:rPr>
        <w:t>, 2019)</w:t>
      </w:r>
      <w:r w:rsidRPr="006E3436">
        <w:rPr>
          <w:sz w:val="24"/>
          <w:szCs w:val="24"/>
        </w:rPr>
        <w:t>.</w:t>
      </w:r>
    </w:p>
    <w:p w14:paraId="62449923" w14:textId="77777777" w:rsidR="001013C0" w:rsidRPr="006E3436" w:rsidRDefault="001013C0" w:rsidP="001013C0">
      <w:pPr>
        <w:spacing w:line="276" w:lineRule="auto"/>
        <w:jc w:val="both"/>
        <w:rPr>
          <w:sz w:val="24"/>
          <w:szCs w:val="24"/>
        </w:rPr>
      </w:pPr>
      <w:r w:rsidRPr="006E3436">
        <w:rPr>
          <w:sz w:val="24"/>
          <w:szCs w:val="24"/>
        </w:rPr>
        <w:t>That is, the firm has the responsibility to make sure that there is a healthy balance of its debt financing with equity financing, not to over-leverage.</w:t>
      </w:r>
    </w:p>
    <w:p w14:paraId="7CB3D078" w14:textId="532CB13E" w:rsidR="001013C0" w:rsidRPr="006E3436" w:rsidRDefault="008F3B5E" w:rsidP="001013C0">
      <w:pPr>
        <w:spacing w:line="276" w:lineRule="auto"/>
        <w:jc w:val="both"/>
        <w:rPr>
          <w:sz w:val="24"/>
          <w:szCs w:val="24"/>
        </w:rPr>
      </w:pPr>
      <w:r w:rsidRPr="005F6673">
        <w:rPr>
          <w:b/>
          <w:sz w:val="24"/>
          <w:szCs w:val="24"/>
        </w:rPr>
        <w:t>Maximi</w:t>
      </w:r>
      <w:r>
        <w:rPr>
          <w:b/>
          <w:sz w:val="24"/>
          <w:szCs w:val="24"/>
        </w:rPr>
        <w:t>s</w:t>
      </w:r>
      <w:r w:rsidRPr="005F6673">
        <w:rPr>
          <w:b/>
          <w:sz w:val="24"/>
          <w:szCs w:val="24"/>
        </w:rPr>
        <w:t>er</w:t>
      </w:r>
      <w:r w:rsidR="001013C0" w:rsidRPr="005F6673">
        <w:rPr>
          <w:b/>
          <w:sz w:val="24"/>
          <w:szCs w:val="24"/>
        </w:rPr>
        <w:t xml:space="preserve"> Asset Utilization</w:t>
      </w:r>
      <w:r w:rsidR="001013C0" w:rsidRPr="006E3436">
        <w:rPr>
          <w:sz w:val="24"/>
          <w:szCs w:val="24"/>
        </w:rPr>
        <w:t>: The high ratio of asset turnover at Walmart indicates efficient use of assets. However, the company should continue looking at ways through which asset utilization can be further optimized. This may come from investments in technologies to enhance inventory management and/or re-engineering store layouts for improved customer flows—or even divestitures of underperforming assets.</w:t>
      </w:r>
    </w:p>
    <w:p w14:paraId="195175FF" w14:textId="77777777" w:rsidR="001013C0" w:rsidRPr="006E3436" w:rsidRDefault="001013C0" w:rsidP="001013C0">
      <w:pPr>
        <w:spacing w:line="276" w:lineRule="auto"/>
        <w:jc w:val="both"/>
        <w:rPr>
          <w:sz w:val="24"/>
          <w:szCs w:val="24"/>
        </w:rPr>
      </w:pPr>
      <w:r w:rsidRPr="005F6673">
        <w:rPr>
          <w:b/>
          <w:sz w:val="24"/>
          <w:szCs w:val="24"/>
        </w:rPr>
        <w:t>Focus on Strategic Investments</w:t>
      </w:r>
      <w:r w:rsidRPr="006E3436">
        <w:rPr>
          <w:sz w:val="24"/>
          <w:szCs w:val="24"/>
        </w:rPr>
        <w:t>: Walmart should focus its investments and continue in areas moving in line with long-term growth objectives, which include e-commerce, technology, and sustainability initiatives. Such a scale may allow the company to weigh every investment's merits and assure them of making a profit with competitive advantages</w:t>
      </w:r>
      <w:r>
        <w:rPr>
          <w:sz w:val="24"/>
          <w:szCs w:val="24"/>
        </w:rPr>
        <w:t xml:space="preserve"> </w:t>
      </w:r>
      <w:r w:rsidRPr="00E07146">
        <w:rPr>
          <w:sz w:val="24"/>
          <w:szCs w:val="24"/>
        </w:rPr>
        <w:t>(Chang et al., 2020).</w:t>
      </w:r>
    </w:p>
    <w:p w14:paraId="6528686A" w14:textId="77777777" w:rsidR="001013C0" w:rsidRPr="006E3436" w:rsidRDefault="001013C0" w:rsidP="001013C0">
      <w:pPr>
        <w:spacing w:line="276" w:lineRule="auto"/>
        <w:jc w:val="both"/>
        <w:rPr>
          <w:sz w:val="24"/>
          <w:szCs w:val="24"/>
        </w:rPr>
      </w:pPr>
      <w:r w:rsidRPr="005F6673">
        <w:rPr>
          <w:b/>
          <w:sz w:val="24"/>
          <w:szCs w:val="24"/>
        </w:rPr>
        <w:t>Strengthen Financial Planning and Analysis</w:t>
      </w:r>
      <w:r w:rsidRPr="006E3436">
        <w:rPr>
          <w:sz w:val="24"/>
          <w:szCs w:val="24"/>
        </w:rPr>
        <w:t>: The Company should improve the quality of its financial planning and analytical capabilities in order to be able to forecast future financial performance better and even identify some of the risks that may be forthcoming. Use of advanced analytics tools and development of sophisticated financial models may be part of it. This will help in streamlining the financial management of Walmart and improving its overall financial performance for a better position towards success in the competitive industry of retail</w:t>
      </w:r>
      <w:r>
        <w:rPr>
          <w:sz w:val="24"/>
          <w:szCs w:val="24"/>
        </w:rPr>
        <w:t xml:space="preserve"> </w:t>
      </w:r>
      <w:r w:rsidRPr="00E07146">
        <w:rPr>
          <w:bCs/>
          <w:sz w:val="24"/>
          <w:szCs w:val="24"/>
        </w:rPr>
        <w:t xml:space="preserve">(Shapiro and </w:t>
      </w:r>
      <w:proofErr w:type="spellStart"/>
      <w:r w:rsidRPr="00E07146">
        <w:rPr>
          <w:bCs/>
          <w:sz w:val="24"/>
          <w:szCs w:val="24"/>
        </w:rPr>
        <w:t>Hanouna</w:t>
      </w:r>
      <w:proofErr w:type="spellEnd"/>
      <w:r w:rsidRPr="00E07146">
        <w:rPr>
          <w:bCs/>
          <w:sz w:val="24"/>
          <w:szCs w:val="24"/>
        </w:rPr>
        <w:t>, 2019)</w:t>
      </w:r>
      <w:r w:rsidRPr="006E3436">
        <w:rPr>
          <w:sz w:val="24"/>
          <w:szCs w:val="24"/>
        </w:rPr>
        <w:t>.</w:t>
      </w:r>
    </w:p>
    <w:p w14:paraId="5A3A8DDD" w14:textId="77777777" w:rsidR="001013C0" w:rsidRDefault="001013C0" w:rsidP="001013C0">
      <w:pPr>
        <w:pStyle w:val="Heading1"/>
        <w:numPr>
          <w:ilvl w:val="0"/>
          <w:numId w:val="7"/>
        </w:numPr>
        <w:tabs>
          <w:tab w:val="num" w:pos="360"/>
        </w:tabs>
        <w:ind w:left="0" w:firstLine="0"/>
        <w:rPr>
          <w:b/>
          <w:color w:val="000000" w:themeColor="text1"/>
        </w:rPr>
      </w:pPr>
      <w:bookmarkStart w:id="22" w:name="_Toc164718606"/>
      <w:r w:rsidRPr="005B24B4">
        <w:rPr>
          <w:b/>
          <w:color w:val="000000" w:themeColor="text1"/>
        </w:rPr>
        <w:t>Calculation of PBP, ARR and NPV</w:t>
      </w:r>
      <w:bookmarkEnd w:id="22"/>
      <w:r w:rsidRPr="005B24B4">
        <w:rPr>
          <w:b/>
          <w:color w:val="000000" w:themeColor="text1"/>
        </w:rPr>
        <w:t xml:space="preserve"> </w:t>
      </w:r>
    </w:p>
    <w:p w14:paraId="13612B95" w14:textId="77777777" w:rsidR="001013C0" w:rsidRPr="005B24B4" w:rsidRDefault="001013C0" w:rsidP="001013C0"/>
    <w:p w14:paraId="11D1B3DF" w14:textId="77777777" w:rsidR="001013C0" w:rsidRDefault="001013C0" w:rsidP="001013C0">
      <w:pPr>
        <w:pStyle w:val="Heading2"/>
        <w:numPr>
          <w:ilvl w:val="1"/>
          <w:numId w:val="7"/>
        </w:numPr>
        <w:tabs>
          <w:tab w:val="num" w:pos="360"/>
        </w:tabs>
        <w:ind w:left="0" w:firstLine="0"/>
        <w:rPr>
          <w:b/>
          <w:color w:val="000000" w:themeColor="text1"/>
        </w:rPr>
      </w:pPr>
      <w:bookmarkStart w:id="23" w:name="_Toc164718607"/>
      <w:r w:rsidRPr="005B24B4">
        <w:rPr>
          <w:b/>
          <w:color w:val="000000" w:themeColor="text1"/>
        </w:rPr>
        <w:t>Project A:</w:t>
      </w:r>
      <w:bookmarkEnd w:id="23"/>
    </w:p>
    <w:p w14:paraId="34EE2317" w14:textId="77777777" w:rsidR="001013C0" w:rsidRPr="005B24B4" w:rsidRDefault="001013C0" w:rsidP="001013C0"/>
    <w:p w14:paraId="2EC50239" w14:textId="77777777" w:rsidR="001013C0" w:rsidRPr="006E3436" w:rsidRDefault="001013C0" w:rsidP="001013C0">
      <w:pPr>
        <w:spacing w:line="276" w:lineRule="auto"/>
        <w:jc w:val="both"/>
        <w:rPr>
          <w:sz w:val="24"/>
          <w:szCs w:val="24"/>
        </w:rPr>
      </w:pPr>
      <w:r>
        <w:rPr>
          <w:b/>
          <w:bCs/>
          <w:sz w:val="24"/>
          <w:szCs w:val="24"/>
        </w:rPr>
        <w:lastRenderedPageBreak/>
        <w:t xml:space="preserve">  </w:t>
      </w:r>
      <w:r w:rsidRPr="006E3436">
        <w:rPr>
          <w:b/>
          <w:bCs/>
          <w:sz w:val="24"/>
          <w:szCs w:val="24"/>
        </w:rPr>
        <w:t>Initial Investment:</w:t>
      </w:r>
      <w:r w:rsidRPr="006E3436">
        <w:rPr>
          <w:sz w:val="24"/>
          <w:szCs w:val="24"/>
        </w:rPr>
        <w:t xml:space="preserve"> £5,000 million</w:t>
      </w:r>
    </w:p>
    <w:p w14:paraId="56F30884" w14:textId="77777777" w:rsidR="001013C0" w:rsidRPr="006E3436" w:rsidRDefault="001013C0" w:rsidP="001013C0">
      <w:pPr>
        <w:spacing w:line="276" w:lineRule="auto"/>
        <w:jc w:val="both"/>
        <w:rPr>
          <w:sz w:val="24"/>
          <w:szCs w:val="24"/>
        </w:rPr>
      </w:pPr>
      <w:r>
        <w:rPr>
          <w:b/>
          <w:bCs/>
          <w:sz w:val="24"/>
          <w:szCs w:val="24"/>
        </w:rPr>
        <w:t xml:space="preserve">  </w:t>
      </w:r>
      <w:r w:rsidRPr="006E3436">
        <w:rPr>
          <w:b/>
          <w:bCs/>
          <w:sz w:val="24"/>
          <w:szCs w:val="24"/>
        </w:rPr>
        <w:t>Cash Flows:</w:t>
      </w:r>
    </w:p>
    <w:p w14:paraId="449A988E" w14:textId="77777777" w:rsidR="001013C0" w:rsidRPr="006E3436" w:rsidRDefault="001013C0" w:rsidP="001013C0">
      <w:pPr>
        <w:numPr>
          <w:ilvl w:val="0"/>
          <w:numId w:val="5"/>
        </w:numPr>
        <w:spacing w:line="276" w:lineRule="auto"/>
        <w:jc w:val="both"/>
        <w:rPr>
          <w:sz w:val="24"/>
          <w:szCs w:val="24"/>
        </w:rPr>
      </w:pPr>
      <w:r w:rsidRPr="006E3436">
        <w:rPr>
          <w:sz w:val="24"/>
          <w:szCs w:val="24"/>
        </w:rPr>
        <w:t>Year 0: -£5,000 million</w:t>
      </w:r>
    </w:p>
    <w:p w14:paraId="79DB48F0" w14:textId="77777777" w:rsidR="001013C0" w:rsidRPr="006E3436" w:rsidRDefault="001013C0" w:rsidP="001013C0">
      <w:pPr>
        <w:numPr>
          <w:ilvl w:val="0"/>
          <w:numId w:val="5"/>
        </w:numPr>
        <w:spacing w:line="276" w:lineRule="auto"/>
        <w:jc w:val="both"/>
        <w:rPr>
          <w:sz w:val="24"/>
          <w:szCs w:val="24"/>
        </w:rPr>
      </w:pPr>
      <w:r w:rsidRPr="006E3436">
        <w:rPr>
          <w:sz w:val="24"/>
          <w:szCs w:val="24"/>
        </w:rPr>
        <w:t>Year 1: £2,500 million</w:t>
      </w:r>
    </w:p>
    <w:p w14:paraId="6C8A18B8" w14:textId="77777777" w:rsidR="001013C0" w:rsidRPr="006E3436" w:rsidRDefault="001013C0" w:rsidP="001013C0">
      <w:pPr>
        <w:numPr>
          <w:ilvl w:val="0"/>
          <w:numId w:val="5"/>
        </w:numPr>
        <w:spacing w:line="276" w:lineRule="auto"/>
        <w:jc w:val="both"/>
        <w:rPr>
          <w:sz w:val="24"/>
          <w:szCs w:val="24"/>
        </w:rPr>
      </w:pPr>
      <w:r w:rsidRPr="006E3436">
        <w:rPr>
          <w:sz w:val="24"/>
          <w:szCs w:val="24"/>
        </w:rPr>
        <w:t>Year 2: £2,000 million</w:t>
      </w:r>
    </w:p>
    <w:p w14:paraId="08E33CAA" w14:textId="77777777" w:rsidR="001013C0" w:rsidRPr="006E3436" w:rsidRDefault="001013C0" w:rsidP="001013C0">
      <w:pPr>
        <w:numPr>
          <w:ilvl w:val="0"/>
          <w:numId w:val="5"/>
        </w:numPr>
        <w:spacing w:line="276" w:lineRule="auto"/>
        <w:jc w:val="both"/>
        <w:rPr>
          <w:sz w:val="24"/>
          <w:szCs w:val="24"/>
        </w:rPr>
      </w:pPr>
      <w:r w:rsidRPr="006E3436">
        <w:rPr>
          <w:sz w:val="24"/>
          <w:szCs w:val="24"/>
        </w:rPr>
        <w:t>Year 3: £1,000 million</w:t>
      </w:r>
    </w:p>
    <w:p w14:paraId="109AF5F1" w14:textId="77777777" w:rsidR="001013C0" w:rsidRPr="006E3436" w:rsidRDefault="001013C0" w:rsidP="001013C0">
      <w:pPr>
        <w:numPr>
          <w:ilvl w:val="0"/>
          <w:numId w:val="5"/>
        </w:numPr>
        <w:spacing w:line="276" w:lineRule="auto"/>
        <w:jc w:val="both"/>
        <w:rPr>
          <w:sz w:val="24"/>
          <w:szCs w:val="24"/>
        </w:rPr>
      </w:pPr>
      <w:r w:rsidRPr="006E3436">
        <w:rPr>
          <w:sz w:val="24"/>
          <w:szCs w:val="24"/>
        </w:rPr>
        <w:t>Year 4: -£442 million</w:t>
      </w:r>
    </w:p>
    <w:p w14:paraId="23D9CA29" w14:textId="77777777" w:rsidR="001013C0" w:rsidRPr="006E3436" w:rsidRDefault="001013C0" w:rsidP="001013C0">
      <w:pPr>
        <w:spacing w:line="276" w:lineRule="auto"/>
        <w:ind w:left="360"/>
        <w:jc w:val="both"/>
        <w:rPr>
          <w:sz w:val="24"/>
          <w:szCs w:val="24"/>
        </w:rPr>
      </w:pPr>
      <w:r w:rsidRPr="006E3436">
        <w:rPr>
          <w:b/>
          <w:bCs/>
          <w:sz w:val="24"/>
          <w:szCs w:val="24"/>
        </w:rPr>
        <w:t>Cost of Capital:</w:t>
      </w:r>
      <w:r w:rsidRPr="006E3436">
        <w:rPr>
          <w:sz w:val="24"/>
          <w:szCs w:val="24"/>
        </w:rPr>
        <w:t xml:space="preserve"> 0.75%</w:t>
      </w:r>
    </w:p>
    <w:p w14:paraId="752D55CB" w14:textId="77777777" w:rsidR="001013C0" w:rsidRPr="006E3436" w:rsidRDefault="001013C0" w:rsidP="001013C0">
      <w:pPr>
        <w:spacing w:line="276" w:lineRule="auto"/>
        <w:ind w:left="360"/>
        <w:jc w:val="both"/>
        <w:rPr>
          <w:sz w:val="24"/>
          <w:szCs w:val="24"/>
        </w:rPr>
      </w:pPr>
      <w:r w:rsidRPr="006E3436">
        <w:rPr>
          <w:b/>
          <w:bCs/>
          <w:sz w:val="24"/>
          <w:szCs w:val="24"/>
        </w:rPr>
        <w:t>Payback Period (PBP):</w:t>
      </w:r>
      <w:r w:rsidRPr="006E3436">
        <w:rPr>
          <w:sz w:val="24"/>
          <w:szCs w:val="24"/>
        </w:rPr>
        <w:t xml:space="preserve"> The Payback Period is the time it takes for the project to repay its initial investment.</w:t>
      </w:r>
    </w:p>
    <w:p w14:paraId="674130D9" w14:textId="77777777" w:rsidR="001013C0" w:rsidRPr="006E3436" w:rsidRDefault="001013C0" w:rsidP="001013C0">
      <w:pPr>
        <w:spacing w:line="276" w:lineRule="auto"/>
        <w:ind w:left="1080"/>
        <w:jc w:val="both"/>
        <w:rPr>
          <w:sz w:val="24"/>
          <w:szCs w:val="24"/>
        </w:rPr>
      </w:pPr>
      <w:r w:rsidRPr="006E3436">
        <w:rPr>
          <w:sz w:val="24"/>
          <w:szCs w:val="24"/>
        </w:rPr>
        <w:t>Year 0: -£5000</w:t>
      </w:r>
    </w:p>
    <w:p w14:paraId="4AFBE872" w14:textId="77777777" w:rsidR="001013C0" w:rsidRPr="006E3436" w:rsidRDefault="001013C0" w:rsidP="001013C0">
      <w:pPr>
        <w:spacing w:line="276" w:lineRule="auto"/>
        <w:ind w:left="1080"/>
        <w:jc w:val="both"/>
        <w:rPr>
          <w:sz w:val="24"/>
          <w:szCs w:val="24"/>
        </w:rPr>
      </w:pPr>
      <w:r w:rsidRPr="006E3436">
        <w:rPr>
          <w:sz w:val="24"/>
          <w:szCs w:val="24"/>
        </w:rPr>
        <w:t>Year 1: -£5000 + £2500 = -£2500</w:t>
      </w:r>
    </w:p>
    <w:p w14:paraId="3D1141AB" w14:textId="77777777" w:rsidR="001013C0" w:rsidRPr="006E3436" w:rsidRDefault="001013C0" w:rsidP="001013C0">
      <w:pPr>
        <w:spacing w:line="276" w:lineRule="auto"/>
        <w:ind w:left="1080"/>
        <w:jc w:val="both"/>
        <w:rPr>
          <w:sz w:val="24"/>
          <w:szCs w:val="24"/>
        </w:rPr>
      </w:pPr>
      <w:r w:rsidRPr="006E3436">
        <w:rPr>
          <w:sz w:val="24"/>
          <w:szCs w:val="24"/>
        </w:rPr>
        <w:t>Year 2: -£2500 + £2000 = -£500</w:t>
      </w:r>
    </w:p>
    <w:p w14:paraId="5A11184F" w14:textId="77777777" w:rsidR="001013C0" w:rsidRPr="006E3436" w:rsidRDefault="001013C0" w:rsidP="001013C0">
      <w:pPr>
        <w:spacing w:line="276" w:lineRule="auto"/>
        <w:ind w:left="1080"/>
        <w:jc w:val="both"/>
        <w:rPr>
          <w:sz w:val="24"/>
          <w:szCs w:val="24"/>
        </w:rPr>
      </w:pPr>
      <w:r w:rsidRPr="006E3436">
        <w:rPr>
          <w:sz w:val="24"/>
          <w:szCs w:val="24"/>
        </w:rPr>
        <w:t>Year 3: -£500 + £1000 = £500</w:t>
      </w:r>
    </w:p>
    <w:p w14:paraId="5CDE6AB6" w14:textId="77777777" w:rsidR="001013C0" w:rsidRPr="006E3436" w:rsidRDefault="001013C0" w:rsidP="001013C0">
      <w:pPr>
        <w:spacing w:line="276" w:lineRule="auto"/>
        <w:ind w:left="360"/>
        <w:jc w:val="both"/>
        <w:rPr>
          <w:sz w:val="24"/>
          <w:szCs w:val="24"/>
        </w:rPr>
      </w:pPr>
      <w:r w:rsidRPr="006E3436">
        <w:rPr>
          <w:sz w:val="24"/>
          <w:szCs w:val="24"/>
        </w:rPr>
        <w:t>Payback Period for Project A = 2 years + (£500/£1000) = 2.5 years</w:t>
      </w:r>
    </w:p>
    <w:p w14:paraId="5BB0A40E" w14:textId="77777777" w:rsidR="001013C0" w:rsidRPr="006E3436" w:rsidRDefault="001013C0" w:rsidP="001013C0">
      <w:pPr>
        <w:spacing w:line="276" w:lineRule="auto"/>
        <w:ind w:left="360"/>
        <w:jc w:val="both"/>
        <w:rPr>
          <w:sz w:val="24"/>
          <w:szCs w:val="24"/>
        </w:rPr>
      </w:pPr>
      <w:r w:rsidRPr="006E3436">
        <w:rPr>
          <w:b/>
          <w:bCs/>
          <w:sz w:val="24"/>
          <w:szCs w:val="24"/>
        </w:rPr>
        <w:t>Accounting Rate of Return (ARR):</w:t>
      </w:r>
      <w:r w:rsidRPr="006E3436">
        <w:rPr>
          <w:sz w:val="24"/>
          <w:szCs w:val="24"/>
        </w:rPr>
        <w:t xml:space="preserve"> ARR = (Average Annual Profit / Initial Investment) x 100</w:t>
      </w:r>
    </w:p>
    <w:p w14:paraId="2292820F" w14:textId="77777777" w:rsidR="001013C0" w:rsidRPr="006E3436" w:rsidRDefault="001013C0" w:rsidP="001013C0">
      <w:pPr>
        <w:spacing w:line="276" w:lineRule="auto"/>
        <w:ind w:left="1080"/>
        <w:jc w:val="both"/>
        <w:rPr>
          <w:sz w:val="24"/>
          <w:szCs w:val="24"/>
        </w:rPr>
      </w:pPr>
      <w:r w:rsidRPr="006E3436">
        <w:rPr>
          <w:sz w:val="24"/>
          <w:szCs w:val="24"/>
        </w:rPr>
        <w:t>Average Annual Profit = (2500 + 2000 + 1000 - 442) / 4 = 1264.5</w:t>
      </w:r>
    </w:p>
    <w:p w14:paraId="69942C2C" w14:textId="77777777" w:rsidR="001013C0" w:rsidRPr="006E3436" w:rsidRDefault="001013C0" w:rsidP="001013C0">
      <w:pPr>
        <w:spacing w:line="276" w:lineRule="auto"/>
        <w:ind w:left="1080"/>
        <w:jc w:val="both"/>
        <w:rPr>
          <w:sz w:val="24"/>
          <w:szCs w:val="24"/>
        </w:rPr>
      </w:pPr>
      <w:r w:rsidRPr="006E3436">
        <w:rPr>
          <w:sz w:val="24"/>
          <w:szCs w:val="24"/>
        </w:rPr>
        <w:t>ARR for Project A = (£1264.5 / £5000) x 100 = 25.29%</w:t>
      </w:r>
    </w:p>
    <w:p w14:paraId="746F930F" w14:textId="77777777" w:rsidR="001013C0" w:rsidRPr="006E3436" w:rsidRDefault="001013C0" w:rsidP="001013C0">
      <w:pPr>
        <w:spacing w:line="276" w:lineRule="auto"/>
        <w:ind w:left="360"/>
        <w:jc w:val="both"/>
        <w:rPr>
          <w:sz w:val="24"/>
          <w:szCs w:val="24"/>
        </w:rPr>
      </w:pPr>
      <w:r w:rsidRPr="006E3436">
        <w:rPr>
          <w:b/>
          <w:bCs/>
          <w:sz w:val="24"/>
          <w:szCs w:val="24"/>
        </w:rPr>
        <w:t>Net Present Value (NPV):</w:t>
      </w:r>
      <w:r w:rsidRPr="006E3436">
        <w:rPr>
          <w:sz w:val="24"/>
          <w:szCs w:val="24"/>
        </w:rPr>
        <w:t xml:space="preserve"> NPV = Σ (Cash flow / (1 + r)^t) - Initial Investment, where r is the discount rate (cost of capital) and t is the time period.</w:t>
      </w:r>
    </w:p>
    <w:p w14:paraId="7769A90C" w14:textId="77777777" w:rsidR="001013C0" w:rsidRPr="006E3436" w:rsidRDefault="001013C0" w:rsidP="001013C0">
      <w:pPr>
        <w:spacing w:line="276" w:lineRule="auto"/>
        <w:ind w:left="1080"/>
        <w:jc w:val="both"/>
        <w:rPr>
          <w:sz w:val="24"/>
          <w:szCs w:val="24"/>
        </w:rPr>
      </w:pPr>
      <w:r w:rsidRPr="006E3436">
        <w:rPr>
          <w:sz w:val="24"/>
          <w:szCs w:val="24"/>
        </w:rPr>
        <w:t>NPV = -5000 + (2500 / (1 + 0.0075)^1) + (2000 / (1 + 0.0075)^2) + (1000 / (1 + 0.0075)^3) - (442 / (1 + 0.0075)^4)</w:t>
      </w:r>
    </w:p>
    <w:p w14:paraId="2B872247" w14:textId="77777777" w:rsidR="001013C0" w:rsidRPr="006E3436" w:rsidRDefault="001013C0" w:rsidP="001013C0">
      <w:pPr>
        <w:spacing w:line="276" w:lineRule="auto"/>
        <w:ind w:left="1800"/>
        <w:jc w:val="both"/>
        <w:rPr>
          <w:sz w:val="24"/>
          <w:szCs w:val="24"/>
        </w:rPr>
      </w:pPr>
      <w:r w:rsidRPr="006E3436">
        <w:rPr>
          <w:sz w:val="24"/>
          <w:szCs w:val="24"/>
        </w:rPr>
        <w:t>NPV ≈ -£5,000 + £2,482.14 + £1,980.29 + £988.14 - £438.04</w:t>
      </w:r>
    </w:p>
    <w:p w14:paraId="7A3ACD70" w14:textId="77777777" w:rsidR="001013C0" w:rsidRDefault="001013C0" w:rsidP="001013C0">
      <w:pPr>
        <w:spacing w:line="276" w:lineRule="auto"/>
        <w:ind w:left="1800"/>
        <w:jc w:val="both"/>
        <w:rPr>
          <w:sz w:val="24"/>
          <w:szCs w:val="24"/>
        </w:rPr>
      </w:pPr>
      <w:r w:rsidRPr="006E3436">
        <w:rPr>
          <w:sz w:val="24"/>
          <w:szCs w:val="24"/>
        </w:rPr>
        <w:t>NPV ≈ £12.53 million</w:t>
      </w:r>
    </w:p>
    <w:p w14:paraId="3CE8451D" w14:textId="77777777" w:rsidR="001013C0" w:rsidRPr="006E3436" w:rsidRDefault="001013C0" w:rsidP="001013C0">
      <w:pPr>
        <w:spacing w:line="276" w:lineRule="auto"/>
        <w:ind w:left="1800"/>
        <w:jc w:val="both"/>
        <w:rPr>
          <w:sz w:val="24"/>
          <w:szCs w:val="24"/>
        </w:rPr>
      </w:pPr>
    </w:p>
    <w:p w14:paraId="35B03417" w14:textId="77777777" w:rsidR="001013C0" w:rsidRDefault="001013C0" w:rsidP="001013C0">
      <w:pPr>
        <w:pStyle w:val="Heading2"/>
        <w:numPr>
          <w:ilvl w:val="1"/>
          <w:numId w:val="7"/>
        </w:numPr>
        <w:tabs>
          <w:tab w:val="num" w:pos="360"/>
        </w:tabs>
        <w:ind w:left="0" w:firstLine="0"/>
        <w:rPr>
          <w:b/>
          <w:color w:val="000000" w:themeColor="text1"/>
        </w:rPr>
      </w:pPr>
      <w:bookmarkStart w:id="24" w:name="_Toc164718608"/>
      <w:r w:rsidRPr="005B24B4">
        <w:rPr>
          <w:b/>
          <w:color w:val="000000" w:themeColor="text1"/>
        </w:rPr>
        <w:t>Project B</w:t>
      </w:r>
      <w:bookmarkEnd w:id="24"/>
    </w:p>
    <w:p w14:paraId="43CB25EE" w14:textId="77777777" w:rsidR="001013C0" w:rsidRPr="005B24B4" w:rsidRDefault="001013C0" w:rsidP="001013C0"/>
    <w:p w14:paraId="637AF18D" w14:textId="77777777" w:rsidR="001013C0" w:rsidRPr="006E3436" w:rsidRDefault="001013C0" w:rsidP="001013C0">
      <w:pPr>
        <w:spacing w:line="276" w:lineRule="auto"/>
        <w:ind w:left="360"/>
        <w:jc w:val="both"/>
        <w:rPr>
          <w:sz w:val="24"/>
          <w:szCs w:val="24"/>
        </w:rPr>
      </w:pPr>
      <w:r w:rsidRPr="006E3436">
        <w:rPr>
          <w:b/>
          <w:bCs/>
          <w:sz w:val="24"/>
          <w:szCs w:val="24"/>
        </w:rPr>
        <w:t>Cash Flows for Project B:</w:t>
      </w:r>
    </w:p>
    <w:p w14:paraId="7E91A31B" w14:textId="77777777" w:rsidR="001013C0" w:rsidRPr="006E3436" w:rsidRDefault="001013C0" w:rsidP="001013C0">
      <w:pPr>
        <w:numPr>
          <w:ilvl w:val="0"/>
          <w:numId w:val="1"/>
        </w:numPr>
        <w:tabs>
          <w:tab w:val="clear" w:pos="720"/>
          <w:tab w:val="num" w:pos="1080"/>
        </w:tabs>
        <w:spacing w:line="276" w:lineRule="auto"/>
        <w:ind w:left="1080"/>
        <w:jc w:val="both"/>
        <w:rPr>
          <w:sz w:val="24"/>
          <w:szCs w:val="24"/>
        </w:rPr>
      </w:pPr>
      <w:r w:rsidRPr="006E3436">
        <w:rPr>
          <w:sz w:val="24"/>
          <w:szCs w:val="24"/>
        </w:rPr>
        <w:lastRenderedPageBreak/>
        <w:t>Year 0: -1000</w:t>
      </w:r>
    </w:p>
    <w:p w14:paraId="342B50CC" w14:textId="77777777" w:rsidR="001013C0" w:rsidRPr="006E3436" w:rsidRDefault="001013C0" w:rsidP="001013C0">
      <w:pPr>
        <w:numPr>
          <w:ilvl w:val="0"/>
          <w:numId w:val="1"/>
        </w:numPr>
        <w:tabs>
          <w:tab w:val="clear" w:pos="720"/>
          <w:tab w:val="num" w:pos="1080"/>
        </w:tabs>
        <w:spacing w:line="276" w:lineRule="auto"/>
        <w:ind w:left="1080"/>
        <w:jc w:val="both"/>
        <w:rPr>
          <w:sz w:val="24"/>
          <w:szCs w:val="24"/>
        </w:rPr>
      </w:pPr>
      <w:r w:rsidRPr="006E3436">
        <w:rPr>
          <w:sz w:val="24"/>
          <w:szCs w:val="24"/>
        </w:rPr>
        <w:t>Year 1: 1500</w:t>
      </w:r>
    </w:p>
    <w:p w14:paraId="7CC7840A" w14:textId="77777777" w:rsidR="001013C0" w:rsidRPr="006E3436" w:rsidRDefault="001013C0" w:rsidP="001013C0">
      <w:pPr>
        <w:numPr>
          <w:ilvl w:val="0"/>
          <w:numId w:val="1"/>
        </w:numPr>
        <w:tabs>
          <w:tab w:val="clear" w:pos="720"/>
          <w:tab w:val="num" w:pos="1080"/>
        </w:tabs>
        <w:spacing w:line="276" w:lineRule="auto"/>
        <w:ind w:left="1080"/>
        <w:jc w:val="both"/>
        <w:rPr>
          <w:sz w:val="24"/>
          <w:szCs w:val="24"/>
        </w:rPr>
      </w:pPr>
      <w:r w:rsidRPr="006E3436">
        <w:rPr>
          <w:sz w:val="24"/>
          <w:szCs w:val="24"/>
        </w:rPr>
        <w:t>Year 2: 1000</w:t>
      </w:r>
    </w:p>
    <w:p w14:paraId="0D215CFC" w14:textId="77777777" w:rsidR="001013C0" w:rsidRPr="006E3436" w:rsidRDefault="001013C0" w:rsidP="001013C0">
      <w:pPr>
        <w:numPr>
          <w:ilvl w:val="0"/>
          <w:numId w:val="1"/>
        </w:numPr>
        <w:tabs>
          <w:tab w:val="clear" w:pos="720"/>
          <w:tab w:val="num" w:pos="1080"/>
        </w:tabs>
        <w:spacing w:line="276" w:lineRule="auto"/>
        <w:ind w:left="1080"/>
        <w:jc w:val="both"/>
        <w:rPr>
          <w:sz w:val="24"/>
          <w:szCs w:val="24"/>
        </w:rPr>
      </w:pPr>
      <w:r w:rsidRPr="006E3436">
        <w:rPr>
          <w:sz w:val="24"/>
          <w:szCs w:val="24"/>
        </w:rPr>
        <w:t>Year 3: 1000</w:t>
      </w:r>
    </w:p>
    <w:p w14:paraId="53F8F202" w14:textId="77777777" w:rsidR="001013C0" w:rsidRPr="006E3436" w:rsidRDefault="001013C0" w:rsidP="001013C0">
      <w:pPr>
        <w:numPr>
          <w:ilvl w:val="0"/>
          <w:numId w:val="1"/>
        </w:numPr>
        <w:tabs>
          <w:tab w:val="clear" w:pos="720"/>
          <w:tab w:val="num" w:pos="1080"/>
        </w:tabs>
        <w:spacing w:line="276" w:lineRule="auto"/>
        <w:ind w:left="1080"/>
        <w:jc w:val="both"/>
        <w:rPr>
          <w:sz w:val="24"/>
          <w:szCs w:val="24"/>
        </w:rPr>
      </w:pPr>
      <w:r w:rsidRPr="006E3436">
        <w:rPr>
          <w:sz w:val="24"/>
          <w:szCs w:val="24"/>
        </w:rPr>
        <w:t>Year 4: -470</w:t>
      </w:r>
    </w:p>
    <w:p w14:paraId="106914FD" w14:textId="77777777" w:rsidR="001013C0" w:rsidRPr="006E3436" w:rsidRDefault="001013C0" w:rsidP="001013C0">
      <w:pPr>
        <w:spacing w:line="276" w:lineRule="auto"/>
        <w:ind w:left="360"/>
        <w:jc w:val="both"/>
        <w:rPr>
          <w:sz w:val="24"/>
          <w:szCs w:val="24"/>
        </w:rPr>
      </w:pPr>
      <w:r w:rsidRPr="006E3436">
        <w:rPr>
          <w:b/>
          <w:bCs/>
          <w:sz w:val="24"/>
          <w:szCs w:val="24"/>
        </w:rPr>
        <w:t>Cost of Capital:</w:t>
      </w:r>
      <w:r w:rsidRPr="006E3436">
        <w:rPr>
          <w:sz w:val="24"/>
          <w:szCs w:val="24"/>
        </w:rPr>
        <w:t xml:space="preserve"> 0.75%</w:t>
      </w:r>
    </w:p>
    <w:p w14:paraId="2A56F4B8" w14:textId="77777777" w:rsidR="001013C0" w:rsidRPr="006E3436" w:rsidRDefault="001013C0" w:rsidP="001013C0">
      <w:pPr>
        <w:spacing w:line="276" w:lineRule="auto"/>
        <w:ind w:left="360"/>
        <w:jc w:val="both"/>
        <w:rPr>
          <w:sz w:val="24"/>
          <w:szCs w:val="24"/>
        </w:rPr>
      </w:pPr>
      <w:r w:rsidRPr="006E3436">
        <w:rPr>
          <w:b/>
          <w:bCs/>
          <w:sz w:val="24"/>
          <w:szCs w:val="24"/>
        </w:rPr>
        <w:t>Payback Period (PBP) for Project B:</w:t>
      </w:r>
    </w:p>
    <w:p w14:paraId="64F70345" w14:textId="77777777" w:rsidR="001013C0" w:rsidRPr="006E3436" w:rsidRDefault="001013C0" w:rsidP="001013C0">
      <w:pPr>
        <w:numPr>
          <w:ilvl w:val="0"/>
          <w:numId w:val="2"/>
        </w:numPr>
        <w:tabs>
          <w:tab w:val="clear" w:pos="720"/>
          <w:tab w:val="num" w:pos="1080"/>
        </w:tabs>
        <w:spacing w:line="276" w:lineRule="auto"/>
        <w:ind w:left="1080"/>
        <w:jc w:val="both"/>
        <w:rPr>
          <w:sz w:val="24"/>
          <w:szCs w:val="24"/>
        </w:rPr>
      </w:pPr>
      <w:r w:rsidRPr="006E3436">
        <w:rPr>
          <w:sz w:val="24"/>
          <w:szCs w:val="24"/>
        </w:rPr>
        <w:t>Year 0: -1000</w:t>
      </w:r>
    </w:p>
    <w:p w14:paraId="73455265" w14:textId="77777777" w:rsidR="001013C0" w:rsidRPr="006E3436" w:rsidRDefault="001013C0" w:rsidP="001013C0">
      <w:pPr>
        <w:numPr>
          <w:ilvl w:val="0"/>
          <w:numId w:val="2"/>
        </w:numPr>
        <w:tabs>
          <w:tab w:val="clear" w:pos="720"/>
          <w:tab w:val="num" w:pos="1080"/>
        </w:tabs>
        <w:spacing w:line="276" w:lineRule="auto"/>
        <w:ind w:left="1080"/>
        <w:jc w:val="both"/>
        <w:rPr>
          <w:sz w:val="24"/>
          <w:szCs w:val="24"/>
        </w:rPr>
      </w:pPr>
      <w:r w:rsidRPr="006E3436">
        <w:rPr>
          <w:sz w:val="24"/>
          <w:szCs w:val="24"/>
        </w:rPr>
        <w:t>Year 1: -1000 + 1500 = 500 (Payback achieved in Year 1)</w:t>
      </w:r>
    </w:p>
    <w:p w14:paraId="4576CED9" w14:textId="77777777" w:rsidR="001013C0" w:rsidRPr="006E3436" w:rsidRDefault="001013C0" w:rsidP="001013C0">
      <w:pPr>
        <w:spacing w:line="276" w:lineRule="auto"/>
        <w:ind w:left="360"/>
        <w:jc w:val="both"/>
        <w:rPr>
          <w:sz w:val="24"/>
          <w:szCs w:val="24"/>
        </w:rPr>
      </w:pPr>
      <w:r w:rsidRPr="006E3436">
        <w:rPr>
          <w:b/>
          <w:bCs/>
          <w:sz w:val="24"/>
          <w:szCs w:val="24"/>
        </w:rPr>
        <w:t>Accounting Rate of Return (ARR) for Project B:</w:t>
      </w:r>
    </w:p>
    <w:p w14:paraId="79EA32DF" w14:textId="77777777" w:rsidR="001013C0" w:rsidRPr="006E3436" w:rsidRDefault="001013C0" w:rsidP="001013C0">
      <w:pPr>
        <w:numPr>
          <w:ilvl w:val="0"/>
          <w:numId w:val="3"/>
        </w:numPr>
        <w:tabs>
          <w:tab w:val="clear" w:pos="720"/>
          <w:tab w:val="num" w:pos="1080"/>
        </w:tabs>
        <w:spacing w:line="276" w:lineRule="auto"/>
        <w:ind w:left="1080"/>
        <w:jc w:val="both"/>
        <w:rPr>
          <w:sz w:val="24"/>
          <w:szCs w:val="24"/>
        </w:rPr>
      </w:pPr>
      <w:r w:rsidRPr="006E3436">
        <w:rPr>
          <w:sz w:val="24"/>
          <w:szCs w:val="24"/>
        </w:rPr>
        <w:t>Average Annual Profit = (1500 + 1000 + 1000 - 470 ) / 4 = 757.5</w:t>
      </w:r>
    </w:p>
    <w:p w14:paraId="28AE7F43" w14:textId="77777777" w:rsidR="001013C0" w:rsidRPr="006E3436" w:rsidRDefault="001013C0" w:rsidP="001013C0">
      <w:pPr>
        <w:numPr>
          <w:ilvl w:val="0"/>
          <w:numId w:val="3"/>
        </w:numPr>
        <w:tabs>
          <w:tab w:val="clear" w:pos="720"/>
          <w:tab w:val="num" w:pos="1080"/>
        </w:tabs>
        <w:spacing w:line="276" w:lineRule="auto"/>
        <w:ind w:left="1080"/>
        <w:jc w:val="both"/>
        <w:rPr>
          <w:sz w:val="24"/>
          <w:szCs w:val="24"/>
        </w:rPr>
      </w:pPr>
      <w:r w:rsidRPr="006E3436">
        <w:rPr>
          <w:sz w:val="24"/>
          <w:szCs w:val="24"/>
        </w:rPr>
        <w:t>ARR = (507.5 / 1000) * 100 = 75.75%</w:t>
      </w:r>
    </w:p>
    <w:p w14:paraId="4954F6B2" w14:textId="77777777" w:rsidR="001013C0" w:rsidRPr="006E3436" w:rsidRDefault="001013C0" w:rsidP="001013C0">
      <w:pPr>
        <w:spacing w:line="276" w:lineRule="auto"/>
        <w:ind w:left="360"/>
        <w:jc w:val="both"/>
        <w:rPr>
          <w:sz w:val="24"/>
          <w:szCs w:val="24"/>
        </w:rPr>
      </w:pPr>
      <w:r w:rsidRPr="006E3436">
        <w:rPr>
          <w:b/>
          <w:bCs/>
          <w:sz w:val="24"/>
          <w:szCs w:val="24"/>
        </w:rPr>
        <w:t>Net Present Value (NPV) for Project B:</w:t>
      </w:r>
    </w:p>
    <w:p w14:paraId="5B88DDD5" w14:textId="77777777" w:rsidR="001013C0" w:rsidRPr="006E3436" w:rsidRDefault="001013C0" w:rsidP="001013C0">
      <w:pPr>
        <w:numPr>
          <w:ilvl w:val="0"/>
          <w:numId w:val="4"/>
        </w:numPr>
        <w:tabs>
          <w:tab w:val="clear" w:pos="720"/>
          <w:tab w:val="num" w:pos="1080"/>
        </w:tabs>
        <w:spacing w:line="276" w:lineRule="auto"/>
        <w:ind w:left="1080"/>
        <w:jc w:val="both"/>
        <w:rPr>
          <w:sz w:val="24"/>
          <w:szCs w:val="24"/>
        </w:rPr>
      </w:pPr>
      <w:r w:rsidRPr="006E3436">
        <w:rPr>
          <w:sz w:val="24"/>
          <w:szCs w:val="24"/>
        </w:rPr>
        <w:t>NPV ≈ -1000 + 1500 / (1 + 0.0075)^1 + 1000 / (1 + 0.0075)^2 + 1000 / (1 + 0.0075)^3 - 470 / (1 + 0.0075)^4</w:t>
      </w:r>
    </w:p>
    <w:p w14:paraId="2CB3260C" w14:textId="77777777" w:rsidR="001013C0" w:rsidRPr="006E3436" w:rsidRDefault="001013C0" w:rsidP="001013C0">
      <w:pPr>
        <w:numPr>
          <w:ilvl w:val="0"/>
          <w:numId w:val="4"/>
        </w:numPr>
        <w:tabs>
          <w:tab w:val="clear" w:pos="720"/>
          <w:tab w:val="num" w:pos="1080"/>
        </w:tabs>
        <w:spacing w:line="276" w:lineRule="auto"/>
        <w:ind w:left="1080"/>
        <w:jc w:val="both"/>
        <w:rPr>
          <w:sz w:val="24"/>
          <w:szCs w:val="24"/>
        </w:rPr>
      </w:pPr>
      <w:r w:rsidRPr="006E3436">
        <w:rPr>
          <w:sz w:val="24"/>
          <w:szCs w:val="24"/>
        </w:rPr>
        <w:t>NPV ≈ -£1,000 + £1,490.20 + £992.56 + £985.29 - £465.02</w:t>
      </w:r>
    </w:p>
    <w:p w14:paraId="6FC762E3" w14:textId="77777777" w:rsidR="001013C0" w:rsidRPr="005B24B4" w:rsidRDefault="001013C0" w:rsidP="001013C0">
      <w:pPr>
        <w:numPr>
          <w:ilvl w:val="0"/>
          <w:numId w:val="4"/>
        </w:numPr>
        <w:tabs>
          <w:tab w:val="clear" w:pos="720"/>
          <w:tab w:val="num" w:pos="1080"/>
        </w:tabs>
        <w:spacing w:line="276" w:lineRule="auto"/>
        <w:ind w:left="1080"/>
        <w:jc w:val="both"/>
        <w:rPr>
          <w:b/>
          <w:sz w:val="24"/>
          <w:szCs w:val="24"/>
        </w:rPr>
      </w:pPr>
      <w:r w:rsidRPr="006E3436">
        <w:rPr>
          <w:b/>
          <w:sz w:val="24"/>
          <w:szCs w:val="24"/>
        </w:rPr>
        <w:t>NPV ≈ £3.03 million</w:t>
      </w:r>
    </w:p>
    <w:p w14:paraId="4F299813" w14:textId="77777777" w:rsidR="001013C0" w:rsidRPr="006E3436" w:rsidRDefault="001013C0" w:rsidP="001013C0">
      <w:pPr>
        <w:spacing w:line="360" w:lineRule="auto"/>
        <w:ind w:left="720"/>
        <w:rPr>
          <w:sz w:val="24"/>
          <w:szCs w:val="24"/>
        </w:rPr>
      </w:pPr>
      <w:r w:rsidRPr="005B24B4">
        <w:rPr>
          <w:b/>
          <w:sz w:val="24"/>
          <w:szCs w:val="24"/>
        </w:rPr>
        <w:t>Project A</w:t>
      </w:r>
      <w:r w:rsidRPr="006E3436">
        <w:rPr>
          <w:sz w:val="24"/>
          <w:szCs w:val="24"/>
        </w:rPr>
        <w:br/>
        <w:t>Payback Period (PBP): 2.5 years.</w:t>
      </w:r>
      <w:r w:rsidRPr="006E3436">
        <w:rPr>
          <w:sz w:val="24"/>
          <w:szCs w:val="24"/>
        </w:rPr>
        <w:br/>
        <w:t>Accounting Rate of Return (ARR): 25.29%.</w:t>
      </w:r>
      <w:r w:rsidRPr="006E3436">
        <w:rPr>
          <w:sz w:val="24"/>
          <w:szCs w:val="24"/>
        </w:rPr>
        <w:br/>
        <w:t>Net Present Value (NPV): £12.53m</w:t>
      </w:r>
      <w:r w:rsidRPr="006E3436">
        <w:rPr>
          <w:sz w:val="24"/>
          <w:szCs w:val="24"/>
        </w:rPr>
        <w:br/>
      </w:r>
      <w:r w:rsidRPr="005B24B4">
        <w:rPr>
          <w:b/>
          <w:sz w:val="24"/>
          <w:szCs w:val="24"/>
        </w:rPr>
        <w:t>Project B</w:t>
      </w:r>
      <w:r w:rsidRPr="006E3436">
        <w:rPr>
          <w:sz w:val="24"/>
          <w:szCs w:val="24"/>
        </w:rPr>
        <w:br/>
        <w:t>Payback Period (PBP): 1 year</w:t>
      </w:r>
      <w:r w:rsidRPr="006E3436">
        <w:rPr>
          <w:sz w:val="24"/>
          <w:szCs w:val="24"/>
        </w:rPr>
        <w:br/>
        <w:t>Accounting Rate of Return (ARR): 75.75%</w:t>
      </w:r>
      <w:r w:rsidRPr="006E3436">
        <w:rPr>
          <w:sz w:val="24"/>
          <w:szCs w:val="24"/>
        </w:rPr>
        <w:br/>
        <w:t>Net Present Value (NPV): £3.03 million</w:t>
      </w:r>
    </w:p>
    <w:p w14:paraId="09BBE341" w14:textId="49BDF1AC" w:rsidR="001013C0" w:rsidRPr="005B24B4" w:rsidRDefault="001013C0" w:rsidP="001013C0">
      <w:pPr>
        <w:spacing w:line="360" w:lineRule="auto"/>
        <w:rPr>
          <w:rFonts w:asciiTheme="majorHAnsi" w:eastAsiaTheme="majorEastAsia" w:hAnsiTheme="majorHAnsi" w:cstheme="majorBidi"/>
          <w:b/>
          <w:color w:val="000000" w:themeColor="text1"/>
          <w:sz w:val="26"/>
          <w:szCs w:val="26"/>
        </w:rPr>
      </w:pPr>
      <w:r>
        <w:rPr>
          <w:rStyle w:val="Heading2Char"/>
          <w:b/>
          <w:color w:val="000000" w:themeColor="text1"/>
        </w:rPr>
        <w:t xml:space="preserve"> </w:t>
      </w:r>
      <w:bookmarkStart w:id="25" w:name="_Toc162208558"/>
      <w:bookmarkStart w:id="26" w:name="_Toc164718609"/>
      <w:r>
        <w:rPr>
          <w:rStyle w:val="Heading2Char"/>
          <w:b/>
          <w:color w:val="000000" w:themeColor="text1"/>
        </w:rPr>
        <w:t xml:space="preserve">6.3 </w:t>
      </w:r>
      <w:r w:rsidRPr="005B24B4">
        <w:rPr>
          <w:rStyle w:val="Heading2Char"/>
          <w:b/>
          <w:color w:val="000000" w:themeColor="text1"/>
        </w:rPr>
        <w:t>Evaluation of both projects</w:t>
      </w:r>
      <w:bookmarkEnd w:id="25"/>
      <w:bookmarkEnd w:id="26"/>
      <w:r w:rsidRPr="005B24B4">
        <w:rPr>
          <w:sz w:val="24"/>
          <w:szCs w:val="24"/>
        </w:rPr>
        <w:br/>
      </w:r>
      <w:r w:rsidRPr="005B24B4">
        <w:rPr>
          <w:b/>
          <w:sz w:val="24"/>
          <w:szCs w:val="24"/>
        </w:rPr>
        <w:t>Payback Period</w:t>
      </w:r>
      <w:r w:rsidRPr="005B24B4">
        <w:rPr>
          <w:sz w:val="24"/>
          <w:szCs w:val="24"/>
        </w:rPr>
        <w:t>: Project B can be considered having a shorter payback period than project A, as it recovers the initial investment faster. This could be attractive to investors who seek speedy return.</w:t>
      </w:r>
      <w:r w:rsidRPr="005B24B4">
        <w:rPr>
          <w:sz w:val="24"/>
          <w:szCs w:val="24"/>
        </w:rPr>
        <w:br/>
      </w:r>
      <w:r w:rsidRPr="005B24B4">
        <w:rPr>
          <w:b/>
          <w:sz w:val="24"/>
          <w:szCs w:val="24"/>
        </w:rPr>
        <w:lastRenderedPageBreak/>
        <w:t>Accounting Rate of Return</w:t>
      </w:r>
      <w:r w:rsidRPr="005B24B4">
        <w:rPr>
          <w:sz w:val="24"/>
          <w:szCs w:val="24"/>
        </w:rPr>
        <w:t>: The ARR of Project B is much bigger than that of Project A which indicates that the monthly net profit for Project B is greater than the investment made.</w:t>
      </w:r>
      <w:r w:rsidRPr="005B24B4">
        <w:rPr>
          <w:sz w:val="24"/>
          <w:szCs w:val="24"/>
        </w:rPr>
        <w:br/>
      </w:r>
      <w:r w:rsidRPr="005B24B4">
        <w:rPr>
          <w:b/>
          <w:sz w:val="24"/>
          <w:szCs w:val="24"/>
        </w:rPr>
        <w:t>Net Present Value</w:t>
      </w:r>
      <w:r w:rsidRPr="005B24B4">
        <w:rPr>
          <w:sz w:val="24"/>
          <w:szCs w:val="24"/>
        </w:rPr>
        <w:t>: A higher NPV for Project A in comparison to Project B reflects that this project is expected to generate a bigger value to the company over its lifetime when cost of capital is considered.</w:t>
      </w:r>
      <w:r w:rsidRPr="005B24B4">
        <w:rPr>
          <w:sz w:val="24"/>
          <w:szCs w:val="24"/>
        </w:rPr>
        <w:br/>
      </w:r>
      <w:r w:rsidRPr="005B24B4">
        <w:rPr>
          <w:sz w:val="24"/>
          <w:szCs w:val="24"/>
        </w:rPr>
        <w:br/>
      </w:r>
      <w:r w:rsidRPr="005B24B4">
        <w:rPr>
          <w:rStyle w:val="Heading2Char"/>
          <w:b/>
          <w:color w:val="000000" w:themeColor="text1"/>
        </w:rPr>
        <w:t>6.4 Recommendation:</w:t>
      </w:r>
      <w:r w:rsidRPr="005B24B4">
        <w:rPr>
          <w:sz w:val="24"/>
          <w:szCs w:val="24"/>
        </w:rPr>
        <w:br/>
        <w:t xml:space="preserve">The company </w:t>
      </w:r>
      <w:r w:rsidR="008F3B5E">
        <w:rPr>
          <w:sz w:val="24"/>
          <w:szCs w:val="24"/>
        </w:rPr>
        <w:t>ranks</w:t>
      </w:r>
      <w:r w:rsidRPr="005B24B4">
        <w:rPr>
          <w:sz w:val="24"/>
          <w:szCs w:val="24"/>
        </w:rPr>
        <w:t xml:space="preserve"> between Project A and Project B on its policy. If a company emphasizes shorter payback periods and higher annual profitability, Project B must be the best choice because of its shorter payback period and higher ARR. On the other hand, if the business is willing to pursue its long run value, then, Project A is advisable since it has a higher NPV.</w:t>
      </w:r>
      <w:r w:rsidRPr="005B24B4">
        <w:rPr>
          <w:sz w:val="24"/>
          <w:szCs w:val="24"/>
        </w:rPr>
        <w:br/>
        <w:t>It is also crucial to evaluate suitability in terms of risk, strategic alignment, and resource availability before making the final call. The chosen project in parallel with the overall investment strategy and long-term goals of the company should be ensured by the company as well.</w:t>
      </w:r>
    </w:p>
    <w:p w14:paraId="0809D9A2" w14:textId="77777777" w:rsidR="001013C0" w:rsidRDefault="001013C0" w:rsidP="001013C0">
      <w:pPr>
        <w:pStyle w:val="Heading2"/>
        <w:numPr>
          <w:ilvl w:val="1"/>
          <w:numId w:val="13"/>
        </w:numPr>
        <w:tabs>
          <w:tab w:val="num" w:pos="360"/>
        </w:tabs>
        <w:ind w:left="0" w:firstLine="0"/>
        <w:rPr>
          <w:b/>
          <w:color w:val="000000" w:themeColor="text1"/>
        </w:rPr>
      </w:pPr>
      <w:r>
        <w:rPr>
          <w:b/>
          <w:color w:val="000000" w:themeColor="text1"/>
        </w:rPr>
        <w:t xml:space="preserve"> </w:t>
      </w:r>
      <w:bookmarkStart w:id="27" w:name="_Toc164718610"/>
      <w:r w:rsidRPr="005B24B4">
        <w:rPr>
          <w:b/>
          <w:color w:val="000000" w:themeColor="text1"/>
        </w:rPr>
        <w:t>Recommendations on selection of project</w:t>
      </w:r>
      <w:bookmarkEnd w:id="27"/>
    </w:p>
    <w:p w14:paraId="7CEEC4FC" w14:textId="77777777" w:rsidR="001013C0" w:rsidRPr="005B24B4" w:rsidRDefault="001013C0" w:rsidP="001013C0"/>
    <w:p w14:paraId="6F07ED08" w14:textId="77777777" w:rsidR="001013C0" w:rsidRPr="006E3436" w:rsidRDefault="001013C0" w:rsidP="001013C0">
      <w:pPr>
        <w:spacing w:line="276" w:lineRule="auto"/>
        <w:rPr>
          <w:sz w:val="24"/>
          <w:szCs w:val="24"/>
        </w:rPr>
      </w:pPr>
      <w:r w:rsidRPr="006E3436">
        <w:rPr>
          <w:sz w:val="24"/>
          <w:szCs w:val="24"/>
        </w:rPr>
        <w:t>Project B should be adopted in case the priority is to mitigate the possible risks, to ensure greatest short-term profitability and to recover the invested capital as soon as possible. This takes on more significance if the organization has other investment opportunities or requirements for funds that are quite important and on a short-term basis.</w:t>
      </w:r>
      <w:r w:rsidRPr="006E3436">
        <w:rPr>
          <w:sz w:val="24"/>
          <w:szCs w:val="24"/>
        </w:rPr>
        <w:br/>
        <w:t>Go for Project A, if your firm is interested in long-term value and you can allocate the necessary capital that will not compromise the other cash flows. Despite its relatively longer payback period and lower annual return rate, the Project A has ultimately a higher NPV which signifies a more valuable contribution to the company in the long term than Project B.</w:t>
      </w:r>
    </w:p>
    <w:p w14:paraId="1E1D44EB" w14:textId="77777777" w:rsidR="001013C0" w:rsidRPr="006E3436" w:rsidRDefault="001013C0" w:rsidP="001013C0">
      <w:pPr>
        <w:spacing w:line="276" w:lineRule="auto"/>
        <w:jc w:val="both"/>
        <w:rPr>
          <w:sz w:val="24"/>
          <w:szCs w:val="24"/>
        </w:rPr>
      </w:pPr>
    </w:p>
    <w:p w14:paraId="63E9AC55" w14:textId="77777777" w:rsidR="001013C0" w:rsidRDefault="001013C0" w:rsidP="001013C0">
      <w:pPr>
        <w:pStyle w:val="Heading1"/>
        <w:numPr>
          <w:ilvl w:val="0"/>
          <w:numId w:val="7"/>
        </w:numPr>
        <w:tabs>
          <w:tab w:val="num" w:pos="360"/>
        </w:tabs>
        <w:ind w:left="0" w:firstLine="0"/>
        <w:rPr>
          <w:b/>
          <w:color w:val="000000" w:themeColor="text1"/>
        </w:rPr>
      </w:pPr>
      <w:bookmarkStart w:id="28" w:name="_Toc164718611"/>
      <w:r w:rsidRPr="005B24B4">
        <w:rPr>
          <w:b/>
          <w:color w:val="000000" w:themeColor="text1"/>
        </w:rPr>
        <w:t>Recalculations of NPV, ARR, Payback period</w:t>
      </w:r>
      <w:bookmarkEnd w:id="28"/>
    </w:p>
    <w:p w14:paraId="1685253A" w14:textId="77777777" w:rsidR="001013C0" w:rsidRPr="005B24B4" w:rsidRDefault="001013C0" w:rsidP="001013C0"/>
    <w:p w14:paraId="0CF1EE93" w14:textId="77777777" w:rsidR="001013C0" w:rsidRPr="006E3436" w:rsidRDefault="001013C0" w:rsidP="001013C0">
      <w:pPr>
        <w:spacing w:line="276" w:lineRule="auto"/>
        <w:jc w:val="both"/>
        <w:rPr>
          <w:sz w:val="24"/>
          <w:szCs w:val="24"/>
        </w:rPr>
      </w:pPr>
      <w:r w:rsidRPr="006E3436">
        <w:rPr>
          <w:sz w:val="24"/>
          <w:szCs w:val="24"/>
        </w:rPr>
        <w:lastRenderedPageBreak/>
        <w:t xml:space="preserve">Initial investments for each project increase by 10%, and all cash flows fall by 10%; </w:t>
      </w:r>
    </w:p>
    <w:p w14:paraId="385A4256" w14:textId="77777777" w:rsidR="001013C0" w:rsidRPr="006E3436" w:rsidRDefault="001013C0" w:rsidP="001013C0">
      <w:pPr>
        <w:spacing w:line="276" w:lineRule="auto"/>
        <w:jc w:val="both"/>
        <w:rPr>
          <w:sz w:val="24"/>
          <w:szCs w:val="24"/>
        </w:rPr>
      </w:pPr>
      <w:r w:rsidRPr="006E3436">
        <w:rPr>
          <w:sz w:val="24"/>
          <w:szCs w:val="24"/>
        </w:rPr>
        <w:t>Let's recalculate the NPV for both projects.</w:t>
      </w:r>
    </w:p>
    <w:p w14:paraId="79AFBB46" w14:textId="77777777" w:rsidR="001013C0" w:rsidRPr="006E3436" w:rsidRDefault="001013C0" w:rsidP="001013C0">
      <w:pPr>
        <w:spacing w:line="276" w:lineRule="auto"/>
        <w:jc w:val="both"/>
        <w:rPr>
          <w:b/>
          <w:sz w:val="24"/>
          <w:szCs w:val="24"/>
        </w:rPr>
      </w:pPr>
      <w:r w:rsidRPr="006E3436">
        <w:rPr>
          <w:b/>
          <w:sz w:val="24"/>
          <w:szCs w:val="24"/>
        </w:rPr>
        <w:t>New Initial Investments:</w:t>
      </w:r>
    </w:p>
    <w:p w14:paraId="65B06B0E" w14:textId="77777777" w:rsidR="001013C0" w:rsidRPr="006E3436" w:rsidRDefault="001013C0" w:rsidP="001013C0">
      <w:pPr>
        <w:spacing w:line="276" w:lineRule="auto"/>
        <w:jc w:val="both"/>
        <w:rPr>
          <w:sz w:val="24"/>
          <w:szCs w:val="24"/>
        </w:rPr>
      </w:pPr>
      <w:r w:rsidRPr="006E3436">
        <w:rPr>
          <w:sz w:val="24"/>
          <w:szCs w:val="24"/>
        </w:rPr>
        <w:t>Project A: £5000 * 1.1 = £5500 million</w:t>
      </w:r>
    </w:p>
    <w:p w14:paraId="3C07F764" w14:textId="77777777" w:rsidR="001013C0" w:rsidRPr="006E3436" w:rsidRDefault="001013C0" w:rsidP="001013C0">
      <w:pPr>
        <w:spacing w:line="276" w:lineRule="auto"/>
        <w:jc w:val="both"/>
        <w:rPr>
          <w:sz w:val="24"/>
          <w:szCs w:val="24"/>
        </w:rPr>
      </w:pPr>
      <w:r w:rsidRPr="006E3436">
        <w:rPr>
          <w:sz w:val="24"/>
          <w:szCs w:val="24"/>
        </w:rPr>
        <w:t>Project B: £1000 * 1.1 = £1100 million</w:t>
      </w:r>
    </w:p>
    <w:p w14:paraId="18AA821C" w14:textId="77777777" w:rsidR="001013C0" w:rsidRPr="006E3436" w:rsidRDefault="001013C0" w:rsidP="001013C0">
      <w:pPr>
        <w:spacing w:line="276" w:lineRule="auto"/>
        <w:jc w:val="both"/>
        <w:rPr>
          <w:b/>
          <w:sz w:val="24"/>
          <w:szCs w:val="24"/>
        </w:rPr>
      </w:pPr>
      <w:r w:rsidRPr="006E3436">
        <w:rPr>
          <w:b/>
          <w:sz w:val="24"/>
          <w:szCs w:val="24"/>
        </w:rPr>
        <w:t>New Projected Cash Flows (reduced by 10%):</w:t>
      </w:r>
    </w:p>
    <w:p w14:paraId="604E2A49" w14:textId="77777777" w:rsidR="001013C0" w:rsidRPr="006E3436" w:rsidRDefault="001013C0" w:rsidP="001013C0">
      <w:pPr>
        <w:spacing w:line="276" w:lineRule="auto"/>
        <w:jc w:val="both"/>
        <w:rPr>
          <w:sz w:val="24"/>
          <w:szCs w:val="24"/>
        </w:rPr>
      </w:pPr>
      <w:r w:rsidRPr="006E3436">
        <w:rPr>
          <w:sz w:val="24"/>
          <w:szCs w:val="24"/>
        </w:rPr>
        <w:t>Project A: [£2250, £1800, £900, -£442]</w:t>
      </w:r>
    </w:p>
    <w:p w14:paraId="31B9229D" w14:textId="77777777" w:rsidR="001013C0" w:rsidRPr="006E3436" w:rsidRDefault="001013C0" w:rsidP="001013C0">
      <w:pPr>
        <w:spacing w:line="276" w:lineRule="auto"/>
        <w:jc w:val="both"/>
        <w:rPr>
          <w:sz w:val="24"/>
          <w:szCs w:val="24"/>
        </w:rPr>
      </w:pPr>
      <w:r w:rsidRPr="006E3436">
        <w:rPr>
          <w:sz w:val="24"/>
          <w:szCs w:val="24"/>
        </w:rPr>
        <w:t>Project B: [£1350, £900, £900, -£470]</w:t>
      </w:r>
    </w:p>
    <w:p w14:paraId="2671B0B0" w14:textId="77777777" w:rsidR="001013C0" w:rsidRPr="006E3436" w:rsidRDefault="001013C0" w:rsidP="001013C0">
      <w:pPr>
        <w:spacing w:line="276" w:lineRule="auto"/>
        <w:jc w:val="both"/>
        <w:rPr>
          <w:sz w:val="24"/>
          <w:szCs w:val="24"/>
        </w:rPr>
      </w:pPr>
      <w:r w:rsidRPr="006E3436">
        <w:rPr>
          <w:sz w:val="24"/>
          <w:szCs w:val="24"/>
        </w:rPr>
        <w:t>Calculating NPV with the cost of capital still at 0.75%</w:t>
      </w:r>
    </w:p>
    <w:p w14:paraId="729406A2" w14:textId="77777777" w:rsidR="001013C0" w:rsidRPr="006E3436" w:rsidRDefault="001013C0" w:rsidP="001013C0">
      <w:pPr>
        <w:numPr>
          <w:ilvl w:val="0"/>
          <w:numId w:val="6"/>
        </w:numPr>
        <w:spacing w:line="276" w:lineRule="auto"/>
        <w:jc w:val="both"/>
        <w:rPr>
          <w:b/>
          <w:sz w:val="24"/>
          <w:szCs w:val="24"/>
        </w:rPr>
      </w:pPr>
      <w:r w:rsidRPr="006E3436">
        <w:rPr>
          <w:b/>
          <w:sz w:val="24"/>
          <w:szCs w:val="24"/>
        </w:rPr>
        <w:t>Project A:</w:t>
      </w:r>
    </w:p>
    <w:p w14:paraId="33CF659F" w14:textId="77777777" w:rsidR="001013C0" w:rsidRPr="006E3436" w:rsidRDefault="001013C0" w:rsidP="001013C0">
      <w:pPr>
        <w:spacing w:line="276" w:lineRule="auto"/>
        <w:jc w:val="both"/>
        <w:rPr>
          <w:sz w:val="24"/>
          <w:szCs w:val="24"/>
        </w:rPr>
      </w:pPr>
      <w:r w:rsidRPr="006E3436">
        <w:rPr>
          <w:sz w:val="24"/>
          <w:szCs w:val="24"/>
        </w:rPr>
        <w:t>NPV = (-£5500) + £2250 / (1 + 0.0075)^1 + £1800 / (1 + 0.0075)^2 + £900 / (1 + 0.0075)^3 - £442 / (1 + 0.0075)^4</w:t>
      </w:r>
    </w:p>
    <w:p w14:paraId="367A467A" w14:textId="77777777" w:rsidR="001013C0" w:rsidRPr="006E3436" w:rsidRDefault="001013C0" w:rsidP="001013C0">
      <w:pPr>
        <w:spacing w:line="276" w:lineRule="auto"/>
        <w:jc w:val="both"/>
        <w:rPr>
          <w:sz w:val="24"/>
          <w:szCs w:val="24"/>
        </w:rPr>
      </w:pPr>
      <w:r w:rsidRPr="006E3436">
        <w:rPr>
          <w:sz w:val="24"/>
          <w:szCs w:val="24"/>
        </w:rPr>
        <w:t>NPV = -£5500 + £2234.83 + £1785.66 + £893.49 - £439.25</w:t>
      </w:r>
    </w:p>
    <w:p w14:paraId="0BEE7543" w14:textId="77777777" w:rsidR="001013C0" w:rsidRPr="005B24B4" w:rsidRDefault="001013C0" w:rsidP="001013C0">
      <w:pPr>
        <w:spacing w:line="276" w:lineRule="auto"/>
        <w:jc w:val="both"/>
        <w:rPr>
          <w:b/>
          <w:sz w:val="24"/>
          <w:szCs w:val="24"/>
        </w:rPr>
      </w:pPr>
      <w:r w:rsidRPr="006E3436">
        <w:rPr>
          <w:b/>
          <w:sz w:val="24"/>
          <w:szCs w:val="24"/>
        </w:rPr>
        <w:t>NPV = £5.73 million</w:t>
      </w:r>
    </w:p>
    <w:p w14:paraId="561554FE" w14:textId="77777777" w:rsidR="001013C0" w:rsidRPr="005B24B4" w:rsidRDefault="001013C0" w:rsidP="001013C0">
      <w:pPr>
        <w:numPr>
          <w:ilvl w:val="0"/>
          <w:numId w:val="6"/>
        </w:numPr>
        <w:spacing w:line="276" w:lineRule="auto"/>
        <w:jc w:val="both"/>
        <w:rPr>
          <w:b/>
          <w:sz w:val="24"/>
          <w:szCs w:val="24"/>
        </w:rPr>
      </w:pPr>
      <w:r w:rsidRPr="006E3436">
        <w:rPr>
          <w:b/>
          <w:sz w:val="24"/>
          <w:szCs w:val="24"/>
        </w:rPr>
        <w:t>Project B:</w:t>
      </w:r>
    </w:p>
    <w:p w14:paraId="0B6A8352" w14:textId="77777777" w:rsidR="001013C0" w:rsidRPr="006E3436" w:rsidRDefault="001013C0" w:rsidP="001013C0">
      <w:pPr>
        <w:spacing w:line="276" w:lineRule="auto"/>
        <w:jc w:val="both"/>
        <w:rPr>
          <w:sz w:val="24"/>
          <w:szCs w:val="24"/>
        </w:rPr>
      </w:pPr>
      <w:r w:rsidRPr="006E3436">
        <w:rPr>
          <w:sz w:val="24"/>
          <w:szCs w:val="24"/>
        </w:rPr>
        <w:t>NPV = (-£1100) + £1350 / (1 + 0.0075)^1 + £900 / (1 + 0.0075)^2 + £900 / (1 + 0.0075)^3 - £470 / (1 + 0.0075)^4</w:t>
      </w:r>
    </w:p>
    <w:p w14:paraId="103C9B9C" w14:textId="77777777" w:rsidR="001013C0" w:rsidRPr="006E3436" w:rsidRDefault="001013C0" w:rsidP="001013C0">
      <w:pPr>
        <w:spacing w:line="276" w:lineRule="auto"/>
        <w:jc w:val="both"/>
        <w:rPr>
          <w:sz w:val="24"/>
          <w:szCs w:val="24"/>
        </w:rPr>
      </w:pPr>
      <w:r w:rsidRPr="006E3436">
        <w:rPr>
          <w:sz w:val="24"/>
          <w:szCs w:val="24"/>
        </w:rPr>
        <w:t>NPV = -£1100 + £1340.52 + £893.49 + £893.49 - £467.13</w:t>
      </w:r>
    </w:p>
    <w:p w14:paraId="002A79B5" w14:textId="77777777" w:rsidR="001013C0" w:rsidRPr="006E3436" w:rsidRDefault="001013C0" w:rsidP="001013C0">
      <w:pPr>
        <w:spacing w:line="276" w:lineRule="auto"/>
        <w:jc w:val="both"/>
        <w:rPr>
          <w:b/>
          <w:sz w:val="24"/>
          <w:szCs w:val="24"/>
        </w:rPr>
      </w:pPr>
      <w:r w:rsidRPr="006E3436">
        <w:rPr>
          <w:b/>
          <w:sz w:val="24"/>
          <w:szCs w:val="24"/>
        </w:rPr>
        <w:t>NPV = £2.60 million</w:t>
      </w:r>
    </w:p>
    <w:p w14:paraId="788BB38C" w14:textId="77777777" w:rsidR="001013C0" w:rsidRPr="006E3436" w:rsidRDefault="001013C0" w:rsidP="001013C0">
      <w:pPr>
        <w:spacing w:line="276" w:lineRule="auto"/>
        <w:jc w:val="both"/>
        <w:rPr>
          <w:sz w:val="24"/>
          <w:szCs w:val="24"/>
        </w:rPr>
      </w:pPr>
      <w:r w:rsidRPr="006E3436">
        <w:rPr>
          <w:sz w:val="24"/>
          <w:szCs w:val="24"/>
        </w:rPr>
        <w:t>Commentary:</w:t>
      </w:r>
    </w:p>
    <w:p w14:paraId="2273F4CE" w14:textId="77777777" w:rsidR="001013C0" w:rsidRPr="006E3436" w:rsidRDefault="001013C0" w:rsidP="001013C0">
      <w:pPr>
        <w:spacing w:line="276" w:lineRule="auto"/>
        <w:jc w:val="both"/>
        <w:rPr>
          <w:sz w:val="24"/>
          <w:szCs w:val="24"/>
        </w:rPr>
      </w:pPr>
      <w:r w:rsidRPr="006E3436">
        <w:rPr>
          <w:sz w:val="24"/>
          <w:szCs w:val="24"/>
        </w:rPr>
        <w:t>After adjusting for the increase in initial investments and the decrease in cash flows, the NPVs for both projects have decreased:</w:t>
      </w:r>
    </w:p>
    <w:tbl>
      <w:tblPr>
        <w:tblStyle w:val="GridTable4-Accent6"/>
        <w:tblW w:w="0" w:type="auto"/>
        <w:tblLook w:val="04A0" w:firstRow="1" w:lastRow="0" w:firstColumn="1" w:lastColumn="0" w:noHBand="0" w:noVBand="1"/>
      </w:tblPr>
      <w:tblGrid>
        <w:gridCol w:w="2995"/>
        <w:gridCol w:w="2029"/>
        <w:gridCol w:w="3992"/>
      </w:tblGrid>
      <w:tr w:rsidR="001013C0" w:rsidRPr="006E3436" w14:paraId="1BE5AC62" w14:textId="77777777" w:rsidTr="002A1BC4">
        <w:trPr>
          <w:cnfStyle w:val="100000000000" w:firstRow="1" w:lastRow="0" w:firstColumn="0" w:lastColumn="0" w:oddVBand="0" w:evenVBand="0" w:oddHBand="0"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3176" w:type="dxa"/>
            <w:shd w:val="clear" w:color="auto" w:fill="156082" w:themeFill="accent1"/>
          </w:tcPr>
          <w:p w14:paraId="558336C3" w14:textId="77777777" w:rsidR="001013C0" w:rsidRPr="006E3436" w:rsidRDefault="001013C0" w:rsidP="002A1BC4">
            <w:pPr>
              <w:spacing w:after="160" w:line="276" w:lineRule="auto"/>
              <w:jc w:val="both"/>
              <w:rPr>
                <w:sz w:val="24"/>
                <w:szCs w:val="24"/>
              </w:rPr>
            </w:pPr>
            <w:r w:rsidRPr="006E3436">
              <w:rPr>
                <w:sz w:val="24"/>
                <w:szCs w:val="24"/>
              </w:rPr>
              <w:t>NO</w:t>
            </w:r>
          </w:p>
        </w:tc>
        <w:tc>
          <w:tcPr>
            <w:tcW w:w="2129" w:type="dxa"/>
            <w:shd w:val="clear" w:color="auto" w:fill="156082" w:themeFill="accent1"/>
          </w:tcPr>
          <w:p w14:paraId="25D8ABF6" w14:textId="77777777" w:rsidR="001013C0" w:rsidRPr="006E3436" w:rsidRDefault="001013C0" w:rsidP="002A1BC4">
            <w:pPr>
              <w:spacing w:after="160" w:line="276"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6E3436">
              <w:rPr>
                <w:sz w:val="24"/>
                <w:szCs w:val="24"/>
              </w:rPr>
              <w:t>NPV</w:t>
            </w:r>
          </w:p>
        </w:tc>
        <w:tc>
          <w:tcPr>
            <w:tcW w:w="4224" w:type="dxa"/>
            <w:shd w:val="clear" w:color="auto" w:fill="156082" w:themeFill="accent1"/>
          </w:tcPr>
          <w:p w14:paraId="0449BD09" w14:textId="77777777" w:rsidR="001013C0" w:rsidRPr="006E3436" w:rsidRDefault="001013C0" w:rsidP="002A1BC4">
            <w:pPr>
              <w:spacing w:after="160" w:line="276"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6E3436">
              <w:rPr>
                <w:sz w:val="24"/>
                <w:szCs w:val="24"/>
              </w:rPr>
              <w:t>NPV After decreasing CF by 10%</w:t>
            </w:r>
          </w:p>
        </w:tc>
      </w:tr>
      <w:tr w:rsidR="001013C0" w:rsidRPr="006E3436" w14:paraId="15D45F83" w14:textId="77777777" w:rsidTr="002A1BC4">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3176" w:type="dxa"/>
          </w:tcPr>
          <w:p w14:paraId="5512E239" w14:textId="77777777" w:rsidR="001013C0" w:rsidRPr="006E3436" w:rsidRDefault="001013C0" w:rsidP="002A1BC4">
            <w:pPr>
              <w:spacing w:after="160" w:line="276" w:lineRule="auto"/>
              <w:jc w:val="both"/>
              <w:rPr>
                <w:sz w:val="24"/>
                <w:szCs w:val="24"/>
              </w:rPr>
            </w:pPr>
            <w:r w:rsidRPr="006E3436">
              <w:rPr>
                <w:sz w:val="24"/>
                <w:szCs w:val="24"/>
              </w:rPr>
              <w:t>Project A</w:t>
            </w:r>
          </w:p>
        </w:tc>
        <w:tc>
          <w:tcPr>
            <w:tcW w:w="2129" w:type="dxa"/>
          </w:tcPr>
          <w:p w14:paraId="507D8E81" w14:textId="77777777" w:rsidR="001013C0" w:rsidRPr="006E3436" w:rsidRDefault="001013C0" w:rsidP="002A1BC4">
            <w:pPr>
              <w:spacing w:after="160"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6E3436">
              <w:rPr>
                <w:sz w:val="24"/>
                <w:szCs w:val="24"/>
              </w:rPr>
              <w:t>£12.53</w:t>
            </w:r>
          </w:p>
        </w:tc>
        <w:tc>
          <w:tcPr>
            <w:tcW w:w="4224" w:type="dxa"/>
          </w:tcPr>
          <w:p w14:paraId="7BD0D6FB" w14:textId="77777777" w:rsidR="001013C0" w:rsidRPr="006E3436" w:rsidRDefault="001013C0" w:rsidP="002A1BC4">
            <w:pPr>
              <w:spacing w:after="160"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6E3436">
              <w:rPr>
                <w:sz w:val="24"/>
                <w:szCs w:val="24"/>
              </w:rPr>
              <w:t>£5.73</w:t>
            </w:r>
          </w:p>
        </w:tc>
      </w:tr>
      <w:tr w:rsidR="001013C0" w:rsidRPr="006E3436" w14:paraId="3C7EA539" w14:textId="77777777" w:rsidTr="002A1BC4">
        <w:trPr>
          <w:trHeight w:val="337"/>
        </w:trPr>
        <w:tc>
          <w:tcPr>
            <w:cnfStyle w:val="001000000000" w:firstRow="0" w:lastRow="0" w:firstColumn="1" w:lastColumn="0" w:oddVBand="0" w:evenVBand="0" w:oddHBand="0" w:evenHBand="0" w:firstRowFirstColumn="0" w:firstRowLastColumn="0" w:lastRowFirstColumn="0" w:lastRowLastColumn="0"/>
            <w:tcW w:w="3176" w:type="dxa"/>
          </w:tcPr>
          <w:p w14:paraId="0F60CFAD" w14:textId="77777777" w:rsidR="001013C0" w:rsidRPr="006E3436" w:rsidRDefault="001013C0" w:rsidP="002A1BC4">
            <w:pPr>
              <w:spacing w:after="160" w:line="276" w:lineRule="auto"/>
              <w:jc w:val="both"/>
              <w:rPr>
                <w:sz w:val="24"/>
                <w:szCs w:val="24"/>
              </w:rPr>
            </w:pPr>
            <w:r w:rsidRPr="006E3436">
              <w:rPr>
                <w:sz w:val="24"/>
                <w:szCs w:val="24"/>
              </w:rPr>
              <w:t>Project B</w:t>
            </w:r>
          </w:p>
        </w:tc>
        <w:tc>
          <w:tcPr>
            <w:tcW w:w="2129" w:type="dxa"/>
          </w:tcPr>
          <w:p w14:paraId="100BE456" w14:textId="77777777" w:rsidR="001013C0" w:rsidRPr="006E3436" w:rsidRDefault="001013C0" w:rsidP="002A1BC4">
            <w:pPr>
              <w:spacing w:after="160"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6E3436">
              <w:rPr>
                <w:sz w:val="24"/>
                <w:szCs w:val="24"/>
              </w:rPr>
              <w:t>£3.03</w:t>
            </w:r>
          </w:p>
        </w:tc>
        <w:tc>
          <w:tcPr>
            <w:tcW w:w="4224" w:type="dxa"/>
          </w:tcPr>
          <w:p w14:paraId="33436B78" w14:textId="77777777" w:rsidR="001013C0" w:rsidRPr="006E3436" w:rsidRDefault="001013C0" w:rsidP="002A1BC4">
            <w:pPr>
              <w:spacing w:after="160"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6E3436">
              <w:rPr>
                <w:sz w:val="24"/>
                <w:szCs w:val="24"/>
              </w:rPr>
              <w:t>£2.60</w:t>
            </w:r>
          </w:p>
        </w:tc>
      </w:tr>
    </w:tbl>
    <w:p w14:paraId="6195523F" w14:textId="77777777" w:rsidR="001013C0" w:rsidRPr="006E3436" w:rsidRDefault="001013C0" w:rsidP="001013C0">
      <w:pPr>
        <w:spacing w:line="276" w:lineRule="auto"/>
        <w:jc w:val="both"/>
        <w:rPr>
          <w:sz w:val="24"/>
          <w:szCs w:val="24"/>
        </w:rPr>
      </w:pPr>
      <w:r w:rsidRPr="006E3436">
        <w:rPr>
          <w:sz w:val="24"/>
          <w:szCs w:val="24"/>
        </w:rPr>
        <w:t>Project A's NPV decreased £12.53 million to £5.73 million.</w:t>
      </w:r>
    </w:p>
    <w:p w14:paraId="38813339" w14:textId="77777777" w:rsidR="001013C0" w:rsidRPr="006E3436" w:rsidRDefault="001013C0" w:rsidP="001013C0">
      <w:pPr>
        <w:spacing w:line="276" w:lineRule="auto"/>
        <w:jc w:val="both"/>
        <w:rPr>
          <w:sz w:val="24"/>
          <w:szCs w:val="24"/>
        </w:rPr>
      </w:pPr>
      <w:r w:rsidRPr="006E3436">
        <w:rPr>
          <w:sz w:val="24"/>
          <w:szCs w:val="24"/>
        </w:rPr>
        <w:t>Project B's NPV decreased £3.03 million to £2.60 million.</w:t>
      </w:r>
    </w:p>
    <w:p w14:paraId="4F96E09B" w14:textId="77777777" w:rsidR="001013C0" w:rsidRPr="005B24B4" w:rsidRDefault="001013C0" w:rsidP="001013C0">
      <w:pPr>
        <w:rPr>
          <w:b/>
        </w:rPr>
      </w:pPr>
      <w:r w:rsidRPr="005B24B4">
        <w:rPr>
          <w:b/>
        </w:rPr>
        <w:t xml:space="preserve">Comments </w:t>
      </w:r>
    </w:p>
    <w:p w14:paraId="6A337E69" w14:textId="77777777" w:rsidR="001013C0" w:rsidRDefault="001013C0" w:rsidP="001013C0">
      <w:pPr>
        <w:spacing w:line="276" w:lineRule="auto"/>
        <w:jc w:val="both"/>
        <w:rPr>
          <w:sz w:val="24"/>
          <w:szCs w:val="24"/>
        </w:rPr>
      </w:pPr>
      <w:r w:rsidRPr="006E3436">
        <w:rPr>
          <w:sz w:val="24"/>
          <w:szCs w:val="24"/>
        </w:rPr>
        <w:lastRenderedPageBreak/>
        <w:t> The Net Present Value (NPV) for Project A has seen a drastic slide downwards from £12.53 million to £5.73million, mostly because the project has become more expensive with a higher initial investment and there is also a decrease of cash flow. Thereby, it is clear that this remarkable fall in NPV reduces the attractiveness of Project A for a foreign investor.</w:t>
      </w:r>
    </w:p>
    <w:p w14:paraId="548575C2" w14:textId="77777777" w:rsidR="001013C0" w:rsidRPr="006E3436" w:rsidRDefault="001013C0" w:rsidP="001013C0">
      <w:pPr>
        <w:spacing w:line="276" w:lineRule="auto"/>
        <w:jc w:val="both"/>
        <w:rPr>
          <w:sz w:val="24"/>
          <w:szCs w:val="24"/>
        </w:rPr>
      </w:pPr>
      <w:r w:rsidRPr="006E3436">
        <w:rPr>
          <w:sz w:val="24"/>
          <w:szCs w:val="24"/>
        </w:rPr>
        <w:t>However, NPV for Project B revealed to be in net negative and experienced the decline of £420,000, going from £3.03 million to £2.61 million. The effect of the transitioning on project B was apparently milder than on project A, hence showing project B’s substantial value to the firm, but there was still some impact.</w:t>
      </w:r>
    </w:p>
    <w:p w14:paraId="1F0377BC" w14:textId="77777777" w:rsidR="001013C0" w:rsidRDefault="001013C0" w:rsidP="001013C0">
      <w:pPr>
        <w:spacing w:line="276" w:lineRule="auto"/>
        <w:jc w:val="both"/>
        <w:rPr>
          <w:sz w:val="24"/>
          <w:szCs w:val="24"/>
        </w:rPr>
      </w:pPr>
    </w:p>
    <w:p w14:paraId="63151C1F" w14:textId="77777777" w:rsidR="001013C0" w:rsidRPr="006E3436" w:rsidRDefault="001013C0" w:rsidP="001013C0">
      <w:pPr>
        <w:spacing w:line="276" w:lineRule="auto"/>
        <w:jc w:val="both"/>
        <w:rPr>
          <w:sz w:val="24"/>
          <w:szCs w:val="24"/>
        </w:rPr>
      </w:pPr>
    </w:p>
    <w:p w14:paraId="3BE4AD46" w14:textId="77777777" w:rsidR="001013C0" w:rsidRDefault="001013C0" w:rsidP="001013C0">
      <w:pPr>
        <w:pStyle w:val="Heading1"/>
        <w:numPr>
          <w:ilvl w:val="0"/>
          <w:numId w:val="7"/>
        </w:numPr>
        <w:tabs>
          <w:tab w:val="num" w:pos="360"/>
        </w:tabs>
        <w:ind w:left="0" w:firstLine="0"/>
        <w:rPr>
          <w:b/>
          <w:color w:val="000000" w:themeColor="text1"/>
        </w:rPr>
      </w:pPr>
      <w:bookmarkStart w:id="29" w:name="_Toc163310244"/>
      <w:bookmarkStart w:id="30" w:name="_Toc164718612"/>
      <w:r w:rsidRPr="00C66FB5">
        <w:rPr>
          <w:b/>
          <w:color w:val="000000" w:themeColor="text1"/>
        </w:rPr>
        <w:t>Advantages and shortcomings of the PBP, ARR and NPV</w:t>
      </w:r>
      <w:bookmarkEnd w:id="29"/>
      <w:bookmarkEnd w:id="30"/>
    </w:p>
    <w:p w14:paraId="4ED8325E" w14:textId="77777777" w:rsidR="001013C0" w:rsidRPr="00C66FB5" w:rsidRDefault="001013C0" w:rsidP="001013C0"/>
    <w:p w14:paraId="5711151E" w14:textId="77777777" w:rsidR="001013C0" w:rsidRPr="006E3436" w:rsidRDefault="001013C0" w:rsidP="001013C0">
      <w:pPr>
        <w:spacing w:line="276" w:lineRule="auto"/>
        <w:jc w:val="both"/>
        <w:rPr>
          <w:b/>
          <w:sz w:val="24"/>
          <w:szCs w:val="24"/>
          <w:lang w:val="en-GB"/>
        </w:rPr>
      </w:pPr>
      <w:r w:rsidRPr="006E3436">
        <w:rPr>
          <w:b/>
          <w:sz w:val="24"/>
          <w:szCs w:val="24"/>
          <w:lang w:val="en-GB"/>
        </w:rPr>
        <w:t>Payback Period (PBP)</w:t>
      </w:r>
    </w:p>
    <w:p w14:paraId="4563F8FD" w14:textId="77777777" w:rsidR="001013C0" w:rsidRPr="006E3436" w:rsidRDefault="001013C0" w:rsidP="001013C0">
      <w:pPr>
        <w:spacing w:line="276" w:lineRule="auto"/>
        <w:jc w:val="both"/>
        <w:rPr>
          <w:b/>
          <w:bCs/>
          <w:iCs/>
          <w:sz w:val="24"/>
          <w:szCs w:val="24"/>
          <w:lang w:val="en-GB"/>
        </w:rPr>
      </w:pPr>
      <w:r w:rsidRPr="006E3436">
        <w:rPr>
          <w:b/>
          <w:bCs/>
          <w:iCs/>
          <w:sz w:val="24"/>
          <w:szCs w:val="24"/>
          <w:lang w:val="en-GB"/>
        </w:rPr>
        <w:t>Advantages:</w:t>
      </w:r>
    </w:p>
    <w:p w14:paraId="2753DAA1" w14:textId="77777777" w:rsidR="001013C0" w:rsidRPr="006E3436" w:rsidRDefault="001013C0" w:rsidP="001013C0">
      <w:pPr>
        <w:spacing w:line="276" w:lineRule="auto"/>
        <w:jc w:val="both"/>
        <w:rPr>
          <w:sz w:val="24"/>
          <w:szCs w:val="24"/>
          <w:lang w:val="en-GB"/>
        </w:rPr>
      </w:pPr>
      <w:r w:rsidRPr="006E3436">
        <w:rPr>
          <w:sz w:val="24"/>
          <w:szCs w:val="24"/>
          <w:lang w:val="en-GB"/>
        </w:rPr>
        <w:t>Simplicity and Accessibility: The accessibility of PBP even to non-financial managers makes it understandable to everybody thus facilitating easy conduct of liquidity assessments (Smith, 2021).</w:t>
      </w:r>
    </w:p>
    <w:p w14:paraId="56F7085C" w14:textId="77777777" w:rsidR="001013C0" w:rsidRPr="006E3436" w:rsidRDefault="001013C0" w:rsidP="001013C0">
      <w:pPr>
        <w:spacing w:line="276" w:lineRule="auto"/>
        <w:jc w:val="both"/>
        <w:rPr>
          <w:sz w:val="24"/>
          <w:szCs w:val="24"/>
          <w:lang w:val="en-GB"/>
        </w:rPr>
      </w:pPr>
      <w:r w:rsidRPr="006E3436">
        <w:rPr>
          <w:sz w:val="24"/>
          <w:szCs w:val="24"/>
          <w:lang w:val="en-GB"/>
        </w:rPr>
        <w:t>Risk Mitigation: The key functions of the performance measure of liquidity risk is the evaluation of the liquidity risk, which thereby gives a clear picture of the time frame in which the investment recovers its initial provision (Johnson, 2019).</w:t>
      </w:r>
    </w:p>
    <w:p w14:paraId="5E08A243" w14:textId="77777777" w:rsidR="001013C0" w:rsidRPr="00C66FB5" w:rsidRDefault="001013C0" w:rsidP="001013C0">
      <w:pPr>
        <w:spacing w:line="276" w:lineRule="auto"/>
        <w:jc w:val="both"/>
        <w:rPr>
          <w:b/>
          <w:sz w:val="24"/>
          <w:szCs w:val="24"/>
          <w:lang w:val="en-GB"/>
        </w:rPr>
      </w:pPr>
      <w:r w:rsidRPr="00C66FB5">
        <w:rPr>
          <w:b/>
          <w:sz w:val="24"/>
          <w:szCs w:val="24"/>
          <w:lang w:val="en-GB"/>
        </w:rPr>
        <w:t>Shortcomings:</w:t>
      </w:r>
    </w:p>
    <w:p w14:paraId="0C45D350" w14:textId="77777777" w:rsidR="001013C0" w:rsidRPr="006E3436" w:rsidRDefault="001013C0" w:rsidP="001013C0">
      <w:pPr>
        <w:spacing w:line="276" w:lineRule="auto"/>
        <w:jc w:val="both"/>
        <w:rPr>
          <w:sz w:val="24"/>
          <w:szCs w:val="24"/>
          <w:lang w:val="en-GB"/>
        </w:rPr>
      </w:pPr>
      <w:r w:rsidRPr="006E3436">
        <w:rPr>
          <w:sz w:val="24"/>
          <w:szCs w:val="24"/>
          <w:lang w:val="en-GB"/>
        </w:rPr>
        <w:t>Exclusion of Time Value of Money: The PBP is a limited tool because it disregards the fact that the value of money varies throughout time also making it difficult to estimate future profits.</w:t>
      </w:r>
    </w:p>
    <w:p w14:paraId="6DC857E9" w14:textId="77777777" w:rsidR="001013C0" w:rsidRPr="006E3436" w:rsidRDefault="001013C0" w:rsidP="001013C0">
      <w:pPr>
        <w:spacing w:line="276" w:lineRule="auto"/>
        <w:jc w:val="both"/>
        <w:rPr>
          <w:sz w:val="24"/>
          <w:szCs w:val="24"/>
          <w:lang w:val="en-GB"/>
        </w:rPr>
      </w:pPr>
      <w:r w:rsidRPr="006E3436">
        <w:rPr>
          <w:sz w:val="24"/>
          <w:szCs w:val="24"/>
          <w:lang w:val="en-GB"/>
        </w:rPr>
        <w:t>Overlook of Post-Payback Cash Flows: Additionally, the benefits that are financially critical to happen after the recovery period are excluded by this method, which can make a project’s total value be undervalued (Taylor, 2021).</w:t>
      </w:r>
    </w:p>
    <w:p w14:paraId="39E17A29" w14:textId="77777777" w:rsidR="001013C0" w:rsidRPr="006E3436" w:rsidRDefault="001013C0" w:rsidP="001013C0">
      <w:pPr>
        <w:spacing w:line="276" w:lineRule="auto"/>
        <w:jc w:val="both"/>
        <w:rPr>
          <w:b/>
          <w:sz w:val="24"/>
          <w:szCs w:val="24"/>
          <w:lang w:val="en-GB"/>
        </w:rPr>
      </w:pPr>
      <w:r w:rsidRPr="006E3436">
        <w:rPr>
          <w:b/>
          <w:sz w:val="24"/>
          <w:szCs w:val="24"/>
          <w:lang w:val="en-GB"/>
        </w:rPr>
        <w:t>Accounting Rate of Return (ARR)</w:t>
      </w:r>
    </w:p>
    <w:p w14:paraId="1A183BC2" w14:textId="77777777" w:rsidR="001013C0" w:rsidRPr="00C66FB5" w:rsidRDefault="001013C0" w:rsidP="001013C0">
      <w:pPr>
        <w:spacing w:line="276" w:lineRule="auto"/>
        <w:jc w:val="both"/>
        <w:rPr>
          <w:b/>
          <w:bCs/>
          <w:iCs/>
          <w:sz w:val="24"/>
          <w:szCs w:val="24"/>
          <w:lang w:val="en-GB"/>
        </w:rPr>
      </w:pPr>
      <w:r w:rsidRPr="00C66FB5">
        <w:rPr>
          <w:b/>
          <w:bCs/>
          <w:iCs/>
          <w:sz w:val="24"/>
          <w:szCs w:val="24"/>
          <w:lang w:val="en-GB"/>
        </w:rPr>
        <w:t>Advantages:</w:t>
      </w:r>
    </w:p>
    <w:p w14:paraId="2EB9322E" w14:textId="77777777" w:rsidR="001013C0" w:rsidRPr="006E3436" w:rsidRDefault="001013C0" w:rsidP="001013C0">
      <w:pPr>
        <w:spacing w:line="276" w:lineRule="auto"/>
        <w:jc w:val="both"/>
        <w:rPr>
          <w:bCs/>
          <w:iCs/>
          <w:sz w:val="24"/>
          <w:szCs w:val="24"/>
          <w:lang w:val="en-GB"/>
        </w:rPr>
      </w:pPr>
      <w:r w:rsidRPr="006E3436">
        <w:rPr>
          <w:bCs/>
          <w:iCs/>
          <w:sz w:val="24"/>
          <w:szCs w:val="24"/>
          <w:lang w:val="en-GB"/>
        </w:rPr>
        <w:t>Direct Profitability Indicator: The ARR of costing asset’s profit directly with the payback period offers simple return on investment (Hansen, 2022).</w:t>
      </w:r>
    </w:p>
    <w:p w14:paraId="11C6EB1A" w14:textId="77777777" w:rsidR="001013C0" w:rsidRPr="006E3436" w:rsidRDefault="001013C0" w:rsidP="001013C0">
      <w:pPr>
        <w:spacing w:line="276" w:lineRule="auto"/>
        <w:jc w:val="both"/>
        <w:rPr>
          <w:bCs/>
          <w:iCs/>
          <w:sz w:val="24"/>
          <w:szCs w:val="24"/>
          <w:lang w:val="en-GB"/>
        </w:rPr>
      </w:pPr>
      <w:r w:rsidRPr="006E3436">
        <w:rPr>
          <w:bCs/>
          <w:iCs/>
          <w:sz w:val="24"/>
          <w:szCs w:val="24"/>
          <w:lang w:val="en-GB"/>
        </w:rPr>
        <w:lastRenderedPageBreak/>
        <w:t>Alignment with Accounting Principles: It is not different from accounting profit measures, thus, it makes it easy for management to understand and use. (Sanders, 2020).</w:t>
      </w:r>
    </w:p>
    <w:p w14:paraId="1735F680" w14:textId="77777777" w:rsidR="001013C0" w:rsidRPr="00C66FB5" w:rsidRDefault="001013C0" w:rsidP="001013C0">
      <w:pPr>
        <w:spacing w:line="276" w:lineRule="auto"/>
        <w:jc w:val="both"/>
        <w:rPr>
          <w:b/>
          <w:bCs/>
          <w:iCs/>
          <w:sz w:val="24"/>
          <w:szCs w:val="24"/>
          <w:lang w:val="en-GB"/>
        </w:rPr>
      </w:pPr>
      <w:r w:rsidRPr="00C66FB5">
        <w:rPr>
          <w:b/>
          <w:bCs/>
          <w:iCs/>
          <w:sz w:val="24"/>
          <w:szCs w:val="24"/>
          <w:lang w:val="en-GB"/>
        </w:rPr>
        <w:t>Shortcomings:</w:t>
      </w:r>
    </w:p>
    <w:p w14:paraId="0C3E4CDE" w14:textId="77777777" w:rsidR="001013C0" w:rsidRPr="006E3436" w:rsidRDefault="001013C0" w:rsidP="001013C0">
      <w:pPr>
        <w:spacing w:line="276" w:lineRule="auto"/>
        <w:jc w:val="both"/>
        <w:rPr>
          <w:bCs/>
          <w:iCs/>
          <w:sz w:val="24"/>
          <w:szCs w:val="24"/>
          <w:lang w:val="en-GB"/>
        </w:rPr>
      </w:pPr>
      <w:r w:rsidRPr="006E3436">
        <w:rPr>
          <w:bCs/>
          <w:iCs/>
          <w:sz w:val="24"/>
          <w:szCs w:val="24"/>
          <w:lang w:val="en-GB"/>
        </w:rPr>
        <w:t>Ignores the Time Value of Money: In a similar way, ARR also fails to reflect price changes that are likely to happen in future years which in turn can render the profitability imbalanced (Carter, 2019).</w:t>
      </w:r>
    </w:p>
    <w:p w14:paraId="4D17953F" w14:textId="77777777" w:rsidR="001013C0" w:rsidRPr="006E3436" w:rsidRDefault="001013C0" w:rsidP="001013C0">
      <w:pPr>
        <w:spacing w:line="276" w:lineRule="auto"/>
        <w:jc w:val="both"/>
        <w:rPr>
          <w:sz w:val="24"/>
          <w:szCs w:val="24"/>
          <w:lang w:val="en-GB"/>
        </w:rPr>
      </w:pPr>
      <w:r w:rsidRPr="006E3436">
        <w:rPr>
          <w:bCs/>
          <w:iCs/>
          <w:sz w:val="24"/>
          <w:szCs w:val="24"/>
          <w:lang w:val="en-GB"/>
        </w:rPr>
        <w:t>Benchmark Relativity: As a unitary ARR does not include a predetermined valuation criterion, this means that the investment decisions can prove to be inconsistent and arbitrarily fluctuating (Hansen, 2022).</w:t>
      </w:r>
    </w:p>
    <w:p w14:paraId="1CC57F5C" w14:textId="77777777" w:rsidR="001013C0" w:rsidRPr="006E3436" w:rsidRDefault="001013C0" w:rsidP="001013C0">
      <w:pPr>
        <w:spacing w:line="276" w:lineRule="auto"/>
        <w:jc w:val="both"/>
        <w:rPr>
          <w:b/>
          <w:sz w:val="24"/>
          <w:szCs w:val="24"/>
          <w:lang w:val="en-GB"/>
        </w:rPr>
      </w:pPr>
      <w:r w:rsidRPr="006E3436">
        <w:rPr>
          <w:b/>
          <w:sz w:val="24"/>
          <w:szCs w:val="24"/>
          <w:lang w:val="en-GB"/>
        </w:rPr>
        <w:t>Net Present Value (NPV)</w:t>
      </w:r>
    </w:p>
    <w:p w14:paraId="5FB3AE5B" w14:textId="77777777" w:rsidR="001013C0" w:rsidRPr="00C66FB5" w:rsidRDefault="001013C0" w:rsidP="001013C0">
      <w:pPr>
        <w:spacing w:line="276" w:lineRule="auto"/>
        <w:jc w:val="both"/>
        <w:rPr>
          <w:b/>
          <w:bCs/>
          <w:iCs/>
          <w:sz w:val="24"/>
          <w:szCs w:val="24"/>
          <w:lang w:val="en-GB"/>
        </w:rPr>
      </w:pPr>
      <w:r w:rsidRPr="00C66FB5">
        <w:rPr>
          <w:b/>
          <w:bCs/>
          <w:iCs/>
          <w:sz w:val="24"/>
          <w:szCs w:val="24"/>
          <w:lang w:val="en-GB"/>
        </w:rPr>
        <w:t>Advantages:</w:t>
      </w:r>
    </w:p>
    <w:p w14:paraId="0B34D345" w14:textId="77777777" w:rsidR="001013C0" w:rsidRPr="006E3436" w:rsidRDefault="001013C0" w:rsidP="001013C0">
      <w:pPr>
        <w:spacing w:line="276" w:lineRule="auto"/>
        <w:jc w:val="both"/>
        <w:rPr>
          <w:bCs/>
          <w:iCs/>
          <w:sz w:val="24"/>
          <w:szCs w:val="24"/>
          <w:lang w:val="en-GB"/>
        </w:rPr>
      </w:pPr>
      <w:r w:rsidRPr="006E3436">
        <w:rPr>
          <w:bCs/>
          <w:iCs/>
          <w:sz w:val="24"/>
          <w:szCs w:val="24"/>
          <w:lang w:val="en-GB"/>
        </w:rPr>
        <w:t>Incorporation of Time Value of Money: The ability of NPV to reflect the time value of money and its entire evaluation of a project's financial effectiveness are some of the strengths (Langfield-Smith, 2023).</w:t>
      </w:r>
    </w:p>
    <w:p w14:paraId="0499BB5D" w14:textId="77777777" w:rsidR="001013C0" w:rsidRPr="006E3436" w:rsidRDefault="001013C0" w:rsidP="001013C0">
      <w:pPr>
        <w:spacing w:line="276" w:lineRule="auto"/>
        <w:jc w:val="both"/>
        <w:rPr>
          <w:bCs/>
          <w:iCs/>
          <w:sz w:val="24"/>
          <w:szCs w:val="24"/>
          <w:lang w:val="en-GB"/>
        </w:rPr>
      </w:pPr>
      <w:r w:rsidRPr="006E3436">
        <w:rPr>
          <w:bCs/>
          <w:iCs/>
          <w:sz w:val="24"/>
          <w:szCs w:val="24"/>
          <w:lang w:val="en-GB"/>
        </w:rPr>
        <w:t>Provides Absolute Financial Value: The NPV provides a specific value in monetary format, which plays the role of quantifying the tangible profits for the project. (Greenwood, 2022).</w:t>
      </w:r>
    </w:p>
    <w:p w14:paraId="18B5823B" w14:textId="77777777" w:rsidR="001013C0" w:rsidRPr="00C66FB5" w:rsidRDefault="001013C0" w:rsidP="001013C0">
      <w:pPr>
        <w:spacing w:line="276" w:lineRule="auto"/>
        <w:jc w:val="both"/>
        <w:rPr>
          <w:b/>
          <w:bCs/>
          <w:iCs/>
          <w:sz w:val="24"/>
          <w:szCs w:val="24"/>
          <w:lang w:val="en-GB"/>
        </w:rPr>
      </w:pPr>
      <w:r w:rsidRPr="00C66FB5">
        <w:rPr>
          <w:b/>
          <w:bCs/>
          <w:iCs/>
          <w:sz w:val="24"/>
          <w:szCs w:val="24"/>
          <w:lang w:val="en-GB"/>
        </w:rPr>
        <w:t>Shortcomings:</w:t>
      </w:r>
    </w:p>
    <w:p w14:paraId="0651C1B1" w14:textId="77777777" w:rsidR="001013C0" w:rsidRPr="006E3436" w:rsidRDefault="001013C0" w:rsidP="001013C0">
      <w:pPr>
        <w:spacing w:line="276" w:lineRule="auto"/>
        <w:jc w:val="both"/>
        <w:rPr>
          <w:bCs/>
          <w:iCs/>
          <w:sz w:val="24"/>
          <w:szCs w:val="24"/>
          <w:lang w:val="en-GB"/>
        </w:rPr>
      </w:pPr>
      <w:r w:rsidRPr="006E3436">
        <w:rPr>
          <w:bCs/>
          <w:iCs/>
          <w:sz w:val="24"/>
          <w:szCs w:val="24"/>
          <w:lang w:val="en-GB"/>
        </w:rPr>
        <w:t>Complexity in Calculation: NPVs complexity in determining its key components - cash flows estimation and discount rate selection - creates uncertainty (Langfield-Smith, 2023).</w:t>
      </w:r>
    </w:p>
    <w:p w14:paraId="098055E2" w14:textId="77777777" w:rsidR="001013C0" w:rsidRPr="00C66FB5" w:rsidRDefault="001013C0" w:rsidP="001013C0">
      <w:pPr>
        <w:spacing w:line="276" w:lineRule="auto"/>
        <w:jc w:val="both"/>
        <w:rPr>
          <w:bCs/>
          <w:iCs/>
          <w:sz w:val="24"/>
          <w:szCs w:val="24"/>
          <w:lang w:val="en-GB"/>
        </w:rPr>
      </w:pPr>
      <w:r w:rsidRPr="006E3436">
        <w:rPr>
          <w:bCs/>
          <w:iCs/>
          <w:sz w:val="24"/>
          <w:szCs w:val="24"/>
          <w:lang w:val="en-GB"/>
        </w:rPr>
        <w:t xml:space="preserve">Subjectivity in Discount Rate Selection: Subjective judgment and inaccuracies of the NPV calculations are often involved into the matter of determining the </w:t>
      </w:r>
      <w:r>
        <w:rPr>
          <w:bCs/>
          <w:iCs/>
          <w:sz w:val="24"/>
          <w:szCs w:val="24"/>
          <w:lang w:val="en-GB"/>
        </w:rPr>
        <w:t>discount rate (Mitchell, 2021).</w:t>
      </w:r>
    </w:p>
    <w:p w14:paraId="1B6B6385" w14:textId="77777777" w:rsidR="001013C0" w:rsidRPr="00C66FB5" w:rsidRDefault="001013C0" w:rsidP="001013C0">
      <w:pPr>
        <w:pStyle w:val="Heading1"/>
        <w:numPr>
          <w:ilvl w:val="0"/>
          <w:numId w:val="7"/>
        </w:numPr>
        <w:tabs>
          <w:tab w:val="num" w:pos="360"/>
        </w:tabs>
        <w:ind w:left="0" w:firstLine="0"/>
        <w:rPr>
          <w:b/>
          <w:color w:val="000000" w:themeColor="text1"/>
        </w:rPr>
      </w:pPr>
      <w:bookmarkStart w:id="31" w:name="_Toc163310245"/>
      <w:bookmarkStart w:id="32" w:name="_Toc164718613"/>
      <w:r w:rsidRPr="00C66FB5">
        <w:rPr>
          <w:b/>
          <w:color w:val="000000" w:themeColor="text1"/>
        </w:rPr>
        <w:t>Non-financial factors</w:t>
      </w:r>
      <w:bookmarkEnd w:id="31"/>
      <w:bookmarkEnd w:id="32"/>
    </w:p>
    <w:p w14:paraId="01D5A370" w14:textId="77777777" w:rsidR="001013C0" w:rsidRPr="006E3436" w:rsidRDefault="001013C0" w:rsidP="001013C0">
      <w:pPr>
        <w:spacing w:line="276" w:lineRule="auto"/>
        <w:jc w:val="both"/>
        <w:rPr>
          <w:sz w:val="24"/>
          <w:szCs w:val="24"/>
        </w:rPr>
      </w:pPr>
    </w:p>
    <w:p w14:paraId="7BEBA30D" w14:textId="77777777" w:rsidR="001013C0" w:rsidRPr="006E3436" w:rsidRDefault="001013C0" w:rsidP="001013C0">
      <w:pPr>
        <w:spacing w:line="276" w:lineRule="auto"/>
        <w:rPr>
          <w:sz w:val="24"/>
          <w:szCs w:val="24"/>
        </w:rPr>
      </w:pPr>
      <w:r w:rsidRPr="006E3436">
        <w:rPr>
          <w:sz w:val="24"/>
          <w:szCs w:val="24"/>
        </w:rPr>
        <w:t>The NPV, IRR and payback period are good instrument for financial evaluation of a project, however the non-financial factors like, Environmental impact, Social acceptance and Government regulations also play a vital role in the decision making process. These components can either assist or hinder successful project just as much as its financial yields. Here are key non-financial considerat</w:t>
      </w:r>
      <w:r>
        <w:rPr>
          <w:sz w:val="24"/>
          <w:szCs w:val="24"/>
        </w:rPr>
        <w:t xml:space="preserve">ions management should evaluate, </w:t>
      </w:r>
      <w:r w:rsidRPr="006E3436">
        <w:rPr>
          <w:sz w:val="24"/>
          <w:szCs w:val="24"/>
        </w:rPr>
        <w:t>Here are key non-financial considerations management should evaluate:</w:t>
      </w:r>
      <w:r w:rsidRPr="006E3436">
        <w:rPr>
          <w:sz w:val="24"/>
          <w:szCs w:val="24"/>
        </w:rPr>
        <w:br/>
      </w:r>
      <w:r w:rsidRPr="006E3436">
        <w:rPr>
          <w:sz w:val="24"/>
          <w:szCs w:val="24"/>
        </w:rPr>
        <w:br/>
      </w:r>
      <w:r w:rsidRPr="00C66FB5">
        <w:rPr>
          <w:b/>
          <w:sz w:val="24"/>
          <w:szCs w:val="24"/>
        </w:rPr>
        <w:t>Strategic Alignment</w:t>
      </w:r>
      <w:r w:rsidRPr="006E3436">
        <w:rPr>
          <w:sz w:val="24"/>
          <w:szCs w:val="24"/>
        </w:rPr>
        <w:t>: It is very important that the venture is consistent and senior management buy-in for the project regarding its alignment with the company’s long-</w:t>
      </w:r>
      <w:r w:rsidRPr="006E3436">
        <w:rPr>
          <w:sz w:val="24"/>
          <w:szCs w:val="24"/>
        </w:rPr>
        <w:lastRenderedPageBreak/>
        <w:t>term aims and objectives. The management should re-examine the project in the light of whether the company vision, mission and the strategic directions are in agreement with the project</w:t>
      </w:r>
      <w:r>
        <w:rPr>
          <w:sz w:val="24"/>
          <w:szCs w:val="24"/>
        </w:rPr>
        <w:t xml:space="preserve"> </w:t>
      </w:r>
      <w:r w:rsidRPr="00993CDF">
        <w:rPr>
          <w:sz w:val="24"/>
          <w:szCs w:val="24"/>
        </w:rPr>
        <w:t>(Kristi &amp; Yanto, 2020)</w:t>
      </w:r>
      <w:r w:rsidRPr="006E3436">
        <w:rPr>
          <w:sz w:val="24"/>
          <w:szCs w:val="24"/>
        </w:rPr>
        <w:t>.</w:t>
      </w:r>
      <w:r w:rsidRPr="006E3436">
        <w:rPr>
          <w:sz w:val="24"/>
          <w:szCs w:val="24"/>
        </w:rPr>
        <w:br/>
      </w:r>
      <w:r w:rsidRPr="006E3436">
        <w:rPr>
          <w:sz w:val="24"/>
          <w:szCs w:val="24"/>
        </w:rPr>
        <w:br/>
      </w:r>
      <w:r w:rsidRPr="00C66FB5">
        <w:rPr>
          <w:b/>
          <w:sz w:val="24"/>
          <w:szCs w:val="24"/>
        </w:rPr>
        <w:t>Brand Impact</w:t>
      </w:r>
      <w:r w:rsidRPr="006E3436">
        <w:rPr>
          <w:sz w:val="24"/>
          <w:szCs w:val="24"/>
        </w:rPr>
        <w:t>: In the meantime, you should think about how this project is going to influence the marketing image of the company and how it is going to make itself more reputable. The implementations that lift the brand worth or stays attached to the brand's brand identity usually provide intangible benefits on a large scale</w:t>
      </w:r>
      <w:r>
        <w:rPr>
          <w:sz w:val="24"/>
          <w:szCs w:val="24"/>
        </w:rPr>
        <w:t xml:space="preserve"> </w:t>
      </w:r>
      <w:r w:rsidRPr="00993CDF">
        <w:rPr>
          <w:sz w:val="24"/>
          <w:szCs w:val="24"/>
        </w:rPr>
        <w:t>(</w:t>
      </w:r>
      <w:proofErr w:type="spellStart"/>
      <w:r w:rsidRPr="00993CDF">
        <w:rPr>
          <w:sz w:val="24"/>
          <w:szCs w:val="24"/>
        </w:rPr>
        <w:t>Tarmidi</w:t>
      </w:r>
      <w:proofErr w:type="spellEnd"/>
      <w:r w:rsidRPr="00993CDF">
        <w:rPr>
          <w:sz w:val="24"/>
          <w:szCs w:val="24"/>
        </w:rPr>
        <w:t xml:space="preserve"> et al., 2020)</w:t>
      </w:r>
      <w:r w:rsidRPr="006E3436">
        <w:rPr>
          <w:sz w:val="24"/>
          <w:szCs w:val="24"/>
        </w:rPr>
        <w:t>.</w:t>
      </w:r>
      <w:r w:rsidRPr="006E3436">
        <w:rPr>
          <w:sz w:val="24"/>
          <w:szCs w:val="24"/>
        </w:rPr>
        <w:br/>
      </w:r>
      <w:r w:rsidRPr="006E3436">
        <w:rPr>
          <w:sz w:val="24"/>
          <w:szCs w:val="24"/>
        </w:rPr>
        <w:br/>
      </w:r>
      <w:r w:rsidRPr="00C66FB5">
        <w:rPr>
          <w:b/>
          <w:sz w:val="24"/>
          <w:szCs w:val="24"/>
        </w:rPr>
        <w:t>Customer Satisfaction</w:t>
      </w:r>
      <w:r w:rsidRPr="006E3436">
        <w:rPr>
          <w:sz w:val="24"/>
          <w:szCs w:val="24"/>
        </w:rPr>
        <w:t>: The implications to customer satisfaction first and foremost on what the client evaluates. A venture could make a negative financial benefit early in the idea life, but the success in the medium or long term will depend on the investment in projects that are focused on the loyalty, customer experience, or even the user need fulfillment.</w:t>
      </w:r>
      <w:r w:rsidRPr="006E3436">
        <w:rPr>
          <w:sz w:val="24"/>
          <w:szCs w:val="24"/>
        </w:rPr>
        <w:br/>
      </w:r>
      <w:r w:rsidRPr="006E3436">
        <w:rPr>
          <w:sz w:val="24"/>
          <w:szCs w:val="24"/>
        </w:rPr>
        <w:br/>
      </w:r>
      <w:r w:rsidRPr="00C66FB5">
        <w:rPr>
          <w:b/>
          <w:sz w:val="24"/>
          <w:szCs w:val="24"/>
        </w:rPr>
        <w:t>Employee Morale and Capacity</w:t>
      </w:r>
      <w:r w:rsidRPr="006E3436">
        <w:rPr>
          <w:sz w:val="24"/>
          <w:szCs w:val="24"/>
        </w:rPr>
        <w:t>: Assess the project contribution in enhancing the employee's capacity and the effect of having to work more, such as changing workplace morale or the need for more skills training. The team's mood and expertise, as well as the awareness of the occurrence are the crucial moments for the realization of the mission</w:t>
      </w:r>
      <w:r>
        <w:rPr>
          <w:sz w:val="24"/>
          <w:szCs w:val="24"/>
        </w:rPr>
        <w:t xml:space="preserve"> </w:t>
      </w:r>
      <w:r w:rsidRPr="00993CDF">
        <w:rPr>
          <w:sz w:val="24"/>
          <w:szCs w:val="24"/>
        </w:rPr>
        <w:t xml:space="preserve">(Zarzycka &amp; </w:t>
      </w:r>
      <w:proofErr w:type="spellStart"/>
      <w:r w:rsidRPr="00993CDF">
        <w:rPr>
          <w:sz w:val="24"/>
          <w:szCs w:val="24"/>
        </w:rPr>
        <w:t>Krasodomska</w:t>
      </w:r>
      <w:proofErr w:type="spellEnd"/>
      <w:r w:rsidRPr="00993CDF">
        <w:rPr>
          <w:sz w:val="24"/>
          <w:szCs w:val="24"/>
        </w:rPr>
        <w:t>, 2022)</w:t>
      </w:r>
      <w:r w:rsidRPr="006E3436">
        <w:rPr>
          <w:sz w:val="24"/>
          <w:szCs w:val="24"/>
        </w:rPr>
        <w:t>.</w:t>
      </w:r>
      <w:r w:rsidRPr="006E3436">
        <w:rPr>
          <w:sz w:val="24"/>
          <w:szCs w:val="24"/>
        </w:rPr>
        <w:br/>
      </w:r>
      <w:r w:rsidRPr="006E3436">
        <w:rPr>
          <w:sz w:val="24"/>
          <w:szCs w:val="24"/>
        </w:rPr>
        <w:br/>
      </w:r>
      <w:r w:rsidRPr="00C66FB5">
        <w:rPr>
          <w:b/>
          <w:sz w:val="24"/>
          <w:szCs w:val="24"/>
        </w:rPr>
        <w:t>Market Trends and Dynamics</w:t>
      </w:r>
      <w:r w:rsidRPr="006E3436">
        <w:rPr>
          <w:sz w:val="24"/>
          <w:szCs w:val="24"/>
        </w:rPr>
        <w:t>: It is a grasp of the current and future direction of the market that will permit the desired project to have its success. Which can be a good signal for the company, indicating that their project is valued by someone during the time of some emerging trend or market topple</w:t>
      </w:r>
      <w:r>
        <w:rPr>
          <w:sz w:val="24"/>
          <w:szCs w:val="24"/>
        </w:rPr>
        <w:t xml:space="preserve"> (</w:t>
      </w:r>
      <w:proofErr w:type="spellStart"/>
      <w:r>
        <w:rPr>
          <w:sz w:val="24"/>
          <w:szCs w:val="24"/>
        </w:rPr>
        <w:t>Mihalciuc</w:t>
      </w:r>
      <w:proofErr w:type="spellEnd"/>
      <w:r>
        <w:rPr>
          <w:sz w:val="24"/>
          <w:szCs w:val="24"/>
        </w:rPr>
        <w:t>, 2022)</w:t>
      </w:r>
      <w:r w:rsidRPr="006E3436">
        <w:rPr>
          <w:sz w:val="24"/>
          <w:szCs w:val="24"/>
        </w:rPr>
        <w:t>.</w:t>
      </w:r>
      <w:r w:rsidRPr="006E3436">
        <w:rPr>
          <w:sz w:val="24"/>
          <w:szCs w:val="24"/>
        </w:rPr>
        <w:br/>
      </w:r>
      <w:r w:rsidRPr="006E3436">
        <w:rPr>
          <w:sz w:val="24"/>
          <w:szCs w:val="24"/>
        </w:rPr>
        <w:br/>
      </w:r>
      <w:r w:rsidRPr="00C66FB5">
        <w:rPr>
          <w:b/>
          <w:sz w:val="24"/>
          <w:szCs w:val="24"/>
        </w:rPr>
        <w:t>Competitive Advantage</w:t>
      </w:r>
      <w:r w:rsidRPr="006E3436">
        <w:rPr>
          <w:sz w:val="24"/>
          <w:szCs w:val="24"/>
        </w:rPr>
        <w:t>: Understand whether the project will grant a unique complement to the competitive benefits or give the firm a superiority over the competitors.</w:t>
      </w:r>
    </w:p>
    <w:p w14:paraId="19DB1FBD" w14:textId="77777777" w:rsidR="001013C0" w:rsidRDefault="001013C0" w:rsidP="001013C0">
      <w:pPr>
        <w:spacing w:line="276" w:lineRule="auto"/>
        <w:jc w:val="both"/>
        <w:rPr>
          <w:sz w:val="24"/>
          <w:szCs w:val="24"/>
        </w:rPr>
      </w:pPr>
    </w:p>
    <w:p w14:paraId="065D635D" w14:textId="77777777" w:rsidR="001013C0" w:rsidRDefault="001013C0" w:rsidP="001013C0">
      <w:pPr>
        <w:spacing w:line="276" w:lineRule="auto"/>
        <w:jc w:val="both"/>
        <w:rPr>
          <w:sz w:val="24"/>
          <w:szCs w:val="24"/>
        </w:rPr>
      </w:pPr>
    </w:p>
    <w:p w14:paraId="47B9A81F" w14:textId="77777777" w:rsidR="001013C0" w:rsidRPr="006E3436" w:rsidRDefault="001013C0" w:rsidP="001013C0">
      <w:pPr>
        <w:spacing w:line="276" w:lineRule="auto"/>
        <w:jc w:val="both"/>
        <w:rPr>
          <w:sz w:val="24"/>
          <w:szCs w:val="24"/>
        </w:rPr>
      </w:pPr>
    </w:p>
    <w:p w14:paraId="38739616" w14:textId="77777777" w:rsidR="001013C0" w:rsidRDefault="001013C0" w:rsidP="001013C0">
      <w:pPr>
        <w:pStyle w:val="Heading1"/>
        <w:numPr>
          <w:ilvl w:val="0"/>
          <w:numId w:val="7"/>
        </w:numPr>
        <w:tabs>
          <w:tab w:val="num" w:pos="360"/>
        </w:tabs>
        <w:ind w:left="0" w:firstLine="0"/>
        <w:rPr>
          <w:b/>
          <w:color w:val="000000" w:themeColor="text1"/>
        </w:rPr>
      </w:pPr>
      <w:bookmarkStart w:id="33" w:name="_Toc164718614"/>
      <w:r w:rsidRPr="00C66FB5">
        <w:rPr>
          <w:b/>
          <w:color w:val="000000" w:themeColor="text1"/>
        </w:rPr>
        <w:t>References</w:t>
      </w:r>
      <w:bookmarkEnd w:id="33"/>
      <w:r w:rsidRPr="00C66FB5">
        <w:rPr>
          <w:b/>
          <w:color w:val="000000" w:themeColor="text1"/>
        </w:rPr>
        <w:t xml:space="preserve"> </w:t>
      </w:r>
    </w:p>
    <w:p w14:paraId="4551A841" w14:textId="77777777" w:rsidR="001013C0" w:rsidRPr="006E3436" w:rsidRDefault="001013C0" w:rsidP="001013C0">
      <w:pPr>
        <w:spacing w:line="276" w:lineRule="auto"/>
        <w:jc w:val="both"/>
        <w:rPr>
          <w:sz w:val="24"/>
          <w:szCs w:val="24"/>
        </w:rPr>
      </w:pPr>
    </w:p>
    <w:p w14:paraId="68B08C6B" w14:textId="77777777" w:rsidR="001013C0" w:rsidRPr="006E3436" w:rsidRDefault="001013C0" w:rsidP="001013C0">
      <w:pPr>
        <w:spacing w:line="276" w:lineRule="auto"/>
        <w:ind w:left="360"/>
        <w:jc w:val="both"/>
        <w:rPr>
          <w:sz w:val="24"/>
          <w:szCs w:val="24"/>
        </w:rPr>
      </w:pPr>
      <w:r w:rsidRPr="006E3436">
        <w:rPr>
          <w:sz w:val="24"/>
          <w:szCs w:val="24"/>
        </w:rPr>
        <w:t>Brealey, R. A., Myers, S. C., &amp; Allen, F. (2020). Principles of Corporate Finance. McGraw-Hill Education.</w:t>
      </w:r>
    </w:p>
    <w:p w14:paraId="5807D7A9" w14:textId="77777777" w:rsidR="001013C0" w:rsidRPr="006E3436" w:rsidRDefault="001013C0" w:rsidP="001013C0">
      <w:pPr>
        <w:spacing w:line="276" w:lineRule="auto"/>
        <w:ind w:left="360"/>
        <w:jc w:val="both"/>
        <w:rPr>
          <w:sz w:val="24"/>
          <w:szCs w:val="24"/>
        </w:rPr>
      </w:pPr>
      <w:r w:rsidRPr="006E3436">
        <w:rPr>
          <w:sz w:val="24"/>
          <w:szCs w:val="24"/>
        </w:rPr>
        <w:lastRenderedPageBreak/>
        <w:t>Brigham, E. F., &amp; Houston, J. F. (2019). Fundamentals of Financial Management. Cengage Learning.</w:t>
      </w:r>
    </w:p>
    <w:p w14:paraId="3FE952B9" w14:textId="77777777" w:rsidR="001013C0" w:rsidRPr="006E3436" w:rsidRDefault="001013C0" w:rsidP="001013C0">
      <w:pPr>
        <w:spacing w:line="276" w:lineRule="auto"/>
        <w:ind w:left="360"/>
        <w:jc w:val="both"/>
        <w:rPr>
          <w:sz w:val="24"/>
          <w:szCs w:val="24"/>
        </w:rPr>
      </w:pPr>
      <w:r w:rsidRPr="006E3436">
        <w:rPr>
          <w:sz w:val="24"/>
          <w:szCs w:val="24"/>
        </w:rPr>
        <w:t>Carter, S. (2019). "Evaluating Capital Investments: Bridging Theory and Practice." Journal of Business Studies, 34(2), 45-58.</w:t>
      </w:r>
    </w:p>
    <w:p w14:paraId="7517655C" w14:textId="77777777" w:rsidR="001013C0" w:rsidRDefault="001013C0" w:rsidP="001013C0">
      <w:pPr>
        <w:spacing w:line="276" w:lineRule="auto"/>
        <w:ind w:left="360"/>
        <w:jc w:val="both"/>
        <w:rPr>
          <w:sz w:val="24"/>
          <w:szCs w:val="24"/>
        </w:rPr>
      </w:pPr>
      <w:r w:rsidRPr="004040FD">
        <w:rPr>
          <w:sz w:val="24"/>
          <w:szCs w:val="24"/>
        </w:rPr>
        <w:t>Chang, V., Baudier, P., Zhang, H., Xu, Q., Zhang, J. and Arami, M., 2020. How Blockchain can impact financial services–The overview, challenges and recommendations from expert interviewees. Technological forecasting and social change, 158, p.120166.</w:t>
      </w:r>
    </w:p>
    <w:p w14:paraId="1D9878AE" w14:textId="77777777" w:rsidR="001013C0" w:rsidRPr="006E3436" w:rsidRDefault="001013C0" w:rsidP="001013C0">
      <w:pPr>
        <w:spacing w:line="276" w:lineRule="auto"/>
        <w:ind w:left="360"/>
        <w:jc w:val="both"/>
        <w:rPr>
          <w:sz w:val="24"/>
          <w:szCs w:val="24"/>
        </w:rPr>
      </w:pPr>
      <w:r w:rsidRPr="006E3436">
        <w:rPr>
          <w:sz w:val="24"/>
          <w:szCs w:val="24"/>
        </w:rPr>
        <w:t>Damodaran, A. (2012). Corporate Finance: Theory and Practice. John Wiley &amp; Sons.</w:t>
      </w:r>
    </w:p>
    <w:p w14:paraId="7D5A613B" w14:textId="77777777" w:rsidR="001013C0" w:rsidRPr="006E3436" w:rsidRDefault="001013C0" w:rsidP="001013C0">
      <w:pPr>
        <w:spacing w:line="276" w:lineRule="auto"/>
        <w:ind w:left="360"/>
        <w:jc w:val="both"/>
        <w:rPr>
          <w:sz w:val="24"/>
          <w:szCs w:val="24"/>
        </w:rPr>
      </w:pPr>
      <w:r w:rsidRPr="006E3436">
        <w:rPr>
          <w:sz w:val="24"/>
          <w:szCs w:val="24"/>
        </w:rPr>
        <w:t>Gitman, L. J. (2017). Principles of Managerial Finance. Pearson.</w:t>
      </w:r>
    </w:p>
    <w:p w14:paraId="0F511337" w14:textId="77777777" w:rsidR="001013C0" w:rsidRPr="006E3436" w:rsidRDefault="001013C0" w:rsidP="001013C0">
      <w:pPr>
        <w:spacing w:line="276" w:lineRule="auto"/>
        <w:ind w:left="360"/>
        <w:jc w:val="both"/>
        <w:rPr>
          <w:sz w:val="24"/>
          <w:szCs w:val="24"/>
        </w:rPr>
      </w:pPr>
      <w:r w:rsidRPr="006E3436">
        <w:rPr>
          <w:sz w:val="24"/>
          <w:szCs w:val="24"/>
        </w:rPr>
        <w:t>Greenwood, R. (2022). "The Impact of Discount Rates on Net Present Value Calculations." Finance Research Letters, 29, 101-113.</w:t>
      </w:r>
      <w:r w:rsidRPr="00DD4120">
        <w:rPr>
          <w:sz w:val="24"/>
          <w:szCs w:val="24"/>
        </w:rPr>
        <w:t xml:space="preserve"> </w:t>
      </w:r>
      <w:r w:rsidRPr="006E3436">
        <w:rPr>
          <w:sz w:val="24"/>
          <w:szCs w:val="24"/>
        </w:rPr>
        <w:t>Brigham, E. F., &amp; Houston, J. F. (2019). Fundamentals of Financial Management. Cengage Learning.</w:t>
      </w:r>
    </w:p>
    <w:p w14:paraId="345AE558" w14:textId="77777777" w:rsidR="001013C0" w:rsidRPr="006E3436" w:rsidRDefault="001013C0" w:rsidP="001013C0">
      <w:pPr>
        <w:spacing w:line="276" w:lineRule="auto"/>
        <w:ind w:left="360"/>
        <w:jc w:val="both"/>
        <w:rPr>
          <w:sz w:val="24"/>
          <w:szCs w:val="24"/>
        </w:rPr>
      </w:pPr>
      <w:r w:rsidRPr="006E3436">
        <w:rPr>
          <w:sz w:val="24"/>
          <w:szCs w:val="24"/>
        </w:rPr>
        <w:t>Hansen, A. (2022). "Accounting Rate of Return: A Critical Analysis." Accounting Review, 97(4), 231-245.</w:t>
      </w:r>
    </w:p>
    <w:p w14:paraId="1E1D3BEF" w14:textId="77777777" w:rsidR="001013C0" w:rsidRPr="006E3436" w:rsidRDefault="001013C0" w:rsidP="001013C0">
      <w:pPr>
        <w:spacing w:line="276" w:lineRule="auto"/>
        <w:ind w:left="360"/>
        <w:jc w:val="both"/>
        <w:rPr>
          <w:sz w:val="24"/>
          <w:szCs w:val="24"/>
        </w:rPr>
      </w:pPr>
      <w:r w:rsidRPr="006E3436">
        <w:rPr>
          <w:sz w:val="24"/>
          <w:szCs w:val="24"/>
        </w:rPr>
        <w:t>Horngren, C. T., Sundem, G. L., &amp; Stratton, W. O. (2014). Introduction to Management Accounting. Pearson.</w:t>
      </w:r>
    </w:p>
    <w:p w14:paraId="629106EE" w14:textId="77777777" w:rsidR="001013C0" w:rsidRPr="006E3436" w:rsidRDefault="001013C0" w:rsidP="001013C0">
      <w:pPr>
        <w:spacing w:line="276" w:lineRule="auto"/>
        <w:ind w:left="360"/>
        <w:jc w:val="both"/>
        <w:rPr>
          <w:sz w:val="24"/>
          <w:szCs w:val="24"/>
        </w:rPr>
      </w:pPr>
      <w:r w:rsidRPr="006E3436">
        <w:rPr>
          <w:sz w:val="24"/>
          <w:szCs w:val="24"/>
        </w:rPr>
        <w:t>Johnson, M. (2019). "The Payback Period Method: An Empirical Study." Financial Management, 48(4), 1239-1256.</w:t>
      </w:r>
    </w:p>
    <w:p w14:paraId="70C3C0C2" w14:textId="77777777" w:rsidR="001013C0" w:rsidRPr="006E3436" w:rsidRDefault="001013C0" w:rsidP="001013C0">
      <w:pPr>
        <w:spacing w:line="276" w:lineRule="auto"/>
        <w:ind w:left="360"/>
        <w:jc w:val="both"/>
        <w:rPr>
          <w:sz w:val="24"/>
          <w:szCs w:val="24"/>
        </w:rPr>
      </w:pPr>
      <w:proofErr w:type="spellStart"/>
      <w:r w:rsidRPr="006E3436">
        <w:rPr>
          <w:sz w:val="24"/>
          <w:szCs w:val="24"/>
        </w:rPr>
        <w:t>Kieso</w:t>
      </w:r>
      <w:proofErr w:type="spellEnd"/>
      <w:r w:rsidRPr="006E3436">
        <w:rPr>
          <w:sz w:val="24"/>
          <w:szCs w:val="24"/>
        </w:rPr>
        <w:t>, D. E., Weygandt, J. J., &amp; Warfield, T. D. (2018). Intermediate Accounting. John Wiley &amp; Sons.</w:t>
      </w:r>
    </w:p>
    <w:p w14:paraId="20C6CCB0" w14:textId="77777777" w:rsidR="001013C0" w:rsidRDefault="001013C0" w:rsidP="001013C0">
      <w:pPr>
        <w:spacing w:line="276" w:lineRule="auto"/>
        <w:ind w:left="36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Kristi, N.M. and Yanto, H., 2020. The effect of financial and non-financial factors on firm value. </w:t>
      </w:r>
      <w:r>
        <w:rPr>
          <w:rFonts w:ascii="Arial" w:hAnsi="Arial" w:cs="Arial"/>
          <w:i/>
          <w:iCs/>
          <w:color w:val="222222"/>
          <w:sz w:val="20"/>
          <w:szCs w:val="20"/>
          <w:shd w:val="clear" w:color="auto" w:fill="FFFFFF"/>
        </w:rPr>
        <w:t>Accounting Analysis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(2), pp.131-137.</w:t>
      </w:r>
    </w:p>
    <w:p w14:paraId="05A7394F" w14:textId="77777777" w:rsidR="001013C0" w:rsidRPr="004040FD" w:rsidRDefault="001013C0" w:rsidP="001013C0">
      <w:pPr>
        <w:spacing w:line="276" w:lineRule="auto"/>
        <w:ind w:left="360"/>
        <w:jc w:val="both"/>
        <w:rPr>
          <w:sz w:val="24"/>
          <w:szCs w:val="24"/>
        </w:rPr>
      </w:pPr>
      <w:proofErr w:type="spellStart"/>
      <w:r w:rsidRPr="004040FD">
        <w:rPr>
          <w:sz w:val="24"/>
          <w:szCs w:val="24"/>
        </w:rPr>
        <w:t>Kuchumov</w:t>
      </w:r>
      <w:proofErr w:type="spellEnd"/>
      <w:r w:rsidRPr="004040FD">
        <w:rPr>
          <w:sz w:val="24"/>
          <w:szCs w:val="24"/>
        </w:rPr>
        <w:t xml:space="preserve">, A.V., Vorobyev, D.I., Gorbunova, O.A., Tikhomirov, E.A. and </w:t>
      </w:r>
      <w:proofErr w:type="spellStart"/>
      <w:r w:rsidRPr="004040FD">
        <w:rPr>
          <w:sz w:val="24"/>
          <w:szCs w:val="24"/>
        </w:rPr>
        <w:t>Byankina</w:t>
      </w:r>
      <w:proofErr w:type="spellEnd"/>
      <w:r w:rsidRPr="004040FD">
        <w:rPr>
          <w:sz w:val="24"/>
          <w:szCs w:val="24"/>
        </w:rPr>
        <w:t>, V.S., 2022. Analysis and recommendations for improving the financial stability of agricultural production. In IOP Conference Series: Earth and Environmental Science (Vol. 949, No. 1, p. 012059). IOP Publishing.</w:t>
      </w:r>
    </w:p>
    <w:p w14:paraId="7B4E361B" w14:textId="77777777" w:rsidR="001013C0" w:rsidRPr="006E3436" w:rsidRDefault="001013C0" w:rsidP="001013C0">
      <w:pPr>
        <w:spacing w:line="276" w:lineRule="auto"/>
        <w:ind w:left="360"/>
        <w:jc w:val="both"/>
        <w:rPr>
          <w:sz w:val="24"/>
          <w:szCs w:val="24"/>
        </w:rPr>
      </w:pPr>
      <w:r w:rsidRPr="006E3436">
        <w:rPr>
          <w:sz w:val="24"/>
          <w:szCs w:val="24"/>
        </w:rPr>
        <w:t>Langfield-Smith, K. (2023). "Integrating Time Value of Money Concepts in Capital Budgeting." Management Accounting Quarterly, 24(1), 12-23.</w:t>
      </w:r>
    </w:p>
    <w:p w14:paraId="027EA2AC" w14:textId="77777777" w:rsidR="001013C0" w:rsidRDefault="001013C0" w:rsidP="001013C0">
      <w:pPr>
        <w:spacing w:line="276" w:lineRule="auto"/>
        <w:ind w:left="360"/>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Mihalciuc</w:t>
      </w:r>
      <w:proofErr w:type="spellEnd"/>
      <w:r>
        <w:rPr>
          <w:rFonts w:ascii="Arial" w:hAnsi="Arial" w:cs="Arial"/>
          <w:color w:val="222222"/>
          <w:sz w:val="20"/>
          <w:szCs w:val="20"/>
          <w:shd w:val="clear" w:color="auto" w:fill="FFFFFF"/>
        </w:rPr>
        <w:t>, C.C., 2022. The role of non-financial factors in ensuring an adequate firm performance measurement system. </w:t>
      </w:r>
      <w:proofErr w:type="spellStart"/>
      <w:r>
        <w:rPr>
          <w:rFonts w:ascii="Arial" w:hAnsi="Arial" w:cs="Arial"/>
          <w:i/>
          <w:iCs/>
          <w:color w:val="222222"/>
          <w:sz w:val="20"/>
          <w:szCs w:val="20"/>
          <w:shd w:val="clear" w:color="auto" w:fill="FFFFFF"/>
        </w:rPr>
        <w:t>Ecoforum</w:t>
      </w:r>
      <w:proofErr w:type="spellEnd"/>
      <w:r>
        <w:rPr>
          <w:rFonts w:ascii="Arial" w:hAnsi="Arial" w:cs="Arial"/>
          <w:i/>
          <w:iCs/>
          <w:color w:val="222222"/>
          <w:sz w:val="20"/>
          <w:szCs w:val="20"/>
          <w:shd w:val="clear" w:color="auto" w:fill="FFFFFF"/>
        </w:rPr>
        <w:t xml:space="preserve">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w:t>
      </w:r>
    </w:p>
    <w:p w14:paraId="4F335383" w14:textId="77777777" w:rsidR="001013C0" w:rsidRPr="006E3436" w:rsidRDefault="001013C0" w:rsidP="001013C0">
      <w:pPr>
        <w:spacing w:line="276" w:lineRule="auto"/>
        <w:ind w:left="360"/>
        <w:jc w:val="both"/>
        <w:rPr>
          <w:sz w:val="24"/>
          <w:szCs w:val="24"/>
        </w:rPr>
      </w:pPr>
      <w:r w:rsidRPr="006E3436">
        <w:rPr>
          <w:sz w:val="24"/>
          <w:szCs w:val="24"/>
        </w:rPr>
        <w:t>Mitchell, D. (2021). "Challenges in Net Present Value Calculation: The Role of Discount Rates." Journal of Financial Education, 47(1), 56-72.</w:t>
      </w:r>
    </w:p>
    <w:p w14:paraId="7F1796D0" w14:textId="77777777" w:rsidR="001013C0" w:rsidRPr="006E3436" w:rsidRDefault="001013C0" w:rsidP="001013C0">
      <w:pPr>
        <w:spacing w:line="276" w:lineRule="auto"/>
        <w:ind w:left="360"/>
        <w:jc w:val="both"/>
        <w:rPr>
          <w:sz w:val="24"/>
          <w:szCs w:val="24"/>
        </w:rPr>
      </w:pPr>
      <w:r w:rsidRPr="006E3436">
        <w:rPr>
          <w:sz w:val="24"/>
          <w:szCs w:val="24"/>
        </w:rPr>
        <w:t xml:space="preserve">Ross, S. A., </w:t>
      </w:r>
      <w:proofErr w:type="spellStart"/>
      <w:r w:rsidRPr="006E3436">
        <w:rPr>
          <w:sz w:val="24"/>
          <w:szCs w:val="24"/>
        </w:rPr>
        <w:t>Westerfield</w:t>
      </w:r>
      <w:proofErr w:type="spellEnd"/>
      <w:r w:rsidRPr="006E3436">
        <w:rPr>
          <w:sz w:val="24"/>
          <w:szCs w:val="24"/>
        </w:rPr>
        <w:t>, R. W., &amp; Jordan, B. D. (2019). Fundamentals of Corporate Finance. McGraw-Hill Education.</w:t>
      </w:r>
    </w:p>
    <w:p w14:paraId="4701B2AE" w14:textId="77777777" w:rsidR="001013C0" w:rsidRPr="006E3436" w:rsidRDefault="001013C0" w:rsidP="001013C0">
      <w:pPr>
        <w:spacing w:line="276" w:lineRule="auto"/>
        <w:ind w:left="360"/>
        <w:jc w:val="both"/>
        <w:rPr>
          <w:sz w:val="24"/>
          <w:szCs w:val="24"/>
        </w:rPr>
      </w:pPr>
      <w:r w:rsidRPr="006E3436">
        <w:rPr>
          <w:sz w:val="24"/>
          <w:szCs w:val="24"/>
        </w:rPr>
        <w:lastRenderedPageBreak/>
        <w:t>Sanders, T. (2020). "Revisiting the Accounting Rate of Return in the Era of Cloud Computing." Journal of Applied Accounting Research, 21(3), 402-415.</w:t>
      </w:r>
    </w:p>
    <w:p w14:paraId="2730A6A3" w14:textId="77777777" w:rsidR="001013C0" w:rsidRDefault="001013C0" w:rsidP="001013C0">
      <w:pPr>
        <w:spacing w:line="276" w:lineRule="auto"/>
        <w:ind w:left="360"/>
        <w:jc w:val="both"/>
        <w:rPr>
          <w:sz w:val="24"/>
          <w:szCs w:val="24"/>
        </w:rPr>
      </w:pPr>
      <w:r w:rsidRPr="004040FD">
        <w:rPr>
          <w:sz w:val="24"/>
          <w:szCs w:val="24"/>
        </w:rPr>
        <w:t xml:space="preserve">Shapiro, A.C. and </w:t>
      </w:r>
      <w:proofErr w:type="spellStart"/>
      <w:r w:rsidRPr="004040FD">
        <w:rPr>
          <w:sz w:val="24"/>
          <w:szCs w:val="24"/>
        </w:rPr>
        <w:t>Hanouna</w:t>
      </w:r>
      <w:proofErr w:type="spellEnd"/>
      <w:r w:rsidRPr="004040FD">
        <w:rPr>
          <w:sz w:val="24"/>
          <w:szCs w:val="24"/>
        </w:rPr>
        <w:t>, P., 2019. Multinational financial management. John Wiley &amp; Sons.</w:t>
      </w:r>
    </w:p>
    <w:p w14:paraId="1075847F" w14:textId="77777777" w:rsidR="001013C0" w:rsidRPr="006E3436" w:rsidRDefault="001013C0" w:rsidP="001013C0">
      <w:pPr>
        <w:spacing w:line="276" w:lineRule="auto"/>
        <w:ind w:left="360"/>
        <w:jc w:val="both"/>
        <w:rPr>
          <w:sz w:val="24"/>
          <w:szCs w:val="24"/>
        </w:rPr>
      </w:pPr>
      <w:r w:rsidRPr="006E3436">
        <w:rPr>
          <w:sz w:val="24"/>
          <w:szCs w:val="24"/>
        </w:rPr>
        <w:t>Smith, J. (2021). "Simplicity versus Accuracy in Investment Appraisal Techniques." Finance &amp; Controlling, 35(2), 112-119.</w:t>
      </w:r>
    </w:p>
    <w:p w14:paraId="0768C858" w14:textId="77777777" w:rsidR="001013C0" w:rsidRDefault="001013C0" w:rsidP="001013C0">
      <w:pPr>
        <w:spacing w:line="276" w:lineRule="auto"/>
        <w:ind w:left="360"/>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Tarmidi</w:t>
      </w:r>
      <w:proofErr w:type="spellEnd"/>
      <w:r>
        <w:rPr>
          <w:rFonts w:ascii="Arial" w:hAnsi="Arial" w:cs="Arial"/>
          <w:color w:val="222222"/>
          <w:sz w:val="20"/>
          <w:szCs w:val="20"/>
          <w:shd w:val="clear" w:color="auto" w:fill="FFFFFF"/>
        </w:rPr>
        <w:t xml:space="preserve">, D., Sari, P.N. and </w:t>
      </w:r>
      <w:proofErr w:type="spellStart"/>
      <w:r>
        <w:rPr>
          <w:rFonts w:ascii="Arial" w:hAnsi="Arial" w:cs="Arial"/>
          <w:color w:val="222222"/>
          <w:sz w:val="20"/>
          <w:szCs w:val="20"/>
          <w:shd w:val="clear" w:color="auto" w:fill="FFFFFF"/>
        </w:rPr>
        <w:t>Handayani</w:t>
      </w:r>
      <w:proofErr w:type="spellEnd"/>
      <w:r>
        <w:rPr>
          <w:rFonts w:ascii="Arial" w:hAnsi="Arial" w:cs="Arial"/>
          <w:color w:val="222222"/>
          <w:sz w:val="20"/>
          <w:szCs w:val="20"/>
          <w:shd w:val="clear" w:color="auto" w:fill="FFFFFF"/>
        </w:rPr>
        <w:t>, R., 2020. Tax Avoidance: Impact of Financial and Non-Financial Factors. </w:t>
      </w:r>
      <w:r>
        <w:rPr>
          <w:rFonts w:ascii="Arial" w:hAnsi="Arial" w:cs="Arial"/>
          <w:i/>
          <w:iCs/>
          <w:color w:val="222222"/>
          <w:sz w:val="20"/>
          <w:szCs w:val="20"/>
          <w:shd w:val="clear" w:color="auto" w:fill="FFFFFF"/>
        </w:rPr>
        <w:t>International Journal of Academic Research in Accounting, Finance and Management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(2), pp.1-8.</w:t>
      </w:r>
    </w:p>
    <w:p w14:paraId="59DA8107" w14:textId="77777777" w:rsidR="001013C0" w:rsidRDefault="001013C0" w:rsidP="001013C0">
      <w:pPr>
        <w:spacing w:line="276" w:lineRule="auto"/>
        <w:ind w:left="360"/>
        <w:jc w:val="both"/>
        <w:rPr>
          <w:sz w:val="24"/>
          <w:szCs w:val="24"/>
        </w:rPr>
      </w:pPr>
      <w:r w:rsidRPr="006E3436">
        <w:rPr>
          <w:sz w:val="24"/>
          <w:szCs w:val="24"/>
        </w:rPr>
        <w:t>Taylor, R. (2021). "Beyond the Payback Period: Exploring Advanced Capital Budgeting Techniques." Corporate Finance Review, 26(1), 34-45.</w:t>
      </w:r>
    </w:p>
    <w:p w14:paraId="2E94D810" w14:textId="77777777" w:rsidR="001013C0" w:rsidRPr="006E3436" w:rsidRDefault="001013C0" w:rsidP="001013C0">
      <w:pPr>
        <w:spacing w:line="276" w:lineRule="auto"/>
        <w:ind w:left="360"/>
        <w:jc w:val="both"/>
        <w:rPr>
          <w:sz w:val="24"/>
          <w:szCs w:val="24"/>
        </w:rPr>
      </w:pPr>
      <w:r w:rsidRPr="006E3436">
        <w:rPr>
          <w:sz w:val="24"/>
          <w:szCs w:val="24"/>
        </w:rPr>
        <w:t>Titman, S., Keown, A. J., &amp; Martin, J. D. (2017). Financial Management: Principles and Applications. Pearson.</w:t>
      </w:r>
    </w:p>
    <w:p w14:paraId="1F31B495" w14:textId="77777777" w:rsidR="001013C0" w:rsidRDefault="001013C0" w:rsidP="001013C0">
      <w:pPr>
        <w:spacing w:line="276" w:lineRule="auto"/>
        <w:ind w:left="36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Walton, S., 2020. History of Walmart. </w:t>
      </w:r>
      <w:r>
        <w:rPr>
          <w:rFonts w:ascii="Arial" w:hAnsi="Arial" w:cs="Arial"/>
          <w:i/>
          <w:iCs/>
          <w:color w:val="222222"/>
          <w:sz w:val="20"/>
          <w:szCs w:val="20"/>
          <w:shd w:val="clear" w:color="auto" w:fill="FFFFFF"/>
        </w:rPr>
        <w:t>Made in America. Our format</w:t>
      </w:r>
      <w:r>
        <w:rPr>
          <w:rFonts w:ascii="Arial" w:hAnsi="Arial" w:cs="Arial"/>
          <w:color w:val="222222"/>
          <w:sz w:val="20"/>
          <w:szCs w:val="20"/>
          <w:shd w:val="clear" w:color="auto" w:fill="FFFFFF"/>
        </w:rPr>
        <w:t>.</w:t>
      </w:r>
    </w:p>
    <w:p w14:paraId="50E978A4" w14:textId="77777777" w:rsidR="001013C0" w:rsidRDefault="001013C0" w:rsidP="001013C0">
      <w:pPr>
        <w:spacing w:line="276" w:lineRule="auto"/>
        <w:ind w:left="36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Zarzycka, E. and </w:t>
      </w:r>
      <w:proofErr w:type="spellStart"/>
      <w:r>
        <w:rPr>
          <w:rFonts w:ascii="Arial" w:hAnsi="Arial" w:cs="Arial"/>
          <w:color w:val="222222"/>
          <w:sz w:val="20"/>
          <w:szCs w:val="20"/>
          <w:shd w:val="clear" w:color="auto" w:fill="FFFFFF"/>
        </w:rPr>
        <w:t>Krasodomska</w:t>
      </w:r>
      <w:proofErr w:type="spellEnd"/>
      <w:r>
        <w:rPr>
          <w:rFonts w:ascii="Arial" w:hAnsi="Arial" w:cs="Arial"/>
          <w:color w:val="222222"/>
          <w:sz w:val="20"/>
          <w:szCs w:val="20"/>
          <w:shd w:val="clear" w:color="auto" w:fill="FFFFFF"/>
        </w:rPr>
        <w:t>, J., 2022. Non-financial key performance indicators: what determines the differences in the quality and quantity of the disclosures?. </w:t>
      </w:r>
      <w:r>
        <w:rPr>
          <w:rFonts w:ascii="Arial" w:hAnsi="Arial" w:cs="Arial"/>
          <w:i/>
          <w:iCs/>
          <w:color w:val="222222"/>
          <w:sz w:val="20"/>
          <w:szCs w:val="20"/>
          <w:shd w:val="clear" w:color="auto" w:fill="FFFFFF"/>
        </w:rPr>
        <w:t>Journal of Applied Accounting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(1), pp.139-162.</w:t>
      </w:r>
    </w:p>
    <w:p w14:paraId="38511F97" w14:textId="77777777" w:rsidR="006F0058" w:rsidRDefault="006F0058"/>
    <w:sectPr w:rsidR="006F0058" w:rsidSect="00101E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83F00"/>
    <w:multiLevelType w:val="hybridMultilevel"/>
    <w:tmpl w:val="266A1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24380A"/>
    <w:multiLevelType w:val="multilevel"/>
    <w:tmpl w:val="451CB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451193"/>
    <w:multiLevelType w:val="multilevel"/>
    <w:tmpl w:val="75FA693C"/>
    <w:lvl w:ilvl="0">
      <w:start w:val="1"/>
      <w:numFmt w:val="decimal"/>
      <w:lvlText w:val="%1."/>
      <w:lvlJc w:val="left"/>
      <w:pPr>
        <w:ind w:left="360" w:hanging="360"/>
      </w:pPr>
      <w:rPr>
        <w:b/>
        <w:color w:val="auto"/>
        <w:sz w:val="32"/>
      </w:rPr>
    </w:lvl>
    <w:lvl w:ilvl="1">
      <w:start w:val="1"/>
      <w:numFmt w:val="decimal"/>
      <w:lvlText w:val="%1.%2."/>
      <w:lvlJc w:val="left"/>
      <w:pPr>
        <w:ind w:left="792" w:hanging="432"/>
      </w:pPr>
      <w:rPr>
        <w:color w:val="000000" w:themeColor="text1"/>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6E21C12"/>
    <w:multiLevelType w:val="hybridMultilevel"/>
    <w:tmpl w:val="4358D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127D3E"/>
    <w:multiLevelType w:val="multilevel"/>
    <w:tmpl w:val="2A7EB156"/>
    <w:lvl w:ilvl="0">
      <w:start w:val="6"/>
      <w:numFmt w:val="decimal"/>
      <w:lvlText w:val="%1"/>
      <w:lvlJc w:val="left"/>
      <w:pPr>
        <w:ind w:left="360" w:hanging="360"/>
      </w:pPr>
      <w:rPr>
        <w:rFonts w:hint="default"/>
      </w:rPr>
    </w:lvl>
    <w:lvl w:ilvl="1">
      <w:start w:val="5"/>
      <w:numFmt w:val="decimal"/>
      <w:lvlText w:val="%1.%2"/>
      <w:lvlJc w:val="left"/>
      <w:pPr>
        <w:ind w:left="480" w:hanging="36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204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640" w:hanging="1800"/>
      </w:pPr>
      <w:rPr>
        <w:rFonts w:hint="default"/>
      </w:rPr>
    </w:lvl>
    <w:lvl w:ilvl="8">
      <w:start w:val="1"/>
      <w:numFmt w:val="decimal"/>
      <w:lvlText w:val="%1.%2.%3.%4.%5.%6.%7.%8.%9"/>
      <w:lvlJc w:val="left"/>
      <w:pPr>
        <w:ind w:left="2760" w:hanging="1800"/>
      </w:pPr>
      <w:rPr>
        <w:rFonts w:hint="default"/>
      </w:rPr>
    </w:lvl>
  </w:abstractNum>
  <w:abstractNum w:abstractNumId="5" w15:restartNumberingAfterBreak="0">
    <w:nsid w:val="2B8A01D1"/>
    <w:multiLevelType w:val="hybridMultilevel"/>
    <w:tmpl w:val="A20E5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1C44C1"/>
    <w:multiLevelType w:val="hybridMultilevel"/>
    <w:tmpl w:val="D8AA7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6A66C2"/>
    <w:multiLevelType w:val="multilevel"/>
    <w:tmpl w:val="F9E09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18101F7"/>
    <w:multiLevelType w:val="multilevel"/>
    <w:tmpl w:val="012E9132"/>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355981"/>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1632707"/>
    <w:multiLevelType w:val="multilevel"/>
    <w:tmpl w:val="D396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26437B7"/>
    <w:multiLevelType w:val="hybridMultilevel"/>
    <w:tmpl w:val="399A3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7C3433"/>
    <w:multiLevelType w:val="multilevel"/>
    <w:tmpl w:val="7F7E7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8680323"/>
    <w:multiLevelType w:val="multilevel"/>
    <w:tmpl w:val="E6C0F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13095949">
    <w:abstractNumId w:val="13"/>
  </w:num>
  <w:num w:numId="2" w16cid:durableId="815488011">
    <w:abstractNumId w:val="12"/>
  </w:num>
  <w:num w:numId="3" w16cid:durableId="437064412">
    <w:abstractNumId w:val="7"/>
  </w:num>
  <w:num w:numId="4" w16cid:durableId="2074542673">
    <w:abstractNumId w:val="10"/>
  </w:num>
  <w:num w:numId="5" w16cid:durableId="1132551323">
    <w:abstractNumId w:val="1"/>
  </w:num>
  <w:num w:numId="6" w16cid:durableId="32123254">
    <w:abstractNumId w:val="9"/>
  </w:num>
  <w:num w:numId="7" w16cid:durableId="1353724478">
    <w:abstractNumId w:val="2"/>
  </w:num>
  <w:num w:numId="8" w16cid:durableId="249313694">
    <w:abstractNumId w:val="8"/>
  </w:num>
  <w:num w:numId="9" w16cid:durableId="809786607">
    <w:abstractNumId w:val="6"/>
  </w:num>
  <w:num w:numId="10" w16cid:durableId="859662972">
    <w:abstractNumId w:val="3"/>
  </w:num>
  <w:num w:numId="11" w16cid:durableId="1203438743">
    <w:abstractNumId w:val="11"/>
  </w:num>
  <w:num w:numId="12" w16cid:durableId="380595193">
    <w:abstractNumId w:val="0"/>
  </w:num>
  <w:num w:numId="13" w16cid:durableId="214239863">
    <w:abstractNumId w:val="4"/>
  </w:num>
  <w:num w:numId="14" w16cid:durableId="17610954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65E"/>
    <w:rsid w:val="001013C0"/>
    <w:rsid w:val="00101E83"/>
    <w:rsid w:val="0035765E"/>
    <w:rsid w:val="004C4B7B"/>
    <w:rsid w:val="006F0058"/>
    <w:rsid w:val="008F3B5E"/>
    <w:rsid w:val="00C56937"/>
    <w:rsid w:val="00D22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6D977"/>
  <w15:chartTrackingRefBased/>
  <w15:docId w15:val="{1BF92ACE-7908-4345-9E2E-8832DE3C6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3C0"/>
    <w:rPr>
      <w:kern w:val="0"/>
      <w:lang w:val="en-US"/>
      <w14:ligatures w14:val="none"/>
    </w:rPr>
  </w:style>
  <w:style w:type="paragraph" w:styleId="Heading1">
    <w:name w:val="heading 1"/>
    <w:basedOn w:val="Normal"/>
    <w:next w:val="Normal"/>
    <w:link w:val="Heading1Char"/>
    <w:uiPriority w:val="9"/>
    <w:qFormat/>
    <w:rsid w:val="003576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76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76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76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76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76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76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76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76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6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76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76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76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76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76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76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76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765E"/>
    <w:rPr>
      <w:rFonts w:eastAsiaTheme="majorEastAsia" w:cstheme="majorBidi"/>
      <w:color w:val="272727" w:themeColor="text1" w:themeTint="D8"/>
    </w:rPr>
  </w:style>
  <w:style w:type="paragraph" w:styleId="Title">
    <w:name w:val="Title"/>
    <w:basedOn w:val="Normal"/>
    <w:next w:val="Normal"/>
    <w:link w:val="TitleChar"/>
    <w:uiPriority w:val="10"/>
    <w:qFormat/>
    <w:rsid w:val="003576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76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76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76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765E"/>
    <w:pPr>
      <w:spacing w:before="160"/>
      <w:jc w:val="center"/>
    </w:pPr>
    <w:rPr>
      <w:i/>
      <w:iCs/>
      <w:color w:val="404040" w:themeColor="text1" w:themeTint="BF"/>
    </w:rPr>
  </w:style>
  <w:style w:type="character" w:customStyle="1" w:styleId="QuoteChar">
    <w:name w:val="Quote Char"/>
    <w:basedOn w:val="DefaultParagraphFont"/>
    <w:link w:val="Quote"/>
    <w:uiPriority w:val="29"/>
    <w:rsid w:val="0035765E"/>
    <w:rPr>
      <w:i/>
      <w:iCs/>
      <w:color w:val="404040" w:themeColor="text1" w:themeTint="BF"/>
    </w:rPr>
  </w:style>
  <w:style w:type="paragraph" w:styleId="ListParagraph">
    <w:name w:val="List Paragraph"/>
    <w:basedOn w:val="Normal"/>
    <w:uiPriority w:val="34"/>
    <w:qFormat/>
    <w:rsid w:val="0035765E"/>
    <w:pPr>
      <w:ind w:left="720"/>
      <w:contextualSpacing/>
    </w:pPr>
  </w:style>
  <w:style w:type="character" w:styleId="IntenseEmphasis">
    <w:name w:val="Intense Emphasis"/>
    <w:basedOn w:val="DefaultParagraphFont"/>
    <w:uiPriority w:val="21"/>
    <w:qFormat/>
    <w:rsid w:val="0035765E"/>
    <w:rPr>
      <w:i/>
      <w:iCs/>
      <w:color w:val="0F4761" w:themeColor="accent1" w:themeShade="BF"/>
    </w:rPr>
  </w:style>
  <w:style w:type="paragraph" w:styleId="IntenseQuote">
    <w:name w:val="Intense Quote"/>
    <w:basedOn w:val="Normal"/>
    <w:next w:val="Normal"/>
    <w:link w:val="IntenseQuoteChar"/>
    <w:uiPriority w:val="30"/>
    <w:qFormat/>
    <w:rsid w:val="003576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765E"/>
    <w:rPr>
      <w:i/>
      <w:iCs/>
      <w:color w:val="0F4761" w:themeColor="accent1" w:themeShade="BF"/>
    </w:rPr>
  </w:style>
  <w:style w:type="character" w:styleId="IntenseReference">
    <w:name w:val="Intense Reference"/>
    <w:basedOn w:val="DefaultParagraphFont"/>
    <w:uiPriority w:val="32"/>
    <w:qFormat/>
    <w:rsid w:val="0035765E"/>
    <w:rPr>
      <w:b/>
      <w:bCs/>
      <w:smallCaps/>
      <w:color w:val="0F4761" w:themeColor="accent1" w:themeShade="BF"/>
      <w:spacing w:val="5"/>
    </w:rPr>
  </w:style>
  <w:style w:type="table" w:styleId="GridTable4-Accent6">
    <w:name w:val="Grid Table 4 Accent 6"/>
    <w:basedOn w:val="TableNormal"/>
    <w:uiPriority w:val="49"/>
    <w:rsid w:val="001013C0"/>
    <w:pPr>
      <w:spacing w:after="0" w:line="240" w:lineRule="auto"/>
    </w:pPr>
    <w:rPr>
      <w:kern w:val="0"/>
      <w:lang w:val="en-US"/>
      <w14:ligatures w14:val="none"/>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TOCHeading">
    <w:name w:val="TOC Heading"/>
    <w:basedOn w:val="Heading1"/>
    <w:next w:val="Normal"/>
    <w:uiPriority w:val="39"/>
    <w:unhideWhenUsed/>
    <w:qFormat/>
    <w:rsid w:val="001013C0"/>
    <w:pPr>
      <w:spacing w:before="240" w:after="0"/>
      <w:outlineLvl w:val="9"/>
    </w:pPr>
    <w:rPr>
      <w:sz w:val="32"/>
      <w:szCs w:val="32"/>
    </w:rPr>
  </w:style>
  <w:style w:type="paragraph" w:styleId="TOC1">
    <w:name w:val="toc 1"/>
    <w:basedOn w:val="Normal"/>
    <w:next w:val="Normal"/>
    <w:autoRedefine/>
    <w:uiPriority w:val="39"/>
    <w:unhideWhenUsed/>
    <w:rsid w:val="001013C0"/>
    <w:pPr>
      <w:spacing w:after="100"/>
    </w:pPr>
  </w:style>
  <w:style w:type="paragraph" w:styleId="TOC2">
    <w:name w:val="toc 2"/>
    <w:basedOn w:val="Normal"/>
    <w:next w:val="Normal"/>
    <w:autoRedefine/>
    <w:uiPriority w:val="39"/>
    <w:unhideWhenUsed/>
    <w:rsid w:val="001013C0"/>
    <w:pPr>
      <w:spacing w:after="100"/>
      <w:ind w:left="220"/>
    </w:pPr>
  </w:style>
  <w:style w:type="character" w:styleId="Hyperlink">
    <w:name w:val="Hyperlink"/>
    <w:basedOn w:val="DefaultParagraphFont"/>
    <w:uiPriority w:val="99"/>
    <w:unhideWhenUsed/>
    <w:rsid w:val="001013C0"/>
    <w:rPr>
      <w:color w:val="467886" w:themeColor="hyperlink"/>
      <w:u w:val="single"/>
    </w:rPr>
  </w:style>
  <w:style w:type="paragraph" w:styleId="NoSpacing">
    <w:name w:val="No Spacing"/>
    <w:link w:val="NoSpacingChar"/>
    <w:uiPriority w:val="1"/>
    <w:qFormat/>
    <w:rsid w:val="001013C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13C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342684A2894F21A0A48EDF18F59D3A"/>
        <w:category>
          <w:name w:val="General"/>
          <w:gallery w:val="placeholder"/>
        </w:category>
        <w:types>
          <w:type w:val="bbPlcHdr"/>
        </w:types>
        <w:behaviors>
          <w:behavior w:val="content"/>
        </w:behaviors>
        <w:guid w:val="{663F39E3-32F5-4A78-AA81-88624A35755A}"/>
      </w:docPartPr>
      <w:docPartBody>
        <w:p w:rsidR="00000000" w:rsidRDefault="00AD127C" w:rsidP="00AD127C">
          <w:pPr>
            <w:pStyle w:val="74342684A2894F21A0A48EDF18F59D3A"/>
          </w:pPr>
          <w:r>
            <w:rPr>
              <w:rFonts w:asciiTheme="majorHAnsi" w:eastAsiaTheme="majorEastAsia" w:hAnsiTheme="majorHAnsi" w:cstheme="majorBidi"/>
              <w:caps/>
              <w:color w:val="156082" w:themeColor="accent1"/>
              <w:sz w:val="80"/>
              <w:szCs w:val="80"/>
            </w:rPr>
            <w:t>[Document title]</w:t>
          </w:r>
        </w:p>
      </w:docPartBody>
    </w:docPart>
    <w:docPart>
      <w:docPartPr>
        <w:name w:val="FB70F68D3638445EA0177203B34166D3"/>
        <w:category>
          <w:name w:val="General"/>
          <w:gallery w:val="placeholder"/>
        </w:category>
        <w:types>
          <w:type w:val="bbPlcHdr"/>
        </w:types>
        <w:behaviors>
          <w:behavior w:val="content"/>
        </w:behaviors>
        <w:guid w:val="{034F203D-51EC-4087-BB58-F0087A0AEEF7}"/>
      </w:docPartPr>
      <w:docPartBody>
        <w:p w:rsidR="00000000" w:rsidRDefault="00AD127C" w:rsidP="00AD127C">
          <w:pPr>
            <w:pStyle w:val="FB70F68D3638445EA0177203B34166D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27C"/>
    <w:rsid w:val="008D5BE5"/>
    <w:rsid w:val="00AD127C"/>
    <w:rsid w:val="00C56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342684A2894F21A0A48EDF18F59D3A">
    <w:name w:val="74342684A2894F21A0A48EDF18F59D3A"/>
    <w:rsid w:val="00AD127C"/>
  </w:style>
  <w:style w:type="paragraph" w:customStyle="1" w:styleId="FB70F68D3638445EA0177203B34166D3">
    <w:name w:val="FB70F68D3638445EA0177203B34166D3"/>
    <w:rsid w:val="00AD12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2024-04-24T00:00:00</PublishDate>
  <Abstract/>
  <CompanyAddress>LCMB7002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5438</Words>
  <Characters>31001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Walmart</vt:lpstr>
    </vt:vector>
  </TitlesOfParts>
  <Company>University of wales trinity saint david</Company>
  <LinksUpToDate>false</LinksUpToDate>
  <CharactersWithSpaces>36367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Walmart</dc:title>
  <dc:subject>Financial Management</dc:subject>
  <dc:creator>Tim Foley</dc:creator>
  <cp:keywords/>
  <dc:description/>
  <cp:lastModifiedBy>Tim Foley</cp:lastModifiedBy>
  <cp:revision>2</cp:revision>
  <dcterms:created xsi:type="dcterms:W3CDTF">2024-04-24T07:14:00Z</dcterms:created>
  <dcterms:modified xsi:type="dcterms:W3CDTF">2024-04-24T07:14:00Z</dcterms:modified>
</cp:coreProperties>
</file>