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00"/>
        <w:ind w:firstLine="720"/>
        <w:jc w:val="center"/>
        <w:rPr>
          <w:rFonts w:cs="Arial"/>
          <w:b/>
          <w:sz w:val="22"/>
          <w:szCs w:val="22"/>
        </w:rPr>
      </w:pPr>
      <w:r>
        <w:rPr>
          <w:rFonts w:cs="Arial"/>
          <w:b/>
          <w:sz w:val="22"/>
          <w:szCs w:val="22"/>
        </w:rPr>
        <w:t>ECDE7018 Research Proposal</w:t>
      </w:r>
    </w:p>
    <w:p>
      <w:pPr>
        <w:rPr>
          <w:rFonts w:cs="Arial"/>
          <w:b/>
          <w:sz w:val="22"/>
          <w:szCs w:val="22"/>
        </w:rPr>
      </w:pPr>
    </w:p>
    <w:p>
      <w:pPr>
        <w:rPr>
          <w:rFonts w:cs="Arial"/>
          <w:b/>
          <w:sz w:val="22"/>
          <w:szCs w:val="22"/>
        </w:rPr>
      </w:pPr>
    </w:p>
    <w:p>
      <w:pPr>
        <w:spacing w:before="240"/>
        <w:rPr>
          <w:rFonts w:cs="Arial"/>
          <w:b/>
          <w:sz w:val="22"/>
          <w:szCs w:val="22"/>
        </w:rPr>
      </w:pPr>
      <w:r>
        <w:rPr>
          <w:rFonts w:cs="Arial"/>
          <w:b/>
          <w:sz w:val="22"/>
          <w:szCs w:val="22"/>
        </w:rPr>
        <w:t xml:space="preserve">Student Details </w:t>
      </w:r>
    </w:p>
    <w:p>
      <w:pPr>
        <w:spacing w:before="240"/>
        <w:rPr>
          <w:rFonts w:cs="Arial"/>
          <w:b/>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55"/>
        <w:gridCol w:w="2056"/>
        <w:gridCol w:w="2835"/>
        <w:gridCol w:w="2835"/>
      </w:tblGrid>
      <w:tr>
        <w:tc>
          <w:tcPr>
            <w:tcW w:w="4111" w:type="dxa"/>
            <w:gridSpan w:val="2"/>
            <w:shd w:val="clear" w:color="auto" w:fill="F1F1F1" w:themeFill="background1" w:themeFillShade="F2"/>
          </w:tcPr>
          <w:p>
            <w:pPr>
              <w:tabs>
                <w:tab w:val="center" w:pos="2202"/>
              </w:tabs>
              <w:rPr>
                <w:rFonts w:cs="Arial"/>
                <w:sz w:val="22"/>
                <w:szCs w:val="22"/>
              </w:rPr>
            </w:pPr>
            <w:r>
              <w:rPr>
                <w:rFonts w:cs="Arial"/>
                <w:sz w:val="22"/>
                <w:szCs w:val="22"/>
              </w:rPr>
              <w:t>Student Family / Surname:</w:t>
            </w:r>
          </w:p>
          <w:p>
            <w:pPr>
              <w:rPr>
                <w:rFonts w:cs="Arial"/>
                <w:sz w:val="22"/>
                <w:szCs w:val="22"/>
              </w:rPr>
            </w:pPr>
          </w:p>
        </w:tc>
        <w:tc>
          <w:tcPr>
            <w:tcW w:w="5670" w:type="dxa"/>
            <w:gridSpan w:val="2"/>
            <w:shd w:val="clear" w:color="auto" w:fill="auto"/>
          </w:tcPr>
          <w:p>
            <w:pPr>
              <w:rPr>
                <w:rFonts w:hint="default" w:eastAsia="宋体" w:cs="Arial"/>
                <w:sz w:val="22"/>
                <w:szCs w:val="22"/>
                <w:lang w:val="en-US" w:eastAsia="zh-CN"/>
              </w:rPr>
            </w:pPr>
            <w:r>
              <w:rPr>
                <w:rFonts w:hint="eastAsia" w:eastAsia="宋体" w:cs="Arial"/>
                <w:sz w:val="22"/>
                <w:szCs w:val="22"/>
                <w:lang w:val="en-US" w:eastAsia="zh-CN"/>
              </w:rPr>
              <w:t>PENG</w:t>
            </w:r>
          </w:p>
        </w:tc>
      </w:tr>
      <w:tr>
        <w:tc>
          <w:tcPr>
            <w:tcW w:w="4111" w:type="dxa"/>
            <w:gridSpan w:val="2"/>
            <w:shd w:val="clear" w:color="auto" w:fill="F1F1F1" w:themeFill="background1" w:themeFillShade="F2"/>
          </w:tcPr>
          <w:p>
            <w:pPr>
              <w:rPr>
                <w:rFonts w:cs="Arial"/>
                <w:sz w:val="22"/>
                <w:szCs w:val="22"/>
              </w:rPr>
            </w:pPr>
            <w:r>
              <w:rPr>
                <w:rFonts w:cs="Arial"/>
                <w:sz w:val="22"/>
                <w:szCs w:val="22"/>
              </w:rPr>
              <w:t>Student Given / First name:</w:t>
            </w:r>
          </w:p>
          <w:p>
            <w:pPr>
              <w:rPr>
                <w:rFonts w:cs="Arial"/>
                <w:sz w:val="22"/>
                <w:szCs w:val="22"/>
              </w:rPr>
            </w:pPr>
          </w:p>
        </w:tc>
        <w:tc>
          <w:tcPr>
            <w:tcW w:w="5670" w:type="dxa"/>
            <w:gridSpan w:val="2"/>
            <w:shd w:val="clear" w:color="auto" w:fill="auto"/>
          </w:tcPr>
          <w:p>
            <w:pPr>
              <w:rPr>
                <w:rFonts w:hint="default" w:eastAsia="宋体" w:cs="Arial"/>
                <w:sz w:val="22"/>
                <w:szCs w:val="22"/>
                <w:lang w:val="en-US" w:eastAsia="zh-CN"/>
              </w:rPr>
            </w:pPr>
            <w:r>
              <w:rPr>
                <w:rFonts w:hint="eastAsia" w:eastAsia="宋体" w:cs="Arial"/>
                <w:sz w:val="22"/>
                <w:szCs w:val="22"/>
                <w:lang w:val="en-US" w:eastAsia="zh-CN"/>
              </w:rPr>
              <w:t>Tao</w:t>
            </w:r>
          </w:p>
        </w:tc>
      </w:tr>
      <w:tr>
        <w:tc>
          <w:tcPr>
            <w:tcW w:w="4111" w:type="dxa"/>
            <w:gridSpan w:val="2"/>
            <w:shd w:val="clear" w:color="auto" w:fill="F1F1F1" w:themeFill="background1" w:themeFillShade="F2"/>
          </w:tcPr>
          <w:p>
            <w:pPr>
              <w:rPr>
                <w:rFonts w:cs="Arial"/>
                <w:sz w:val="22"/>
                <w:szCs w:val="22"/>
              </w:rPr>
            </w:pPr>
            <w:r>
              <w:rPr>
                <w:rFonts w:cs="Arial"/>
                <w:sz w:val="22"/>
                <w:szCs w:val="22"/>
              </w:rPr>
              <w:t>Student Number</w:t>
            </w:r>
          </w:p>
          <w:p>
            <w:pPr>
              <w:tabs>
                <w:tab w:val="center" w:pos="2202"/>
              </w:tabs>
              <w:rPr>
                <w:rFonts w:cs="Arial"/>
                <w:sz w:val="22"/>
                <w:szCs w:val="22"/>
              </w:rPr>
            </w:pPr>
          </w:p>
        </w:tc>
        <w:tc>
          <w:tcPr>
            <w:tcW w:w="5670" w:type="dxa"/>
            <w:gridSpan w:val="2"/>
            <w:shd w:val="clear" w:color="auto" w:fill="auto"/>
          </w:tcPr>
          <w:p>
            <w:pPr>
              <w:rPr>
                <w:rFonts w:hint="default" w:eastAsia="宋体" w:cs="Arial"/>
                <w:sz w:val="22"/>
                <w:szCs w:val="22"/>
                <w:lang w:val="en-US" w:eastAsia="zh-CN"/>
              </w:rPr>
            </w:pPr>
            <w:r>
              <w:rPr>
                <w:rFonts w:hint="eastAsia" w:eastAsia="宋体" w:cs="Arial"/>
                <w:sz w:val="22"/>
                <w:szCs w:val="22"/>
                <w:lang w:val="en-US" w:eastAsia="zh-CN"/>
              </w:rPr>
              <w:t>2411134</w:t>
            </w:r>
          </w:p>
        </w:tc>
      </w:tr>
      <w:tr>
        <w:tc>
          <w:tcPr>
            <w:tcW w:w="2055" w:type="dxa"/>
            <w:shd w:val="clear" w:color="auto" w:fill="F1F1F1" w:themeFill="background1" w:themeFillShade="F2"/>
          </w:tcPr>
          <w:p>
            <w:pPr>
              <w:rPr>
                <w:rFonts w:cs="Arial"/>
                <w:sz w:val="22"/>
                <w:szCs w:val="22"/>
              </w:rPr>
            </w:pPr>
            <w:r>
              <w:rPr>
                <w:rFonts w:cs="Arial"/>
                <w:sz w:val="22"/>
                <w:szCs w:val="22"/>
              </w:rPr>
              <w:t>Start Date</w:t>
            </w:r>
          </w:p>
        </w:tc>
        <w:tc>
          <w:tcPr>
            <w:tcW w:w="2056" w:type="dxa"/>
            <w:shd w:val="clear" w:color="auto" w:fill="FFFFFF" w:themeFill="background1"/>
          </w:tcPr>
          <w:p>
            <w:pPr>
              <w:rPr>
                <w:rFonts w:cs="Arial"/>
                <w:sz w:val="22"/>
                <w:szCs w:val="22"/>
              </w:rPr>
            </w:pPr>
            <w:r>
              <w:rPr>
                <w:rFonts w:cs="Arial"/>
                <w:sz w:val="22"/>
                <w:szCs w:val="22"/>
              </w:rPr>
              <w:t>October 2024</w:t>
            </w:r>
          </w:p>
        </w:tc>
        <w:tc>
          <w:tcPr>
            <w:tcW w:w="2835" w:type="dxa"/>
            <w:shd w:val="clear" w:color="auto" w:fill="F1F1F1" w:themeFill="background1" w:themeFillShade="F2"/>
          </w:tcPr>
          <w:p>
            <w:pPr>
              <w:rPr>
                <w:rFonts w:cs="Arial"/>
                <w:sz w:val="22"/>
                <w:szCs w:val="22"/>
              </w:rPr>
            </w:pPr>
            <w:r>
              <w:rPr>
                <w:rFonts w:cs="Arial"/>
                <w:sz w:val="22"/>
                <w:szCs w:val="22"/>
              </w:rPr>
              <w:t>End Date</w:t>
            </w:r>
          </w:p>
        </w:tc>
        <w:tc>
          <w:tcPr>
            <w:tcW w:w="2835" w:type="dxa"/>
            <w:shd w:val="clear" w:color="auto" w:fill="auto"/>
          </w:tcPr>
          <w:p>
            <w:pPr>
              <w:rPr>
                <w:rFonts w:cs="Arial"/>
                <w:sz w:val="22"/>
                <w:szCs w:val="22"/>
              </w:rPr>
            </w:pPr>
            <w:r>
              <w:rPr>
                <w:rFonts w:cs="Arial"/>
                <w:sz w:val="22"/>
                <w:szCs w:val="22"/>
              </w:rPr>
              <w:t>January 2025</w:t>
            </w:r>
          </w:p>
        </w:tc>
      </w:tr>
    </w:tbl>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tc>
          <w:tcPr>
            <w:tcW w:w="1623" w:type="dxa"/>
            <w:shd w:val="clear" w:color="auto" w:fill="F1F1F1" w:themeFill="background1" w:themeFillShade="F2"/>
          </w:tcPr>
          <w:p>
            <w:pPr>
              <w:rPr>
                <w:rFonts w:cs="Arial"/>
                <w:sz w:val="22"/>
                <w:szCs w:val="22"/>
              </w:rPr>
            </w:pPr>
            <w:r>
              <w:rPr>
                <w:rFonts w:cs="Arial"/>
                <w:sz w:val="22"/>
                <w:szCs w:val="22"/>
              </w:rPr>
              <w:t>PhD</w:t>
            </w:r>
          </w:p>
          <w:p>
            <w:pPr>
              <w:rPr>
                <w:rFonts w:cs="Arial"/>
                <w:sz w:val="22"/>
                <w:szCs w:val="22"/>
              </w:rPr>
            </w:pPr>
            <w:r>
              <w:rPr>
                <w:rFonts w:cs="Arial"/>
                <w:sz w:val="22"/>
                <w:szCs w:val="22"/>
              </w:rPr>
              <w:t>by Research</w:t>
            </w:r>
          </w:p>
        </w:tc>
        <w:tc>
          <w:tcPr>
            <w:tcW w:w="1660" w:type="dxa"/>
            <w:shd w:val="clear" w:color="auto" w:fill="F1F1F1" w:themeFill="background1" w:themeFillShade="F2"/>
          </w:tcPr>
          <w:p>
            <w:pPr>
              <w:rPr>
                <w:rFonts w:cs="Arial"/>
                <w:sz w:val="22"/>
                <w:szCs w:val="22"/>
              </w:rPr>
            </w:pPr>
            <w:r>
              <w:rPr>
                <w:rFonts w:cs="Arial"/>
                <w:sz w:val="22"/>
                <w:szCs w:val="22"/>
              </w:rPr>
              <w:t xml:space="preserve">PhD </w:t>
            </w:r>
          </w:p>
          <w:p>
            <w:pPr>
              <w:rPr>
                <w:rFonts w:cs="Arial"/>
                <w:sz w:val="22"/>
                <w:szCs w:val="22"/>
              </w:rPr>
            </w:pPr>
            <w:r>
              <w:rPr>
                <w:rFonts w:cs="Arial"/>
                <w:sz w:val="22"/>
                <w:szCs w:val="22"/>
              </w:rPr>
              <w:t>Practice Based</w:t>
            </w:r>
          </w:p>
        </w:tc>
        <w:tc>
          <w:tcPr>
            <w:tcW w:w="1648" w:type="dxa"/>
            <w:shd w:val="clear" w:color="auto" w:fill="F1F1F1" w:themeFill="background1" w:themeFillShade="F2"/>
          </w:tcPr>
          <w:p>
            <w:pPr>
              <w:rPr>
                <w:rFonts w:cs="Arial"/>
                <w:sz w:val="22"/>
                <w:szCs w:val="22"/>
              </w:rPr>
            </w:pPr>
            <w:r>
              <w:rPr>
                <w:rFonts w:cs="Arial"/>
                <w:sz w:val="22"/>
                <w:szCs w:val="22"/>
              </w:rPr>
              <w:t xml:space="preserve">PhD by </w:t>
            </w:r>
          </w:p>
          <w:p>
            <w:pPr>
              <w:rPr>
                <w:rFonts w:cs="Arial"/>
                <w:sz w:val="22"/>
                <w:szCs w:val="22"/>
              </w:rPr>
            </w:pPr>
            <w:r>
              <w:rPr>
                <w:rFonts w:cs="Arial"/>
                <w:sz w:val="22"/>
                <w:szCs w:val="22"/>
              </w:rPr>
              <w:t>Published Works</w:t>
            </w:r>
          </w:p>
        </w:tc>
        <w:tc>
          <w:tcPr>
            <w:tcW w:w="1662" w:type="dxa"/>
            <w:shd w:val="clear" w:color="auto" w:fill="F1F1F1" w:themeFill="background1" w:themeFillShade="F2"/>
          </w:tcPr>
          <w:p>
            <w:pPr>
              <w:rPr>
                <w:rFonts w:cs="Arial"/>
                <w:sz w:val="22"/>
                <w:szCs w:val="22"/>
              </w:rPr>
            </w:pPr>
            <w:r>
              <w:rPr>
                <w:rFonts w:cs="Arial"/>
                <w:sz w:val="22"/>
                <w:szCs w:val="22"/>
              </w:rPr>
              <w:t>Professional Doctorate</w:t>
            </w:r>
          </w:p>
          <w:p>
            <w:pPr>
              <w:rPr>
                <w:rFonts w:cs="Arial"/>
                <w:sz w:val="22"/>
                <w:szCs w:val="22"/>
              </w:rPr>
            </w:pPr>
            <w:r>
              <w:rPr>
                <w:rFonts w:cs="Arial"/>
                <w:szCs w:val="22"/>
              </w:rPr>
              <w:t>(including DBA, DProf, Ed D)</w:t>
            </w:r>
          </w:p>
        </w:tc>
        <w:tc>
          <w:tcPr>
            <w:tcW w:w="1629" w:type="dxa"/>
            <w:shd w:val="clear" w:color="auto" w:fill="F1F1F1" w:themeFill="background1" w:themeFillShade="F2"/>
          </w:tcPr>
          <w:p>
            <w:pPr>
              <w:rPr>
                <w:rFonts w:cs="Arial"/>
                <w:sz w:val="22"/>
                <w:szCs w:val="22"/>
              </w:rPr>
            </w:pPr>
            <w:r>
              <w:rPr>
                <w:rFonts w:cs="Arial"/>
                <w:sz w:val="22"/>
                <w:szCs w:val="22"/>
              </w:rPr>
              <w:t>MPhil by Research</w:t>
            </w:r>
          </w:p>
          <w:p>
            <w:pPr>
              <w:rPr>
                <w:rFonts w:cs="Arial"/>
                <w:sz w:val="22"/>
                <w:szCs w:val="22"/>
              </w:rPr>
            </w:pPr>
          </w:p>
        </w:tc>
        <w:tc>
          <w:tcPr>
            <w:tcW w:w="1525" w:type="dxa"/>
            <w:shd w:val="clear" w:color="auto" w:fill="F1F1F1" w:themeFill="background1" w:themeFillShade="F2"/>
          </w:tcPr>
          <w:p>
            <w:pPr>
              <w:rPr>
                <w:rFonts w:cs="Arial"/>
                <w:sz w:val="22"/>
                <w:szCs w:val="22"/>
              </w:rPr>
            </w:pPr>
            <w:r>
              <w:rPr>
                <w:rFonts w:cs="Arial"/>
                <w:sz w:val="22"/>
                <w:szCs w:val="22"/>
              </w:rPr>
              <w:t>MPhil</w:t>
            </w:r>
          </w:p>
          <w:p>
            <w:pPr>
              <w:rPr>
                <w:rFonts w:cs="Arial"/>
                <w:sz w:val="22"/>
                <w:szCs w:val="22"/>
              </w:rPr>
            </w:pPr>
            <w:r>
              <w:rPr>
                <w:rFonts w:cs="Arial"/>
                <w:sz w:val="22"/>
                <w:szCs w:val="22"/>
              </w:rPr>
              <w:t xml:space="preserve">Practice Based </w:t>
            </w:r>
          </w:p>
          <w:p>
            <w:pPr>
              <w:rPr>
                <w:rFonts w:cs="Arial"/>
                <w:sz w:val="22"/>
                <w:szCs w:val="22"/>
              </w:rPr>
            </w:pPr>
          </w:p>
        </w:tc>
      </w:tr>
      <w:tr>
        <w:tc>
          <w:tcPr>
            <w:tcW w:w="1623" w:type="dxa"/>
          </w:tcPr>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tc>
              <w:tcPr>
                <w:tcW w:w="1660"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tc>
              <w:tcPr>
                <w:tcW w:w="1662" w:type="dxa"/>
              </w:tcPr>
              <w:p>
                <w:pPr>
                  <w:jc w:val="center"/>
                  <w:rPr>
                    <w:rFonts w:cs="Arial"/>
                    <w:sz w:val="22"/>
                    <w:szCs w:val="22"/>
                  </w:rPr>
                </w:pPr>
                <w:r>
                  <w:rPr>
                    <w:rFonts w:hint="eastAsia" w:ascii="MS Gothic" w:hAnsi="MS Gothic" w:eastAsia="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pPr>
                  <w:jc w:val="center"/>
                  <w:rPr>
                    <w:rFonts w:cs="Arial"/>
                    <w:sz w:val="22"/>
                    <w:szCs w:val="22"/>
                  </w:rPr>
                </w:pPr>
                <w:r>
                  <w:rPr>
                    <w:rFonts w:ascii="MS Gothic" w:hAnsi="MS Gothic" w:eastAsia="MS Gothic" w:cs="Arial"/>
                    <w:sz w:val="22"/>
                    <w:szCs w:val="22"/>
                  </w:rPr>
                  <w:t>☐</w:t>
                </w:r>
              </w:p>
            </w:tc>
          </w:sdtContent>
        </w:sdt>
      </w:tr>
      <w:tr>
        <w:tc>
          <w:tcPr>
            <w:tcW w:w="1623" w:type="dxa"/>
            <w:shd w:val="clear" w:color="auto" w:fill="D8D8D8" w:themeFill="background1" w:themeFillShade="D9"/>
          </w:tcPr>
          <w:p>
            <w:pPr>
              <w:jc w:val="center"/>
              <w:rPr>
                <w:rFonts w:cs="Arial"/>
                <w:sz w:val="22"/>
                <w:szCs w:val="22"/>
              </w:rPr>
            </w:pPr>
            <w:r>
              <w:rPr>
                <w:rFonts w:cs="Arial"/>
                <w:sz w:val="22"/>
                <w:szCs w:val="22"/>
              </w:rPr>
              <w:t>MA by Research</w:t>
            </w:r>
          </w:p>
        </w:tc>
        <w:tc>
          <w:tcPr>
            <w:tcW w:w="1660" w:type="dxa"/>
            <w:shd w:val="clear" w:color="auto" w:fill="D8D8D8" w:themeFill="background1" w:themeFillShade="D9"/>
          </w:tcPr>
          <w:p>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pPr>
              <w:jc w:val="center"/>
              <w:rPr>
                <w:rFonts w:cs="Arial"/>
                <w:sz w:val="22"/>
                <w:szCs w:val="22"/>
              </w:rPr>
            </w:pPr>
            <w:r>
              <w:rPr>
                <w:rFonts w:cs="Arial"/>
                <w:sz w:val="22"/>
                <w:szCs w:val="22"/>
              </w:rPr>
              <w:t>MRes</w:t>
            </w:r>
          </w:p>
        </w:tc>
        <w:tc>
          <w:tcPr>
            <w:tcW w:w="1662" w:type="dxa"/>
            <w:shd w:val="clear" w:color="auto" w:fill="D8D8D8" w:themeFill="background1" w:themeFillShade="D9"/>
          </w:tcPr>
          <w:p>
            <w:pPr>
              <w:jc w:val="center"/>
              <w:rPr>
                <w:rFonts w:cs="Arial"/>
                <w:sz w:val="22"/>
                <w:szCs w:val="22"/>
              </w:rPr>
            </w:pPr>
          </w:p>
        </w:tc>
        <w:tc>
          <w:tcPr>
            <w:tcW w:w="1629" w:type="dxa"/>
            <w:shd w:val="clear" w:color="auto" w:fill="D8D8D8" w:themeFill="background1" w:themeFillShade="D9"/>
          </w:tcPr>
          <w:p>
            <w:pPr>
              <w:jc w:val="center"/>
              <w:rPr>
                <w:rFonts w:cs="Arial"/>
                <w:sz w:val="22"/>
                <w:szCs w:val="22"/>
              </w:rPr>
            </w:pPr>
          </w:p>
        </w:tc>
        <w:tc>
          <w:tcPr>
            <w:tcW w:w="1525" w:type="dxa"/>
            <w:shd w:val="clear" w:color="auto" w:fill="D8D8D8" w:themeFill="background1" w:themeFillShade="D9"/>
          </w:tcPr>
          <w:p>
            <w:pPr>
              <w:jc w:val="center"/>
              <w:rPr>
                <w:rFonts w:cs="Arial"/>
                <w:sz w:val="22"/>
                <w:szCs w:val="22"/>
              </w:rPr>
            </w:pPr>
          </w:p>
        </w:tc>
      </w:tr>
      <w:tr>
        <w:tc>
          <w:tcPr>
            <w:tcW w:w="1623" w:type="dxa"/>
          </w:tcPr>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2" w:type="dxa"/>
          </w:tcPr>
          <w:p>
            <w:pPr>
              <w:jc w:val="center"/>
              <w:rPr>
                <w:rFonts w:cs="Arial"/>
                <w:sz w:val="22"/>
                <w:szCs w:val="22"/>
              </w:rPr>
            </w:pPr>
          </w:p>
        </w:tc>
        <w:tc>
          <w:tcPr>
            <w:tcW w:w="1629" w:type="dxa"/>
          </w:tcPr>
          <w:p>
            <w:pPr>
              <w:jc w:val="center"/>
              <w:rPr>
                <w:rFonts w:cs="Arial"/>
                <w:sz w:val="22"/>
                <w:szCs w:val="22"/>
              </w:rPr>
            </w:pPr>
          </w:p>
        </w:tc>
        <w:tc>
          <w:tcPr>
            <w:tcW w:w="1525" w:type="dxa"/>
          </w:tcPr>
          <w:p>
            <w:pPr>
              <w:jc w:val="center"/>
              <w:rPr>
                <w:rFonts w:cs="Arial"/>
                <w:sz w:val="22"/>
                <w:szCs w:val="22"/>
              </w:rPr>
            </w:pPr>
          </w:p>
        </w:tc>
      </w:tr>
    </w:tbl>
    <w:p>
      <w:pPr>
        <w:ind w:left="180" w:hanging="270"/>
        <w:rPr>
          <w:rFonts w:cs="Arial"/>
          <w:b/>
          <w:sz w:val="22"/>
          <w:szCs w:val="22"/>
        </w:rPr>
      </w:pPr>
    </w:p>
    <w:p>
      <w:pPr>
        <w:rPr>
          <w:rFonts w:cs="Arial"/>
          <w:sz w:val="22"/>
          <w:szCs w:val="22"/>
        </w:rPr>
      </w:pPr>
    </w:p>
    <w:p>
      <w:pPr>
        <w:ind w:left="-142"/>
        <w:rPr>
          <w:rFonts w:cs="Arial"/>
          <w:bCs/>
          <w:sz w:val="22"/>
          <w:szCs w:val="22"/>
        </w:rPr>
      </w:pPr>
      <w:r>
        <w:rPr>
          <w:rFonts w:cs="Arial"/>
          <w:b/>
          <w:bCs/>
          <w:sz w:val="22"/>
          <w:szCs w:val="22"/>
        </w:rPr>
        <w:t>Proposed Research</w:t>
      </w:r>
    </w:p>
    <w:p>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Proposed Title / Question (20 / 30 words):</w:t>
            </w:r>
          </w:p>
        </w:tc>
      </w:tr>
      <w:tr>
        <w:trPr>
          <w:trHeight w:val="397" w:hRule="atLeast"/>
        </w:trPr>
        <w:tc>
          <w:tcPr>
            <w:tcW w:w="9781" w:type="dxa"/>
            <w:vAlign w:val="center"/>
          </w:tcPr>
          <w:p>
            <w:pPr>
              <w:rPr>
                <w:rFonts w:cs="Arial"/>
                <w:sz w:val="22"/>
                <w:szCs w:val="22"/>
              </w:rPr>
            </w:pPr>
            <w:r>
              <w:rPr>
                <w:rFonts w:hint="eastAsia" w:cs="Arial"/>
                <w:sz w:val="22"/>
                <w:szCs w:val="22"/>
              </w:rPr>
              <w:t xml:space="preserve">Language and intercultural competence : an international framework for teaching based on UK’s successful  Pre-sessional </w:t>
            </w:r>
            <w:r>
              <w:rPr>
                <w:rFonts w:hint="eastAsia" w:eastAsia="宋体" w:cs="Arial"/>
                <w:sz w:val="22"/>
                <w:szCs w:val="22"/>
                <w:lang w:val="en-US" w:eastAsia="zh-CN"/>
              </w:rPr>
              <w:t xml:space="preserve">Program (PP) </w:t>
            </w:r>
            <w:r>
              <w:rPr>
                <w:rFonts w:hint="eastAsia" w:cs="Arial"/>
                <w:sz w:val="22"/>
                <w:szCs w:val="22"/>
              </w:rPr>
              <w:t>experience</w:t>
            </w:r>
          </w:p>
          <w:p>
            <w:pPr>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 Background &amp; Context (approx. 500 words)</w:t>
            </w:r>
          </w:p>
        </w:tc>
      </w:tr>
      <w:tr>
        <w:trPr>
          <w:trHeight w:val="397" w:hRule="atLeast"/>
        </w:trPr>
        <w:tc>
          <w:tcPr>
            <w:tcW w:w="9781" w:type="dxa"/>
            <w:vAlign w:val="center"/>
          </w:tcPr>
          <w:p>
            <w:pPr>
              <w:autoSpaceDE w:val="0"/>
              <w:autoSpaceDN w:val="0"/>
              <w:adjustRightInd w:val="0"/>
              <w:contextualSpacing/>
              <w:rPr>
                <w:rFonts w:hint="eastAsia" w:cs="Arial"/>
                <w:sz w:val="22"/>
                <w:szCs w:val="22"/>
              </w:rPr>
            </w:pPr>
            <w:r>
              <w:rPr>
                <w:rFonts w:hint="eastAsia" w:cs="Arial"/>
                <w:sz w:val="22"/>
                <w:szCs w:val="22"/>
              </w:rPr>
              <w:t xml:space="preserve">According to data from the Organization for Economic Co-operation and Development (OECD),an increasing number of young international students are choosing to study abroad in cultures and countries different from those in which they were born and raised, with the UK hosting 14% of these students (Packer, 2022). </w:t>
            </w:r>
          </w:p>
          <w:p>
            <w:pPr>
              <w:autoSpaceDE w:val="0"/>
              <w:autoSpaceDN w:val="0"/>
              <w:adjustRightInd w:val="0"/>
              <w:contextualSpacing/>
              <w:rPr>
                <w:rFonts w:hint="eastAsia" w:cs="Arial"/>
                <w:sz w:val="22"/>
                <w:szCs w:val="22"/>
              </w:rPr>
            </w:pPr>
          </w:p>
          <w:p>
            <w:pPr>
              <w:autoSpaceDE w:val="0"/>
              <w:autoSpaceDN w:val="0"/>
              <w:adjustRightInd w:val="0"/>
              <w:contextualSpacing/>
              <w:rPr>
                <w:rFonts w:hint="eastAsia" w:cs="Arial"/>
                <w:sz w:val="22"/>
                <w:szCs w:val="22"/>
              </w:rPr>
            </w:pPr>
            <w:r>
              <w:rPr>
                <w:rFonts w:hint="eastAsia" w:cs="Arial"/>
                <w:sz w:val="22"/>
                <w:szCs w:val="22"/>
              </w:rPr>
              <w:t>Since the 1970s, educational programs such as Pre-sessional Programs (PP), which focus on achieving high standards of English language and cultural competency, have been established as essential components in academic preparation ,</w:t>
            </w:r>
            <w:r>
              <w:rPr>
                <w:rFonts w:hint="eastAsia" w:eastAsia="宋体" w:cs="Arial"/>
                <w:sz w:val="22"/>
                <w:szCs w:val="22"/>
                <w:lang w:val="en-US" w:eastAsia="zh-CN"/>
              </w:rPr>
              <w:t>which</w:t>
            </w:r>
            <w:r>
              <w:rPr>
                <w:rFonts w:hint="eastAsia" w:cs="Arial"/>
                <w:sz w:val="22"/>
                <w:szCs w:val="22"/>
              </w:rPr>
              <w:t xml:space="preserve"> was </w:t>
            </w:r>
            <w:r>
              <w:rPr>
                <w:rFonts w:hint="default" w:cs="Arial"/>
                <w:sz w:val="22"/>
                <w:szCs w:val="22"/>
                <w:lang w:val="en-US"/>
              </w:rPr>
              <w:t>first</w:t>
            </w:r>
            <w:r>
              <w:rPr>
                <w:rFonts w:hint="eastAsia" w:cs="Arial"/>
                <w:sz w:val="22"/>
                <w:szCs w:val="22"/>
              </w:rPr>
              <w:t xml:space="preserve"> introduced into the academic research field by Higher Education Seminar held at the University of Manchester in April 1978, </w:t>
            </w:r>
            <w:r>
              <w:rPr>
                <w:rFonts w:hint="default" w:cs="Arial"/>
                <w:sz w:val="22"/>
                <w:szCs w:val="22"/>
                <w:lang w:val="en-US"/>
              </w:rPr>
              <w:t>organized</w:t>
            </w:r>
            <w:r>
              <w:rPr>
                <w:rFonts w:hint="eastAsia" w:cs="Arial"/>
                <w:sz w:val="22"/>
                <w:szCs w:val="22"/>
              </w:rPr>
              <w:t xml:space="preserve"> by The Group for Special English Language Materials for Overseas University Students (SELMOUS)</w:t>
            </w:r>
            <w:r>
              <w:rPr>
                <w:rFonts w:hint="default" w:cs="Arial"/>
                <w:sz w:val="22"/>
                <w:szCs w:val="22"/>
                <w:lang w:val="en-US"/>
              </w:rPr>
              <w:t>.</w:t>
            </w:r>
            <w:r>
              <w:rPr>
                <w:rFonts w:hint="eastAsia" w:cs="Arial"/>
                <w:sz w:val="22"/>
                <w:szCs w:val="22"/>
              </w:rPr>
              <w:t>This seminar highlighted the benefits of PP instruction in helping students to:</w:t>
            </w:r>
          </w:p>
          <w:p>
            <w:pPr>
              <w:autoSpaceDE w:val="0"/>
              <w:autoSpaceDN w:val="0"/>
              <w:adjustRightInd w:val="0"/>
              <w:contextualSpacing/>
              <w:rPr>
                <w:rFonts w:hint="default" w:cs="Arial"/>
                <w:sz w:val="22"/>
                <w:szCs w:val="22"/>
                <w:lang w:val="en-US"/>
              </w:rPr>
            </w:pPr>
            <w:r>
              <w:rPr>
                <w:rFonts w:hint="eastAsia" w:cs="Arial"/>
                <w:sz w:val="22"/>
                <w:szCs w:val="22"/>
              </w:rPr>
              <w:t>“1. understand lectures and make notes; 2.write essays and perhaps ultimately a thesis; 3.read and absorb vast amounts of material; 4 participate in seminars and informal discussion”(The British Council ,1978, p. 8)</w:t>
            </w:r>
            <w:r>
              <w:rPr>
                <w:rFonts w:hint="default" w:cs="Arial"/>
                <w:sz w:val="22"/>
                <w:szCs w:val="22"/>
                <w:lang w:val="en-US"/>
              </w:rPr>
              <w:t>.</w:t>
            </w:r>
          </w:p>
          <w:p>
            <w:pPr>
              <w:autoSpaceDE w:val="0"/>
              <w:autoSpaceDN w:val="0"/>
              <w:adjustRightInd w:val="0"/>
              <w:contextualSpacing/>
              <w:rPr>
                <w:rFonts w:hint="eastAsia" w:cs="Arial"/>
                <w:sz w:val="22"/>
                <w:szCs w:val="22"/>
              </w:rPr>
            </w:pPr>
          </w:p>
          <w:p>
            <w:pPr>
              <w:autoSpaceDE w:val="0"/>
              <w:autoSpaceDN w:val="0"/>
              <w:adjustRightInd w:val="0"/>
              <w:contextualSpacing/>
              <w:rPr>
                <w:rFonts w:hint="eastAsia" w:cs="Arial"/>
                <w:sz w:val="22"/>
                <w:szCs w:val="22"/>
              </w:rPr>
            </w:pPr>
            <w:r>
              <w:rPr>
                <w:rFonts w:hint="eastAsia" w:cs="Arial"/>
                <w:sz w:val="22"/>
                <w:szCs w:val="22"/>
              </w:rPr>
              <w:t xml:space="preserve">This emphasis on fostering both language proficiency and intercultural competence. Notably, PP courses offered between 1972 and 1977 by the Department of Education at the University of Manchester serve as a representative case study, demonstrating the program’s early impact on </w:t>
            </w:r>
            <w:r>
              <w:rPr>
                <w:rFonts w:hint="default" w:cs="Arial"/>
                <w:sz w:val="22"/>
                <w:szCs w:val="22"/>
                <w:lang w:val="en-US"/>
              </w:rPr>
              <w:t>English for academic purposes</w:t>
            </w:r>
            <w:r>
              <w:rPr>
                <w:rFonts w:hint="eastAsia" w:eastAsia="宋体" w:cs="Arial"/>
                <w:sz w:val="22"/>
                <w:szCs w:val="22"/>
                <w:lang w:val="en-US" w:eastAsia="zh-CN"/>
              </w:rPr>
              <w:t>(</w:t>
            </w:r>
            <w:r>
              <w:rPr>
                <w:rFonts w:hint="default" w:cs="Arial"/>
                <w:sz w:val="22"/>
                <w:szCs w:val="22"/>
                <w:lang w:val="en-US"/>
              </w:rPr>
              <w:t>EAP</w:t>
            </w:r>
            <w:r>
              <w:rPr>
                <w:rFonts w:hint="eastAsia" w:eastAsia="宋体" w:cs="Arial"/>
                <w:sz w:val="22"/>
                <w:szCs w:val="22"/>
                <w:lang w:val="en-US" w:eastAsia="zh-CN"/>
              </w:rPr>
              <w:t>)</w:t>
            </w:r>
            <w:r>
              <w:rPr>
                <w:rFonts w:hint="eastAsia" w:cs="Arial"/>
                <w:sz w:val="22"/>
                <w:szCs w:val="22"/>
              </w:rPr>
              <w:t>.</w:t>
            </w:r>
          </w:p>
          <w:p>
            <w:pPr>
              <w:autoSpaceDE w:val="0"/>
              <w:autoSpaceDN w:val="0"/>
              <w:adjustRightInd w:val="0"/>
              <w:contextualSpacing/>
              <w:rPr>
                <w:rFonts w:hint="eastAsia" w:cs="Arial"/>
                <w:sz w:val="22"/>
                <w:szCs w:val="22"/>
              </w:rPr>
            </w:pPr>
            <w:r>
              <w:rPr>
                <w:rFonts w:hint="eastAsia" w:cs="Arial"/>
                <w:sz w:val="22"/>
                <w:szCs w:val="22"/>
              </w:rPr>
              <w:t xml:space="preserve"> </w:t>
            </w:r>
          </w:p>
          <w:p>
            <w:pPr>
              <w:pStyle w:val="4"/>
              <w:rPr>
                <w:rFonts w:hint="default"/>
                <w:sz w:val="24"/>
                <w:szCs w:val="24"/>
                <w:lang w:val="en-US"/>
              </w:rPr>
            </w:pPr>
            <w:r>
              <w:rPr>
                <w:rFonts w:hint="default"/>
                <w:sz w:val="24"/>
                <w:szCs w:val="24"/>
                <w:lang w:val="en-US" w:eastAsia="zh-CN"/>
              </w:rPr>
              <w:t xml:space="preserve">Until 2024, the online format of the </w:t>
            </w:r>
            <w:r>
              <w:rPr>
                <w:rFonts w:hint="eastAsia"/>
                <w:sz w:val="24"/>
                <w:szCs w:val="24"/>
                <w:lang w:val="en-US" w:eastAsia="zh-CN"/>
              </w:rPr>
              <w:t>PP</w:t>
            </w:r>
            <w:r>
              <w:rPr>
                <w:rFonts w:hint="default"/>
                <w:sz w:val="24"/>
                <w:szCs w:val="24"/>
                <w:lang w:val="en-US" w:eastAsia="zh-CN"/>
              </w:rPr>
              <w:t xml:space="preserve"> Course has allowed students to complete their studies in their own country through models such as the F</w:t>
            </w:r>
            <w:r>
              <w:rPr>
                <w:rFonts w:hint="eastAsia"/>
                <w:sz w:val="24"/>
                <w:szCs w:val="24"/>
                <w:lang w:val="en-US" w:eastAsia="zh-CN"/>
              </w:rPr>
              <w:t>lipped</w:t>
            </w:r>
            <w:r>
              <w:rPr>
                <w:rFonts w:hint="default"/>
                <w:sz w:val="24"/>
                <w:szCs w:val="24"/>
                <w:lang w:val="en-US" w:eastAsia="zh-CN"/>
              </w:rPr>
              <w:t xml:space="preserve"> T</w:t>
            </w:r>
            <w:r>
              <w:rPr>
                <w:rFonts w:hint="eastAsia"/>
                <w:sz w:val="24"/>
                <w:szCs w:val="24"/>
                <w:lang w:val="en-US" w:eastAsia="zh-CN"/>
              </w:rPr>
              <w:t>eaching</w:t>
            </w:r>
            <w:r>
              <w:rPr>
                <w:rFonts w:hint="default"/>
                <w:sz w:val="24"/>
                <w:szCs w:val="24"/>
                <w:lang w:val="en-US" w:eastAsia="zh-CN"/>
              </w:rPr>
              <w:t xml:space="preserve"> (FT). For instance, the University of Southampton’s online PP course structure and content allow students to develop various cognitive skills. In the online PP course, students engage in self-study using a range of materials; complete tasks in writing, reading, listening, and speaking; participate in live online classes and discussion forums; collaborate with other students online; and watch tutor videos,</w:t>
            </w:r>
            <w:r>
              <w:rPr>
                <w:rFonts w:hint="default"/>
                <w:sz w:val="24"/>
                <w:szCs w:val="24"/>
                <w:lang w:val="en-US"/>
              </w:rPr>
              <w:t>which will also be assessed in a variety of ways, which include timed online tasks and ongoing coursework etc</w:t>
            </w:r>
            <w:r>
              <w:rPr>
                <w:rFonts w:hint="default"/>
                <w:sz w:val="24"/>
                <w:szCs w:val="24"/>
                <w:lang w:val="en-US" w:eastAsia="zh-CN"/>
              </w:rPr>
              <w:t xml:space="preserve"> (University of Southampton, 2024)</w:t>
            </w:r>
            <w:r>
              <w:rPr>
                <w:rFonts w:hint="default"/>
                <w:sz w:val="24"/>
                <w:szCs w:val="24"/>
                <w:lang w:val="en-US"/>
              </w:rPr>
              <w:t>.</w:t>
            </w:r>
          </w:p>
          <w:p>
            <w:pPr>
              <w:pStyle w:val="4"/>
            </w:pPr>
            <w:r>
              <w:rPr>
                <w:sz w:val="20"/>
              </w:rPr>
              <mc:AlternateContent>
                <mc:Choice Requires="wps">
                  <w:drawing>
                    <wp:anchor distT="0" distB="0" distL="114300" distR="114300" simplePos="0" relativeHeight="251660288" behindDoc="0" locked="0" layoutInCell="1" allowOverlap="1">
                      <wp:simplePos x="0" y="0"/>
                      <wp:positionH relativeFrom="column">
                        <wp:posOffset>-238760</wp:posOffset>
                      </wp:positionH>
                      <wp:positionV relativeFrom="paragraph">
                        <wp:posOffset>918210</wp:posOffset>
                      </wp:positionV>
                      <wp:extent cx="349250" cy="201930"/>
                      <wp:effectExtent l="12700" t="12700" r="19050" b="13970"/>
                      <wp:wrapNone/>
                      <wp:docPr id="2" name="右箭头 2"/>
                      <wp:cNvGraphicFramePr/>
                      <a:graphic xmlns:a="http://schemas.openxmlformats.org/drawingml/2006/main">
                        <a:graphicData uri="http://schemas.microsoft.com/office/word/2010/wordprocessingShape">
                          <wps:wsp>
                            <wps:cNvSpPr/>
                            <wps:spPr>
                              <a:xfrm>
                                <a:off x="3954780" y="3776980"/>
                                <a:ext cx="349250" cy="201930"/>
                              </a:xfrm>
                              <a:prstGeom prst="rightArrow">
                                <a:avLst>
                                  <a:gd name="adj1" fmla="val 100000"/>
                                  <a:gd name="adj2" fmla="val 50000"/>
                                </a:avLst>
                              </a:prstGeom>
                            </wps:spPr>
                            <wps:style>
                              <a:lnRef idx="2">
                                <a:schemeClr val="accent1">
                                  <a:lumMod val="75000"/>
                                </a:schemeClr>
                              </a:lnRef>
                              <a:fillRef idx="1">
                                <a:schemeClr val="accent1"/>
                              </a:fillRef>
                              <a:effectRef idx="0">
                                <a:srgbClr val="FFFFFF"/>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18.8pt;margin-top:72.3pt;height:15.9pt;width:27.5pt;z-index:251660288;v-text-anchor:middle;mso-width-relative:page;mso-height-relative:page;" fillcolor="#4F81BD [3204]" filled="t" stroked="t" coordsize="21600,21600" o:gfxdata="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" adj="15356,0">
                      <v:fill on="t" focussize="0,0"/>
                      <v:stroke weight="2pt" color="#376092 [2404]" joinstyle="round"/>
                      <v:imagedata o:title=""/>
                      <o:lock v:ext="edit" aspectratio="f"/>
                    </v:shape>
                  </w:pict>
                </mc:Fallback>
              </mc:AlternateContent>
            </w:r>
            <w:r>
              <w:drawing>
                <wp:inline distT="0" distB="0" distL="114300" distR="114300">
                  <wp:extent cx="2886075" cy="2178050"/>
                  <wp:effectExtent l="0" t="0" r="9525" b="6350"/>
                  <wp:docPr id="9" name="内容占位符 8"/>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内容占位符 8"/>
                          <pic:cNvPicPr>
                            <a:picLocks noGrp="1" noChangeAspect="1"/>
                          </pic:cNvPicPr>
                        </pic:nvPicPr>
                        <pic:blipFill>
                          <a:blip r:embed="rId6"/>
                          <a:srcRect t="5125" r="379"/>
                          <a:stretch>
                            <a:fillRect/>
                          </a:stretch>
                        </pic:blipFill>
                        <pic:spPr>
                          <a:xfrm>
                            <a:off x="0" y="0"/>
                            <a:ext cx="2886075" cy="2178050"/>
                          </a:xfrm>
                          <a:prstGeom prst="rect">
                            <a:avLst/>
                          </a:prstGeom>
                        </pic:spPr>
                      </pic:pic>
                    </a:graphicData>
                  </a:graphic>
                </wp:inline>
              </w:drawing>
            </w:r>
            <w:r>
              <w:drawing>
                <wp:anchor distT="0" distB="0" distL="114300" distR="114300" simplePos="0" relativeHeight="251659264" behindDoc="0" locked="0" layoutInCell="1" allowOverlap="1">
                  <wp:simplePos x="0" y="0"/>
                  <wp:positionH relativeFrom="column">
                    <wp:posOffset>-61595</wp:posOffset>
                  </wp:positionH>
                  <wp:positionV relativeFrom="paragraph">
                    <wp:posOffset>368935</wp:posOffset>
                  </wp:positionV>
                  <wp:extent cx="3331210" cy="1475105"/>
                  <wp:effectExtent l="0" t="0" r="21590" b="23495"/>
                  <wp:wrapSquare wrapText="bothSides"/>
                  <wp:docPr id="1026" name="Picture 2" descr="Why Students Need Content Mastery to Grasp Learning Material : LeadFu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Why Students Need Content Mastery to Grasp Learning Material : LeadFuze"/>
                          <pic:cNvPicPr>
                            <a:picLocks noChangeAspect="1" noChangeArrowheads="1"/>
                          </pic:cNvPicPr>
                        </pic:nvPicPr>
                        <pic:blipFill>
                          <a:blip r:embed="rId7">
                            <a:extLst>
                              <a:ext uri="{28A0092B-C50C-407E-A947-70E740481C1C}">
                                <a14:useLocalDpi xmlns:a14="http://schemas.microsoft.com/office/drawing/2010/main" val="0"/>
                              </a:ext>
                            </a:extLst>
                          </a:blip>
                          <a:srcRect t="14161" r="170" b="13424"/>
                          <a:stretch>
                            <a:fillRect/>
                          </a:stretch>
                        </pic:blipFill>
                        <pic:spPr>
                          <a:xfrm>
                            <a:off x="0" y="0"/>
                            <a:ext cx="3331210" cy="1475105"/>
                          </a:xfrm>
                          <a:prstGeom prst="rect">
                            <a:avLst/>
                          </a:prstGeom>
                          <a:noFill/>
                        </pic:spPr>
                      </pic:pic>
                    </a:graphicData>
                  </a:graphic>
                </wp:anchor>
              </w:drawing>
            </w:r>
          </w:p>
          <w:p>
            <w:pPr>
              <w:pStyle w:val="4"/>
              <w:rPr>
                <w:rFonts w:hint="default"/>
                <w:lang w:val="en-US"/>
              </w:rPr>
            </w:pPr>
            <w:r>
              <w:rPr>
                <w:rFonts w:hint="default"/>
                <w:lang w:val="en-US"/>
              </w:rPr>
              <w:t xml:space="preserve">      </w:t>
            </w:r>
          </w:p>
          <w:p>
            <w:pPr>
              <w:pStyle w:val="4"/>
              <w:rPr>
                <w:rFonts w:hint="default" w:ascii="Arial Italic" w:hAnsi="Arial Italic" w:cs="Arial Italic"/>
                <w:i/>
                <w:iCs/>
                <w:sz w:val="21"/>
                <w:szCs w:val="21"/>
                <w:highlight w:val="none"/>
                <w:lang w:val="en-US" w:eastAsia="zh-CN"/>
              </w:rPr>
            </w:pPr>
            <w:r>
              <w:rPr>
                <w:rFonts w:hint="default" w:ascii="Arial Italic" w:hAnsi="Arial Italic" w:cs="Arial Italic"/>
                <w:i/>
                <w:iCs/>
                <w:sz w:val="24"/>
                <w:szCs w:val="24"/>
                <w:highlight w:val="none"/>
                <w:lang w:val="en-US" w:eastAsia="zh-CN"/>
              </w:rPr>
              <w:t xml:space="preserve"> </w:t>
            </w:r>
            <w:r>
              <w:rPr>
                <w:rFonts w:hint="eastAsia" w:ascii="Arial Italic" w:hAnsi="Arial Italic" w:cs="Arial Italic"/>
                <w:i/>
                <w:iCs/>
                <w:sz w:val="21"/>
                <w:szCs w:val="21"/>
                <w:highlight w:val="none"/>
                <w:lang w:val="en-US" w:eastAsia="zh-CN"/>
              </w:rPr>
              <w:t>Figure 1</w:t>
            </w:r>
            <w:r>
              <w:rPr>
                <w:rFonts w:hint="default" w:ascii="Arial Italic" w:hAnsi="Arial Italic" w:cs="Arial Italic"/>
                <w:i/>
                <w:iCs/>
                <w:sz w:val="21"/>
                <w:szCs w:val="21"/>
                <w:highlight w:val="none"/>
                <w:lang w:val="en-US" w:eastAsia="zh-CN"/>
              </w:rPr>
              <w:t xml:space="preserve"> </w:t>
            </w:r>
            <w:r>
              <w:rPr>
                <w:rFonts w:hint="eastAsia" w:ascii="Arial Italic" w:hAnsi="Arial Italic" w:cs="Arial Italic"/>
                <w:i/>
                <w:iCs/>
                <w:sz w:val="21"/>
                <w:szCs w:val="21"/>
                <w:highlight w:val="none"/>
                <w:lang w:val="en-US" w:eastAsia="zh-CN"/>
              </w:rPr>
              <w:t>Flipped Teaching framework base on Mastery Teaching Theory(Bloom and Krathwohl, 1984)</w:t>
            </w:r>
          </w:p>
          <w:p>
            <w:pPr>
              <w:pStyle w:val="4"/>
              <w:rPr>
                <w:rFonts w:hint="default"/>
                <w:lang w:val="en-US"/>
              </w:rPr>
            </w:pPr>
          </w:p>
          <w:p>
            <w:pPr>
              <w:pStyle w:val="4"/>
              <w:rPr>
                <w:rFonts w:hint="eastAsia"/>
                <w:sz w:val="24"/>
                <w:szCs w:val="24"/>
                <w:lang w:val="en-US"/>
              </w:rPr>
            </w:pPr>
            <w:r>
              <w:rPr>
                <w:rFonts w:hint="eastAsia"/>
                <w:sz w:val="24"/>
                <w:szCs w:val="24"/>
                <w:lang w:val="en-US"/>
              </w:rPr>
              <w:t>On the other hand, the number of the UK students studying in China is increasing, but it has not become mainstream. This research aims to both compare and establish a framework that can serve as a reference for similar programs in China, drawing insights from the successful British Pre-sessional</w:t>
            </w:r>
            <w:r>
              <w:rPr>
                <w:rFonts w:hint="default"/>
                <w:sz w:val="24"/>
                <w:szCs w:val="24"/>
                <w:lang w:val="en-US"/>
              </w:rPr>
              <w:t xml:space="preserve"> </w:t>
            </w:r>
            <w:r>
              <w:rPr>
                <w:rFonts w:hint="eastAsia" w:eastAsia="宋体"/>
                <w:sz w:val="24"/>
                <w:szCs w:val="24"/>
                <w:lang w:val="en-US" w:eastAsia="zh-CN"/>
              </w:rPr>
              <w:t>framewor</w:t>
            </w:r>
            <w:r>
              <w:rPr>
                <w:rFonts w:hint="default" w:eastAsia="宋体"/>
                <w:sz w:val="24"/>
                <w:szCs w:val="24"/>
                <w:lang w:val="en-US" w:eastAsia="zh-CN"/>
              </w:rPr>
              <w:t>k,</w:t>
            </w:r>
            <w:r>
              <w:rPr>
                <w:rFonts w:hint="eastAsia"/>
                <w:sz w:val="24"/>
                <w:szCs w:val="24"/>
                <w:lang w:val="en-US"/>
              </w:rPr>
              <w:t xml:space="preserve"> which would be supposed to help conducting or supporting British young-foreign students not only to visit China but also to improve language and intercultural competence when taking Chinese language and academic readiness </w:t>
            </w:r>
            <w:r>
              <w:rPr>
                <w:rFonts w:hint="eastAsia" w:eastAsia="宋体"/>
                <w:sz w:val="24"/>
                <w:szCs w:val="24"/>
                <w:lang w:val="en-US" w:eastAsia="zh-CN"/>
              </w:rPr>
              <w:t>program</w:t>
            </w:r>
            <w:r>
              <w:rPr>
                <w:rFonts w:hint="eastAsia"/>
                <w:sz w:val="24"/>
                <w:szCs w:val="24"/>
                <w:lang w:val="en-US"/>
              </w:rPr>
              <w:t xml:space="preserve"> in China,such as YKKS courses, which could provide a pathway for students to pursue Higher Education (HE) in China.</w:t>
            </w: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Aims &amp; Objectives (approx. 250 – 500 words)</w:t>
            </w:r>
          </w:p>
        </w:tc>
      </w:tr>
      <w:tr>
        <w:trPr>
          <w:trHeight w:val="397" w:hRule="atLeast"/>
        </w:trPr>
        <w:tc>
          <w:tcPr>
            <w:tcW w:w="9781" w:type="dxa"/>
            <w:vAlign w:val="center"/>
          </w:tcPr>
          <w:p>
            <w:pPr>
              <w:pStyle w:val="4"/>
              <w:rPr>
                <w:rFonts w:hint="eastAsia"/>
                <w:sz w:val="24"/>
                <w:szCs w:val="24"/>
                <w:highlight w:val="none"/>
                <w:lang w:val="en-US" w:eastAsia="zh-CN"/>
              </w:rPr>
            </w:pPr>
            <w:r>
              <w:rPr>
                <w:rFonts w:hint="eastAsia"/>
                <w:sz w:val="24"/>
                <w:szCs w:val="24"/>
                <w:highlight w:val="none"/>
                <w:lang w:val="en-US" w:eastAsia="zh-CN"/>
              </w:rPr>
              <w:t>How can an international teaching framework based on the UK's successful PP experience operate? The objectives can be emphasized by the elements as follows: (These elements will also be used as examples for constructing the framework)</w:t>
            </w:r>
          </w:p>
          <w:p>
            <w:pPr>
              <w:pStyle w:val="4"/>
              <w:rPr>
                <w:rFonts w:hint="eastAsia"/>
                <w:sz w:val="24"/>
                <w:szCs w:val="24"/>
                <w:highlight w:val="none"/>
                <w:lang w:val="en-US" w:eastAsia="zh-CN"/>
              </w:rPr>
            </w:pPr>
          </w:p>
          <w:p>
            <w:pPr>
              <w:pStyle w:val="4"/>
              <w:rPr>
                <w:rFonts w:hint="eastAsia"/>
                <w:sz w:val="24"/>
                <w:szCs w:val="24"/>
                <w:highlight w:val="none"/>
                <w:lang w:val="en-US" w:eastAsia="zh-CN"/>
              </w:rPr>
            </w:pPr>
            <w:r>
              <w:rPr>
                <w:rFonts w:hint="default" w:ascii="Arial Bold" w:hAnsi="Arial Bold" w:cs="Arial Bold"/>
                <w:b/>
                <w:bCs/>
                <w:sz w:val="24"/>
                <w:szCs w:val="24"/>
                <w:highlight w:val="none"/>
                <w:lang w:val="en-US" w:eastAsia="zh-CN"/>
              </w:rPr>
              <w:t>Duration</w:t>
            </w:r>
            <w:r>
              <w:rPr>
                <w:rFonts w:hint="eastAsia"/>
                <w:sz w:val="24"/>
                <w:szCs w:val="24"/>
                <w:highlight w:val="none"/>
                <w:lang w:val="en-US" w:eastAsia="zh-CN"/>
              </w:rPr>
              <w:t>: It varies from a few weeks to several months.</w:t>
            </w:r>
          </w:p>
          <w:p>
            <w:pPr>
              <w:pStyle w:val="4"/>
              <w:rPr>
                <w:rFonts w:hint="eastAsia"/>
                <w:sz w:val="24"/>
                <w:szCs w:val="24"/>
                <w:highlight w:val="none"/>
                <w:lang w:val="en-US" w:eastAsia="zh-CN"/>
              </w:rPr>
            </w:pPr>
            <w:r>
              <w:rPr>
                <w:rFonts w:hint="default" w:ascii="Arial Bold" w:hAnsi="Arial Bold" w:cs="Arial Bold"/>
                <w:b/>
                <w:bCs/>
                <w:sz w:val="24"/>
                <w:szCs w:val="24"/>
                <w:highlight w:val="none"/>
                <w:lang w:val="en-US" w:eastAsia="zh-CN"/>
              </w:rPr>
              <w:t>Focus:</w:t>
            </w:r>
            <w:r>
              <w:rPr>
                <w:rFonts w:hint="eastAsia"/>
                <w:sz w:val="24"/>
                <w:szCs w:val="24"/>
                <w:highlight w:val="none"/>
                <w:lang w:val="en-US" w:eastAsia="zh-CN"/>
              </w:rPr>
              <w:t xml:space="preserve"> Academic language skills, intercultural competence, and practical experience, etc.</w:t>
            </w:r>
          </w:p>
          <w:p>
            <w:pPr>
              <w:pStyle w:val="4"/>
              <w:rPr>
                <w:rFonts w:hint="eastAsia"/>
                <w:sz w:val="24"/>
                <w:szCs w:val="24"/>
                <w:highlight w:val="none"/>
                <w:lang w:val="en-US" w:eastAsia="zh-CN"/>
              </w:rPr>
            </w:pPr>
            <w:r>
              <w:rPr>
                <w:rFonts w:hint="default" w:ascii="Arial Bold" w:hAnsi="Arial Bold" w:cs="Arial Bold"/>
                <w:b/>
                <w:bCs/>
                <w:sz w:val="24"/>
                <w:szCs w:val="24"/>
                <w:highlight w:val="none"/>
                <w:lang w:val="en-US" w:eastAsia="zh-CN"/>
              </w:rPr>
              <w:t>Students:</w:t>
            </w:r>
            <w:r>
              <w:rPr>
                <w:rFonts w:hint="eastAsia"/>
                <w:sz w:val="24"/>
                <w:szCs w:val="24"/>
                <w:highlight w:val="none"/>
                <w:lang w:val="en-US" w:eastAsia="zh-CN"/>
              </w:rPr>
              <w:t xml:space="preserve"> Individuals who are interested in or have a great demand for linguistic and intercultural skills, including MA and PhD students, etc.</w:t>
            </w:r>
          </w:p>
          <w:p>
            <w:pPr>
              <w:pStyle w:val="4"/>
              <w:rPr>
                <w:rFonts w:hint="eastAsia"/>
                <w:sz w:val="24"/>
                <w:szCs w:val="24"/>
                <w:highlight w:val="none"/>
                <w:lang w:val="en-US" w:eastAsia="zh-CN"/>
              </w:rPr>
            </w:pPr>
            <w:r>
              <w:rPr>
                <w:rFonts w:hint="default" w:ascii="Arial Bold" w:hAnsi="Arial Bold" w:cs="Arial Bold"/>
                <w:b/>
                <w:bCs/>
                <w:sz w:val="24"/>
                <w:szCs w:val="24"/>
                <w:highlight w:val="none"/>
                <w:lang w:val="en-US" w:eastAsia="zh-CN"/>
              </w:rPr>
              <w:t>Staff - student ratio:</w:t>
            </w:r>
            <w:r>
              <w:rPr>
                <w:rFonts w:hint="eastAsia"/>
                <w:sz w:val="24"/>
                <w:szCs w:val="24"/>
                <w:highlight w:val="none"/>
                <w:lang w:val="en-US" w:eastAsia="zh-CN"/>
              </w:rPr>
              <w:t xml:space="preserve"> 1:12 (it may vary), and there is 1 social organizer, etc.</w:t>
            </w:r>
          </w:p>
          <w:p>
            <w:pPr>
              <w:pStyle w:val="4"/>
              <w:rPr>
                <w:rFonts w:hint="eastAsia"/>
                <w:sz w:val="24"/>
                <w:szCs w:val="24"/>
                <w:highlight w:val="none"/>
                <w:lang w:val="en-US" w:eastAsia="zh-CN"/>
              </w:rPr>
            </w:pPr>
            <w:r>
              <w:rPr>
                <w:rFonts w:hint="eastAsia"/>
                <w:sz w:val="24"/>
                <w:szCs w:val="24"/>
                <w:highlight w:val="none"/>
                <w:lang w:val="en-US" w:eastAsia="zh-CN"/>
              </w:rPr>
              <w:t>Facilities: Rooms, a language laboratory, a small library of supplementary reading materials, and the use of the premises of the International Society for social activities, etc.</w:t>
            </w:r>
          </w:p>
          <w:p>
            <w:pPr>
              <w:pStyle w:val="4"/>
              <w:rPr>
                <w:rFonts w:hint="eastAsia"/>
                <w:sz w:val="24"/>
                <w:szCs w:val="24"/>
                <w:highlight w:val="none"/>
                <w:lang w:val="en-US" w:eastAsia="zh-CN"/>
              </w:rPr>
            </w:pPr>
            <w:r>
              <w:rPr>
                <w:rFonts w:hint="default" w:ascii="Arial Bold" w:hAnsi="Arial Bold" w:cs="Arial Bold"/>
                <w:b/>
                <w:bCs/>
                <w:sz w:val="24"/>
                <w:szCs w:val="24"/>
                <w:highlight w:val="none"/>
                <w:lang w:val="en-US" w:eastAsia="zh-CN"/>
              </w:rPr>
              <w:t xml:space="preserve">Setting: </w:t>
            </w:r>
            <w:r>
              <w:rPr>
                <w:rFonts w:hint="eastAsia"/>
                <w:sz w:val="24"/>
                <w:szCs w:val="24"/>
                <w:highlight w:val="none"/>
                <w:lang w:val="en-US" w:eastAsia="zh-CN"/>
              </w:rPr>
              <w:t>University or language school environment.</w:t>
            </w:r>
          </w:p>
          <w:p>
            <w:pPr>
              <w:pStyle w:val="4"/>
              <w:rPr>
                <w:rFonts w:hint="eastAsia"/>
                <w:sz w:val="24"/>
                <w:szCs w:val="24"/>
                <w:highlight w:val="none"/>
                <w:lang w:val="en-US" w:eastAsia="zh-CN"/>
              </w:rPr>
            </w:pPr>
            <w:r>
              <w:rPr>
                <w:rFonts w:hint="default" w:ascii="Arial Bold" w:hAnsi="Arial Bold" w:cs="Arial Bold"/>
                <w:b/>
                <w:bCs/>
                <w:sz w:val="24"/>
                <w:szCs w:val="24"/>
                <w:highlight w:val="none"/>
                <w:lang w:val="en-US" w:eastAsia="zh-CN"/>
              </w:rPr>
              <w:t xml:space="preserve">Students' needs: </w:t>
            </w:r>
            <w:r>
              <w:rPr>
                <w:rFonts w:hint="eastAsia"/>
                <w:sz w:val="24"/>
                <w:szCs w:val="24"/>
                <w:highlight w:val="none"/>
                <w:lang w:val="en-US" w:eastAsia="zh-CN"/>
              </w:rPr>
              <w:t>For example, a survey on whether students adapt to the social environment since their arrival; feedback on whether students have practiced the language related to their specific subjects (syntax, vocabulary, style), etc.</w:t>
            </w:r>
          </w:p>
          <w:p>
            <w:pPr>
              <w:pStyle w:val="4"/>
              <w:rPr>
                <w:rFonts w:hint="eastAsia"/>
                <w:sz w:val="24"/>
                <w:szCs w:val="24"/>
                <w:highlight w:val="none"/>
                <w:lang w:val="en-US" w:eastAsia="zh-CN"/>
              </w:rPr>
            </w:pPr>
            <w:r>
              <w:rPr>
                <w:rFonts w:hint="eastAsia"/>
                <w:sz w:val="24"/>
                <w:szCs w:val="24"/>
                <w:highlight w:val="none"/>
                <w:lang w:val="en-US" w:eastAsia="zh-CN"/>
              </w:rPr>
              <w:t>...</w:t>
            </w:r>
          </w:p>
          <w:p>
            <w:pPr>
              <w:pStyle w:val="4"/>
              <w:rPr>
                <w:rFonts w:hint="eastAsia"/>
                <w:sz w:val="24"/>
                <w:szCs w:val="24"/>
                <w:highlight w:val="none"/>
                <w:lang w:val="en-US" w:eastAsia="zh-CN"/>
              </w:rPr>
            </w:pPr>
            <w:r>
              <w:rPr>
                <w:rFonts w:hint="eastAsia"/>
                <w:sz w:val="24"/>
                <w:szCs w:val="24"/>
                <w:highlight w:val="none"/>
                <w:lang w:val="en-US" w:eastAsia="zh-CN"/>
              </w:rPr>
              <w:t>...</w:t>
            </w:r>
          </w:p>
          <w:p>
            <w:pPr>
              <w:pStyle w:val="4"/>
              <w:rPr>
                <w:rFonts w:hint="default"/>
                <w:sz w:val="24"/>
                <w:szCs w:val="24"/>
                <w:highlight w:val="none"/>
                <w:lang w:val="en-US" w:eastAsia="zh-CN"/>
              </w:rPr>
            </w:pPr>
            <w:r>
              <w:rPr>
                <w:rFonts w:hint="eastAsia"/>
                <w:sz w:val="24"/>
                <w:szCs w:val="24"/>
                <w:highlight w:val="none"/>
                <w:lang w:val="en-US" w:eastAsia="zh-CN"/>
              </w:rPr>
              <w:t>In course design, how are the different needs balanced? It means that the needs influence the PP approach, which should be a combination of functions.</w:t>
            </w:r>
            <w:r>
              <w:rPr>
                <w:rFonts w:hint="default"/>
                <w:sz w:val="24"/>
                <w:szCs w:val="24"/>
                <w:highlight w:val="none"/>
                <w:lang w:val="en-US" w:eastAsia="zh-CN"/>
              </w:rPr>
              <w:t>If we can make some comparisons between PP and similar programs in China,</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49"/>
              <w:gridCol w:w="4325"/>
              <w:gridCol w:w="2848"/>
            </w:tblGrid>
            <w:tr>
              <w:tc>
                <w:tcPr>
                  <w:tcW w:w="1349" w:type="dxa"/>
                </w:tcPr>
                <w:p>
                  <w:pPr>
                    <w:widowControl/>
                    <w:spacing w:after="0" w:line="240" w:lineRule="auto"/>
                    <w:jc w:val="left"/>
                    <w:rPr>
                      <w:rFonts w:ascii="Cambria" w:hAnsi="Cambria" w:eastAsia="宋体" w:cs="Times New Roman"/>
                      <w:kern w:val="0"/>
                      <w:sz w:val="22"/>
                      <w:szCs w:val="22"/>
                      <w:lang w:eastAsia="en-US"/>
                    </w:rPr>
                  </w:pPr>
                </w:p>
              </w:tc>
              <w:tc>
                <w:tcPr>
                  <w:tcW w:w="4325" w:type="dxa"/>
                </w:tcPr>
                <w:p>
                  <w:pPr>
                    <w:widowControl/>
                    <w:spacing w:after="0" w:line="240" w:lineRule="auto"/>
                    <w:jc w:val="left"/>
                    <w:rPr>
                      <w:rFonts w:hint="default" w:ascii="Cambria" w:hAnsi="Cambria" w:eastAsia="宋体" w:cs="Times New Roman"/>
                      <w:kern w:val="0"/>
                      <w:sz w:val="22"/>
                      <w:szCs w:val="22"/>
                      <w:lang w:val="en-US" w:eastAsia="zh-CN"/>
                    </w:rPr>
                  </w:pPr>
                  <w:r>
                    <w:rPr>
                      <w:rFonts w:ascii="Cambria" w:hAnsi="Cambria" w:eastAsia="宋体" w:cs="Times New Roman"/>
                      <w:kern w:val="0"/>
                      <w:sz w:val="22"/>
                      <w:szCs w:val="22"/>
                      <w:lang w:eastAsia="en-US"/>
                    </w:rPr>
                    <w:t>Pre-sessional Programs</w:t>
                  </w:r>
                  <w:r>
                    <w:rPr>
                      <w:rFonts w:hint="eastAsia" w:ascii="Cambria" w:hAnsi="Cambria" w:eastAsia="宋体" w:cs="Times New Roman"/>
                      <w:kern w:val="0"/>
                      <w:sz w:val="22"/>
                      <w:szCs w:val="22"/>
                      <w:lang w:val="en-US" w:eastAsia="zh-CN"/>
                    </w:rPr>
                    <w:t>(PP)</w:t>
                  </w:r>
                </w:p>
              </w:tc>
              <w:tc>
                <w:tcPr>
                  <w:tcW w:w="2848"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Similar Pr</w:t>
                  </w:r>
                  <w:r>
                    <w:rPr>
                      <w:rFonts w:hint="default" w:ascii="Cambria" w:hAnsi="Cambria" w:eastAsia="宋体" w:cs="Times New Roman"/>
                      <w:kern w:val="0"/>
                      <w:sz w:val="22"/>
                      <w:szCs w:val="22"/>
                      <w:lang w:val="en-US" w:eastAsia="en-US"/>
                    </w:rPr>
                    <w:t>ogram</w:t>
                  </w:r>
                  <w:r>
                    <w:rPr>
                      <w:rFonts w:ascii="Cambria" w:hAnsi="Cambria" w:eastAsia="宋体" w:cs="Times New Roman"/>
                      <w:kern w:val="0"/>
                      <w:sz w:val="22"/>
                      <w:szCs w:val="22"/>
                      <w:lang w:eastAsia="en-US"/>
                    </w:rPr>
                    <w:t>s in China</w:t>
                  </w:r>
                </w:p>
              </w:tc>
            </w:tr>
            <w:tr>
              <w:tc>
                <w:tcPr>
                  <w:tcW w:w="1349"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Approach</w:t>
                  </w:r>
                </w:p>
              </w:tc>
              <w:tc>
                <w:tcPr>
                  <w:tcW w:w="4325"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 xml:space="preserve">Structured classes focusing on </w:t>
                  </w:r>
                  <w:r>
                    <w:rPr>
                      <w:rFonts w:hint="eastAsia" w:ascii="Cambria" w:hAnsi="Cambria" w:eastAsia="宋体" w:cs="Times New Roman"/>
                      <w:kern w:val="0"/>
                      <w:sz w:val="22"/>
                      <w:szCs w:val="22"/>
                      <w:lang w:eastAsia="en-US"/>
                    </w:rPr>
                    <w:t>cognitive skills</w:t>
                  </w:r>
                  <w:r>
                    <w:rPr>
                      <w:rFonts w:hint="eastAsia" w:ascii="Cambria" w:hAnsi="Cambria" w:eastAsia="宋体" w:cs="Times New Roman"/>
                      <w:kern w:val="0"/>
                      <w:sz w:val="22"/>
                      <w:szCs w:val="22"/>
                      <w:lang w:eastAsia="zh-CN"/>
                    </w:rPr>
                    <w:t>，</w:t>
                  </w:r>
                  <w:r>
                    <w:rPr>
                      <w:rFonts w:hint="eastAsia" w:ascii="Cambria" w:hAnsi="Cambria" w:eastAsia="宋体" w:cs="Times New Roman"/>
                      <w:kern w:val="0"/>
                      <w:sz w:val="22"/>
                      <w:szCs w:val="22"/>
                      <w:lang w:val="en-US" w:eastAsia="zh-CN"/>
                    </w:rPr>
                    <w:t>critical thinking and</w:t>
                  </w:r>
                  <w:r>
                    <w:rPr>
                      <w:rFonts w:hint="default" w:ascii="Cambria" w:hAnsi="Cambria" w:eastAsia="宋体" w:cs="Times New Roman"/>
                      <w:kern w:val="0"/>
                      <w:sz w:val="22"/>
                      <w:szCs w:val="22"/>
                      <w:lang w:val="en-US" w:eastAsia="zh-CN"/>
                    </w:rPr>
                    <w:t xml:space="preserve"> </w:t>
                  </w:r>
                  <w:r>
                    <w:rPr>
                      <w:rFonts w:ascii="Cambria" w:hAnsi="Cambria" w:eastAsia="宋体" w:cs="Times New Roman"/>
                      <w:kern w:val="0"/>
                      <w:sz w:val="22"/>
                      <w:szCs w:val="22"/>
                      <w:lang w:eastAsia="en-US"/>
                    </w:rPr>
                    <w:t>intercultural competence relevant to academic contexts.</w:t>
                  </w:r>
                </w:p>
              </w:tc>
              <w:tc>
                <w:tcPr>
                  <w:tcW w:w="2848"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Hands-on learning through direct interaction with native speakers and immersion in daily life.</w:t>
                  </w:r>
                </w:p>
              </w:tc>
            </w:tr>
            <w:tr>
              <w:tc>
                <w:tcPr>
                  <w:tcW w:w="1349"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Content</w:t>
                  </w:r>
                </w:p>
              </w:tc>
              <w:tc>
                <w:tcPr>
                  <w:tcW w:w="4325"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Includes training on navigating cultural differences in academic settings, understanding diverse perspectives, and developing communication skills for a multicultural environment.</w:t>
                  </w:r>
                </w:p>
              </w:tc>
              <w:tc>
                <w:tcPr>
                  <w:tcW w:w="2848"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Real-life communication scenarios, cultural activities, and interactions with locals.</w:t>
                  </w:r>
                </w:p>
              </w:tc>
            </w:tr>
            <w:tr>
              <w:tc>
                <w:tcPr>
                  <w:tcW w:w="1349"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Methods</w:t>
                  </w:r>
                </w:p>
              </w:tc>
              <w:tc>
                <w:tcPr>
                  <w:tcW w:w="4325"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Lectures, workshops, role-playing, and simulations to practice intercultural communication.</w:t>
                  </w:r>
                </w:p>
              </w:tc>
              <w:tc>
                <w:tcPr>
                  <w:tcW w:w="2848" w:type="dxa"/>
                </w:tcPr>
                <w:p>
                  <w:pPr>
                    <w:widowControl/>
                    <w:spacing w:after="0" w:line="240" w:lineRule="auto"/>
                    <w:jc w:val="left"/>
                    <w:rPr>
                      <w:rFonts w:ascii="Cambria" w:hAnsi="Cambria" w:eastAsia="宋体" w:cs="Times New Roman"/>
                      <w:kern w:val="0"/>
                      <w:sz w:val="22"/>
                      <w:szCs w:val="22"/>
                      <w:lang w:eastAsia="en-US"/>
                    </w:rPr>
                  </w:pPr>
                  <w:r>
                    <w:rPr>
                      <w:rFonts w:ascii="Cambria" w:hAnsi="Cambria" w:eastAsia="宋体" w:cs="Times New Roman"/>
                      <w:kern w:val="0"/>
                      <w:sz w:val="22"/>
                      <w:szCs w:val="22"/>
                      <w:lang w:eastAsia="en-US"/>
                    </w:rPr>
                    <w:t>Cultural excursions, language partner programs, and community engagement to facilitate practical intercultural communication.</w:t>
                  </w:r>
                </w:p>
              </w:tc>
            </w:tr>
          </w:tbl>
          <w:p>
            <w:pPr>
              <w:pStyle w:val="4"/>
              <w:ind w:firstLine="840" w:firstLineChars="350"/>
              <w:rPr>
                <w:rFonts w:hint="default"/>
                <w:sz w:val="24"/>
                <w:szCs w:val="24"/>
                <w:highlight w:val="none"/>
                <w:lang w:val="en-US" w:eastAsia="zh-CN"/>
              </w:rPr>
            </w:pPr>
            <w:r>
              <w:rPr>
                <w:rFonts w:hint="default" w:ascii="Arial Italic" w:hAnsi="Arial Italic" w:cs="Arial Italic"/>
                <w:i/>
                <w:iCs/>
                <w:sz w:val="24"/>
                <w:szCs w:val="24"/>
                <w:highlight w:val="none"/>
                <w:lang w:val="en-US" w:eastAsia="zh-CN"/>
              </w:rPr>
              <w:t>Table 1.Comparison of PP and Similar Programs in China</w:t>
            </w:r>
          </w:p>
          <w:p>
            <w:pPr>
              <w:pStyle w:val="4"/>
              <w:rPr>
                <w:rFonts w:hint="default"/>
                <w:sz w:val="24"/>
                <w:szCs w:val="24"/>
                <w:highlight w:val="none"/>
                <w:lang w:val="en-US" w:eastAsia="zh-CN"/>
              </w:rPr>
            </w:pPr>
          </w:p>
          <w:p>
            <w:pPr>
              <w:pStyle w:val="4"/>
              <w:rPr>
                <w:rFonts w:hint="default"/>
                <w:sz w:val="24"/>
                <w:szCs w:val="24"/>
                <w:highlight w:val="none"/>
                <w:lang w:val="en-US" w:eastAsia="zh-CN"/>
              </w:rPr>
            </w:pPr>
          </w:p>
          <w:p>
            <w:pPr>
              <w:pStyle w:val="4"/>
              <w:rPr>
                <w:rFonts w:hint="default"/>
                <w:sz w:val="24"/>
                <w:szCs w:val="24"/>
                <w:highlight w:val="none"/>
                <w:lang w:val="en-US" w:eastAsia="zh-CN"/>
              </w:rPr>
            </w:pPr>
            <w:r>
              <w:rPr>
                <w:rFonts w:hint="default"/>
                <w:sz w:val="24"/>
                <w:szCs w:val="24"/>
                <w:highlight w:val="none"/>
                <w:lang w:val="en-US" w:eastAsia="zh-CN"/>
              </w:rPr>
              <w:t xml:space="preserve">If we can make some </w:t>
            </w:r>
            <w:r>
              <w:rPr>
                <w:rFonts w:hint="eastAsia"/>
                <w:sz w:val="24"/>
                <w:szCs w:val="24"/>
                <w:highlight w:val="none"/>
                <w:lang w:val="en-US" w:eastAsia="zh-CN"/>
              </w:rPr>
              <w:t>c</w:t>
            </w:r>
            <w:r>
              <w:rPr>
                <w:rFonts w:hint="default"/>
                <w:sz w:val="24"/>
                <w:szCs w:val="24"/>
                <w:highlight w:val="none"/>
                <w:lang w:val="en-US" w:eastAsia="zh-CN"/>
              </w:rPr>
              <w:t>omparative analysis between PP and similar programs in China,</w:t>
            </w:r>
          </w:p>
          <w:p>
            <w:pPr>
              <w:pStyle w:val="4"/>
              <w:rPr>
                <w:rFonts w:hint="default"/>
                <w:sz w:val="24"/>
                <w:szCs w:val="24"/>
                <w:highlight w:val="none"/>
                <w:lang w:val="en-US" w:eastAsia="zh-CN"/>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80"/>
              <w:gridCol w:w="2880"/>
              <w:gridCol w:w="2880"/>
            </w:tblGrid>
            <w:tr>
              <w:tc>
                <w:tcPr>
                  <w:tcW w:w="2880" w:type="dxa"/>
                </w:tcPr>
                <w:p>
                  <w:pPr>
                    <w:spacing w:after="0" w:line="240" w:lineRule="auto"/>
                  </w:pPr>
                </w:p>
              </w:tc>
              <w:tc>
                <w:tcPr>
                  <w:tcW w:w="2880" w:type="dxa"/>
                </w:tcPr>
                <w:p>
                  <w:pPr>
                    <w:spacing w:after="0" w:line="240" w:lineRule="auto"/>
                    <w:rPr>
                      <w:rFonts w:hint="default"/>
                      <w:lang w:val="en-US"/>
                    </w:rPr>
                  </w:pPr>
                  <w:r>
                    <w:t>Pre-sessional Programs</w:t>
                  </w:r>
                  <w:r>
                    <w:rPr>
                      <w:rFonts w:hint="default"/>
                      <w:lang w:val="en-US"/>
                    </w:rPr>
                    <w:t>(P</w:t>
                  </w:r>
                  <w:r>
                    <w:rPr>
                      <w:rFonts w:hint="eastAsia"/>
                      <w:lang w:val="en-US" w:eastAsia="zh-CN"/>
                    </w:rPr>
                    <w:t>P</w:t>
                  </w:r>
                  <w:r>
                    <w:rPr>
                      <w:rFonts w:hint="default"/>
                      <w:lang w:val="en-US"/>
                    </w:rPr>
                    <w:t>)</w:t>
                  </w:r>
                </w:p>
              </w:tc>
              <w:tc>
                <w:tcPr>
                  <w:tcW w:w="2880" w:type="dxa"/>
                </w:tcPr>
                <w:p>
                  <w:pPr>
                    <w:spacing w:after="0" w:line="240" w:lineRule="auto"/>
                  </w:pPr>
                  <w:r>
                    <w:t>Similar Programs in China</w:t>
                  </w:r>
                </w:p>
              </w:tc>
            </w:tr>
            <w:tr>
              <w:tc>
                <w:tcPr>
                  <w:tcW w:w="2880" w:type="dxa"/>
                </w:tcPr>
                <w:p>
                  <w:pPr>
                    <w:spacing w:after="0" w:line="240" w:lineRule="auto"/>
                    <w:jc w:val="left"/>
                  </w:pPr>
                  <w:r>
                    <w:t>Learning Environment</w:t>
                  </w:r>
                </w:p>
              </w:tc>
              <w:tc>
                <w:tcPr>
                  <w:tcW w:w="2880" w:type="dxa"/>
                </w:tcPr>
                <w:p>
                  <w:pPr>
                    <w:spacing w:after="0" w:line="240" w:lineRule="auto"/>
                    <w:jc w:val="left"/>
                  </w:pPr>
                  <w:r>
                    <w:t>Controlled academic setting with a structured curriculum designed to transition students into university life.</w:t>
                  </w:r>
                </w:p>
              </w:tc>
              <w:tc>
                <w:tcPr>
                  <w:tcW w:w="2880" w:type="dxa"/>
                </w:tcPr>
                <w:p>
                  <w:pPr>
                    <w:spacing w:after="0" w:line="240" w:lineRule="auto"/>
                    <w:jc w:val="left"/>
                  </w:pPr>
                  <w:r>
                    <w:t>Dynamic real-world environment that offers unpredictable, authentic experiences enhancing language and cultural understanding.</w:t>
                  </w:r>
                </w:p>
              </w:tc>
            </w:tr>
            <w:tr>
              <w:tc>
                <w:tcPr>
                  <w:tcW w:w="2880" w:type="dxa"/>
                </w:tcPr>
                <w:p>
                  <w:pPr>
                    <w:spacing w:after="0" w:line="240" w:lineRule="auto"/>
                    <w:jc w:val="left"/>
                  </w:pPr>
                  <w:r>
                    <w:t xml:space="preserve">Language Skills </w:t>
                  </w:r>
                </w:p>
              </w:tc>
              <w:tc>
                <w:tcPr>
                  <w:tcW w:w="2880" w:type="dxa"/>
                </w:tcPr>
                <w:p>
                  <w:pPr>
                    <w:spacing w:after="0" w:line="240" w:lineRule="auto"/>
                    <w:jc w:val="left"/>
                  </w:pPr>
                  <w:r>
                    <w:t>Targeted towards academic proficiency and understanding the language used in educational contexts.</w:t>
                  </w:r>
                </w:p>
              </w:tc>
              <w:tc>
                <w:tcPr>
                  <w:tcW w:w="2880" w:type="dxa"/>
                </w:tcPr>
                <w:p>
                  <w:pPr>
                    <w:spacing w:after="0" w:line="240" w:lineRule="auto"/>
                    <w:jc w:val="left"/>
                  </w:pPr>
                  <w:r>
                    <w:t>Broader focus on practical communication skills, fostering fluency and confidence in everyday conversations.</w:t>
                  </w:r>
                </w:p>
              </w:tc>
            </w:tr>
            <w:tr>
              <w:tc>
                <w:tcPr>
                  <w:tcW w:w="2880" w:type="dxa"/>
                </w:tcPr>
                <w:p>
                  <w:pPr>
                    <w:spacing w:after="0" w:line="240" w:lineRule="auto"/>
                    <w:jc w:val="left"/>
                  </w:pPr>
                  <w:r>
                    <w:t>Intercultural Competence</w:t>
                  </w:r>
                </w:p>
              </w:tc>
              <w:tc>
                <w:tcPr>
                  <w:tcW w:w="2880" w:type="dxa"/>
                </w:tcPr>
                <w:p>
                  <w:pPr>
                    <w:spacing w:after="0" w:line="240" w:lineRule="auto"/>
                    <w:jc w:val="left"/>
                  </w:pPr>
                  <w:r>
                    <w:t>Offers a foundation in intercultural communication tailored to academic settings, preparing students for multicultural academic environments.</w:t>
                  </w:r>
                </w:p>
              </w:tc>
              <w:tc>
                <w:tcPr>
                  <w:tcW w:w="2880" w:type="dxa"/>
                </w:tcPr>
                <w:p>
                  <w:pPr>
                    <w:spacing w:after="0" w:line="240" w:lineRule="auto"/>
                    <w:jc w:val="left"/>
                  </w:pPr>
                  <w:r>
                    <w:t>Develops holistic intercultural competence through immersive experiences, enhancing both personal and professional intercultural skills.</w:t>
                  </w:r>
                </w:p>
              </w:tc>
            </w:tr>
          </w:tbl>
          <w:p>
            <w:pPr>
              <w:pStyle w:val="4"/>
              <w:rPr>
                <w:rFonts w:hint="default"/>
                <w:sz w:val="24"/>
                <w:szCs w:val="24"/>
                <w:highlight w:val="none"/>
                <w:lang w:val="en-US"/>
              </w:rPr>
            </w:pPr>
            <w:r>
              <w:rPr>
                <w:rFonts w:hint="default" w:ascii="Arial Italic" w:hAnsi="Arial Italic" w:cs="Arial Italic"/>
                <w:i/>
                <w:iCs/>
                <w:sz w:val="24"/>
                <w:szCs w:val="24"/>
                <w:highlight w:val="none"/>
                <w:lang w:val="en-US" w:eastAsia="zh-CN"/>
              </w:rPr>
              <w:t xml:space="preserve"> </w:t>
            </w:r>
          </w:p>
          <w:p>
            <w:pPr>
              <w:pStyle w:val="4"/>
              <w:rPr>
                <w:rFonts w:hint="eastAsia"/>
                <w:sz w:val="24"/>
                <w:szCs w:val="24"/>
              </w:rPr>
            </w:pPr>
            <w:r>
              <w:rPr>
                <w:rFonts w:hint="eastAsia"/>
                <w:sz w:val="24"/>
                <w:szCs w:val="24"/>
                <w:highlight w:val="none"/>
                <w:lang w:val="en-US" w:eastAsia="zh-CN"/>
              </w:rPr>
              <w:t>In summary</w:t>
            </w:r>
            <w:r>
              <w:rPr>
                <w:rFonts w:hint="default"/>
                <w:sz w:val="24"/>
                <w:szCs w:val="24"/>
                <w:highlight w:val="none"/>
                <w:lang w:val="en-US" w:eastAsia="zh-CN"/>
              </w:rPr>
              <w:t xml:space="preserve">, </w:t>
            </w:r>
            <w:r>
              <w:rPr>
                <w:rFonts w:hint="eastAsia"/>
                <w:sz w:val="24"/>
                <w:szCs w:val="24"/>
                <w:highlight w:val="none"/>
                <w:lang w:val="en-US" w:eastAsia="zh-CN"/>
              </w:rPr>
              <w:t>t</w:t>
            </w:r>
            <w:r>
              <w:rPr>
                <w:rFonts w:hint="default"/>
                <w:sz w:val="24"/>
                <w:szCs w:val="24"/>
                <w:highlight w:val="none"/>
                <w:lang w:val="en-US" w:eastAsia="zh-CN"/>
              </w:rPr>
              <w:t>his research aims to analyze the PP Course from multiple perspectives including educational programme management, language and cultural education within historical, social, and cultural contexts. The objective is to provide an overview of its comparison and explore how an online FT</w:t>
            </w:r>
            <w:bookmarkStart w:id="0" w:name="_GoBack"/>
            <w:bookmarkEnd w:id="0"/>
            <w:r>
              <w:rPr>
                <w:rFonts w:hint="default"/>
                <w:sz w:val="24"/>
                <w:szCs w:val="24"/>
                <w:highlight w:val="none"/>
                <w:lang w:val="en-US" w:eastAsia="zh-CN"/>
              </w:rPr>
              <w:t xml:space="preserve"> framework could be applied if a pilot study of certain cases from UK’s successful PP experience is conducted, focusing on the evolution of teaching forms and contents in the PP Course. Additionally, it intends to evaluate the impact of the curricula on international students by comprehensively analyzing various factors, as the relationship between the language teaching environment and the language &amp; intercultural competence of international students is of great significance. Culturally inclusive teaching practices are crucial as they can significantly affect international students' sense of academic success.</w:t>
            </w:r>
            <w:r>
              <w:rPr>
                <w:rFonts w:hint="eastAsia"/>
                <w:sz w:val="24"/>
                <w:szCs w:val="24"/>
              </w:rPr>
              <w:t>.</w:t>
            </w:r>
          </w:p>
          <w:p>
            <w:pPr>
              <w:pStyle w:val="4"/>
              <w:rPr>
                <w:rFonts w:hint="eastAsia"/>
                <w:sz w:val="24"/>
                <w:szCs w:val="24"/>
              </w:rPr>
            </w:pPr>
          </w:p>
          <w:p>
            <w:pPr>
              <w:pStyle w:val="4"/>
              <w:rPr>
                <w:rFonts w:hint="default"/>
                <w:sz w:val="24"/>
                <w:szCs w:val="24"/>
                <w:lang w:val="en-US"/>
              </w:rPr>
            </w:pPr>
          </w:p>
          <w:p>
            <w:pPr>
              <w:rPr>
                <w:rFonts w:cs="Arial"/>
                <w:sz w:val="22"/>
                <w:szCs w:val="22"/>
              </w:rPr>
            </w:pPr>
          </w:p>
          <w:p>
            <w:pPr>
              <w:autoSpaceDE w:val="0"/>
              <w:autoSpaceDN w:val="0"/>
              <w:adjustRightInd w:val="0"/>
              <w:contextualSpacing/>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sz w:val="22"/>
                <w:szCs w:val="22"/>
              </w:rPr>
            </w:pPr>
          </w:p>
        </w:tc>
      </w:tr>
      <w:tr>
        <w:trPr>
          <w:trHeight w:val="397" w:hRule="atLeast"/>
        </w:trPr>
        <w:tc>
          <w:tcPr>
            <w:tcW w:w="9781" w:type="dxa"/>
            <w:vAlign w:val="center"/>
          </w:tcPr>
          <w:p>
            <w:pPr>
              <w:rPr>
                <w:rFonts w:hint="eastAsia" w:cs="Arial"/>
                <w:sz w:val="22"/>
                <w:szCs w:val="22"/>
              </w:rPr>
            </w:pPr>
            <w:r>
              <w:rPr>
                <w:rFonts w:hint="eastAsia" w:cs="Arial"/>
                <w:sz w:val="22"/>
                <w:szCs w:val="22"/>
              </w:rPr>
              <w:t>In th</w:t>
            </w:r>
            <w:r>
              <w:rPr>
                <w:rFonts w:hint="default" w:cs="Arial"/>
                <w:sz w:val="22"/>
                <w:szCs w:val="22"/>
                <w:lang w:val="en-US"/>
              </w:rPr>
              <w:t>e research</w:t>
            </w:r>
            <w:r>
              <w:rPr>
                <w:rFonts w:hint="eastAsia" w:cs="Arial"/>
                <w:sz w:val="22"/>
                <w:szCs w:val="22"/>
              </w:rPr>
              <w:t>, the literature</w:t>
            </w:r>
            <w:r>
              <w:rPr>
                <w:rFonts w:hint="default" w:cs="Arial"/>
                <w:sz w:val="22"/>
                <w:szCs w:val="22"/>
                <w:lang w:val="en-US"/>
              </w:rPr>
              <w:t xml:space="preserve"> review</w:t>
            </w:r>
            <w:r>
              <w:rPr>
                <w:rFonts w:hint="eastAsia" w:cs="Arial"/>
                <w:sz w:val="22"/>
                <w:szCs w:val="22"/>
              </w:rPr>
              <w:t xml:space="preserve"> will be analyzed in Google scholar and other literature search engines using </w:t>
            </w:r>
            <w:r>
              <w:rPr>
                <w:rFonts w:hint="default" w:ascii="Arial Italic" w:hAnsi="Arial Italic" w:cs="Arial Italic"/>
                <w:i/>
                <w:iCs/>
                <w:sz w:val="22"/>
                <w:szCs w:val="22"/>
              </w:rPr>
              <w:t>EAP Pre-sessional English course, Language and Intercultural competence, Flipped Teaching, Visit to China Program,</w:t>
            </w:r>
            <w:r>
              <w:rPr>
                <w:rFonts w:hint="default" w:ascii="Arial Italic" w:hAnsi="Arial Italic" w:cs="Arial Italic"/>
                <w:i/>
                <w:iCs/>
                <w:sz w:val="22"/>
                <w:szCs w:val="22"/>
                <w:lang w:val="en-US"/>
              </w:rPr>
              <w:t xml:space="preserve"> </w:t>
            </w:r>
            <w:r>
              <w:rPr>
                <w:rFonts w:hint="default" w:ascii="Arial Italic" w:hAnsi="Arial Italic" w:cs="Arial Italic"/>
                <w:i/>
                <w:iCs/>
                <w:sz w:val="22"/>
                <w:szCs w:val="22"/>
              </w:rPr>
              <w:t>YKKS</w:t>
            </w:r>
            <w:r>
              <w:rPr>
                <w:rFonts w:hint="eastAsia" w:cs="Arial"/>
                <w:sz w:val="22"/>
                <w:szCs w:val="22"/>
              </w:rPr>
              <w:t xml:space="preserve"> as keywords, trying to </w:t>
            </w:r>
            <w:r>
              <w:rPr>
                <w:rFonts w:hint="default" w:cs="Arial"/>
                <w:sz w:val="22"/>
                <w:szCs w:val="22"/>
                <w:lang w:val="en-US"/>
              </w:rPr>
              <w:t xml:space="preserve">critically </w:t>
            </w:r>
            <w:r>
              <w:rPr>
                <w:rFonts w:hint="eastAsia" w:cs="Arial"/>
                <w:sz w:val="22"/>
                <w:szCs w:val="22"/>
              </w:rPr>
              <w:t>identify research gaps in the literature, particularly concerning the experiences of international students who are in EAP Pre-sessional Course in the UK.</w:t>
            </w:r>
          </w:p>
          <w:p>
            <w:pPr>
              <w:rPr>
                <w:rFonts w:hint="eastAsia" w:cs="Arial"/>
                <w:sz w:val="22"/>
                <w:szCs w:val="22"/>
              </w:rPr>
            </w:pPr>
          </w:p>
          <w:p>
            <w:pPr>
              <w:rPr>
                <w:rFonts w:hint="eastAsia" w:cs="Arial"/>
                <w:sz w:val="22"/>
                <w:szCs w:val="22"/>
              </w:rPr>
            </w:pPr>
            <w:r>
              <w:rPr>
                <w:rFonts w:hint="eastAsia" w:cs="Arial"/>
                <w:sz w:val="22"/>
                <w:szCs w:val="22"/>
              </w:rPr>
              <w:t>As the person in charge of related Programs in university</w:t>
            </w:r>
            <w:r>
              <w:rPr>
                <w:rFonts w:hint="default" w:cs="Arial"/>
                <w:sz w:val="22"/>
                <w:szCs w:val="22"/>
                <w:lang w:val="en-US"/>
              </w:rPr>
              <w:t xml:space="preserve">, </w:t>
            </w:r>
            <w:r>
              <w:rPr>
                <w:rFonts w:hint="eastAsia" w:cs="Arial"/>
                <w:sz w:val="22"/>
                <w:szCs w:val="22"/>
                <w:lang w:val="en-US" w:eastAsia="zh-CN"/>
              </w:rPr>
              <w:t>the</w:t>
            </w:r>
            <w:r>
              <w:rPr>
                <w:rFonts w:hint="default" w:cs="Arial"/>
                <w:sz w:val="22"/>
                <w:szCs w:val="22"/>
                <w:lang w:val="en-US" w:eastAsia="zh-CN"/>
              </w:rPr>
              <w:t xml:space="preserve"> researcher would e</w:t>
            </w:r>
            <w:r>
              <w:rPr>
                <w:rFonts w:hint="eastAsia" w:cs="Arial"/>
                <w:sz w:val="22"/>
                <w:szCs w:val="22"/>
              </w:rPr>
              <w:t>xplor</w:t>
            </w:r>
            <w:r>
              <w:rPr>
                <w:rFonts w:hint="default" w:cs="Arial"/>
                <w:sz w:val="22"/>
                <w:szCs w:val="22"/>
                <w:lang w:val="en-US"/>
              </w:rPr>
              <w:t>e</w:t>
            </w:r>
            <w:r>
              <w:rPr>
                <w:rFonts w:hint="eastAsia" w:cs="Arial"/>
                <w:sz w:val="22"/>
                <w:szCs w:val="22"/>
              </w:rPr>
              <w:t xml:space="preserve"> existing studies on</w:t>
            </w:r>
            <w:r>
              <w:rPr>
                <w:rFonts w:hint="default" w:cs="Arial"/>
                <w:sz w:val="22"/>
                <w:szCs w:val="22"/>
                <w:lang w:val="en-US"/>
              </w:rPr>
              <w:t xml:space="preserve"> :</w:t>
            </w:r>
            <w:r>
              <w:rPr>
                <w:rFonts w:hint="eastAsia" w:cs="Arial"/>
                <w:sz w:val="22"/>
                <w:szCs w:val="22"/>
              </w:rPr>
              <w:t xml:space="preserve"> </w:t>
            </w:r>
          </w:p>
          <w:p>
            <w:pPr>
              <w:numPr>
                <w:ilvl w:val="0"/>
                <w:numId w:val="1"/>
              </w:numPr>
              <w:ind w:left="420" w:leftChars="0" w:hanging="420" w:firstLineChars="0"/>
              <w:rPr>
                <w:rFonts w:hint="eastAsia" w:cs="Arial"/>
                <w:sz w:val="22"/>
                <w:szCs w:val="22"/>
              </w:rPr>
            </w:pPr>
            <w:r>
              <w:rPr>
                <w:rFonts w:hint="eastAsia" w:cs="Arial"/>
                <w:sz w:val="22"/>
                <w:szCs w:val="22"/>
              </w:rPr>
              <w:t>Macro-level</w:t>
            </w:r>
            <w:r>
              <w:rPr>
                <w:rFonts w:hint="default" w:cs="Arial"/>
                <w:sz w:val="22"/>
                <w:szCs w:val="22"/>
                <w:lang w:val="en-US"/>
              </w:rPr>
              <w:t>:</w:t>
            </w:r>
            <w:r>
              <w:rPr>
                <w:rFonts w:hint="eastAsia" w:cs="Arial"/>
                <w:sz w:val="22"/>
                <w:szCs w:val="22"/>
              </w:rPr>
              <w:t xml:space="preserve"> Language policy and environment</w:t>
            </w:r>
            <w:r>
              <w:rPr>
                <w:rFonts w:hint="default" w:cs="Arial"/>
                <w:sz w:val="22"/>
                <w:szCs w:val="22"/>
                <w:lang w:val="en-US"/>
              </w:rPr>
              <w:t>;</w:t>
            </w:r>
          </w:p>
          <w:p>
            <w:pPr>
              <w:numPr>
                <w:ilvl w:val="0"/>
                <w:numId w:val="1"/>
              </w:numPr>
              <w:ind w:left="420" w:leftChars="0" w:hanging="420" w:firstLineChars="0"/>
              <w:rPr>
                <w:rFonts w:hint="default" w:cs="Arial"/>
                <w:sz w:val="22"/>
                <w:szCs w:val="22"/>
                <w:lang w:val="en-US"/>
              </w:rPr>
            </w:pPr>
            <w:r>
              <w:rPr>
                <w:rFonts w:hint="eastAsia" w:cs="Arial"/>
                <w:sz w:val="22"/>
                <w:szCs w:val="22"/>
              </w:rPr>
              <w:t>Meso-level</w:t>
            </w:r>
            <w:r>
              <w:rPr>
                <w:rFonts w:hint="default" w:cs="Arial"/>
                <w:sz w:val="22"/>
                <w:szCs w:val="22"/>
                <w:lang w:val="en-US"/>
              </w:rPr>
              <w:t>:</w:t>
            </w:r>
            <w:r>
              <w:rPr>
                <w:rFonts w:hint="eastAsia" w:cs="Arial"/>
                <w:sz w:val="22"/>
                <w:szCs w:val="22"/>
              </w:rPr>
              <w:t xml:space="preserve"> Language and intercultural competence</w:t>
            </w:r>
            <w:r>
              <w:rPr>
                <w:rFonts w:hint="default" w:cs="Arial"/>
                <w:sz w:val="22"/>
                <w:szCs w:val="22"/>
                <w:lang w:val="en-US"/>
              </w:rPr>
              <w:t>;</w:t>
            </w:r>
            <w:r>
              <w:rPr>
                <w:rFonts w:hint="eastAsia" w:cs="Arial"/>
                <w:sz w:val="22"/>
                <w:szCs w:val="22"/>
              </w:rPr>
              <w:t xml:space="preserve"> </w:t>
            </w:r>
          </w:p>
          <w:p>
            <w:pPr>
              <w:numPr>
                <w:ilvl w:val="0"/>
                <w:numId w:val="1"/>
              </w:numPr>
              <w:ind w:left="420" w:leftChars="0" w:hanging="420" w:firstLineChars="0"/>
              <w:rPr>
                <w:rFonts w:hint="default" w:cs="Arial"/>
                <w:sz w:val="22"/>
                <w:szCs w:val="22"/>
                <w:lang w:val="en-US"/>
              </w:rPr>
            </w:pPr>
            <w:r>
              <w:rPr>
                <w:rFonts w:hint="eastAsia" w:cs="Arial"/>
                <w:sz w:val="22"/>
                <w:szCs w:val="22"/>
              </w:rPr>
              <w:t xml:space="preserve">Micro-level </w:t>
            </w:r>
            <w:r>
              <w:rPr>
                <w:rFonts w:hint="default" w:cs="Arial"/>
                <w:sz w:val="22"/>
                <w:szCs w:val="22"/>
                <w:lang w:val="en-US"/>
              </w:rPr>
              <w:t>:</w:t>
            </w:r>
            <w:r>
              <w:rPr>
                <w:rFonts w:hint="eastAsia" w:cs="Arial"/>
                <w:sz w:val="22"/>
                <w:szCs w:val="22"/>
              </w:rPr>
              <w:t>Case study of Flipped Teaching in Pre-sessional Program</w:t>
            </w:r>
            <w:r>
              <w:rPr>
                <w:rFonts w:hint="default" w:cs="Arial"/>
                <w:sz w:val="22"/>
                <w:szCs w:val="22"/>
                <w:lang w:val="en-US"/>
              </w:rPr>
              <w:t xml:space="preserve">. </w:t>
            </w:r>
          </w:p>
          <w:p>
            <w:pPr>
              <w:rPr>
                <w:rFonts w:hint="default" w:cs="Arial"/>
                <w:sz w:val="22"/>
                <w:szCs w:val="22"/>
                <w:lang w:val="en-US"/>
              </w:rPr>
            </w:pPr>
          </w:p>
          <w:p>
            <w:pPr>
              <w:rPr>
                <w:rFonts w:hint="default" w:eastAsia="宋体" w:cs="Arial"/>
                <w:sz w:val="22"/>
                <w:szCs w:val="22"/>
                <w:lang w:val="en-US" w:eastAsia="zh-CN"/>
              </w:rPr>
            </w:pPr>
            <w:r>
              <w:rPr>
                <w:rFonts w:hint="default" w:cs="Arial"/>
                <w:sz w:val="22"/>
                <w:szCs w:val="22"/>
                <w:lang w:val="en-US"/>
              </w:rPr>
              <w:t>I</w:t>
            </w:r>
            <w:r>
              <w:rPr>
                <w:rFonts w:hint="eastAsia" w:cs="Arial"/>
                <w:sz w:val="22"/>
                <w:szCs w:val="22"/>
              </w:rPr>
              <w:t>t is available to collect enough research data from randomly selected samples from a great “student” population of the UK pre-sessional program</w:t>
            </w:r>
            <w:r>
              <w:rPr>
                <w:rFonts w:hint="default" w:cs="Arial"/>
                <w:sz w:val="22"/>
                <w:szCs w:val="22"/>
                <w:lang w:val="en-US"/>
              </w:rPr>
              <w:t xml:space="preserve"> and </w:t>
            </w:r>
            <w:r>
              <w:rPr>
                <w:rFonts w:hint="eastAsia" w:eastAsia="宋体" w:cs="Arial"/>
                <w:sz w:val="22"/>
                <w:szCs w:val="22"/>
                <w:lang w:val="en-US" w:eastAsia="zh-CN"/>
              </w:rPr>
              <w:t>m</w:t>
            </w:r>
            <w:r>
              <w:rPr>
                <w:rFonts w:hint="default" w:cs="Arial"/>
                <w:sz w:val="22"/>
                <w:szCs w:val="22"/>
                <w:lang w:val="en-US"/>
              </w:rPr>
              <w:t>ethodolog</w:t>
            </w:r>
            <w:r>
              <w:rPr>
                <w:rFonts w:hint="eastAsia" w:eastAsia="宋体" w:cs="Arial"/>
                <w:sz w:val="22"/>
                <w:szCs w:val="22"/>
                <w:lang w:val="en-US" w:eastAsia="zh-CN"/>
              </w:rPr>
              <w:t>y</w:t>
            </w:r>
            <w:r>
              <w:rPr>
                <w:rFonts w:hint="default" w:eastAsia="宋体" w:cs="Arial"/>
                <w:sz w:val="22"/>
                <w:szCs w:val="22"/>
                <w:lang w:val="en-US" w:eastAsia="zh-CN"/>
              </w:rPr>
              <w:t xml:space="preserve"> </w:t>
            </w:r>
            <w:r>
              <w:rPr>
                <w:rFonts w:hint="eastAsia" w:eastAsia="宋体" w:cs="Arial"/>
                <w:sz w:val="22"/>
                <w:szCs w:val="22"/>
                <w:lang w:val="en-US" w:eastAsia="zh-CN"/>
              </w:rPr>
              <w:t>would</w:t>
            </w:r>
            <w:r>
              <w:rPr>
                <w:rFonts w:hint="default" w:eastAsia="宋体" w:cs="Arial"/>
                <w:sz w:val="22"/>
                <w:szCs w:val="22"/>
                <w:lang w:val="en-US" w:eastAsia="zh-CN"/>
              </w:rPr>
              <w:t xml:space="preserve"> be proposed as below.</w:t>
            </w:r>
          </w:p>
          <w:p>
            <w:pPr>
              <w:pStyle w:val="4"/>
              <w:numPr>
                <w:ilvl w:val="0"/>
                <w:numId w:val="0"/>
              </w:numPr>
              <w:rPr>
                <w:rFonts w:hint="default"/>
                <w:sz w:val="24"/>
                <w:szCs w:val="24"/>
                <w:lang w:val="en-US"/>
              </w:rPr>
            </w:pPr>
          </w:p>
          <w:p>
            <w:pPr>
              <w:pStyle w:val="4"/>
              <w:numPr>
                <w:ilvl w:val="0"/>
                <w:numId w:val="2"/>
              </w:numPr>
              <w:ind w:left="420" w:leftChars="0" w:hanging="420" w:firstLineChars="0"/>
              <w:rPr>
                <w:rFonts w:hint="default"/>
                <w:sz w:val="24"/>
                <w:szCs w:val="24"/>
                <w:lang w:val="en-US"/>
              </w:rPr>
            </w:pPr>
            <w:r>
              <w:rPr>
                <w:rFonts w:hint="default"/>
                <w:sz w:val="24"/>
                <w:szCs w:val="24"/>
                <w:lang w:val="en-US"/>
              </w:rPr>
              <w:t>Empirical research</w:t>
            </w:r>
          </w:p>
          <w:p>
            <w:pPr>
              <w:pStyle w:val="4"/>
              <w:numPr>
                <w:ilvl w:val="0"/>
                <w:numId w:val="0"/>
              </w:numPr>
              <w:rPr>
                <w:rFonts w:hint="default"/>
                <w:sz w:val="24"/>
                <w:szCs w:val="24"/>
                <w:lang w:val="en-US"/>
              </w:rPr>
            </w:pPr>
            <w:r>
              <w:rPr>
                <w:rFonts w:hint="default"/>
                <w:sz w:val="24"/>
                <w:szCs w:val="24"/>
                <w:lang w:val="en-US"/>
              </w:rPr>
              <w:t xml:space="preserve">The researcher will select a sufficient sample of </w:t>
            </w:r>
            <w:r>
              <w:rPr>
                <w:rFonts w:hint="eastAsia" w:eastAsia="宋体"/>
                <w:sz w:val="24"/>
                <w:szCs w:val="24"/>
                <w:lang w:val="en-US" w:eastAsia="zh-CN"/>
              </w:rPr>
              <w:t>PP</w:t>
            </w:r>
            <w:r>
              <w:rPr>
                <w:rFonts w:hint="default"/>
                <w:sz w:val="24"/>
                <w:szCs w:val="24"/>
                <w:lang w:val="en-US"/>
              </w:rPr>
              <w:t xml:space="preserve"> students in 2025 and 2026 at University of Southampton and other colleges or universities to carry out a questionnaire survey to address the question of whether teachers' teaching enhances Language and intercultural competence for the same individual, using the same questionnaire, and to conduct a research and tracking in the two phases of the EAP Pre-sessional English Course and at the end of the EAP Pre-sessional English Course, respectively. It is expected that 100 questionnaires will be distributed. </w:t>
            </w:r>
          </w:p>
          <w:p>
            <w:pPr>
              <w:pStyle w:val="4"/>
              <w:numPr>
                <w:ilvl w:val="0"/>
                <w:numId w:val="0"/>
              </w:numPr>
              <w:rPr>
                <w:rFonts w:hint="default"/>
                <w:sz w:val="24"/>
                <w:szCs w:val="24"/>
                <w:lang w:val="en-US"/>
              </w:rPr>
            </w:pPr>
          </w:p>
          <w:p>
            <w:pPr>
              <w:pStyle w:val="4"/>
              <w:numPr>
                <w:ilvl w:val="0"/>
                <w:numId w:val="0"/>
              </w:numPr>
              <w:rPr>
                <w:rFonts w:hint="default"/>
                <w:sz w:val="24"/>
                <w:szCs w:val="24"/>
                <w:lang w:val="en-US"/>
              </w:rPr>
            </w:pPr>
            <w:r>
              <w:rPr>
                <w:rFonts w:hint="default"/>
                <w:sz w:val="24"/>
                <w:szCs w:val="24"/>
                <w:lang w:val="en-US"/>
              </w:rPr>
              <w:t>A</w:t>
            </w:r>
            <w:r>
              <w:rPr>
                <w:rFonts w:hint="eastAsia" w:eastAsia="宋体"/>
                <w:sz w:val="24"/>
                <w:szCs w:val="24"/>
                <w:lang w:val="en-US" w:eastAsia="zh-CN"/>
              </w:rPr>
              <w:t>s</w:t>
            </w:r>
            <w:r>
              <w:rPr>
                <w:rFonts w:hint="default" w:eastAsia="宋体"/>
                <w:sz w:val="24"/>
                <w:szCs w:val="24"/>
                <w:lang w:val="en-US" w:eastAsia="zh-CN"/>
              </w:rPr>
              <w:t xml:space="preserve"> </w:t>
            </w:r>
            <w:r>
              <w:rPr>
                <w:rFonts w:hint="default"/>
                <w:sz w:val="24"/>
                <w:szCs w:val="24"/>
                <w:lang w:val="en-US"/>
              </w:rPr>
              <w:t>Hudson(2022) conducted small-scale qualitative study employed semi-structured</w:t>
            </w:r>
          </w:p>
          <w:p>
            <w:pPr>
              <w:pStyle w:val="4"/>
              <w:numPr>
                <w:ilvl w:val="0"/>
                <w:numId w:val="0"/>
              </w:numPr>
              <w:rPr>
                <w:rFonts w:hint="default"/>
                <w:sz w:val="24"/>
                <w:szCs w:val="24"/>
                <w:lang w:val="en-US"/>
              </w:rPr>
            </w:pPr>
            <w:r>
              <w:rPr>
                <w:rFonts w:hint="default"/>
                <w:sz w:val="24"/>
                <w:szCs w:val="24"/>
                <w:lang w:val="en-US"/>
              </w:rPr>
              <w:t>interviews with six PP practitioners who were involved in designing and delivering online PP courses during the pandemic,  a representative sample of 10 individuals will be selected from the 100 statistical samples for individual or focus group interviews.</w:t>
            </w:r>
          </w:p>
          <w:p>
            <w:pPr>
              <w:pStyle w:val="4"/>
              <w:numPr>
                <w:ilvl w:val="0"/>
                <w:numId w:val="0"/>
              </w:numPr>
              <w:rPr>
                <w:rFonts w:hint="default"/>
                <w:sz w:val="24"/>
                <w:szCs w:val="24"/>
                <w:lang w:val="en-US"/>
              </w:rPr>
            </w:pPr>
          </w:p>
          <w:p>
            <w:pPr>
              <w:pStyle w:val="4"/>
              <w:numPr>
                <w:ilvl w:val="0"/>
                <w:numId w:val="0"/>
              </w:numPr>
              <w:rPr>
                <w:rFonts w:hint="default"/>
                <w:sz w:val="24"/>
                <w:szCs w:val="24"/>
                <w:lang w:val="en-US"/>
              </w:rPr>
            </w:pPr>
            <w:r>
              <w:rPr>
                <w:rFonts w:hint="default"/>
                <w:sz w:val="24"/>
                <w:szCs w:val="24"/>
                <w:lang w:val="en-US"/>
              </w:rPr>
              <w:t>The study will also envisages a group research of students in offline EAP Pre-sessional English Course and online EAP Pre-sessional English Course, provided that the sample is adequate.</w:t>
            </w:r>
          </w:p>
          <w:p>
            <w:pPr>
              <w:pStyle w:val="4"/>
              <w:numPr>
                <w:ilvl w:val="0"/>
                <w:numId w:val="0"/>
              </w:numPr>
              <w:rPr>
                <w:rFonts w:hint="default"/>
                <w:sz w:val="24"/>
                <w:szCs w:val="24"/>
                <w:lang w:val="en-US"/>
              </w:rPr>
            </w:pPr>
          </w:p>
          <w:p>
            <w:pPr>
              <w:pStyle w:val="4"/>
              <w:numPr>
                <w:ilvl w:val="0"/>
                <w:numId w:val="3"/>
              </w:numPr>
              <w:ind w:left="420" w:leftChars="0" w:hanging="420" w:firstLineChars="0"/>
              <w:rPr>
                <w:rFonts w:hint="default"/>
                <w:sz w:val="24"/>
                <w:szCs w:val="24"/>
                <w:lang w:val="en-US" w:eastAsia="zh-CN"/>
              </w:rPr>
            </w:pPr>
            <w:r>
              <w:rPr>
                <w:rFonts w:hint="eastAsia"/>
                <w:sz w:val="24"/>
                <w:szCs w:val="24"/>
                <w:lang w:val="en-US" w:eastAsia="zh-CN"/>
              </w:rPr>
              <w:t>M</w:t>
            </w:r>
            <w:r>
              <w:rPr>
                <w:rFonts w:hint="default"/>
                <w:sz w:val="24"/>
                <w:szCs w:val="24"/>
                <w:lang w:val="en-US" w:eastAsia="zh-CN"/>
              </w:rPr>
              <w:t>ixed-methodology</w:t>
            </w:r>
          </w:p>
          <w:p>
            <w:pPr>
              <w:pStyle w:val="4"/>
              <w:numPr>
                <w:ilvl w:val="0"/>
                <w:numId w:val="0"/>
              </w:numPr>
              <w:ind w:leftChars="0"/>
              <w:rPr>
                <w:rFonts w:hint="default"/>
                <w:sz w:val="24"/>
                <w:szCs w:val="24"/>
                <w:lang w:val="en-US" w:eastAsia="zh-CN"/>
              </w:rPr>
            </w:pPr>
            <w:r>
              <w:rPr>
                <w:rFonts w:hint="default"/>
                <w:sz w:val="24"/>
                <w:szCs w:val="24"/>
                <w:lang w:val="en-US" w:eastAsia="zh-CN"/>
              </w:rPr>
              <w:t>When Paula(2021) compares traditional versus flipped approaches with Mixed Methods Research (MMR) ,she delves deeper into the pedagogical and motivational aspects of FT, examining how the approach affects students’ learning experiences and teachers’ roles, which helps to fill this gap by focusing on student and teacher’s experiences within the PP framework.</w:t>
            </w:r>
          </w:p>
          <w:p>
            <w:pPr>
              <w:pStyle w:val="4"/>
              <w:numPr>
                <w:ilvl w:val="0"/>
                <w:numId w:val="0"/>
              </w:numPr>
              <w:ind w:leftChars="0"/>
              <w:rPr>
                <w:rFonts w:hint="default"/>
                <w:sz w:val="24"/>
                <w:szCs w:val="24"/>
                <w:lang w:val="en-US" w:eastAsia="zh-CN"/>
              </w:rPr>
            </w:pPr>
          </w:p>
          <w:p>
            <w:pPr>
              <w:pStyle w:val="4"/>
              <w:numPr>
                <w:ilvl w:val="0"/>
                <w:numId w:val="0"/>
              </w:numPr>
              <w:ind w:leftChars="0"/>
              <w:rPr>
                <w:rFonts w:hint="default"/>
                <w:sz w:val="24"/>
                <w:szCs w:val="24"/>
                <w:lang w:val="en-US" w:eastAsia="zh-CN"/>
              </w:rPr>
            </w:pPr>
            <w:r>
              <w:rPr>
                <w:rFonts w:hint="default"/>
                <w:sz w:val="24"/>
                <w:szCs w:val="24"/>
                <w:lang w:val="en-US" w:eastAsia="zh-CN"/>
              </w:rPr>
              <w:t>In my research,  detailed statistical data and thematic insights will be provided ,which also utilizes both qualitative and quantitative methods to gather perceptions from students and teachers, offering a comprehensive view of the flipped teaching framework’s impact on PP instruction.</w:t>
            </w:r>
          </w:p>
          <w:p>
            <w:pPr>
              <w:rPr>
                <w:rFonts w:hint="default" w:cs="Arial"/>
                <w:sz w:val="22"/>
                <w:szCs w:val="22"/>
                <w:lang w:val="en-US"/>
              </w:rPr>
            </w:pPr>
          </w:p>
          <w:p>
            <w:pPr>
              <w:numPr>
                <w:ilvl w:val="0"/>
                <w:numId w:val="4"/>
              </w:numPr>
              <w:ind w:left="420" w:leftChars="0" w:hanging="420" w:firstLineChars="0"/>
              <w:rPr>
                <w:rFonts w:hint="eastAsia" w:eastAsia="宋体" w:cs="Arial"/>
                <w:sz w:val="22"/>
                <w:szCs w:val="22"/>
                <w:lang w:val="en-US" w:eastAsia="zh-CN"/>
              </w:rPr>
            </w:pPr>
            <w:r>
              <w:rPr>
                <w:rFonts w:hint="eastAsia" w:eastAsia="宋体" w:cs="Arial"/>
                <w:sz w:val="22"/>
                <w:szCs w:val="22"/>
                <w:lang w:val="en-US" w:eastAsia="zh-CN"/>
              </w:rPr>
              <w:t>Ethical Approval</w:t>
            </w:r>
          </w:p>
          <w:p>
            <w:pPr>
              <w:rPr>
                <w:rFonts w:hint="default" w:cs="Arial"/>
                <w:sz w:val="22"/>
                <w:szCs w:val="22"/>
                <w:lang w:val="en-US"/>
              </w:rPr>
            </w:pPr>
            <w:r>
              <w:rPr>
                <w:rFonts w:hint="default" w:eastAsia="宋体" w:cs="Arial"/>
                <w:sz w:val="22"/>
                <w:szCs w:val="22"/>
                <w:lang w:val="en-US" w:eastAsia="zh-CN"/>
              </w:rPr>
              <w:t>T</w:t>
            </w:r>
            <w:r>
              <w:rPr>
                <w:rFonts w:hint="eastAsia" w:eastAsia="宋体" w:cs="Arial"/>
                <w:sz w:val="22"/>
                <w:szCs w:val="22"/>
                <w:lang w:val="en-US" w:eastAsia="zh-CN"/>
              </w:rPr>
              <w:t>he</w:t>
            </w:r>
            <w:r>
              <w:rPr>
                <w:rFonts w:hint="default" w:eastAsia="宋体" w:cs="Arial"/>
                <w:sz w:val="22"/>
                <w:szCs w:val="22"/>
                <w:lang w:val="en-US" w:eastAsia="zh-CN"/>
              </w:rPr>
              <w:t xml:space="preserve"> research will p</w:t>
            </w:r>
            <w:r>
              <w:rPr>
                <w:rFonts w:hint="eastAsia" w:eastAsia="宋体" w:cs="Arial"/>
                <w:sz w:val="22"/>
                <w:szCs w:val="22"/>
                <w:lang w:val="en-US" w:eastAsia="zh-CN"/>
              </w:rPr>
              <w:t>repare and submit an application for ethical approval, detailing the research design, participant recruitment strategies, and measures to ensure confidentiality and informed consent.</w:t>
            </w: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Introductory Bibliography</w:t>
            </w:r>
          </w:p>
        </w:tc>
      </w:tr>
      <w:tr>
        <w:trPr>
          <w:trHeight w:val="397" w:hRule="atLeast"/>
        </w:trPr>
        <w:tc>
          <w:tcPr>
            <w:tcW w:w="9781" w:type="dxa"/>
            <w:vAlign w:val="center"/>
          </w:tcPr>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Banerjee, J. and Wall, D. (2006) ‘Assessing and reporting performances on pre-sessional EAP courses: Developing a final assessment checklist and investigating its validity’, </w:t>
            </w:r>
            <w:r>
              <w:rPr>
                <w:rFonts w:hint="default" w:ascii="Times New Roman" w:hAnsi="Times New Roman" w:cs="Times New Roman"/>
                <w:i/>
                <w:iCs/>
                <w:caps w:val="0"/>
                <w:color w:val="000000"/>
                <w:spacing w:val="0"/>
                <w:sz w:val="24"/>
                <w:szCs w:val="24"/>
                <w:u w:val="none"/>
              </w:rPr>
              <w:t>Journal of English for Academic Purposes</w:t>
            </w:r>
            <w:r>
              <w:rPr>
                <w:rFonts w:hint="default" w:ascii="Times New Roman" w:hAnsi="Times New Roman" w:cs="Times New Roman"/>
                <w:i w:val="0"/>
                <w:iCs w:val="0"/>
                <w:caps w:val="0"/>
                <w:color w:val="000000"/>
                <w:spacing w:val="0"/>
                <w:sz w:val="24"/>
                <w:szCs w:val="24"/>
                <w:u w:val="none"/>
              </w:rPr>
              <w:t xml:space="preserve">, 5(1), pp. 50–69. Available at: </w:t>
            </w:r>
            <w:r>
              <w:rPr>
                <w:rFonts w:hint="default" w:ascii="Times New Roman" w:hAnsi="Times New Roman" w:cs="Times New Roman"/>
                <w:i w:val="0"/>
                <w:iCs w:val="0"/>
                <w:caps w:val="0"/>
                <w:color w:val="000000"/>
                <w:spacing w:val="0"/>
                <w:sz w:val="24"/>
                <w:szCs w:val="24"/>
                <w:u w:val="none"/>
              </w:rPr>
              <w:fldChar w:fldCharType="begin"/>
            </w:r>
            <w:r>
              <w:rPr>
                <w:rFonts w:hint="default" w:ascii="Times New Roman" w:hAnsi="Times New Roman" w:cs="Times New Roman"/>
                <w:i w:val="0"/>
                <w:iCs w:val="0"/>
                <w:caps w:val="0"/>
                <w:color w:val="000000"/>
                <w:spacing w:val="0"/>
                <w:sz w:val="24"/>
                <w:szCs w:val="24"/>
                <w:u w:val="none"/>
              </w:rPr>
              <w:instrText xml:space="preserve"> HYPERLINK "https://doi.org/10.1016/j.jeap.2005.11.003." </w:instrText>
            </w:r>
            <w:r>
              <w:rPr>
                <w:rFonts w:hint="default" w:ascii="Times New Roman" w:hAnsi="Times New Roman" w:cs="Times New Roman"/>
                <w:i w:val="0"/>
                <w:iCs w:val="0"/>
                <w:caps w:val="0"/>
                <w:color w:val="000000"/>
                <w:spacing w:val="0"/>
                <w:sz w:val="24"/>
                <w:szCs w:val="24"/>
                <w:u w:val="none"/>
              </w:rPr>
              <w:fldChar w:fldCharType="separate"/>
            </w:r>
            <w:r>
              <w:rPr>
                <w:rStyle w:val="18"/>
                <w:rFonts w:hint="default" w:ascii="Times New Roman" w:hAnsi="Times New Roman" w:cs="Times New Roman"/>
                <w:i w:val="0"/>
                <w:iCs w:val="0"/>
                <w:caps w:val="0"/>
                <w:spacing w:val="0"/>
                <w:sz w:val="24"/>
                <w:szCs w:val="24"/>
              </w:rPr>
              <w:t>https://doi.org/10.1016/j.jeap.2005.11.003.</w:t>
            </w:r>
            <w:r>
              <w:rPr>
                <w:rFonts w:hint="default" w:ascii="Times New Roman" w:hAnsi="Times New Roman" w:cs="Times New Roman"/>
                <w:i w:val="0"/>
                <w:iCs w:val="0"/>
                <w:caps w:val="0"/>
                <w:color w:val="000000"/>
                <w:spacing w:val="0"/>
                <w:sz w:val="24"/>
                <w:szCs w:val="24"/>
                <w:u w:val="none"/>
              </w:rPr>
              <w:fldChar w:fldCharType="end"/>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Bell, J. and Waters, S. (2018) </w:t>
            </w:r>
            <w:r>
              <w:rPr>
                <w:rFonts w:hint="default" w:ascii="Times New Roman" w:hAnsi="Times New Roman" w:cs="Times New Roman"/>
                <w:i/>
                <w:iCs/>
                <w:caps w:val="0"/>
                <w:color w:val="000000"/>
                <w:spacing w:val="0"/>
                <w:sz w:val="24"/>
                <w:szCs w:val="24"/>
                <w:u w:val="none"/>
              </w:rPr>
              <w:t>Doing Your Research Project : a Guide for first-time Researchers</w:t>
            </w:r>
            <w:r>
              <w:rPr>
                <w:rFonts w:hint="default" w:ascii="Times New Roman" w:hAnsi="Times New Roman" w:cs="Times New Roman"/>
                <w:i w:val="0"/>
                <w:iCs w:val="0"/>
                <w:caps w:val="0"/>
                <w:color w:val="000000"/>
                <w:spacing w:val="0"/>
                <w:sz w:val="24"/>
                <w:szCs w:val="24"/>
                <w:u w:val="none"/>
              </w:rPr>
              <w:t>. 6th edn. Maidenhead: Mc Graw-Hill - Open University Press.</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Blaj-Ward, L. (2014) </w:t>
            </w:r>
            <w:r>
              <w:rPr>
                <w:rFonts w:hint="default" w:ascii="Times New Roman" w:hAnsi="Times New Roman" w:cs="Times New Roman"/>
                <w:i/>
                <w:iCs/>
                <w:caps w:val="0"/>
                <w:color w:val="000000"/>
                <w:spacing w:val="0"/>
                <w:sz w:val="24"/>
                <w:szCs w:val="24"/>
                <w:u w:val="none"/>
              </w:rPr>
              <w:t>Researching Contexts, Practices and Pedagogies in English for Academic Purposes</w:t>
            </w:r>
            <w:r>
              <w:rPr>
                <w:rFonts w:hint="default" w:ascii="Times New Roman" w:hAnsi="Times New Roman" w:cs="Times New Roman"/>
                <w:i w:val="0"/>
                <w:iCs w:val="0"/>
                <w:caps w:val="0"/>
                <w:color w:val="000000"/>
                <w:spacing w:val="0"/>
                <w:sz w:val="24"/>
                <w:szCs w:val="24"/>
                <w:u w:val="none"/>
              </w:rPr>
              <w:t>. London: Palgrave Macmillan Uk.</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Bloom, B.S. and Krathwohl, D.R. (1984) </w:t>
            </w:r>
            <w:r>
              <w:rPr>
                <w:rFonts w:hint="default" w:ascii="Times New Roman" w:hAnsi="Times New Roman" w:cs="Times New Roman"/>
                <w:i/>
                <w:iCs/>
                <w:caps w:val="0"/>
                <w:color w:val="000000"/>
                <w:spacing w:val="0"/>
                <w:sz w:val="24"/>
                <w:szCs w:val="24"/>
                <w:u w:val="none"/>
              </w:rPr>
              <w:t>Taxonomy of Educational Objectives</w:t>
            </w:r>
            <w:r>
              <w:rPr>
                <w:rFonts w:hint="default" w:ascii="Times New Roman" w:hAnsi="Times New Roman" w:cs="Times New Roman"/>
                <w:i w:val="0"/>
                <w:iCs w:val="0"/>
                <w:caps w:val="0"/>
                <w:color w:val="000000"/>
                <w:spacing w:val="0"/>
                <w:sz w:val="24"/>
                <w:szCs w:val="24"/>
                <w:u w:val="none"/>
              </w:rPr>
              <w:t>. Addison Wesley Publishing Company.</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Copland, F. and Garton, S. (2011) ‘“I Felt That I Do Live in the UK now”: International Students’ self-reports of Their English Language Speaking Experiences on a pre-sessional Programme’, </w:t>
            </w:r>
            <w:r>
              <w:rPr>
                <w:rFonts w:hint="default" w:ascii="Times New Roman" w:hAnsi="Times New Roman" w:cs="Times New Roman"/>
                <w:i/>
                <w:iCs/>
                <w:caps w:val="0"/>
                <w:color w:val="000000"/>
                <w:spacing w:val="0"/>
                <w:sz w:val="24"/>
                <w:szCs w:val="24"/>
                <w:u w:val="none"/>
              </w:rPr>
              <w:t>Language and Education</w:t>
            </w:r>
            <w:r>
              <w:rPr>
                <w:rFonts w:hint="default" w:ascii="Times New Roman" w:hAnsi="Times New Roman" w:cs="Times New Roman"/>
                <w:i w:val="0"/>
                <w:iCs w:val="0"/>
                <w:caps w:val="0"/>
                <w:color w:val="000000"/>
                <w:spacing w:val="0"/>
                <w:sz w:val="24"/>
                <w:szCs w:val="24"/>
                <w:u w:val="none"/>
              </w:rPr>
              <w:t xml:space="preserve">, 25(3), pp. 241–255. Available at: </w:t>
            </w:r>
            <w:r>
              <w:rPr>
                <w:rFonts w:hint="default" w:ascii="Times New Roman" w:hAnsi="Times New Roman" w:cs="Times New Roman"/>
                <w:i w:val="0"/>
                <w:iCs w:val="0"/>
                <w:caps w:val="0"/>
                <w:color w:val="000000"/>
                <w:spacing w:val="0"/>
                <w:sz w:val="24"/>
                <w:szCs w:val="24"/>
                <w:u w:val="none"/>
              </w:rPr>
              <w:fldChar w:fldCharType="begin"/>
            </w:r>
            <w:r>
              <w:rPr>
                <w:rFonts w:hint="default" w:ascii="Times New Roman" w:hAnsi="Times New Roman" w:cs="Times New Roman"/>
                <w:i w:val="0"/>
                <w:iCs w:val="0"/>
                <w:caps w:val="0"/>
                <w:color w:val="000000"/>
                <w:spacing w:val="0"/>
                <w:sz w:val="24"/>
                <w:szCs w:val="24"/>
                <w:u w:val="none"/>
              </w:rPr>
              <w:instrText xml:space="preserve"> HYPERLINK "https://doi.org/10.1080/09500782.2011.566617." </w:instrText>
            </w:r>
            <w:r>
              <w:rPr>
                <w:rFonts w:hint="default" w:ascii="Times New Roman" w:hAnsi="Times New Roman" w:cs="Times New Roman"/>
                <w:i w:val="0"/>
                <w:iCs w:val="0"/>
                <w:caps w:val="0"/>
                <w:color w:val="000000"/>
                <w:spacing w:val="0"/>
                <w:sz w:val="24"/>
                <w:szCs w:val="24"/>
                <w:u w:val="none"/>
              </w:rPr>
              <w:fldChar w:fldCharType="separate"/>
            </w:r>
            <w:r>
              <w:rPr>
                <w:rStyle w:val="18"/>
                <w:rFonts w:hint="default" w:ascii="Times New Roman" w:hAnsi="Times New Roman" w:cs="Times New Roman"/>
                <w:i w:val="0"/>
                <w:iCs w:val="0"/>
                <w:caps w:val="0"/>
                <w:spacing w:val="0"/>
                <w:sz w:val="24"/>
                <w:szCs w:val="24"/>
              </w:rPr>
              <w:t>https://doi.org/10.1080/09500782.2011.566617.</w:t>
            </w:r>
            <w:r>
              <w:rPr>
                <w:rFonts w:hint="default" w:ascii="Times New Roman" w:hAnsi="Times New Roman" w:cs="Times New Roman"/>
                <w:i w:val="0"/>
                <w:iCs w:val="0"/>
                <w:caps w:val="0"/>
                <w:color w:val="000000"/>
                <w:spacing w:val="0"/>
                <w:sz w:val="24"/>
                <w:szCs w:val="24"/>
                <w:u w:val="none"/>
              </w:rPr>
              <w:fldChar w:fldCharType="end"/>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Coughlan, S. (2008) ‘Whistleblower warning on degrees’, </w:t>
            </w:r>
            <w:r>
              <w:rPr>
                <w:rFonts w:hint="default" w:ascii="Times New Roman" w:hAnsi="Times New Roman" w:cs="Times New Roman"/>
                <w:i/>
                <w:iCs/>
                <w:caps w:val="0"/>
                <w:color w:val="000000"/>
                <w:spacing w:val="0"/>
                <w:sz w:val="24"/>
                <w:szCs w:val="24"/>
                <w:u w:val="none"/>
              </w:rPr>
              <w:t>news.bbc.co.uk</w:t>
            </w:r>
            <w:r>
              <w:rPr>
                <w:rFonts w:hint="default" w:ascii="Times New Roman" w:hAnsi="Times New Roman" w:cs="Times New Roman"/>
                <w:i w:val="0"/>
                <w:iCs w:val="0"/>
                <w:caps w:val="0"/>
                <w:color w:val="000000"/>
                <w:spacing w:val="0"/>
                <w:sz w:val="24"/>
                <w:szCs w:val="24"/>
                <w:u w:val="none"/>
              </w:rPr>
              <w:t>, 17 June. Available at: http://news.bbc.co.uk/1/hi/health/7358528.stm (Accessed: 26 December 2022).</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Hudson, J. (2022) ‘Switching to Online Learning’, </w:t>
            </w:r>
            <w:r>
              <w:rPr>
                <w:rFonts w:hint="default" w:ascii="Times New Roman" w:hAnsi="Times New Roman" w:cs="Times New Roman"/>
                <w:i/>
                <w:iCs/>
                <w:caps w:val="0"/>
                <w:color w:val="000000"/>
                <w:spacing w:val="0"/>
                <w:sz w:val="24"/>
                <w:szCs w:val="24"/>
                <w:u w:val="none"/>
              </w:rPr>
              <w:t>GiLE Journal of Skills Development</w:t>
            </w:r>
            <w:r>
              <w:rPr>
                <w:rFonts w:hint="default" w:ascii="Times New Roman" w:hAnsi="Times New Roman" w:cs="Times New Roman"/>
                <w:i w:val="0"/>
                <w:iCs w:val="0"/>
                <w:caps w:val="0"/>
                <w:color w:val="000000"/>
                <w:spacing w:val="0"/>
                <w:sz w:val="24"/>
                <w:szCs w:val="24"/>
                <w:u w:val="none"/>
              </w:rPr>
              <w:t xml:space="preserve">, 2(1), pp. 79–89. Available at: </w:t>
            </w:r>
            <w:r>
              <w:rPr>
                <w:rFonts w:hint="default" w:ascii="Times New Roman" w:hAnsi="Times New Roman" w:cs="Times New Roman"/>
                <w:i w:val="0"/>
                <w:iCs w:val="0"/>
                <w:caps w:val="0"/>
                <w:color w:val="000000"/>
                <w:spacing w:val="0"/>
                <w:sz w:val="24"/>
                <w:szCs w:val="24"/>
                <w:u w:val="none"/>
              </w:rPr>
              <w:fldChar w:fldCharType="begin"/>
            </w:r>
            <w:r>
              <w:rPr>
                <w:rFonts w:hint="default" w:ascii="Times New Roman" w:hAnsi="Times New Roman" w:cs="Times New Roman"/>
                <w:i w:val="0"/>
                <w:iCs w:val="0"/>
                <w:caps w:val="0"/>
                <w:color w:val="000000"/>
                <w:spacing w:val="0"/>
                <w:sz w:val="24"/>
                <w:szCs w:val="24"/>
                <w:u w:val="none"/>
              </w:rPr>
              <w:instrText xml:space="preserve"> HYPERLINK "https://doi.org/10.52398/gjsd.2022.v2.i1.pp79-89." </w:instrText>
            </w:r>
            <w:r>
              <w:rPr>
                <w:rFonts w:hint="default" w:ascii="Times New Roman" w:hAnsi="Times New Roman" w:cs="Times New Roman"/>
                <w:i w:val="0"/>
                <w:iCs w:val="0"/>
                <w:caps w:val="0"/>
                <w:color w:val="000000"/>
                <w:spacing w:val="0"/>
                <w:sz w:val="24"/>
                <w:szCs w:val="24"/>
                <w:u w:val="none"/>
              </w:rPr>
              <w:fldChar w:fldCharType="separate"/>
            </w:r>
            <w:r>
              <w:rPr>
                <w:rStyle w:val="18"/>
                <w:rFonts w:hint="default" w:ascii="Times New Roman" w:hAnsi="Times New Roman" w:cs="Times New Roman"/>
                <w:i w:val="0"/>
                <w:iCs w:val="0"/>
                <w:caps w:val="0"/>
                <w:spacing w:val="0"/>
                <w:sz w:val="24"/>
                <w:szCs w:val="24"/>
              </w:rPr>
              <w:t>https://doi.org/10.52398/gjsd.2022.v2.i1.pp79-89.</w:t>
            </w:r>
            <w:r>
              <w:rPr>
                <w:rFonts w:hint="default" w:ascii="Times New Roman" w:hAnsi="Times New Roman" w:cs="Times New Roman"/>
                <w:i w:val="0"/>
                <w:iCs w:val="0"/>
                <w:caps w:val="0"/>
                <w:color w:val="000000"/>
                <w:spacing w:val="0"/>
                <w:sz w:val="24"/>
                <w:szCs w:val="24"/>
                <w:u w:val="none"/>
              </w:rPr>
              <w:fldChar w:fldCharType="end"/>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Lage, M.J., Platt, G.J. and Treglia, M. (2020) ‘Inverting the Classroom: A Gateway to Creating an Inclusive Learning Environment’, </w:t>
            </w:r>
            <w:r>
              <w:rPr>
                <w:rFonts w:hint="default" w:ascii="Times New Roman" w:hAnsi="Times New Roman" w:cs="Times New Roman"/>
                <w:i/>
                <w:iCs/>
                <w:caps w:val="0"/>
                <w:color w:val="000000"/>
                <w:spacing w:val="0"/>
                <w:sz w:val="24"/>
                <w:szCs w:val="24"/>
                <w:u w:val="none"/>
              </w:rPr>
              <w:t>The Journal of Economic Education</w:t>
            </w:r>
            <w:r>
              <w:rPr>
                <w:rFonts w:hint="default" w:ascii="Times New Roman" w:hAnsi="Times New Roman" w:cs="Times New Roman"/>
                <w:i w:val="0"/>
                <w:iCs w:val="0"/>
                <w:caps w:val="0"/>
                <w:color w:val="000000"/>
                <w:spacing w:val="0"/>
                <w:sz w:val="24"/>
                <w:szCs w:val="24"/>
                <w:u w:val="none"/>
              </w:rPr>
              <w:t xml:space="preserve">, 31(1), pp. 30–43. Available at: </w:t>
            </w:r>
            <w:r>
              <w:rPr>
                <w:rFonts w:hint="default" w:ascii="Times New Roman" w:hAnsi="Times New Roman" w:cs="Times New Roman"/>
                <w:i w:val="0"/>
                <w:iCs w:val="0"/>
                <w:caps w:val="0"/>
                <w:color w:val="000000"/>
                <w:spacing w:val="0"/>
                <w:sz w:val="24"/>
                <w:szCs w:val="24"/>
                <w:u w:val="none"/>
              </w:rPr>
              <w:fldChar w:fldCharType="begin"/>
            </w:r>
            <w:r>
              <w:rPr>
                <w:rFonts w:hint="default" w:ascii="Times New Roman" w:hAnsi="Times New Roman" w:cs="Times New Roman"/>
                <w:i w:val="0"/>
                <w:iCs w:val="0"/>
                <w:caps w:val="0"/>
                <w:color w:val="000000"/>
                <w:spacing w:val="0"/>
                <w:sz w:val="24"/>
                <w:szCs w:val="24"/>
                <w:u w:val="none"/>
              </w:rPr>
              <w:instrText xml:space="preserve"> HYPERLINK "https://doi.org/10.1080/00220480009596759." </w:instrText>
            </w:r>
            <w:r>
              <w:rPr>
                <w:rFonts w:hint="default" w:ascii="Times New Roman" w:hAnsi="Times New Roman" w:cs="Times New Roman"/>
                <w:i w:val="0"/>
                <w:iCs w:val="0"/>
                <w:caps w:val="0"/>
                <w:color w:val="000000"/>
                <w:spacing w:val="0"/>
                <w:sz w:val="24"/>
                <w:szCs w:val="24"/>
                <w:u w:val="none"/>
              </w:rPr>
              <w:fldChar w:fldCharType="separate"/>
            </w:r>
            <w:r>
              <w:rPr>
                <w:rStyle w:val="18"/>
                <w:rFonts w:hint="default" w:ascii="Times New Roman" w:hAnsi="Times New Roman" w:cs="Times New Roman"/>
                <w:i w:val="0"/>
                <w:iCs w:val="0"/>
                <w:caps w:val="0"/>
                <w:spacing w:val="0"/>
                <w:sz w:val="24"/>
                <w:szCs w:val="24"/>
              </w:rPr>
              <w:t>https://doi.org/10.1080/00220480009596759.</w:t>
            </w:r>
            <w:r>
              <w:rPr>
                <w:rFonts w:hint="default" w:ascii="Times New Roman" w:hAnsi="Times New Roman" w:cs="Times New Roman"/>
                <w:i w:val="0"/>
                <w:iCs w:val="0"/>
                <w:caps w:val="0"/>
                <w:color w:val="000000"/>
                <w:spacing w:val="0"/>
                <w:sz w:val="24"/>
                <w:szCs w:val="24"/>
                <w:u w:val="none"/>
              </w:rPr>
              <w:fldChar w:fldCharType="end"/>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Lies Sercu and Bandura, E. (2005) </w:t>
            </w:r>
            <w:r>
              <w:rPr>
                <w:rFonts w:hint="default" w:ascii="Times New Roman" w:hAnsi="Times New Roman" w:cs="Times New Roman"/>
                <w:i/>
                <w:iCs/>
                <w:caps w:val="0"/>
                <w:color w:val="000000"/>
                <w:spacing w:val="0"/>
                <w:sz w:val="24"/>
                <w:szCs w:val="24"/>
                <w:u w:val="none"/>
              </w:rPr>
              <w:t>Foreign Language Teachers and Intercultural Competence : an International Investigation</w:t>
            </w:r>
            <w:r>
              <w:rPr>
                <w:rFonts w:hint="default" w:ascii="Times New Roman" w:hAnsi="Times New Roman" w:cs="Times New Roman"/>
                <w:i w:val="0"/>
                <w:iCs w:val="0"/>
                <w:caps w:val="0"/>
                <w:color w:val="000000"/>
                <w:spacing w:val="0"/>
                <w:sz w:val="24"/>
                <w:szCs w:val="24"/>
                <w:u w:val="none"/>
              </w:rPr>
              <w:t>. Clevedon ; Buffalo: Multilingual Matters.</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May, S. (2010) </w:t>
            </w:r>
            <w:r>
              <w:rPr>
                <w:rFonts w:hint="default" w:ascii="Times New Roman" w:hAnsi="Times New Roman" w:cs="Times New Roman"/>
                <w:i/>
                <w:iCs/>
                <w:caps w:val="0"/>
                <w:color w:val="000000"/>
                <w:spacing w:val="0"/>
                <w:sz w:val="24"/>
                <w:szCs w:val="24"/>
                <w:u w:val="none"/>
              </w:rPr>
              <w:t>Critical Multiculturalism : Rethinking Multicultural and Antiracist Education</w:t>
            </w:r>
            <w:r>
              <w:rPr>
                <w:rFonts w:hint="default" w:ascii="Times New Roman" w:hAnsi="Times New Roman" w:cs="Times New Roman"/>
                <w:i w:val="0"/>
                <w:iCs w:val="0"/>
                <w:caps w:val="0"/>
                <w:color w:val="000000"/>
                <w:spacing w:val="0"/>
                <w:sz w:val="24"/>
                <w:szCs w:val="24"/>
                <w:u w:val="none"/>
              </w:rPr>
              <w:t>. Milton Keynes: Lightning Source.</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Packer, H. (2023) </w:t>
            </w:r>
            <w:r>
              <w:rPr>
                <w:rFonts w:hint="default" w:ascii="Times New Roman" w:hAnsi="Times New Roman" w:cs="Times New Roman"/>
                <w:i/>
                <w:iCs/>
                <w:caps w:val="0"/>
                <w:color w:val="000000"/>
                <w:spacing w:val="0"/>
                <w:sz w:val="24"/>
                <w:szCs w:val="24"/>
                <w:u w:val="none"/>
              </w:rPr>
              <w:t>Record Student Flows to OECD Countries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The PIE News</w:t>
            </w:r>
            <w:r>
              <w:rPr>
                <w:rFonts w:hint="default" w:ascii="Times New Roman" w:hAnsi="Times New Roman" w:cs="Times New Roman"/>
                <w:i w:val="0"/>
                <w:iCs w:val="0"/>
                <w:caps w:val="0"/>
                <w:color w:val="000000"/>
                <w:spacing w:val="0"/>
                <w:sz w:val="24"/>
                <w:szCs w:val="24"/>
                <w:u w:val="none"/>
              </w:rPr>
              <w:t>. Available at: https://thepienews.com/news/record-student-flows-to-oecd-countries/ (Accessed: 5 November 2024).</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iCs/>
                <w:caps w:val="0"/>
                <w:color w:val="000000"/>
                <w:spacing w:val="0"/>
                <w:sz w:val="24"/>
                <w:szCs w:val="24"/>
                <w:u w:val="none"/>
              </w:rPr>
              <w:t>Pre-sessional 2024 Course Overview</w:t>
            </w:r>
            <w:r>
              <w:rPr>
                <w:rFonts w:hint="default" w:ascii="Times New Roman" w:hAnsi="Times New Roman" w:cs="Times New Roman"/>
                <w:i w:val="0"/>
                <w:iCs w:val="0"/>
                <w:caps w:val="0"/>
                <w:color w:val="000000"/>
                <w:spacing w:val="0"/>
                <w:sz w:val="24"/>
                <w:szCs w:val="24"/>
                <w:u w:val="none"/>
              </w:rPr>
              <w:t> (2024). University of Southampton , p. 2.</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Silverman, D. (2010) </w:t>
            </w:r>
            <w:r>
              <w:rPr>
                <w:rFonts w:hint="default" w:ascii="Times New Roman" w:hAnsi="Times New Roman" w:cs="Times New Roman"/>
                <w:i/>
                <w:iCs/>
                <w:caps w:val="0"/>
                <w:color w:val="000000"/>
                <w:spacing w:val="0"/>
                <w:sz w:val="24"/>
                <w:szCs w:val="24"/>
                <w:u w:val="none"/>
              </w:rPr>
              <w:t>Doing qualitative research : a practical handbook</w:t>
            </w:r>
            <w:r>
              <w:rPr>
                <w:rFonts w:hint="default" w:ascii="Times New Roman" w:hAnsi="Times New Roman" w:cs="Times New Roman"/>
                <w:i w:val="0"/>
                <w:iCs w:val="0"/>
                <w:caps w:val="0"/>
                <w:color w:val="000000"/>
                <w:spacing w:val="0"/>
                <w:sz w:val="24"/>
                <w:szCs w:val="24"/>
                <w:u w:val="none"/>
              </w:rPr>
              <w:t>. 3rd edn. Los Angeles, Ca: Sage.</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The British Council (1977) </w:t>
            </w:r>
            <w:r>
              <w:rPr>
                <w:rFonts w:hint="default" w:ascii="Times New Roman" w:hAnsi="Times New Roman" w:cs="Times New Roman"/>
                <w:i/>
                <w:iCs/>
                <w:caps w:val="0"/>
                <w:color w:val="000000"/>
                <w:spacing w:val="0"/>
                <w:sz w:val="24"/>
                <w:szCs w:val="24"/>
                <w:u w:val="none"/>
              </w:rPr>
              <w:t>Pre-sessional Courses for Overseas Students Milestones in ELT</w:t>
            </w:r>
            <w:r>
              <w:rPr>
                <w:rFonts w:hint="default" w:ascii="Times New Roman" w:hAnsi="Times New Roman" w:cs="Times New Roman"/>
                <w:i w:val="0"/>
                <w:iCs w:val="0"/>
                <w:caps w:val="0"/>
                <w:color w:val="000000"/>
                <w:spacing w:val="0"/>
                <w:sz w:val="24"/>
                <w:szCs w:val="24"/>
                <w:u w:val="none"/>
              </w:rPr>
              <w:t>. LONDON: ELT Documents, ETIC, p. 8.</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Villegas, P. (2021) </w:t>
            </w:r>
            <w:r>
              <w:rPr>
                <w:rFonts w:hint="default" w:ascii="Times New Roman" w:hAnsi="Times New Roman" w:cs="Times New Roman"/>
                <w:i/>
                <w:iCs/>
                <w:caps w:val="0"/>
                <w:color w:val="000000"/>
                <w:spacing w:val="0"/>
                <w:sz w:val="24"/>
                <w:szCs w:val="24"/>
                <w:u w:val="none"/>
              </w:rPr>
              <w:t>Who Wins When We Flip? Exploring Perceptions of Flipped Learning in an Online EAP Processional Course</w:t>
            </w:r>
            <w:r>
              <w:rPr>
                <w:rFonts w:hint="default" w:ascii="Times New Roman" w:hAnsi="Times New Roman" w:cs="Times New Roman"/>
                <w:i w:val="0"/>
                <w:iCs w:val="0"/>
                <w:caps w:val="0"/>
                <w:color w:val="000000"/>
                <w:spacing w:val="0"/>
                <w:sz w:val="24"/>
                <w:szCs w:val="24"/>
                <w:u w:val="none"/>
              </w:rPr>
              <w:t>. Thesis.</w:t>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Wilczewski, M. and Alon, I. (2022) ‘Language and Communication in International Students’ adaptation: a Bibliometric and Content Analysis Review’, </w:t>
            </w:r>
            <w:r>
              <w:rPr>
                <w:rFonts w:hint="default" w:ascii="Times New Roman" w:hAnsi="Times New Roman" w:cs="Times New Roman"/>
                <w:i/>
                <w:iCs/>
                <w:caps w:val="0"/>
                <w:color w:val="000000"/>
                <w:spacing w:val="0"/>
                <w:sz w:val="24"/>
                <w:szCs w:val="24"/>
                <w:u w:val="none"/>
              </w:rPr>
              <w:t>Higher Education</w:t>
            </w:r>
            <w:r>
              <w:rPr>
                <w:rFonts w:hint="default" w:ascii="Times New Roman" w:hAnsi="Times New Roman" w:cs="Times New Roman"/>
                <w:i w:val="0"/>
                <w:iCs w:val="0"/>
                <w:caps w:val="0"/>
                <w:color w:val="000000"/>
                <w:spacing w:val="0"/>
                <w:sz w:val="24"/>
                <w:szCs w:val="24"/>
                <w:u w:val="none"/>
              </w:rPr>
              <w:t xml:space="preserve">, 85(6), pp. 1235–1256. Available at: </w:t>
            </w:r>
            <w:r>
              <w:rPr>
                <w:rFonts w:hint="default" w:ascii="Times New Roman" w:hAnsi="Times New Roman" w:cs="Times New Roman"/>
                <w:i w:val="0"/>
                <w:iCs w:val="0"/>
                <w:caps w:val="0"/>
                <w:color w:val="000000"/>
                <w:spacing w:val="0"/>
                <w:sz w:val="24"/>
                <w:szCs w:val="24"/>
                <w:u w:val="none"/>
              </w:rPr>
              <w:fldChar w:fldCharType="begin"/>
            </w:r>
            <w:r>
              <w:rPr>
                <w:rFonts w:hint="default" w:ascii="Times New Roman" w:hAnsi="Times New Roman" w:cs="Times New Roman"/>
                <w:i w:val="0"/>
                <w:iCs w:val="0"/>
                <w:caps w:val="0"/>
                <w:color w:val="000000"/>
                <w:spacing w:val="0"/>
                <w:sz w:val="24"/>
                <w:szCs w:val="24"/>
                <w:u w:val="none"/>
              </w:rPr>
              <w:instrText xml:space="preserve"> HYPERLINK "https://doi.org/10.1007/s10734-022-00888-8." </w:instrText>
            </w:r>
            <w:r>
              <w:rPr>
                <w:rFonts w:hint="default" w:ascii="Times New Roman" w:hAnsi="Times New Roman" w:cs="Times New Roman"/>
                <w:i w:val="0"/>
                <w:iCs w:val="0"/>
                <w:caps w:val="0"/>
                <w:color w:val="000000"/>
                <w:spacing w:val="0"/>
                <w:sz w:val="24"/>
                <w:szCs w:val="24"/>
                <w:u w:val="none"/>
              </w:rPr>
              <w:fldChar w:fldCharType="separate"/>
            </w:r>
            <w:r>
              <w:rPr>
                <w:rStyle w:val="18"/>
                <w:rFonts w:hint="default" w:ascii="Times New Roman" w:hAnsi="Times New Roman" w:cs="Times New Roman"/>
                <w:i w:val="0"/>
                <w:iCs w:val="0"/>
                <w:caps w:val="0"/>
                <w:spacing w:val="0"/>
                <w:sz w:val="24"/>
                <w:szCs w:val="24"/>
              </w:rPr>
              <w:t>https://doi.org/10.1007/s10734-022-00888-8.</w:t>
            </w:r>
            <w:r>
              <w:rPr>
                <w:rFonts w:hint="default" w:ascii="Times New Roman" w:hAnsi="Times New Roman" w:cs="Times New Roman"/>
                <w:i w:val="0"/>
                <w:iCs w:val="0"/>
                <w:caps w:val="0"/>
                <w:color w:val="000000"/>
                <w:spacing w:val="0"/>
                <w:sz w:val="24"/>
                <w:szCs w:val="24"/>
                <w:u w:val="none"/>
              </w:rPr>
              <w:fldChar w:fldCharType="end"/>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Wrigley, J. and Apple, M.W. (1981) ‘Ideology and Curriculum.’, </w:t>
            </w:r>
            <w:r>
              <w:rPr>
                <w:rFonts w:hint="default" w:ascii="Times New Roman" w:hAnsi="Times New Roman" w:cs="Times New Roman"/>
                <w:i/>
                <w:iCs/>
                <w:caps w:val="0"/>
                <w:color w:val="000000"/>
                <w:spacing w:val="0"/>
                <w:sz w:val="24"/>
                <w:szCs w:val="24"/>
                <w:u w:val="none"/>
              </w:rPr>
              <w:t>Contemporary Sociology</w:t>
            </w:r>
            <w:r>
              <w:rPr>
                <w:rFonts w:hint="default" w:ascii="Times New Roman" w:hAnsi="Times New Roman" w:cs="Times New Roman"/>
                <w:i w:val="0"/>
                <w:iCs w:val="0"/>
                <w:caps w:val="0"/>
                <w:color w:val="000000"/>
                <w:spacing w:val="0"/>
                <w:sz w:val="24"/>
                <w:szCs w:val="24"/>
                <w:u w:val="none"/>
              </w:rPr>
              <w:t xml:space="preserve">, 10(6), p. 801. Available at: </w:t>
            </w:r>
            <w:r>
              <w:rPr>
                <w:rFonts w:hint="default" w:ascii="Times New Roman" w:hAnsi="Times New Roman" w:cs="Times New Roman"/>
                <w:i w:val="0"/>
                <w:iCs w:val="0"/>
                <w:caps w:val="0"/>
                <w:color w:val="000000"/>
                <w:spacing w:val="0"/>
                <w:sz w:val="24"/>
                <w:szCs w:val="24"/>
                <w:u w:val="none"/>
              </w:rPr>
              <w:fldChar w:fldCharType="begin"/>
            </w:r>
            <w:r>
              <w:rPr>
                <w:rFonts w:hint="default" w:ascii="Times New Roman" w:hAnsi="Times New Roman" w:cs="Times New Roman"/>
                <w:i w:val="0"/>
                <w:iCs w:val="0"/>
                <w:caps w:val="0"/>
                <w:color w:val="000000"/>
                <w:spacing w:val="0"/>
                <w:sz w:val="24"/>
                <w:szCs w:val="24"/>
                <w:u w:val="none"/>
              </w:rPr>
              <w:instrText xml:space="preserve"> HYPERLINK "https://doi.org/10.2307/2067226." </w:instrText>
            </w:r>
            <w:r>
              <w:rPr>
                <w:rFonts w:hint="default" w:ascii="Times New Roman" w:hAnsi="Times New Roman" w:cs="Times New Roman"/>
                <w:i w:val="0"/>
                <w:iCs w:val="0"/>
                <w:caps w:val="0"/>
                <w:color w:val="000000"/>
                <w:spacing w:val="0"/>
                <w:sz w:val="24"/>
                <w:szCs w:val="24"/>
                <w:u w:val="none"/>
              </w:rPr>
              <w:fldChar w:fldCharType="separate"/>
            </w:r>
            <w:r>
              <w:rPr>
                <w:rStyle w:val="18"/>
                <w:rFonts w:hint="default" w:ascii="Times New Roman" w:hAnsi="Times New Roman" w:cs="Times New Roman"/>
                <w:i w:val="0"/>
                <w:iCs w:val="0"/>
                <w:caps w:val="0"/>
                <w:spacing w:val="0"/>
                <w:sz w:val="24"/>
                <w:szCs w:val="24"/>
              </w:rPr>
              <w:t>https://doi.org/10.2307/2067226.</w:t>
            </w:r>
            <w:r>
              <w:rPr>
                <w:rFonts w:hint="default" w:ascii="Times New Roman" w:hAnsi="Times New Roman" w:cs="Times New Roman"/>
                <w:i w:val="0"/>
                <w:iCs w:val="0"/>
                <w:caps w:val="0"/>
                <w:color w:val="000000"/>
                <w:spacing w:val="0"/>
                <w:sz w:val="24"/>
                <w:szCs w:val="24"/>
                <w:u w:val="none"/>
              </w:rPr>
              <w:fldChar w:fldCharType="end"/>
            </w:r>
          </w:p>
          <w:p>
            <w:pPr>
              <w:pStyle w:val="11"/>
              <w:keepNext w:val="0"/>
              <w:keepLines w:val="0"/>
              <w:widowControl/>
              <w:numPr>
                <w:ilvl w:val="0"/>
                <w:numId w:val="5"/>
              </w:numPr>
              <w:suppressLineNumbers w:val="0"/>
              <w:spacing w:before="0" w:beforeAutospacing="0" w:after="210" w:afterAutospacing="0" w:line="480" w:lineRule="atLeast"/>
              <w:ind w:left="420" w:leftChars="0" w:hanging="420" w:firstLineChars="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Zhao, J. and Mohamad (2024) ‘Innovative Approaches in Teaching Reading: The Flipped Classroom Model for EFL Students in China’, </w:t>
            </w:r>
            <w:r>
              <w:rPr>
                <w:rFonts w:hint="default" w:ascii="Times New Roman" w:hAnsi="Times New Roman" w:cs="Times New Roman"/>
                <w:i/>
                <w:iCs/>
                <w:caps w:val="0"/>
                <w:color w:val="000000"/>
                <w:spacing w:val="0"/>
                <w:sz w:val="24"/>
                <w:szCs w:val="24"/>
                <w:u w:val="none"/>
              </w:rPr>
              <w:t>Journal of Digitainability Realism &amp; Mastery (DREAM)</w:t>
            </w:r>
            <w:r>
              <w:rPr>
                <w:rFonts w:hint="default" w:ascii="Times New Roman" w:hAnsi="Times New Roman" w:cs="Times New Roman"/>
                <w:i w:val="0"/>
                <w:iCs w:val="0"/>
                <w:caps w:val="0"/>
                <w:color w:val="000000"/>
                <w:spacing w:val="0"/>
                <w:sz w:val="24"/>
                <w:szCs w:val="24"/>
                <w:u w:val="none"/>
              </w:rPr>
              <w:t>, 3(07), pp. 1–15. Available at: https://doi.org/10.56982/dream.v3i07.245.</w:t>
            </w:r>
          </w:p>
          <w:p>
            <w:pPr>
              <w:rPr>
                <w:rFonts w:cs="Arial"/>
                <w:sz w:val="22"/>
                <w:szCs w:val="22"/>
              </w:rPr>
            </w:pPr>
          </w:p>
          <w:p>
            <w:pPr>
              <w:rPr>
                <w:rFonts w:cs="Arial"/>
                <w:sz w:val="22"/>
                <w:szCs w:val="22"/>
              </w:rPr>
            </w:pPr>
          </w:p>
        </w:tc>
      </w:tr>
    </w:tbl>
    <w:p>
      <w:pPr>
        <w:jc w:val="center"/>
        <w:rPr>
          <w:rFonts w:cs="Arial"/>
          <w:sz w:val="22"/>
          <w:szCs w:val="22"/>
        </w:rPr>
      </w:pPr>
    </w:p>
    <w:sectPr>
      <w:headerReference r:id="rId3" w:type="default"/>
      <w:footerReference r:id="rId4" w:type="default"/>
      <w:pgSz w:w="11906" w:h="16838"/>
      <w:pgMar w:top="1701"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ahoma">
    <w:panose1 w:val="020B06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Arial Bold">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Cambria">
    <w:altName w:val="苹方-简"/>
    <w:panose1 w:val="02040503050406030204"/>
    <w:charset w:val="00"/>
    <w:family w:val="auto"/>
    <w:pitch w:val="default"/>
    <w:sig w:usb0="00000000" w:usb1="00000000" w:usb2="00000000" w:usb3="00000000" w:csb0="0000019F" w:csb1="0000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Hiragino Sans">
    <w:panose1 w:val="020B0300000000000000"/>
    <w:charset w:val="80"/>
    <w:family w:val="auto"/>
    <w:pitch w:val="default"/>
    <w:sig w:usb0="E00002FF" w:usb1="7AE7FFFF" w:usb2="00000012" w:usb3="00000000" w:csb0="0002000D" w:csb1="00000000"/>
  </w:font>
  <w:font w:name="Arial Unicode MS">
    <w:panose1 w:val="020B0604020202020204"/>
    <w:charset w:val="86"/>
    <w:family w:val="auto"/>
    <w:pitch w:val="default"/>
    <w:sig w:usb0="FFFFFFFF" w:usb1="E9FFFFFF" w:usb2="0000003F" w:usb3="00000000" w:csb0="603F01FF" w:csb1="FFFF0000"/>
  </w:font>
  <w:font w:name="苹方-简">
    <w:panose1 w:val="020B0400000000000000"/>
    <w:charset w:val="86"/>
    <w:family w:val="auto"/>
    <w:pitch w:val="default"/>
    <w:sig w:usb0="A00002FF" w:usb1="7ACFFDFB" w:usb2="00000017" w:usb3="00000000" w:csb0="00040001"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PingFang SC">
    <w:panose1 w:val="020B0400000000000000"/>
    <w:charset w:val="86"/>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sdt>
      <w:sdtPr>
        <w:id w:val="1691110303"/>
        <w:docPartObj>
          <w:docPartGallery w:val="autotext"/>
        </w:docPartObj>
      </w:sdtPr>
      <w:sdtContent>
        <w:r>
          <w:t>E</w:t>
        </w:r>
      </w:sdtContent>
    </w:sdt>
    <w:r>
      <w:t>CDE7018 Proposal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p>
    <w:pPr>
      <w:pStyle w:val="9"/>
      <w:jc w:val="right"/>
    </w:pPr>
    <w:r>
      <w:drawing>
        <wp:anchor distT="0" distB="0" distL="114300" distR="114300" simplePos="0" relativeHeight="251659264" behindDoc="0" locked="0" layoutInCell="1" allowOverlap="1">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tab/>
    </w:r>
    <w:r>
      <w:tab/>
    </w:r>
    <w:r>
      <w:t>Assessment Component 1</w:t>
    </w:r>
  </w:p>
  <w:p>
    <w:pPr>
      <w:pStyle w:val="9"/>
    </w:pPr>
  </w:p>
  <w:p>
    <w:pPr>
      <w:pStyle w:val="9"/>
    </w:pPr>
  </w:p>
  <w:p>
    <w:pPr>
      <w:pStyle w:val="9"/>
    </w:pPr>
  </w:p>
  <w:p>
    <w:pPr>
      <w:pStyle w:val="9"/>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F3FE7A"/>
    <w:multiLevelType w:val="singleLevel"/>
    <w:tmpl w:val="AFF3FE7A"/>
    <w:lvl w:ilvl="0" w:tentative="0">
      <w:start w:val="1"/>
      <w:numFmt w:val="bullet"/>
      <w:lvlText w:val=""/>
      <w:lvlJc w:val="left"/>
      <w:pPr>
        <w:ind w:left="420" w:hanging="420"/>
      </w:pPr>
      <w:rPr>
        <w:rFonts w:hint="default" w:ascii="Wingdings" w:hAnsi="Wingdings"/>
      </w:rPr>
    </w:lvl>
  </w:abstractNum>
  <w:abstractNum w:abstractNumId="1">
    <w:nsid w:val="AFFE9522"/>
    <w:multiLevelType w:val="singleLevel"/>
    <w:tmpl w:val="AFFE9522"/>
    <w:lvl w:ilvl="0" w:tentative="0">
      <w:start w:val="1"/>
      <w:numFmt w:val="bullet"/>
      <w:lvlText w:val=""/>
      <w:lvlJc w:val="left"/>
      <w:pPr>
        <w:ind w:left="420" w:hanging="420"/>
      </w:pPr>
      <w:rPr>
        <w:rFonts w:hint="default" w:ascii="Wingdings" w:hAnsi="Wingdings"/>
      </w:rPr>
    </w:lvl>
  </w:abstractNum>
  <w:abstractNum w:abstractNumId="2">
    <w:nsid w:val="F93B5F86"/>
    <w:multiLevelType w:val="singleLevel"/>
    <w:tmpl w:val="F93B5F86"/>
    <w:lvl w:ilvl="0" w:tentative="0">
      <w:start w:val="1"/>
      <w:numFmt w:val="bullet"/>
      <w:lvlText w:val=""/>
      <w:lvlJc w:val="left"/>
      <w:pPr>
        <w:ind w:left="420" w:hanging="420"/>
      </w:pPr>
      <w:rPr>
        <w:rFonts w:hint="default" w:ascii="Wingdings" w:hAnsi="Wingdings"/>
      </w:rPr>
    </w:lvl>
  </w:abstractNum>
  <w:abstractNum w:abstractNumId="3">
    <w:nsid w:val="FDAF34CC"/>
    <w:multiLevelType w:val="singleLevel"/>
    <w:tmpl w:val="FDAF34CC"/>
    <w:lvl w:ilvl="0" w:tentative="0">
      <w:start w:val="1"/>
      <w:numFmt w:val="bullet"/>
      <w:lvlText w:val=""/>
      <w:lvlJc w:val="left"/>
      <w:pPr>
        <w:ind w:left="420" w:hanging="420"/>
      </w:pPr>
      <w:rPr>
        <w:rFonts w:hint="default" w:ascii="Wingdings" w:hAnsi="Wingdings"/>
      </w:rPr>
    </w:lvl>
  </w:abstractNum>
  <w:abstractNum w:abstractNumId="4">
    <w:nsid w:val="FEF2E36C"/>
    <w:multiLevelType w:val="singleLevel"/>
    <w:tmpl w:val="FEF2E36C"/>
    <w:lvl w:ilvl="0" w:tentative="0">
      <w:start w:val="1"/>
      <w:numFmt w:val="bullet"/>
      <w:lvlText w:val=""/>
      <w:lvlJc w:val="left"/>
      <w:pPr>
        <w:ind w:left="420" w:hanging="420"/>
      </w:pPr>
      <w:rPr>
        <w:rFonts w:hint="default" w:ascii="Wingdings" w:hAnsi="Wingdings"/>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19CA"/>
    <w:rsid w:val="00353C75"/>
    <w:rsid w:val="00363F74"/>
    <w:rsid w:val="00370831"/>
    <w:rsid w:val="00376A02"/>
    <w:rsid w:val="00391D2C"/>
    <w:rsid w:val="003A11E9"/>
    <w:rsid w:val="003A748D"/>
    <w:rsid w:val="003B4AF0"/>
    <w:rsid w:val="003C062E"/>
    <w:rsid w:val="003C5892"/>
    <w:rsid w:val="003C7969"/>
    <w:rsid w:val="003D62AF"/>
    <w:rsid w:val="003D7CD9"/>
    <w:rsid w:val="003E5663"/>
    <w:rsid w:val="003E7D6B"/>
    <w:rsid w:val="003F068E"/>
    <w:rsid w:val="003F4C86"/>
    <w:rsid w:val="003F7948"/>
    <w:rsid w:val="003F7D77"/>
    <w:rsid w:val="00404C72"/>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42F6F"/>
    <w:rsid w:val="005513E3"/>
    <w:rsid w:val="0055230D"/>
    <w:rsid w:val="00555319"/>
    <w:rsid w:val="00556BFF"/>
    <w:rsid w:val="00557BD7"/>
    <w:rsid w:val="005608A4"/>
    <w:rsid w:val="005831C1"/>
    <w:rsid w:val="00595F5B"/>
    <w:rsid w:val="00595FC4"/>
    <w:rsid w:val="005A6F56"/>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0899"/>
    <w:rsid w:val="006B20A7"/>
    <w:rsid w:val="006B582D"/>
    <w:rsid w:val="006C0F0D"/>
    <w:rsid w:val="006C170C"/>
    <w:rsid w:val="006C40EC"/>
    <w:rsid w:val="006C45FB"/>
    <w:rsid w:val="006D04D5"/>
    <w:rsid w:val="006D05CF"/>
    <w:rsid w:val="006D4C27"/>
    <w:rsid w:val="006D503F"/>
    <w:rsid w:val="006D7C2A"/>
    <w:rsid w:val="006F1BDC"/>
    <w:rsid w:val="006F4865"/>
    <w:rsid w:val="00702A7E"/>
    <w:rsid w:val="00703A24"/>
    <w:rsid w:val="00707BDE"/>
    <w:rsid w:val="0071332A"/>
    <w:rsid w:val="00717DFA"/>
    <w:rsid w:val="00753EDE"/>
    <w:rsid w:val="00763457"/>
    <w:rsid w:val="00795C79"/>
    <w:rsid w:val="007A0692"/>
    <w:rsid w:val="007A3641"/>
    <w:rsid w:val="007C2004"/>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B15C8"/>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63EBE"/>
    <w:rsid w:val="009803A2"/>
    <w:rsid w:val="009905BC"/>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40C3F"/>
    <w:rsid w:val="00B65D5E"/>
    <w:rsid w:val="00B70B7E"/>
    <w:rsid w:val="00B718D3"/>
    <w:rsid w:val="00B84A54"/>
    <w:rsid w:val="00B8515A"/>
    <w:rsid w:val="00B95514"/>
    <w:rsid w:val="00BA3707"/>
    <w:rsid w:val="00BB2F10"/>
    <w:rsid w:val="00BD2727"/>
    <w:rsid w:val="00BD589F"/>
    <w:rsid w:val="00BD7EF3"/>
    <w:rsid w:val="00BE24D4"/>
    <w:rsid w:val="00BF0916"/>
    <w:rsid w:val="00C037ED"/>
    <w:rsid w:val="00C056C2"/>
    <w:rsid w:val="00C14717"/>
    <w:rsid w:val="00C20E5F"/>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2737"/>
    <w:rsid w:val="00D63189"/>
    <w:rsid w:val="00D70714"/>
    <w:rsid w:val="00D732FC"/>
    <w:rsid w:val="00D81082"/>
    <w:rsid w:val="00D83BB1"/>
    <w:rsid w:val="00DB03EA"/>
    <w:rsid w:val="00DB3960"/>
    <w:rsid w:val="00DC2AE7"/>
    <w:rsid w:val="00DD1E66"/>
    <w:rsid w:val="00DE3885"/>
    <w:rsid w:val="00DE54F9"/>
    <w:rsid w:val="00DF2827"/>
    <w:rsid w:val="00DF3FF2"/>
    <w:rsid w:val="00DF7459"/>
    <w:rsid w:val="00E03A7C"/>
    <w:rsid w:val="00E127C8"/>
    <w:rsid w:val="00E17B09"/>
    <w:rsid w:val="00E26E40"/>
    <w:rsid w:val="00E60894"/>
    <w:rsid w:val="00E76DFC"/>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C1870"/>
    <w:rsid w:val="00FD60D8"/>
    <w:rsid w:val="00FD70D5"/>
    <w:rsid w:val="00FE3258"/>
    <w:rsid w:val="00FF5FBE"/>
    <w:rsid w:val="16BFFA94"/>
    <w:rsid w:val="17F9035A"/>
    <w:rsid w:val="2DF47008"/>
    <w:rsid w:val="3FFF193A"/>
    <w:rsid w:val="4DEF443E"/>
    <w:rsid w:val="666B8190"/>
    <w:rsid w:val="6FDA3E64"/>
    <w:rsid w:val="75FE0CCF"/>
    <w:rsid w:val="77D7BD1E"/>
    <w:rsid w:val="7AF7F965"/>
    <w:rsid w:val="7E578B92"/>
    <w:rsid w:val="7FBF2DD6"/>
    <w:rsid w:val="BD1F30A1"/>
    <w:rsid w:val="C3FEE769"/>
    <w:rsid w:val="CEBD4738"/>
    <w:rsid w:val="DEDF970D"/>
    <w:rsid w:val="DEEC8DE4"/>
    <w:rsid w:val="DF7C23D6"/>
    <w:rsid w:val="E39F5509"/>
    <w:rsid w:val="E7B75002"/>
    <w:rsid w:val="F5B28637"/>
    <w:rsid w:val="F6F4A41A"/>
    <w:rsid w:val="FBAF422A"/>
    <w:rsid w:val="FBBA7215"/>
    <w:rsid w:val="FBDE5DFA"/>
    <w:rsid w:val="FF7FA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nhideWhenUsed="0" w:uiPriority="0" w:name="footnote text"/>
    <w:lsdException w:uiPriority="99" w:name="annotation text"/>
    <w:lsdException w:unhideWhenUsed="0" w:uiPriority="0"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nhideWhenUsed="0" w:uiPriority="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0" w:name="Balloon Text"/>
    <w:lsdException w:unhideWhenUsed="0" w:uiPriority="0" w:semiHidden="0" w:name="Table Grid"/>
    <w:lsdException w:uiPriority="99" w:name="Table Theme"/>
    <w:lsdException w:qFormat="1" w:unhideWhenUsed="0" w:uiPriority="99"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3"/>
    <w:semiHidden/>
    <w:unhideWhenUsed/>
    <w:uiPriority w:val="99"/>
    <w:rPr>
      <w:lang w:val="zh-CN" w:eastAsia="zh-CN"/>
    </w:rPr>
  </w:style>
  <w:style w:type="paragraph" w:styleId="5">
    <w:name w:val="Body Text"/>
    <w:basedOn w:val="1"/>
    <w:uiPriority w:val="0"/>
    <w:pPr>
      <w:jc w:val="both"/>
    </w:pPr>
    <w:rPr>
      <w:b/>
    </w:rPr>
  </w:style>
  <w:style w:type="paragraph" w:styleId="6">
    <w:name w:val="Block Text"/>
    <w:basedOn w:val="1"/>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uiPriority w:val="0"/>
    <w:rPr>
      <w:rFonts w:ascii="Tahoma" w:hAnsi="Tahoma" w:cs="Tahoma"/>
      <w:sz w:val="16"/>
      <w:szCs w:val="16"/>
    </w:rPr>
  </w:style>
  <w:style w:type="paragraph" w:styleId="8">
    <w:name w:val="footer"/>
    <w:basedOn w:val="1"/>
    <w:link w:val="25"/>
    <w:uiPriority w:val="99"/>
    <w:pPr>
      <w:tabs>
        <w:tab w:val="center" w:pos="4320"/>
        <w:tab w:val="right" w:pos="8640"/>
      </w:tabs>
    </w:pPr>
  </w:style>
  <w:style w:type="paragraph" w:styleId="9">
    <w:name w:val="header"/>
    <w:basedOn w:val="1"/>
    <w:uiPriority w:val="0"/>
    <w:pPr>
      <w:tabs>
        <w:tab w:val="center" w:pos="4320"/>
        <w:tab w:val="right" w:pos="8640"/>
      </w:tabs>
    </w:pPr>
  </w:style>
  <w:style w:type="paragraph" w:styleId="10">
    <w:name w:val="footnote text"/>
    <w:basedOn w:val="1"/>
    <w:semiHidden/>
    <w:uiPriority w:val="0"/>
  </w:style>
  <w:style w:type="paragraph" w:styleId="11">
    <w:name w:val="Normal (Web)"/>
    <w:basedOn w:val="1"/>
    <w:semiHidden/>
    <w:unhideWhenUsed/>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4"/>
    <w:semiHidden/>
    <w:unhideWhenUsed/>
    <w:uiPriority w:val="99"/>
    <w:rPr>
      <w:b/>
      <w:bCs/>
    </w:rPr>
  </w:style>
  <w:style w:type="table" w:styleId="14">
    <w:name w:val="Table Grid"/>
    <w:basedOn w:val="13"/>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qFormat/>
    <w:uiPriority w:val="22"/>
    <w:rPr>
      <w:b/>
      <w:bCs/>
    </w:rPr>
  </w:style>
  <w:style w:type="character" w:styleId="17">
    <w:name w:val="FollowedHyperlink"/>
    <w:uiPriority w:val="0"/>
    <w:rPr>
      <w:color w:val="800080"/>
      <w:u w:val="single"/>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styleId="20">
    <w:name w:val="footnote reference"/>
    <w:basedOn w:val="15"/>
    <w:semiHidden/>
    <w:uiPriority w:val="0"/>
    <w:rPr>
      <w:vertAlign w:val="superscript"/>
    </w:rPr>
  </w:style>
  <w:style w:type="paragraph" w:customStyle="1" w:styleId="21">
    <w:name w:val="Heading Erasmod"/>
    <w:basedOn w:val="3"/>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2">
    <w:name w:val="Medium List 2 - Accent 21"/>
    <w:hidden/>
    <w:semiHidden/>
    <w:uiPriority w:val="99"/>
    <w:rPr>
      <w:rFonts w:ascii="Arial" w:hAnsi="Arial" w:eastAsia="Times New Roman" w:cs="Times New Roman"/>
      <w:lang w:val="en-GB" w:eastAsia="en-GB" w:bidi="ar-SA"/>
    </w:rPr>
  </w:style>
  <w:style w:type="character" w:customStyle="1" w:styleId="23">
    <w:name w:val="Comment Text Char"/>
    <w:link w:val="4"/>
    <w:semiHidden/>
    <w:uiPriority w:val="99"/>
    <w:rPr>
      <w:rFonts w:ascii="Arial" w:hAnsi="Arial"/>
    </w:rPr>
  </w:style>
  <w:style w:type="character" w:customStyle="1" w:styleId="24">
    <w:name w:val="Comment Subject Char"/>
    <w:link w:val="12"/>
    <w:semiHidden/>
    <w:uiPriority w:val="99"/>
    <w:rPr>
      <w:rFonts w:ascii="Arial" w:hAnsi="Arial"/>
      <w:b/>
      <w:bCs/>
    </w:rPr>
  </w:style>
  <w:style w:type="character" w:customStyle="1" w:styleId="25">
    <w:name w:val="Footer Char"/>
    <w:link w:val="8"/>
    <w:uiPriority w:val="99"/>
    <w:rPr>
      <w:rFonts w:ascii="Arial" w:hAnsi="Arial"/>
    </w:rPr>
  </w:style>
  <w:style w:type="paragraph" w:styleId="26">
    <w:name w:val="List Paragraph"/>
    <w:basedOn w:val="1"/>
    <w:qFormat/>
    <w:uiPriority w:val="99"/>
    <w:pPr>
      <w:ind w:left="720"/>
    </w:pPr>
  </w:style>
  <w:style w:type="paragraph" w:customStyle="1" w:styleId="27">
    <w:name w:val="Revision"/>
    <w:hidden/>
    <w:semiHidden/>
    <w:uiPriority w:val="99"/>
    <w:rPr>
      <w:rFonts w:ascii="Arial" w:hAnsi="Arial" w:eastAsia="Times New Roman" w:cs="Times New Roman"/>
      <w:lang w:val="en-GB" w:eastAsia="en-GB" w:bidi="ar-SA"/>
    </w:rPr>
  </w:style>
  <w:style w:type="paragraph" w:styleId="28">
    <w:name w:val="No Spacing"/>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29">
    <w:name w:val="Unresolved Mention1"/>
    <w:basedOn w:val="15"/>
    <w:semiHidden/>
    <w:unhideWhenUsed/>
    <w:uiPriority w:val="99"/>
    <w:rPr>
      <w:color w:val="605E5C"/>
      <w:shd w:val="clear" w:color="auto" w:fill="E1DFDD"/>
    </w:rPr>
  </w:style>
  <w:style w:type="character" w:customStyle="1" w:styleId="30">
    <w:name w:val="Unresolved Mention"/>
    <w:basedOn w:val="15"/>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UWTSD</Company>
  <Pages>1</Pages>
  <Words>97</Words>
  <Characters>554</Characters>
  <Lines>4</Lines>
  <Paragraphs>1</Paragraphs>
  <TotalTime>54</TotalTime>
  <ScaleCrop>false</ScaleCrop>
  <LinksUpToDate>false</LinksUpToDate>
  <CharactersWithSpaces>650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2024-10-29T15:04:00Z</dcterms:created>
  <dc:creator>Academic Office</dc:creator>
  <cp:lastModifiedBy>Vic</cp:lastModifiedBy>
  <cp:lastPrinted>2016-11-02T16:01:00Z</cp:lastPrinted>
  <dcterms:modified xsi:type="dcterms:W3CDTF">2024-11-06T11:12:07Z</dcterms:modified>
  <dc:title>PG1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KSOProductBuildVer">
    <vt:lpwstr>2052-6.5.2.8766</vt:lpwstr>
  </property>
  <property fmtid="{D5CDD505-2E9C-101B-9397-08002B2CF9AE}" pid="8" name="ICV">
    <vt:lpwstr>EE7A16785C9E22289F302A67347B8183_42</vt:lpwstr>
  </property>
</Properties>
</file>