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492C6" w14:textId="6BC92069" w:rsidR="00A27194" w:rsidRPr="00A27194" w:rsidRDefault="00A27194" w:rsidP="00A27194">
      <w:pPr>
        <w:pStyle w:val="Heading1"/>
        <w:rPr>
          <w:u w:val="single"/>
        </w:rPr>
      </w:pPr>
      <w:r>
        <w:rPr>
          <w:u w:val="single"/>
        </w:rPr>
        <w:t>Introduction</w:t>
      </w:r>
    </w:p>
    <w:p w14:paraId="57C63BC3" w14:textId="6BAA9DCC" w:rsidR="00B976C7" w:rsidRDefault="001851E5" w:rsidP="00AF3FA4">
      <w:r>
        <w:t xml:space="preserve">A Critical incident is defined as </w:t>
      </w:r>
      <w:r w:rsidR="002D5792">
        <w:t>“</w:t>
      </w:r>
      <w:r w:rsidRPr="001851E5">
        <w:t>an interpretation of the significance of an event. To take something as a critical incident is a value judgment we make, and the basis of that judgment is a significance we attach to the meaning of the incident</w:t>
      </w:r>
      <w:r w:rsidR="002D5792">
        <w:t>”</w:t>
      </w:r>
      <w:r>
        <w:t xml:space="preserve"> (Tripp,1933).</w:t>
      </w:r>
      <w:r w:rsidR="002D5792">
        <w:t xml:space="preserve"> </w:t>
      </w:r>
      <w:r w:rsidR="001F5013">
        <w:t>Critical incidents are important to teachers both new to the profession and those who have already spent some time as a teacher in schools</w:t>
      </w:r>
      <w:r w:rsidR="00D854C6">
        <w:t xml:space="preserve">, this is because </w:t>
      </w:r>
      <w:r w:rsidR="00CD4ED6">
        <w:t xml:space="preserve">critical incidents are </w:t>
      </w:r>
      <w:r w:rsidR="00802EC2">
        <w:t xml:space="preserve">used by teachers to </w:t>
      </w:r>
      <w:r w:rsidR="00E24E60">
        <w:t xml:space="preserve">view what methods work within a classroom </w:t>
      </w:r>
      <w:r w:rsidR="001259F3">
        <w:t xml:space="preserve">and what methods aren’t too effective. </w:t>
      </w:r>
      <w:r w:rsidR="008A3448">
        <w:t>This essay will dive into</w:t>
      </w:r>
      <w:r w:rsidR="00F81C85">
        <w:t xml:space="preserve"> a reflection of</w:t>
      </w:r>
      <w:r w:rsidR="008A3448">
        <w:t xml:space="preserve"> </w:t>
      </w:r>
      <w:r w:rsidR="00F81C85">
        <w:t>a critical</w:t>
      </w:r>
      <w:r w:rsidR="008A3448">
        <w:t xml:space="preserve"> incident that was witnessed within a classroom of year eight secondary students </w:t>
      </w:r>
      <w:r w:rsidR="00952392">
        <w:t xml:space="preserve">and will attempt to explain to the audience why </w:t>
      </w:r>
      <w:r w:rsidR="00B90770">
        <w:t xml:space="preserve">Critical incidents play a key part in the education of new teachers </w:t>
      </w:r>
      <w:r w:rsidR="003B4867">
        <w:t xml:space="preserve">and will engage with prominent literature in order to </w:t>
      </w:r>
      <w:r w:rsidR="000C1881">
        <w:t>better</w:t>
      </w:r>
      <w:r w:rsidR="00B473C5">
        <w:t xml:space="preserve"> evaluate </w:t>
      </w:r>
      <w:r w:rsidR="005A75DA">
        <w:t xml:space="preserve">and </w:t>
      </w:r>
      <w:r w:rsidR="00AD7EB8">
        <w:t>identify what’s next for learners based on the observed critical incident</w:t>
      </w:r>
      <w:r w:rsidR="007A756C">
        <w:t>.</w:t>
      </w:r>
    </w:p>
    <w:p w14:paraId="5B242213" w14:textId="6918AB7C" w:rsidR="00A27194" w:rsidRPr="00A27194" w:rsidRDefault="00A27194" w:rsidP="00A27194">
      <w:pPr>
        <w:pStyle w:val="Heading1"/>
        <w:rPr>
          <w:u w:val="single"/>
        </w:rPr>
      </w:pPr>
      <w:r>
        <w:rPr>
          <w:u w:val="single"/>
        </w:rPr>
        <w:t>The Role of Critical Reflection</w:t>
      </w:r>
    </w:p>
    <w:p w14:paraId="2FB8A456" w14:textId="563F72CE" w:rsidR="00026C55" w:rsidRDefault="005D068A" w:rsidP="00AF3FA4">
      <w:r>
        <w:t xml:space="preserve">In order to properly </w:t>
      </w:r>
      <w:r w:rsidR="005C0DD5">
        <w:t>reflect upon</w:t>
      </w:r>
      <w:r w:rsidR="00DB1603">
        <w:t xml:space="preserve"> the incident</w:t>
      </w:r>
      <w:r w:rsidR="00D57F64">
        <w:t xml:space="preserve">, </w:t>
      </w:r>
      <w:r w:rsidR="003467D1">
        <w:t xml:space="preserve">one must first discuss the role critical reflection </w:t>
      </w:r>
      <w:r w:rsidR="00692BB4">
        <w:t xml:space="preserve">plays within </w:t>
      </w:r>
      <w:r w:rsidR="005022E2">
        <w:t xml:space="preserve">the role of an educator. </w:t>
      </w:r>
      <w:r w:rsidR="00923189">
        <w:t xml:space="preserve">Critical reflection </w:t>
      </w:r>
      <w:r w:rsidR="00DF7D22">
        <w:t xml:space="preserve">is a skill that helps new teachers </w:t>
      </w:r>
      <w:r w:rsidR="004D7A18">
        <w:t xml:space="preserve">by giving them the opportunity to connect new learning experiences with </w:t>
      </w:r>
      <w:r w:rsidR="00D40403">
        <w:t xml:space="preserve">prior experiences, helping them form a bridge between the </w:t>
      </w:r>
      <w:r w:rsidR="009E53F7">
        <w:t xml:space="preserve">two in order to improve their </w:t>
      </w:r>
      <w:r w:rsidR="00C55DB6">
        <w:t xml:space="preserve">style of teaching by being able to </w:t>
      </w:r>
      <w:r w:rsidR="00554FA6">
        <w:t>write about their experiences in the classroom by being able to recall</w:t>
      </w:r>
      <w:r w:rsidR="00845122">
        <w:t>, reconstruct, recreate and represent what they have learned</w:t>
      </w:r>
      <w:r w:rsidR="00581550">
        <w:t xml:space="preserve"> (</w:t>
      </w:r>
      <w:r w:rsidR="00581550" w:rsidRPr="00581550">
        <w:t>Shandomo, Hibajene M.</w:t>
      </w:r>
      <w:r w:rsidR="00581550">
        <w:t xml:space="preserve"> 2010). </w:t>
      </w:r>
      <w:r w:rsidR="00861BBE">
        <w:t>By b</w:t>
      </w:r>
      <w:r w:rsidR="00D13F32">
        <w:t xml:space="preserve">eing able to reflect on all these various experiences, </w:t>
      </w:r>
      <w:r w:rsidR="000610A1">
        <w:t xml:space="preserve">this allows new teachers to be able to </w:t>
      </w:r>
      <w:r w:rsidR="0032695A">
        <w:t>construct their own understanding of the classroom environment in which they teach</w:t>
      </w:r>
      <w:r w:rsidR="00E81B6E">
        <w:t xml:space="preserve">. </w:t>
      </w:r>
      <w:r w:rsidR="00624AD3">
        <w:t>The</w:t>
      </w:r>
      <w:r w:rsidR="00AA5E8F">
        <w:t xml:space="preserve">re are several ways </w:t>
      </w:r>
      <w:r w:rsidR="000D340B">
        <w:t xml:space="preserve">on how </w:t>
      </w:r>
      <w:r w:rsidR="00EA0E00">
        <w:t xml:space="preserve">a new teacher </w:t>
      </w:r>
      <w:r w:rsidR="009D32E3">
        <w:t>can</w:t>
      </w:r>
      <w:r w:rsidR="00EA0E00">
        <w:t xml:space="preserve"> conduct their reflective thinking outside of the classroom</w:t>
      </w:r>
      <w:r w:rsidR="00957A1A">
        <w:t xml:space="preserve">, </w:t>
      </w:r>
      <w:r w:rsidR="000168C7">
        <w:t xml:space="preserve">one of the more prominent models of reflective thinking is based around </w:t>
      </w:r>
      <w:r w:rsidR="00F95D87">
        <w:t>Dewey’s model of reflective thinking</w:t>
      </w:r>
      <w:r w:rsidR="00E303BE">
        <w:t xml:space="preserve"> which states that the act of reflective thinking is </w:t>
      </w:r>
      <w:r w:rsidR="00810D71">
        <w:t xml:space="preserve">a process that is active, persistent and gives </w:t>
      </w:r>
      <w:r w:rsidR="006F1067">
        <w:t xml:space="preserve">careful consideration of a belief </w:t>
      </w:r>
      <w:r w:rsidR="00FD10F7">
        <w:t xml:space="preserve">or a </w:t>
      </w:r>
      <w:r w:rsidR="00E45148" w:rsidRPr="00E45148">
        <w:t>supposed form of knowledge, of the grounds that support that knowledge, and the further conclusions to which that knowledge leads</w:t>
      </w:r>
      <w:r w:rsidR="00860030">
        <w:t xml:space="preserve"> (Dewey, 1930). </w:t>
      </w:r>
    </w:p>
    <w:p w14:paraId="79FB6826" w14:textId="3CD76E8B" w:rsidR="00026C55" w:rsidRDefault="00163AD7" w:rsidP="00AF3FA4">
      <w:r>
        <w:t xml:space="preserve">Dewey’s model suggests </w:t>
      </w:r>
      <w:r w:rsidR="008D4F26">
        <w:t>that our experiences shape us, in the context of a new teacher who is</w:t>
      </w:r>
      <w:r w:rsidR="0051246E">
        <w:t xml:space="preserve"> just starting to develop their own unique teaching style</w:t>
      </w:r>
      <w:r w:rsidR="00F230B5">
        <w:t xml:space="preserve"> </w:t>
      </w:r>
      <w:r w:rsidR="0051246E">
        <w:t xml:space="preserve">this means that </w:t>
      </w:r>
      <w:r w:rsidR="005E43D6">
        <w:t xml:space="preserve">new teachers will begin to learn and modify their own style of teaching based on the </w:t>
      </w:r>
      <w:r w:rsidR="006E5076">
        <w:t>environment that they find themselves in within the classroom</w:t>
      </w:r>
      <w:r w:rsidR="003436A2">
        <w:t xml:space="preserve"> which can </w:t>
      </w:r>
      <w:r w:rsidR="000E1512">
        <w:t>sometimes alter based on the students that inhabit the classroom</w:t>
      </w:r>
      <w:r w:rsidR="00FA08F8">
        <w:t xml:space="preserve"> and if they happen to have any </w:t>
      </w:r>
      <w:r w:rsidR="004E3132">
        <w:t>additional learning needs.</w:t>
      </w:r>
      <w:r w:rsidR="006D36FA">
        <w:t xml:space="preserve"> </w:t>
      </w:r>
    </w:p>
    <w:p w14:paraId="59DC2B40" w14:textId="3C44C40B" w:rsidR="00FE699F" w:rsidRDefault="006D36FA" w:rsidP="00AF3FA4">
      <w:r>
        <w:t xml:space="preserve">Dewey </w:t>
      </w:r>
      <w:r w:rsidR="00FE699F">
        <w:t>suggests</w:t>
      </w:r>
      <w:r>
        <w:t xml:space="preserve"> that the process of reflective thought has a structure to it and that it </w:t>
      </w:r>
      <w:r w:rsidR="00A5588E">
        <w:t>is not “a melody that comes and goes” but rather</w:t>
      </w:r>
      <w:r w:rsidR="0097310E">
        <w:t xml:space="preserve"> various branches of thought that grow out and support each other </w:t>
      </w:r>
      <w:r w:rsidR="00325C9E">
        <w:t>like</w:t>
      </w:r>
      <w:r w:rsidR="00B51CD7">
        <w:t xml:space="preserve"> that of a chain</w:t>
      </w:r>
      <w:r w:rsidR="009C2AFA">
        <w:t>. The model itself states 5 stages</w:t>
      </w:r>
      <w:r w:rsidR="000716F5">
        <w:t xml:space="preserve"> in total: disturbance and uncertainty, </w:t>
      </w:r>
      <w:r w:rsidR="00DD58E0">
        <w:t>defining the problem, forming a hypothesis based on studying the conditions</w:t>
      </w:r>
      <w:r w:rsidR="00DD2D84">
        <w:t xml:space="preserve"> at work, reasoning and</w:t>
      </w:r>
      <w:r w:rsidR="006B31E4">
        <w:t xml:space="preserve"> then</w:t>
      </w:r>
      <w:r w:rsidR="00DD2D84">
        <w:t xml:space="preserve"> testing</w:t>
      </w:r>
      <w:r w:rsidR="00300C34">
        <w:t xml:space="preserve"> (</w:t>
      </w:r>
      <w:r w:rsidR="00347378" w:rsidRPr="00347378">
        <w:t>Third, 2022)</w:t>
      </w:r>
      <w:r w:rsidR="00347378">
        <w:t xml:space="preserve">. </w:t>
      </w:r>
      <w:r w:rsidR="00DD2D84">
        <w:t>A</w:t>
      </w:r>
      <w:r w:rsidR="00B51CD7">
        <w:t xml:space="preserve">pplying this in the context of the classroom we can </w:t>
      </w:r>
      <w:r w:rsidR="001E4A90">
        <w:t xml:space="preserve">recognise that each of these </w:t>
      </w:r>
      <w:r w:rsidR="00FE699F">
        <w:t>branches</w:t>
      </w:r>
      <w:r w:rsidR="001E4A90">
        <w:t xml:space="preserve"> establish themselves in various point throughout a lesson</w:t>
      </w:r>
      <w:r w:rsidR="00DD2D84">
        <w:t xml:space="preserve">, </w:t>
      </w:r>
      <w:r w:rsidR="00756187">
        <w:t xml:space="preserve">an example of the model being used in a classroom setting would be perhaps noticing that </w:t>
      </w:r>
      <w:r w:rsidR="00C47C19">
        <w:t>a student is continuously interrupting class by shouting out the answers to a particular question without raising their hands</w:t>
      </w:r>
      <w:r w:rsidR="008C1307">
        <w:t xml:space="preserve"> which would be the first step of the chain, the teacher would then proceed to identify </w:t>
      </w:r>
      <w:r w:rsidR="00FF28AA">
        <w:t xml:space="preserve">why the student is being disruptive in class and not raising </w:t>
      </w:r>
      <w:r w:rsidR="00F95975">
        <w:t xml:space="preserve">their hand </w:t>
      </w:r>
      <w:r w:rsidR="00803723">
        <w:t xml:space="preserve">and proceed to form a hypothesis about the situation and then applying a suitable </w:t>
      </w:r>
      <w:r w:rsidR="00026C55">
        <w:t xml:space="preserve">solution to the problem at hand </w:t>
      </w:r>
    </w:p>
    <w:p w14:paraId="379F7AF2" w14:textId="77777777" w:rsidR="00AC0AE1" w:rsidRDefault="000E1512" w:rsidP="00AF3FA4">
      <w:r>
        <w:br/>
      </w:r>
    </w:p>
    <w:p w14:paraId="244B10B6" w14:textId="3AD52CB9" w:rsidR="00AC4316" w:rsidRDefault="00E81B6E" w:rsidP="00AF3FA4">
      <w:r>
        <w:lastRenderedPageBreak/>
        <w:t xml:space="preserve">This leads to new teachers being </w:t>
      </w:r>
      <w:r w:rsidR="006B57A6">
        <w:t>more able to</w:t>
      </w:r>
      <w:r>
        <w:t xml:space="preserve"> </w:t>
      </w:r>
      <w:r w:rsidR="00D86C4F">
        <w:t xml:space="preserve">more </w:t>
      </w:r>
      <w:r>
        <w:t xml:space="preserve">effectively plan lessons accordingly and manage the classroom environment </w:t>
      </w:r>
      <w:r w:rsidR="000B4301">
        <w:t>better based on their previous experiences</w:t>
      </w:r>
      <w:r w:rsidR="00D951E6">
        <w:t xml:space="preserve"> as well as assessing their own role within the classroom as teachers </w:t>
      </w:r>
      <w:r w:rsidR="0081245D">
        <w:t>themselves</w:t>
      </w:r>
      <w:r w:rsidR="00AC4316">
        <w:t xml:space="preserve"> which has dramatically changed during recent years.</w:t>
      </w:r>
      <w:r w:rsidR="00D86C4F">
        <w:t xml:space="preserve"> </w:t>
      </w:r>
      <w:r w:rsidR="00AC4316">
        <w:t xml:space="preserve">The role of </w:t>
      </w:r>
      <w:r w:rsidR="00CC491D">
        <w:t xml:space="preserve">a teacher is now no longer someone who simply ‘delivers’ </w:t>
      </w:r>
      <w:r w:rsidR="0075341D">
        <w:t xml:space="preserve">the curriculum to students who sit in class and take notes, instead the role of a teacher </w:t>
      </w:r>
      <w:r w:rsidR="00A73210">
        <w:t xml:space="preserve">in the UK, especially in Wales with the ongoing reforms is now to be an active part </w:t>
      </w:r>
      <w:r w:rsidR="001F1684">
        <w:t xml:space="preserve">in deciding how that curriculum is </w:t>
      </w:r>
      <w:r w:rsidR="00541E4A">
        <w:t xml:space="preserve">most appropriately delivered to students </w:t>
      </w:r>
      <w:r w:rsidR="005E01A7" w:rsidRPr="005E01A7">
        <w:t>(Furlong et al., 2021)</w:t>
      </w:r>
      <w:r w:rsidR="00BB3A85">
        <w:t>This implies that teachers will be given more agency within classrooms in order to better deliver the</w:t>
      </w:r>
      <w:r w:rsidR="00D83E9D">
        <w:t xml:space="preserve"> lessons in a more </w:t>
      </w:r>
      <w:r w:rsidR="00A80516">
        <w:t>involved</w:t>
      </w:r>
      <w:r w:rsidR="00D83E9D">
        <w:t xml:space="preserve"> </w:t>
      </w:r>
      <w:r w:rsidR="001B6555">
        <w:t xml:space="preserve">way, being given more freedom to teach what they think is more appropriate rather than having to stick to a </w:t>
      </w:r>
      <w:r w:rsidR="00352EC2">
        <w:t xml:space="preserve">defined subject boundary which will be scrapped under the new educational reforms in Wales </w:t>
      </w:r>
      <w:r w:rsidR="005A41DA">
        <w:t>(Wightwick, 2022</w:t>
      </w:r>
      <w:r w:rsidR="00177E6E">
        <w:t>).</w:t>
      </w:r>
    </w:p>
    <w:p w14:paraId="6C0B5CFF" w14:textId="76942A74" w:rsidR="00EA2778" w:rsidRPr="00EA2778" w:rsidRDefault="00EA2778" w:rsidP="00EA2778">
      <w:pPr>
        <w:pStyle w:val="Heading1"/>
        <w:rPr>
          <w:u w:val="single"/>
        </w:rPr>
      </w:pPr>
      <w:r>
        <w:rPr>
          <w:u w:val="single"/>
        </w:rPr>
        <w:t>Observation &amp; Class context</w:t>
      </w:r>
    </w:p>
    <w:p w14:paraId="0267B4D1" w14:textId="108A0BE5" w:rsidR="003A130D" w:rsidRDefault="00BE2895" w:rsidP="003A130D">
      <w:r>
        <w:t xml:space="preserve">Following the guidelines set out by </w:t>
      </w:r>
      <w:r w:rsidR="008F6622">
        <w:t>BERA</w:t>
      </w:r>
      <w:r w:rsidR="005E271A">
        <w:t xml:space="preserve"> “</w:t>
      </w:r>
      <w:r w:rsidR="005E271A" w:rsidRPr="005E271A">
        <w:t>The confidential and anonymous treatment of participants’ data is considered the norm for the conduct of research</w:t>
      </w:r>
      <w:r w:rsidR="005E271A">
        <w:t>”</w:t>
      </w:r>
      <w:r w:rsidR="00C87B6D">
        <w:t xml:space="preserve"> (</w:t>
      </w:r>
      <w:r w:rsidR="00BA69C0">
        <w:t>BERA,</w:t>
      </w:r>
      <w:r w:rsidR="00BA69C0" w:rsidRPr="00BA69C0">
        <w:t>2018)</w:t>
      </w:r>
      <w:r w:rsidR="00394A2B">
        <w:t xml:space="preserve"> </w:t>
      </w:r>
      <w:r w:rsidR="00C87B6D">
        <w:t xml:space="preserve">hence all references made toward the school, teacher and students shall remain anonymous. </w:t>
      </w:r>
      <w:r w:rsidR="009D694D">
        <w:t xml:space="preserve">During my observations within my assigned </w:t>
      </w:r>
      <w:r w:rsidR="003B4A0A">
        <w:t>school,</w:t>
      </w:r>
      <w:r w:rsidR="009D694D">
        <w:t xml:space="preserve"> I had played the role of an observer and bore witness t</w:t>
      </w:r>
      <w:r w:rsidR="00EB2E62">
        <w:t xml:space="preserve">o a few critical incidents, the most notable being </w:t>
      </w:r>
      <w:r w:rsidR="00AE2101">
        <w:t>one that happened during a math class involving children in Year 8</w:t>
      </w:r>
      <w:r w:rsidR="00D142EE">
        <w:t>. To set the context of my critical incident</w:t>
      </w:r>
      <w:r w:rsidR="003A130D">
        <w:t xml:space="preserve">, the observation took place in a very large mix gender school with a student population of over 2000 students including those in the sixth form located in South Wales. From the recorded observations during time spent within the school itself, the Curriculum is very engaging, and the students are more than willing to learn Around 12% of pupils have a special educational need and 1.7% have a statement of special educational needs (Estyn, 2018). These figures however are below the Welsh averages which are </w:t>
      </w:r>
      <w:r w:rsidR="003A130D" w:rsidRPr="00C60EE3">
        <w:t>21.5% and 2%</w:t>
      </w:r>
      <w:r w:rsidR="003A130D">
        <w:t xml:space="preserve"> according to the latest report from Estyn which also notes that Welsh is not fluently spoken by the children of the school, however it would also seem that the pupils which originate from an </w:t>
      </w:r>
      <w:r w:rsidR="007A756C">
        <w:t>ethnically</w:t>
      </w:r>
      <w:r w:rsidR="003A130D">
        <w:t xml:space="preserve"> diverse background seem to have English as a second language. </w:t>
      </w:r>
      <w:r w:rsidR="00A71789">
        <w:t xml:space="preserve">During my time conducting observations within the </w:t>
      </w:r>
      <w:r w:rsidR="001B39F4">
        <w:t>school,</w:t>
      </w:r>
      <w:r w:rsidR="00A71789">
        <w:t xml:space="preserve"> I have noticed that the curriculum that they students </w:t>
      </w:r>
      <w:r w:rsidR="004C1712">
        <w:t xml:space="preserve">are taught is engaging and in the case of P.E. quite different than what </w:t>
      </w:r>
      <w:r w:rsidR="00E931F1">
        <w:t xml:space="preserve">I had previously expected </w:t>
      </w:r>
      <w:r w:rsidR="00C83959">
        <w:t xml:space="preserve">but was nevertheless stimulating and informative. </w:t>
      </w:r>
    </w:p>
    <w:p w14:paraId="6E0C8F67" w14:textId="1EC9271E" w:rsidR="00E40082" w:rsidRPr="00E40082" w:rsidRDefault="004E5E4E" w:rsidP="00E40082">
      <w:pPr>
        <w:pStyle w:val="Heading1"/>
        <w:rPr>
          <w:u w:val="single"/>
        </w:rPr>
      </w:pPr>
      <w:r>
        <w:rPr>
          <w:u w:val="single"/>
        </w:rPr>
        <w:t>Critical Incident Linked to Donaldson’s Four Purposes</w:t>
      </w:r>
    </w:p>
    <w:p w14:paraId="51577E3C" w14:textId="012EE6FD" w:rsidR="001B39F4" w:rsidRDefault="00223C70" w:rsidP="003A130D">
      <w:r>
        <w:t>The most notable Critical inc</w:t>
      </w:r>
      <w:r w:rsidR="0092150E">
        <w:t xml:space="preserve">ident that </w:t>
      </w:r>
      <w:r w:rsidR="00CA123F">
        <w:t xml:space="preserve">I had observed was </w:t>
      </w:r>
      <w:r w:rsidR="00930C96">
        <w:t xml:space="preserve">in a class of around fifteen Year 8 students </w:t>
      </w:r>
      <w:r w:rsidR="00DF5D2E">
        <w:t>in a Math Class</w:t>
      </w:r>
      <w:r w:rsidR="0055299D">
        <w:t>, It should also be noted that at the beginning of class, the student had displayed a rather negative outlook towards the subject at hand. T</w:t>
      </w:r>
      <w:r w:rsidR="007811A1">
        <w:t xml:space="preserve">he </w:t>
      </w:r>
      <w:r w:rsidR="00346D67">
        <w:t xml:space="preserve">teacher of the class was distributing test scores for a recent test that the students had taken part </w:t>
      </w:r>
      <w:r w:rsidR="005D75BD">
        <w:t>in,</w:t>
      </w:r>
      <w:r w:rsidR="0055299D">
        <w:t xml:space="preserve"> </w:t>
      </w:r>
      <w:r w:rsidR="00346D67">
        <w:t xml:space="preserve">and the teacher had said that </w:t>
      </w:r>
      <w:r w:rsidR="00522C4E">
        <w:t xml:space="preserve">not everyone had gotten an outstanding grade, however she then followed it up by telling and encouraging the students to not </w:t>
      </w:r>
      <w:r w:rsidR="00E97B68">
        <w:t xml:space="preserve">think of it as failure. The teacher had explained to students that </w:t>
      </w:r>
      <w:r w:rsidR="00B871B1">
        <w:t xml:space="preserve">they should not be discouraged or disheartened by the </w:t>
      </w:r>
      <w:r w:rsidR="005D75BD">
        <w:t>low-test</w:t>
      </w:r>
      <w:r w:rsidR="00B871B1">
        <w:t xml:space="preserve"> scores and instead to view it as potential areas of improvemen</w:t>
      </w:r>
      <w:r w:rsidR="003E0650">
        <w:t>t</w:t>
      </w:r>
      <w:r w:rsidR="00C11965">
        <w:t xml:space="preserve"> before going </w:t>
      </w:r>
      <w:r w:rsidR="006F37D2">
        <w:t>on to point out and explain the things that they had done right.</w:t>
      </w:r>
      <w:r w:rsidR="003E0650">
        <w:t xml:space="preserve"> </w:t>
      </w:r>
      <w:r w:rsidR="006F37D2">
        <w:t>T</w:t>
      </w:r>
      <w:r w:rsidR="003E0650">
        <w:t xml:space="preserve">his can be neatly linked to Donaldson’s fourth purpose </w:t>
      </w:r>
      <w:r w:rsidR="00F06146">
        <w:t xml:space="preserve">in raising healthy but most importantly confident individuals who </w:t>
      </w:r>
      <w:r w:rsidR="00DE50CD">
        <w:t>view failure not as something to be discouraged by</w:t>
      </w:r>
      <w:r w:rsidR="008B48CB">
        <w:t xml:space="preserve"> but instead as an experience to grow from and to </w:t>
      </w:r>
      <w:r w:rsidR="00F71399">
        <w:t>learn more about</w:t>
      </w:r>
      <w:r w:rsidR="005C62BB">
        <w:t xml:space="preserve"> and as a result the students will also learn to adopt a similar mindset</w:t>
      </w:r>
      <w:r w:rsidR="000F5148">
        <w:t>.</w:t>
      </w:r>
      <w:r w:rsidR="007723E7">
        <w:t xml:space="preserve"> T</w:t>
      </w:r>
      <w:r w:rsidR="00FE6F86">
        <w:t xml:space="preserve">his approach to </w:t>
      </w:r>
      <w:r w:rsidR="007723E7">
        <w:t xml:space="preserve">handling </w:t>
      </w:r>
      <w:r w:rsidR="00FE6F86">
        <w:t xml:space="preserve">low grades </w:t>
      </w:r>
      <w:r w:rsidR="00383E3F">
        <w:t>was effective as the teacher was</w:t>
      </w:r>
      <w:r w:rsidR="001E0D8E">
        <w:t xml:space="preserve"> able to </w:t>
      </w:r>
      <w:r w:rsidR="00FE6F86">
        <w:t>build their mental and emotional well-being</w:t>
      </w:r>
      <w:r w:rsidR="00406A51">
        <w:t xml:space="preserve">, this is </w:t>
      </w:r>
      <w:r w:rsidR="00C73042">
        <w:t xml:space="preserve">shown </w:t>
      </w:r>
      <w:r w:rsidR="00406A51">
        <w:t xml:space="preserve">to have an </w:t>
      </w:r>
      <w:r w:rsidR="00C52374">
        <w:t>immediate</w:t>
      </w:r>
      <w:r w:rsidR="00406A51">
        <w:t xml:space="preserve"> effect on the </w:t>
      </w:r>
      <w:r w:rsidR="00C52374">
        <w:t>students</w:t>
      </w:r>
      <w:r w:rsidR="00406A51">
        <w:t xml:space="preserve"> </w:t>
      </w:r>
      <w:r w:rsidR="00C52374">
        <w:t>in</w:t>
      </w:r>
      <w:r w:rsidR="00406A51">
        <w:t xml:space="preserve"> th</w:t>
      </w:r>
      <w:r w:rsidR="00C52374">
        <w:t xml:space="preserve">e class as they </w:t>
      </w:r>
      <w:r w:rsidR="00983AF6">
        <w:t xml:space="preserve">seem more </w:t>
      </w:r>
      <w:r w:rsidR="00E86177">
        <w:t xml:space="preserve">joyful </w:t>
      </w:r>
      <w:r w:rsidR="00383E3F">
        <w:t xml:space="preserve">after the teacher had told them </w:t>
      </w:r>
      <w:r w:rsidR="009D2ACA">
        <w:t xml:space="preserve">not to view their low grades as a sign of failure. </w:t>
      </w:r>
      <w:r w:rsidR="00F71399">
        <w:br/>
      </w:r>
      <w:r w:rsidR="00F71399">
        <w:lastRenderedPageBreak/>
        <w:br/>
        <w:t xml:space="preserve">The attitude the teacher adopted for the class was one </w:t>
      </w:r>
      <w:r w:rsidR="00E02F67">
        <w:t>that was positive and reassuring, the students in turn did not misbehave as much with her than with other teacher that I have observed previously during the day</w:t>
      </w:r>
      <w:r w:rsidR="000A1F17">
        <w:t>. A thing to note would be that during my observations for this class the teacher had willingly allowed the students to openly talk with one another</w:t>
      </w:r>
      <w:r w:rsidR="00500740">
        <w:t>, and this had the effect of students helping each other out with the work that they had been assigned to do in class</w:t>
      </w:r>
      <w:r w:rsidR="00EE46B4">
        <w:t xml:space="preserve">, which fits perfectly will with </w:t>
      </w:r>
      <w:r w:rsidR="00726943">
        <w:t xml:space="preserve">yet another of Donaldson’s four purposes of raising ambitious and capable learners who </w:t>
      </w:r>
      <w:r w:rsidR="00E01094">
        <w:t>are able to communicate effectively</w:t>
      </w:r>
      <w:r w:rsidR="00485A32">
        <w:t xml:space="preserve"> (</w:t>
      </w:r>
      <w:r w:rsidR="00A25448" w:rsidRPr="00A25448">
        <w:t>Donaldson, 2014</w:t>
      </w:r>
      <w:r w:rsidR="00485A32">
        <w:t>)</w:t>
      </w:r>
      <w:r w:rsidR="00E01094">
        <w:t xml:space="preserve"> with others and since this was a Math class it further allowed students to </w:t>
      </w:r>
      <w:r w:rsidR="009447C8">
        <w:t xml:space="preserve">understand how to interpret data and understand mathematical </w:t>
      </w:r>
      <w:r w:rsidR="00B047C7">
        <w:t>concepts</w:t>
      </w:r>
      <w:r w:rsidR="00F33D89">
        <w:t xml:space="preserve">. </w:t>
      </w:r>
    </w:p>
    <w:p w14:paraId="477D9B25" w14:textId="11A2170F" w:rsidR="004E5E4E" w:rsidRPr="004E5E4E" w:rsidRDefault="00661397" w:rsidP="004E5E4E">
      <w:pPr>
        <w:pStyle w:val="Heading1"/>
        <w:rPr>
          <w:u w:val="single"/>
        </w:rPr>
      </w:pPr>
      <w:r>
        <w:rPr>
          <w:u w:val="single"/>
        </w:rPr>
        <w:t>Literature Review</w:t>
      </w:r>
    </w:p>
    <w:p w14:paraId="243302ED" w14:textId="4F2DAAD2" w:rsidR="00DB78EE" w:rsidRDefault="2A2CB3D9" w:rsidP="2A2CB3D9">
      <w:pPr>
        <w:rPr>
          <w:rFonts w:ascii="Calibri" w:eastAsia="Calibri" w:hAnsi="Calibri" w:cs="Calibri"/>
        </w:rPr>
      </w:pPr>
      <w:r>
        <w:t xml:space="preserve">The incident that was observed within the classroom leans heavily towards the perception that getting a low grade on a test should not be taken as a bad sign, but rather an opportunity for students to be able to focus on areas that they need to develop, it also helps with making sure that students that already had a low liking for the subject can stay invested in it long enough to be able to maintain a good grade. In this sense, teachers make use of varying techniques in order to keep their class invested in their learning so they will be able to understand what they are being taught and one such method that is linked to the critical incident which is the use of Positive reinforcement/learning enhancing feedback. In the incident it was observed that the teacher had told her students to not view their low grades as failure but rather as potential areas of improvements. The teacher carefully constructs her statement in a more positive light to better help her students to become motivated and to build up their self-confidence, the literature surrounding the topic of learning enhancing feedback is vast with academic journals like “Teaching and Teacher education” by Lia Voerman. Within that journal it states that “feedback is generally seen as an important tool to enhance learning” </w:t>
      </w:r>
      <w:r w:rsidR="004B7721" w:rsidRPr="004B7721">
        <w:t>(Voerman et al., 2012</w:t>
      </w:r>
      <w:r>
        <w:t>).</w:t>
      </w:r>
      <w:r w:rsidR="00EA2621">
        <w:br/>
      </w:r>
      <w:r w:rsidR="00EA2621">
        <w:br/>
      </w:r>
      <w:r>
        <w:t xml:space="preserve"> The source goes on to describe its importance within the classroom environment stating that it is a quintessential factor in any given learning environment and that it is just as important as how the lesson is presented and delivered to students. This is because the type of feedback that is received by students can greatly help them to improve their knowledge on the subject along with showing them which areas need to be worked on more for improvement and which areas, they excel in </w:t>
      </w:r>
      <w:r w:rsidR="00AB4297" w:rsidRPr="004B7721">
        <w:t>(Voerman et al., 2012</w:t>
      </w:r>
      <w:r w:rsidR="00AB4297">
        <w:t xml:space="preserve">). </w:t>
      </w:r>
      <w:r>
        <w:t>However, the journal also notes that feedback is also a double-edged sword as sometimes improper feedback can lead to an overall decline in motivation for learning. This decrease happens as a result of teachers giving feedback that was more generic in nature, the journal suggests that if positive or negative feedback should be given then more effort should be placed into its delivery to the students. Teachers must be weary to not give too much effort and information to a student out of fear of causing an overload.</w:t>
      </w:r>
      <w:r w:rsidR="00EA2621">
        <w:br/>
      </w:r>
      <w:r w:rsidR="00EA2621">
        <w:br/>
      </w:r>
      <w:r w:rsidRPr="2A2CB3D9">
        <w:rPr>
          <w:rFonts w:ascii="Calibri" w:eastAsia="Calibri" w:hAnsi="Calibri" w:cs="Calibri"/>
        </w:rPr>
        <w:t xml:space="preserve">More recently published literature like “perceptions of oral feedback in classroom practice” by Fabienne Kleij state that another risk with improper feedback would be how it is perceived by students, teachers must consider that feedback is often personalised and interpretations to feedback can vary on a case-by-case basis, and the danger lies in students not being able to understand the intended purpose of the feedback that was given to them which could lead to a decline in student learning effectiveness </w:t>
      </w:r>
      <w:r w:rsidR="00F86AA2" w:rsidRPr="00F86AA2">
        <w:rPr>
          <w:rFonts w:ascii="Calibri" w:eastAsia="Calibri" w:hAnsi="Calibri" w:cs="Calibri"/>
        </w:rPr>
        <w:t>(Van Der Kleij &amp; Adie, 2020)</w:t>
      </w:r>
    </w:p>
    <w:p w14:paraId="47A59F98" w14:textId="1DEB3DDB" w:rsidR="00DB78EE" w:rsidRDefault="2A2CB3D9" w:rsidP="2A2CB3D9">
      <w:r>
        <w:t xml:space="preserve">Linking this back to the Critical Incident it is clear from the literature states, the teacher in the incident uses carefully constructed feedback which does not appear too generic or gives too much </w:t>
      </w:r>
      <w:r>
        <w:lastRenderedPageBreak/>
        <w:t xml:space="preserve">information toward the students of her class and as a result they appeared more motivated to continue the lesson rather than loosing motivation as a result of their low marks. This is further supported by the fact that the journal states that “Both Positive and Negative feedback and serve to enhance learning as long as they provide specific information” </w:t>
      </w:r>
      <w:r w:rsidR="00FA709D" w:rsidRPr="004B7721">
        <w:t>(Voerman et al., 2012</w:t>
      </w:r>
      <w:r w:rsidR="00FA709D">
        <w:t>).</w:t>
      </w:r>
      <w:r>
        <w:t>However other literature on the subject, such as “Assessment &amp; Evaluation in Higher Education” by Emily Faulconer, warns that when students do receive negative feedback often it has a more significant impact on their academic self-esteem and confidence which affect learners and influence their self-learning and academic achievements</w:t>
      </w:r>
      <w:r w:rsidR="00CE7DD8">
        <w:t xml:space="preserve"> (</w:t>
      </w:r>
      <w:r w:rsidR="00CE7DD8" w:rsidRPr="00CE7DD8">
        <w:t>Faulconer et al., 2021)</w:t>
      </w:r>
    </w:p>
    <w:p w14:paraId="2C0455F8" w14:textId="2231C23E" w:rsidR="00EA2621" w:rsidRDefault="50EDD017" w:rsidP="00C80D9D">
      <w:r>
        <w:t>The previous journal by Voerman touches on this subject when it says that feedback can sometimes cause a motivational decline in students and that constant negative feedback can also cause a reluctance in students in performing tasks, which compliments the points made by Faulconer who adds on to Voerman’s points by adding in a critical element that Voerman had not addressed in their article which was learning for failure. This point is crucial because it highlights the importance of student mentality and how they deal with issues like low test scores or not performing well academically, it also shows just how important giving a balance of both positive and negative feedback to a student can affect them. Faulconer’s journal article further states that teachers should always consider the way that they structure their feedback toward students making sure that they highlight the more positive elements in order to ensure student motivation doesn’t suffer whilst also underlining the negative aspects and which areas they can improve upon</w:t>
      </w:r>
      <w:r w:rsidR="003A4CC4">
        <w:t xml:space="preserve"> </w:t>
      </w:r>
      <w:bookmarkStart w:id="0" w:name="_Hlk118373012"/>
      <w:r w:rsidR="003A4CC4">
        <w:t>(Faulconer et al., 2021)</w:t>
      </w:r>
      <w:bookmarkEnd w:id="0"/>
    </w:p>
    <w:p w14:paraId="673B15AC" w14:textId="126EBF3F" w:rsidR="50EDD017" w:rsidRDefault="14577480" w:rsidP="50EDD017">
      <w:r>
        <w:t xml:space="preserve">Both journal articles delve into great detail about the subject about the types of feedback, mainly positive and negative feedback and how they should be used in a constructive way as generic feedback or feedback that is also too negative or in depth is also seen to have a detrimental effect on a learner’s motivation to self-study and aim higher academically </w:t>
      </w:r>
      <w:r w:rsidR="00615C3A" w:rsidRPr="004B7721">
        <w:t>(Voerman et al., 2012</w:t>
      </w:r>
      <w:r w:rsidR="00615C3A">
        <w:t xml:space="preserve">). </w:t>
      </w:r>
      <w:r>
        <w:t xml:space="preserve">Faulconer’s comments in her article on positive feedback that “High quality Positive Feedback should be focused on the identification of specific student strengths and is not just about praise or encouragement” </w:t>
      </w:r>
      <w:r w:rsidR="00BA6B75" w:rsidRPr="00BA6B75">
        <w:t>(Faulconer et al., 2021)</w:t>
      </w:r>
      <w:r w:rsidR="00BA6B75">
        <w:t xml:space="preserve">. </w:t>
      </w:r>
      <w:r>
        <w:t xml:space="preserve">This assessment of what positive feedback should be matches what the teacher did in the critical incident by asking her class to view their low marks as areas of improvement rather than failure and by doing this she is highlighting their capabilities as learners and then provided them with a list of what they had done right within the test. </w:t>
      </w:r>
    </w:p>
    <w:p w14:paraId="480A3091" w14:textId="436C8AFB" w:rsidR="14577480" w:rsidRDefault="14577480" w:rsidP="14577480">
      <w:r>
        <w:t>However, it should be noted that both pieces of literatures do not go into detail about the crucial concept of learning from failure. Faulconer’s article does touch on the subject, but it does not go more into depth about the issue, instead, the article mirrors the concept by framing it under the guise of constructive positive feedback which is only part of process. Learning from failure is an essential concept as it links to how students handle the feedback given to them and the journals so far only touch upon how to best prepare the feedback required for the students to then begin the process of learning from their shortcomings. Conveniently enough, there is an article that deals with this issue directly called “Failure is just another try</w:t>
      </w:r>
      <w:r w:rsidRPr="14577480">
        <w:rPr>
          <w:rFonts w:ascii="Calibri" w:eastAsia="Calibri" w:hAnsi="Calibri" w:cs="Calibri"/>
        </w:rPr>
        <w:t xml:space="preserve">” by Jaakko Hilppö. What sets Hilppö’s article apart from the other journal articles is that it addresses the topic of learning from failure directly whereas the other two articles merely either touch on it briefly as was the case for Faulconer’s article or do not address the issue at all which was the case for Voerman’s article. </w:t>
      </w:r>
    </w:p>
    <w:p w14:paraId="72076316" w14:textId="7347BDBA" w:rsidR="14577480" w:rsidRDefault="2A2CB3D9" w:rsidP="2A2CB3D9">
      <w:pPr>
        <w:rPr>
          <w:rFonts w:ascii="Calibri" w:eastAsia="Calibri" w:hAnsi="Calibri" w:cs="Calibri"/>
        </w:rPr>
      </w:pPr>
      <w:r w:rsidRPr="2A2CB3D9">
        <w:rPr>
          <w:rFonts w:ascii="Calibri" w:eastAsia="Calibri" w:hAnsi="Calibri" w:cs="Calibri"/>
        </w:rPr>
        <w:t xml:space="preserve">Hilppö states in the beginning of their article that “failure can easily become stigmatized in the practices of schooling. In turn, it can lead students to avoid activities in which they can be evaluated as failing” </w:t>
      </w:r>
      <w:r w:rsidR="000F51AB">
        <w:t>(Hilppö &amp; Stevens, 2020</w:t>
      </w:r>
      <w:r w:rsidRPr="2A2CB3D9">
        <w:rPr>
          <w:rFonts w:ascii="Calibri" w:eastAsia="Calibri" w:hAnsi="Calibri" w:cs="Calibri"/>
        </w:rPr>
        <w:t xml:space="preserve">). This point links back to the points which Faulconer and Voerman were making regarding how teachers utilize feedback within the classroom in order to avoid a situation where students aren’t willing to participate in activities or do not possess enough motivation or mental stamina in order to proceed with their learning, however this is where Hilppö </w:t>
      </w:r>
      <w:r w:rsidRPr="2A2CB3D9">
        <w:rPr>
          <w:rFonts w:ascii="Calibri" w:eastAsia="Calibri" w:hAnsi="Calibri" w:cs="Calibri"/>
        </w:rPr>
        <w:lastRenderedPageBreak/>
        <w:t xml:space="preserve">expands on the point on the concept of failure and learning from it. Hilppö’s article addresses the term failure, instead referring to it as an opportunity to learn rather than something that was widely stigmatised and punitive as a concept when referring to a student's ability to perform academically. The article instead chooses to reframe the term failure into something more positive and suitable for the modern learning environment where the process of failing should instead be viewed as part of the learning process rather than having students be punished for it which only serves to lower their motivation for learning altogether. </w:t>
      </w:r>
      <w:r w:rsidR="008046D4" w:rsidRPr="2A2CB3D9">
        <w:rPr>
          <w:rFonts w:ascii="Calibri" w:eastAsia="Calibri" w:hAnsi="Calibri" w:cs="Calibri"/>
        </w:rPr>
        <w:t>Referring</w:t>
      </w:r>
      <w:r w:rsidRPr="2A2CB3D9">
        <w:rPr>
          <w:rFonts w:ascii="Calibri" w:eastAsia="Calibri" w:hAnsi="Calibri" w:cs="Calibri"/>
        </w:rPr>
        <w:t xml:space="preserve"> to the Critical incident, Hilppö’s article and the way that it treats failure is very reminiscent of how the teacher handles giving out her feedback to her students who were already not too keen </w:t>
      </w:r>
      <w:bookmarkStart w:id="1" w:name="_Int_q3p34HSA"/>
      <w:r w:rsidRPr="2A2CB3D9">
        <w:rPr>
          <w:rFonts w:ascii="Calibri" w:eastAsia="Calibri" w:hAnsi="Calibri" w:cs="Calibri"/>
        </w:rPr>
        <w:t>on mathematics</w:t>
      </w:r>
      <w:bookmarkEnd w:id="1"/>
      <w:r w:rsidRPr="2A2CB3D9">
        <w:rPr>
          <w:rFonts w:ascii="Calibri" w:eastAsia="Calibri" w:hAnsi="Calibri" w:cs="Calibri"/>
        </w:rPr>
        <w:t xml:space="preserve"> to begins with, she uses the moment she has when addressing them to re-frame their low grades as learning opportunities thus turning them into part of their learning process going forwards instead of viewing them as negative outcomes. </w:t>
      </w:r>
      <w:r w:rsidR="008661C6">
        <w:rPr>
          <w:rFonts w:ascii="Calibri" w:eastAsia="Calibri" w:hAnsi="Calibri" w:cs="Calibri"/>
        </w:rPr>
        <w:t xml:space="preserve">Moreover, other </w:t>
      </w:r>
      <w:r w:rsidR="00AD7216">
        <w:rPr>
          <w:rFonts w:ascii="Calibri" w:eastAsia="Calibri" w:hAnsi="Calibri" w:cs="Calibri"/>
        </w:rPr>
        <w:t>literature done on the subject of learning from failure state that when students do fail</w:t>
      </w:r>
      <w:r w:rsidR="002D25C8">
        <w:rPr>
          <w:rFonts w:ascii="Calibri" w:eastAsia="Calibri" w:hAnsi="Calibri" w:cs="Calibri"/>
        </w:rPr>
        <w:t xml:space="preserve">, their learning outcomes in the long run </w:t>
      </w:r>
      <w:r w:rsidR="0076407F">
        <w:rPr>
          <w:rFonts w:ascii="Calibri" w:eastAsia="Calibri" w:hAnsi="Calibri" w:cs="Calibri"/>
        </w:rPr>
        <w:t xml:space="preserve">are often improved </w:t>
      </w:r>
      <w:r w:rsidR="004A0F18">
        <w:rPr>
          <w:rFonts w:ascii="Calibri" w:eastAsia="Calibri" w:hAnsi="Calibri" w:cs="Calibri"/>
        </w:rPr>
        <w:t xml:space="preserve">after they’ve </w:t>
      </w:r>
      <w:r w:rsidR="001761E1">
        <w:rPr>
          <w:rFonts w:ascii="Calibri" w:eastAsia="Calibri" w:hAnsi="Calibri" w:cs="Calibri"/>
        </w:rPr>
        <w:t>learned from their mistakes</w:t>
      </w:r>
      <w:r w:rsidR="0004372B">
        <w:rPr>
          <w:rFonts w:ascii="Calibri" w:eastAsia="Calibri" w:hAnsi="Calibri" w:cs="Calibri"/>
        </w:rPr>
        <w:t xml:space="preserve">, proving that failure isn’t inherently </w:t>
      </w:r>
      <w:r w:rsidR="00635694">
        <w:rPr>
          <w:rFonts w:ascii="Calibri" w:eastAsia="Calibri" w:hAnsi="Calibri" w:cs="Calibri"/>
        </w:rPr>
        <w:t xml:space="preserve">a bad thing but rather part of a </w:t>
      </w:r>
      <w:r w:rsidR="008046D4">
        <w:rPr>
          <w:rFonts w:ascii="Calibri" w:eastAsia="Calibri" w:hAnsi="Calibri" w:cs="Calibri"/>
        </w:rPr>
        <w:t>student’s</w:t>
      </w:r>
      <w:r w:rsidR="00635694">
        <w:rPr>
          <w:rFonts w:ascii="Calibri" w:eastAsia="Calibri" w:hAnsi="Calibri" w:cs="Calibri"/>
        </w:rPr>
        <w:t xml:space="preserve"> learning process </w:t>
      </w:r>
      <w:r w:rsidR="006A3746" w:rsidRPr="006A3746">
        <w:rPr>
          <w:rFonts w:ascii="Calibri" w:eastAsia="Calibri" w:hAnsi="Calibri" w:cs="Calibri"/>
        </w:rPr>
        <w:t>(Sinha &amp; Kapur, 2021)</w:t>
      </w:r>
      <w:r w:rsidR="14577480">
        <w:br/>
      </w:r>
      <w:r w:rsidR="14577480">
        <w:br/>
      </w:r>
      <w:r w:rsidRPr="2A2CB3D9">
        <w:rPr>
          <w:rFonts w:ascii="Calibri" w:eastAsia="Calibri" w:hAnsi="Calibri" w:cs="Calibri"/>
        </w:rPr>
        <w:t>The literature based around positive feedback and enhanced learning feedback are vast and still being updated as seen with the works produced by Faulconer and Voerman which were written within the last 10 years and methods that they describe within their articles like using a balance of negative and positive feedback, making it concise and not too detailed or negative along with other techniques such as placing a focus on what students had done right instead of focusing on what was done wrong in an attempt to raise more confident learners. The literature based on learning from failure built upon the points made by Faulconer when they claimed that feedback should be focused on pointing out what was done right as this implies that failure is a necessary part of learning and that more effective learning is carried out in class when students learn from their mistakes (</w:t>
      </w:r>
      <w:r w:rsidR="006C49E8">
        <w:t>Faulconer et al., 2021</w:t>
      </w:r>
      <w:r w:rsidRPr="2A2CB3D9">
        <w:rPr>
          <w:rFonts w:ascii="Calibri" w:eastAsia="Calibri" w:hAnsi="Calibri" w:cs="Calibri"/>
        </w:rPr>
        <w:t xml:space="preserve">). The literature’s so far have a single underlying tone that neatly links all of them together into a singular theme which is mirrored in how teachers in Wales now approach student feedback, which is raising student confidence, by pointing out what the student did right it makes the student more willing and able to participate in both </w:t>
      </w:r>
      <w:r w:rsidR="008854CE" w:rsidRPr="2A2CB3D9">
        <w:rPr>
          <w:rFonts w:ascii="Calibri" w:eastAsia="Calibri" w:hAnsi="Calibri" w:cs="Calibri"/>
        </w:rPr>
        <w:t>classroom</w:t>
      </w:r>
      <w:r w:rsidR="008854CE">
        <w:rPr>
          <w:rFonts w:ascii="Calibri" w:eastAsia="Calibri" w:hAnsi="Calibri" w:cs="Calibri"/>
        </w:rPr>
        <w:t xml:space="preserve"> </w:t>
      </w:r>
      <w:r w:rsidRPr="2A2CB3D9">
        <w:rPr>
          <w:rFonts w:ascii="Calibri" w:eastAsia="Calibri" w:hAnsi="Calibri" w:cs="Calibri"/>
        </w:rPr>
        <w:t xml:space="preserve">learning and their own self-study at home. </w:t>
      </w:r>
    </w:p>
    <w:p w14:paraId="23A7F726" w14:textId="57AB2390" w:rsidR="0044062D" w:rsidRPr="0044062D" w:rsidRDefault="0044062D" w:rsidP="0044062D">
      <w:pPr>
        <w:pStyle w:val="Heading1"/>
        <w:rPr>
          <w:rFonts w:eastAsia="Calibri"/>
          <w:u w:val="single"/>
        </w:rPr>
      </w:pPr>
      <w:r>
        <w:rPr>
          <w:rFonts w:eastAsia="Calibri"/>
          <w:u w:val="single"/>
        </w:rPr>
        <w:t>Reflection/Evaluation</w:t>
      </w:r>
    </w:p>
    <w:p w14:paraId="2FFBFDDA" w14:textId="5E6A506F" w:rsidR="00FF6B8E" w:rsidRDefault="00754168" w:rsidP="2A2CB3D9">
      <w:pPr>
        <w:rPr>
          <w:rFonts w:ascii="Calibri" w:eastAsia="Calibri" w:hAnsi="Calibri" w:cs="Calibri"/>
        </w:rPr>
      </w:pPr>
      <w:r>
        <w:rPr>
          <w:rFonts w:ascii="Calibri" w:eastAsia="Calibri" w:hAnsi="Calibri" w:cs="Calibri"/>
        </w:rPr>
        <w:t xml:space="preserve">Taking into consideration both the academic literature on the subject along with </w:t>
      </w:r>
      <w:r w:rsidR="000E65B5">
        <w:rPr>
          <w:rFonts w:ascii="Calibri" w:eastAsia="Calibri" w:hAnsi="Calibri" w:cs="Calibri"/>
        </w:rPr>
        <w:t xml:space="preserve">what I had observed in the critical incident, </w:t>
      </w:r>
      <w:r w:rsidR="004E151C">
        <w:rPr>
          <w:rFonts w:ascii="Calibri" w:eastAsia="Calibri" w:hAnsi="Calibri" w:cs="Calibri"/>
        </w:rPr>
        <w:t>there is a lot of things for me to begin reflecting o</w:t>
      </w:r>
      <w:r w:rsidR="004922B0">
        <w:rPr>
          <w:rFonts w:ascii="Calibri" w:eastAsia="Calibri" w:hAnsi="Calibri" w:cs="Calibri"/>
        </w:rPr>
        <w:t xml:space="preserve">n for when I am given the chance to teach for the first time during my placement. </w:t>
      </w:r>
      <w:r w:rsidR="008946CF">
        <w:rPr>
          <w:rFonts w:ascii="Calibri" w:eastAsia="Calibri" w:hAnsi="Calibri" w:cs="Calibri"/>
        </w:rPr>
        <w:t>It is</w:t>
      </w:r>
      <w:r w:rsidR="00AA41F8">
        <w:rPr>
          <w:rFonts w:ascii="Calibri" w:eastAsia="Calibri" w:hAnsi="Calibri" w:cs="Calibri"/>
        </w:rPr>
        <w:t xml:space="preserve"> evident that a </w:t>
      </w:r>
      <w:r w:rsidR="007813FB">
        <w:rPr>
          <w:rFonts w:ascii="Calibri" w:eastAsia="Calibri" w:hAnsi="Calibri" w:cs="Calibri"/>
        </w:rPr>
        <w:t>student’s</w:t>
      </w:r>
      <w:r w:rsidR="00AA41F8">
        <w:rPr>
          <w:rFonts w:ascii="Calibri" w:eastAsia="Calibri" w:hAnsi="Calibri" w:cs="Calibri"/>
        </w:rPr>
        <w:t xml:space="preserve"> response to failure in the classroom will have a wider impact on their will to study</w:t>
      </w:r>
      <w:r w:rsidR="0036709A">
        <w:rPr>
          <w:rFonts w:ascii="Calibri" w:eastAsia="Calibri" w:hAnsi="Calibri" w:cs="Calibri"/>
        </w:rPr>
        <w:t xml:space="preserve">, their motivations and their overall mental health and therefore special care must be taken to ensure </w:t>
      </w:r>
      <w:r w:rsidR="00CE4737">
        <w:rPr>
          <w:rFonts w:ascii="Calibri" w:eastAsia="Calibri" w:hAnsi="Calibri" w:cs="Calibri"/>
        </w:rPr>
        <w:t>a perfect balance of both Positive and Negative feedback is presented</w:t>
      </w:r>
      <w:r w:rsidR="009C0718">
        <w:rPr>
          <w:rFonts w:ascii="Calibri" w:eastAsia="Calibri" w:hAnsi="Calibri" w:cs="Calibri"/>
        </w:rPr>
        <w:t xml:space="preserve"> in order to make sure that the student’s motivations are kept at a level where they still feel confident enough to participate in classroom activities</w:t>
      </w:r>
      <w:r w:rsidR="00BC5CFB">
        <w:rPr>
          <w:rFonts w:ascii="Calibri" w:eastAsia="Calibri" w:hAnsi="Calibri" w:cs="Calibri"/>
        </w:rPr>
        <w:t xml:space="preserve"> and self-study at home. </w:t>
      </w:r>
      <w:r w:rsidR="00BC5CFB">
        <w:rPr>
          <w:rFonts w:ascii="Calibri" w:eastAsia="Calibri" w:hAnsi="Calibri" w:cs="Calibri"/>
        </w:rPr>
        <w:br/>
      </w:r>
      <w:r w:rsidR="00BC5CFB">
        <w:rPr>
          <w:rFonts w:ascii="Calibri" w:eastAsia="Calibri" w:hAnsi="Calibri" w:cs="Calibri"/>
        </w:rPr>
        <w:br/>
        <w:t>As stated by Faulconer</w:t>
      </w:r>
      <w:r w:rsidR="00211A13">
        <w:rPr>
          <w:rFonts w:ascii="Calibri" w:eastAsia="Calibri" w:hAnsi="Calibri" w:cs="Calibri"/>
        </w:rPr>
        <w:t>, positive feedback is at its most effective when it’s pointing out what the student has done right instead of handing out generic praises that offer little to no insight</w:t>
      </w:r>
      <w:r w:rsidR="006C795B">
        <w:rPr>
          <w:rFonts w:ascii="Calibri" w:eastAsia="Calibri" w:hAnsi="Calibri" w:cs="Calibri"/>
        </w:rPr>
        <w:t xml:space="preserve"> on what was done right</w:t>
      </w:r>
      <w:r w:rsidR="00E94663">
        <w:rPr>
          <w:rFonts w:ascii="Calibri" w:eastAsia="Calibri" w:hAnsi="Calibri" w:cs="Calibri"/>
        </w:rPr>
        <w:t xml:space="preserve"> and by doing this the student will being to </w:t>
      </w:r>
      <w:r w:rsidR="004F0CB3">
        <w:rPr>
          <w:rFonts w:ascii="Calibri" w:eastAsia="Calibri" w:hAnsi="Calibri" w:cs="Calibri"/>
        </w:rPr>
        <w:t xml:space="preserve">take steps to ensure that they keep up </w:t>
      </w:r>
      <w:r w:rsidR="005C2BF5">
        <w:rPr>
          <w:rFonts w:ascii="Calibri" w:eastAsia="Calibri" w:hAnsi="Calibri" w:cs="Calibri"/>
        </w:rPr>
        <w:t xml:space="preserve">their good work. When I begin teaching classes, </w:t>
      </w:r>
      <w:r w:rsidR="005B37DB">
        <w:rPr>
          <w:rFonts w:ascii="Calibri" w:eastAsia="Calibri" w:hAnsi="Calibri" w:cs="Calibri"/>
        </w:rPr>
        <w:t>I will be sure to highlight what a student has gotten right first as this will ensure that their confidence within themselves is maintained</w:t>
      </w:r>
      <w:r w:rsidR="00905021">
        <w:rPr>
          <w:rFonts w:ascii="Calibri" w:eastAsia="Calibri" w:hAnsi="Calibri" w:cs="Calibri"/>
        </w:rPr>
        <w:t xml:space="preserve"> and my students will know exactly what they would need to work on more and what they would need to maintain in </w:t>
      </w:r>
      <w:r w:rsidR="00905021">
        <w:rPr>
          <w:rFonts w:ascii="Calibri" w:eastAsia="Calibri" w:hAnsi="Calibri" w:cs="Calibri"/>
        </w:rPr>
        <w:lastRenderedPageBreak/>
        <w:t xml:space="preserve">order to </w:t>
      </w:r>
      <w:r w:rsidR="00C13DB7">
        <w:rPr>
          <w:rFonts w:ascii="Calibri" w:eastAsia="Calibri" w:hAnsi="Calibri" w:cs="Calibri"/>
        </w:rPr>
        <w:t xml:space="preserve">improve overall. </w:t>
      </w:r>
      <w:r w:rsidR="004A713A">
        <w:rPr>
          <w:rFonts w:ascii="Calibri" w:eastAsia="Calibri" w:hAnsi="Calibri" w:cs="Calibri"/>
        </w:rPr>
        <w:t>This can be done in a few different ways within a classroom environment</w:t>
      </w:r>
      <w:r w:rsidR="007D674A">
        <w:rPr>
          <w:rFonts w:ascii="Calibri" w:eastAsia="Calibri" w:hAnsi="Calibri" w:cs="Calibri"/>
        </w:rPr>
        <w:t xml:space="preserve"> with </w:t>
      </w:r>
      <w:r w:rsidR="004A713A">
        <w:rPr>
          <w:rFonts w:ascii="Calibri" w:eastAsia="Calibri" w:hAnsi="Calibri" w:cs="Calibri"/>
        </w:rPr>
        <w:t xml:space="preserve">the first </w:t>
      </w:r>
      <w:r w:rsidR="007D674A">
        <w:rPr>
          <w:rFonts w:ascii="Calibri" w:eastAsia="Calibri" w:hAnsi="Calibri" w:cs="Calibri"/>
        </w:rPr>
        <w:t xml:space="preserve">way </w:t>
      </w:r>
      <w:r w:rsidR="004A713A">
        <w:rPr>
          <w:rFonts w:ascii="Calibri" w:eastAsia="Calibri" w:hAnsi="Calibri" w:cs="Calibri"/>
        </w:rPr>
        <w:t>being through oral feedback</w:t>
      </w:r>
      <w:r w:rsidR="001328FD">
        <w:rPr>
          <w:rFonts w:ascii="Calibri" w:eastAsia="Calibri" w:hAnsi="Calibri" w:cs="Calibri"/>
        </w:rPr>
        <w:t xml:space="preserve">, when using this type of </w:t>
      </w:r>
      <w:r w:rsidR="00D77458">
        <w:rPr>
          <w:rFonts w:ascii="Calibri" w:eastAsia="Calibri" w:hAnsi="Calibri" w:cs="Calibri"/>
        </w:rPr>
        <w:t>feedback,</w:t>
      </w:r>
      <w:r w:rsidR="001328FD">
        <w:rPr>
          <w:rFonts w:ascii="Calibri" w:eastAsia="Calibri" w:hAnsi="Calibri" w:cs="Calibri"/>
        </w:rPr>
        <w:t xml:space="preserve"> I would need to make sure that my intent is clearly </w:t>
      </w:r>
      <w:r w:rsidR="00F03B41">
        <w:rPr>
          <w:rFonts w:ascii="Calibri" w:eastAsia="Calibri" w:hAnsi="Calibri" w:cs="Calibri"/>
        </w:rPr>
        <w:t xml:space="preserve">specified and that the student I’m giving feedback too is aware of how to properly interpret </w:t>
      </w:r>
      <w:r w:rsidR="00A21F1D">
        <w:rPr>
          <w:rFonts w:ascii="Calibri" w:eastAsia="Calibri" w:hAnsi="Calibri" w:cs="Calibri"/>
        </w:rPr>
        <w:t xml:space="preserve">the feedback that he is receiving. As </w:t>
      </w:r>
      <w:r w:rsidR="008700EB">
        <w:rPr>
          <w:rFonts w:ascii="Calibri" w:eastAsia="Calibri" w:hAnsi="Calibri" w:cs="Calibri"/>
        </w:rPr>
        <w:t>Kelji states</w:t>
      </w:r>
      <w:r w:rsidR="00992475">
        <w:rPr>
          <w:rFonts w:ascii="Calibri" w:eastAsia="Calibri" w:hAnsi="Calibri" w:cs="Calibri"/>
        </w:rPr>
        <w:t xml:space="preserve">, there have been numerous </w:t>
      </w:r>
      <w:r w:rsidR="0096658B">
        <w:rPr>
          <w:rFonts w:ascii="Calibri" w:eastAsia="Calibri" w:hAnsi="Calibri" w:cs="Calibri"/>
        </w:rPr>
        <w:t>studies conducte</w:t>
      </w:r>
      <w:r w:rsidR="00E33922">
        <w:rPr>
          <w:rFonts w:ascii="Calibri" w:eastAsia="Calibri" w:hAnsi="Calibri" w:cs="Calibri"/>
        </w:rPr>
        <w:t xml:space="preserve">d which show that despite the provision of </w:t>
      </w:r>
      <w:r w:rsidR="00457945">
        <w:rPr>
          <w:rFonts w:ascii="Calibri" w:eastAsia="Calibri" w:hAnsi="Calibri" w:cs="Calibri"/>
        </w:rPr>
        <w:t xml:space="preserve">what was regarded as effective feedback student learning outcomes had varied widely and at times </w:t>
      </w:r>
      <w:r w:rsidR="0084169D">
        <w:rPr>
          <w:rFonts w:ascii="Calibri" w:eastAsia="Calibri" w:hAnsi="Calibri" w:cs="Calibri"/>
        </w:rPr>
        <w:t xml:space="preserve">it had been shown that student learning did </w:t>
      </w:r>
      <w:r w:rsidR="003E3727">
        <w:rPr>
          <w:rFonts w:ascii="Calibri" w:eastAsia="Calibri" w:hAnsi="Calibri" w:cs="Calibri"/>
        </w:rPr>
        <w:t xml:space="preserve">not necessarily improve. </w:t>
      </w:r>
    </w:p>
    <w:p w14:paraId="1858E97C" w14:textId="3175AED0" w:rsidR="009E47B2" w:rsidRDefault="003E3727" w:rsidP="2A2CB3D9">
      <w:pPr>
        <w:rPr>
          <w:rFonts w:ascii="Calibri" w:eastAsia="Calibri" w:hAnsi="Calibri" w:cs="Calibri"/>
        </w:rPr>
      </w:pPr>
      <w:r>
        <w:rPr>
          <w:rFonts w:ascii="Calibri" w:eastAsia="Calibri" w:hAnsi="Calibri" w:cs="Calibri"/>
        </w:rPr>
        <w:t>If I am to make sure that my students are going to</w:t>
      </w:r>
      <w:r w:rsidR="00691003">
        <w:rPr>
          <w:rFonts w:ascii="Calibri" w:eastAsia="Calibri" w:hAnsi="Calibri" w:cs="Calibri"/>
        </w:rPr>
        <w:t xml:space="preserve"> make the best use out of any potential feedback that I may provide for them </w:t>
      </w:r>
      <w:r w:rsidR="00601C6C">
        <w:rPr>
          <w:rFonts w:ascii="Calibri" w:eastAsia="Calibri" w:hAnsi="Calibri" w:cs="Calibri"/>
        </w:rPr>
        <w:t>then it is essential that I make m</w:t>
      </w:r>
      <w:r w:rsidR="00044966">
        <w:rPr>
          <w:rFonts w:ascii="Calibri" w:eastAsia="Calibri" w:hAnsi="Calibri" w:cs="Calibri"/>
        </w:rPr>
        <w:t xml:space="preserve">y students </w:t>
      </w:r>
      <w:r w:rsidR="00AE083C">
        <w:rPr>
          <w:rFonts w:ascii="Calibri" w:eastAsia="Calibri" w:hAnsi="Calibri" w:cs="Calibri"/>
        </w:rPr>
        <w:t xml:space="preserve">interpret </w:t>
      </w:r>
      <w:r w:rsidR="00F71EDF">
        <w:rPr>
          <w:rFonts w:ascii="Calibri" w:eastAsia="Calibri" w:hAnsi="Calibri" w:cs="Calibri"/>
        </w:rPr>
        <w:t xml:space="preserve">my feedback correctly </w:t>
      </w:r>
      <w:r w:rsidR="00B517BB">
        <w:rPr>
          <w:rFonts w:ascii="Calibri" w:eastAsia="Calibri" w:hAnsi="Calibri" w:cs="Calibri"/>
        </w:rPr>
        <w:t xml:space="preserve">or else it would be meaningless, regardless of how well I had structured </w:t>
      </w:r>
      <w:r w:rsidR="00684CE0">
        <w:rPr>
          <w:rFonts w:ascii="Calibri" w:eastAsia="Calibri" w:hAnsi="Calibri" w:cs="Calibri"/>
        </w:rPr>
        <w:t xml:space="preserve">my feedback. </w:t>
      </w:r>
      <w:r w:rsidR="00250D32">
        <w:rPr>
          <w:rFonts w:ascii="Calibri" w:eastAsia="Calibri" w:hAnsi="Calibri" w:cs="Calibri"/>
        </w:rPr>
        <w:t xml:space="preserve">The best way to ensure that my point does get across a good solution to this problem would be if I had one on one sessions with students </w:t>
      </w:r>
      <w:r w:rsidR="009F27AC">
        <w:rPr>
          <w:rFonts w:ascii="Calibri" w:eastAsia="Calibri" w:hAnsi="Calibri" w:cs="Calibri"/>
        </w:rPr>
        <w:t xml:space="preserve">to discuss their feedback with them, carefully explaining in detail what I had meant by the feedback that I had given to them whilst also letting them ask questions </w:t>
      </w:r>
      <w:r w:rsidR="006A6F4E">
        <w:rPr>
          <w:rFonts w:ascii="Calibri" w:eastAsia="Calibri" w:hAnsi="Calibri" w:cs="Calibri"/>
        </w:rPr>
        <w:t xml:space="preserve">in an effort to ensure that their interpretation of the feedback correctly fits my intentions for them. </w:t>
      </w:r>
      <w:r w:rsidR="00D245F6">
        <w:rPr>
          <w:rFonts w:ascii="Calibri" w:eastAsia="Calibri" w:hAnsi="Calibri" w:cs="Calibri"/>
        </w:rPr>
        <w:t xml:space="preserve">As a teacher it is </w:t>
      </w:r>
      <w:r w:rsidR="009A6345">
        <w:rPr>
          <w:rFonts w:ascii="Calibri" w:eastAsia="Calibri" w:hAnsi="Calibri" w:cs="Calibri"/>
        </w:rPr>
        <w:t xml:space="preserve">an essential to be able to balance out the various types of feedback within the classroom in order to ensure that </w:t>
      </w:r>
      <w:r w:rsidR="0037451D">
        <w:rPr>
          <w:rFonts w:ascii="Calibri" w:eastAsia="Calibri" w:hAnsi="Calibri" w:cs="Calibri"/>
        </w:rPr>
        <w:t>students are able to retain as much as possible</w:t>
      </w:r>
      <w:r w:rsidR="00283FF9">
        <w:rPr>
          <w:rFonts w:ascii="Calibri" w:eastAsia="Calibri" w:hAnsi="Calibri" w:cs="Calibri"/>
        </w:rPr>
        <w:t xml:space="preserve"> and so that students will be able to learn from their mistakes and </w:t>
      </w:r>
      <w:r w:rsidR="00055D26">
        <w:rPr>
          <w:rFonts w:ascii="Calibri" w:eastAsia="Calibri" w:hAnsi="Calibri" w:cs="Calibri"/>
        </w:rPr>
        <w:t>grow into better and more confident learners</w:t>
      </w:r>
      <w:r w:rsidR="009E47B2">
        <w:rPr>
          <w:rFonts w:ascii="Calibri" w:eastAsia="Calibri" w:hAnsi="Calibri" w:cs="Calibri"/>
        </w:rPr>
        <w:t xml:space="preserve">. </w:t>
      </w:r>
      <w:r w:rsidR="009B0FFD">
        <w:rPr>
          <w:rFonts w:ascii="Calibri" w:eastAsia="Calibri" w:hAnsi="Calibri" w:cs="Calibri"/>
        </w:rPr>
        <w:t xml:space="preserve">However, </w:t>
      </w:r>
      <w:r w:rsidR="00005536">
        <w:rPr>
          <w:rFonts w:ascii="Calibri" w:eastAsia="Calibri" w:hAnsi="Calibri" w:cs="Calibri"/>
        </w:rPr>
        <w:t xml:space="preserve">for feedback to be as effective as it can be there needs to be a healthy balance between positive and negative feedback </w:t>
      </w:r>
      <w:r w:rsidR="0074014B">
        <w:rPr>
          <w:rFonts w:ascii="Calibri" w:eastAsia="Calibri" w:hAnsi="Calibri" w:cs="Calibri"/>
        </w:rPr>
        <w:t xml:space="preserve">which is something I would need to </w:t>
      </w:r>
      <w:r w:rsidR="005062F5">
        <w:rPr>
          <w:rFonts w:ascii="Calibri" w:eastAsia="Calibri" w:hAnsi="Calibri" w:cs="Calibri"/>
        </w:rPr>
        <w:t>figure out if I am going to be able to issue</w:t>
      </w:r>
      <w:r w:rsidR="00E22E0B">
        <w:rPr>
          <w:rFonts w:ascii="Calibri" w:eastAsia="Calibri" w:hAnsi="Calibri" w:cs="Calibri"/>
        </w:rPr>
        <w:t xml:space="preserve"> </w:t>
      </w:r>
      <w:r w:rsidR="007B2F69">
        <w:rPr>
          <w:rFonts w:ascii="Calibri" w:eastAsia="Calibri" w:hAnsi="Calibri" w:cs="Calibri"/>
        </w:rPr>
        <w:t>proper and meaningful feedback towards the stude</w:t>
      </w:r>
      <w:r w:rsidR="00F34FB0">
        <w:rPr>
          <w:rFonts w:ascii="Calibri" w:eastAsia="Calibri" w:hAnsi="Calibri" w:cs="Calibri"/>
        </w:rPr>
        <w:t>nts that I’m teaching</w:t>
      </w:r>
      <w:r w:rsidR="00E97AE6">
        <w:rPr>
          <w:rFonts w:ascii="Calibri" w:eastAsia="Calibri" w:hAnsi="Calibri" w:cs="Calibri"/>
        </w:rPr>
        <w:t xml:space="preserve">. As Voerman stated, feedback that tends to be too negative or too </w:t>
      </w:r>
      <w:r w:rsidR="00482959">
        <w:rPr>
          <w:rFonts w:ascii="Calibri" w:eastAsia="Calibri" w:hAnsi="Calibri" w:cs="Calibri"/>
        </w:rPr>
        <w:t xml:space="preserve">in depth can have a negative impact on a </w:t>
      </w:r>
      <w:r w:rsidR="006D045D">
        <w:rPr>
          <w:rFonts w:ascii="Calibri" w:eastAsia="Calibri" w:hAnsi="Calibri" w:cs="Calibri"/>
        </w:rPr>
        <w:t>student’s</w:t>
      </w:r>
      <w:r w:rsidR="00482959">
        <w:rPr>
          <w:rFonts w:ascii="Calibri" w:eastAsia="Calibri" w:hAnsi="Calibri" w:cs="Calibri"/>
        </w:rPr>
        <w:t xml:space="preserve"> willingness to study both inside of the classroom and in their own time</w:t>
      </w:r>
      <w:r w:rsidR="00A32338">
        <w:rPr>
          <w:rFonts w:ascii="Calibri" w:eastAsia="Calibri" w:hAnsi="Calibri" w:cs="Calibri"/>
        </w:rPr>
        <w:t xml:space="preserve">, </w:t>
      </w:r>
      <w:r w:rsidR="00367FFE">
        <w:rPr>
          <w:rFonts w:ascii="Calibri" w:eastAsia="Calibri" w:hAnsi="Calibri" w:cs="Calibri"/>
        </w:rPr>
        <w:t xml:space="preserve">in order to avoid </w:t>
      </w:r>
      <w:r w:rsidR="006D045D">
        <w:rPr>
          <w:rFonts w:ascii="Calibri" w:eastAsia="Calibri" w:hAnsi="Calibri" w:cs="Calibri"/>
        </w:rPr>
        <w:t>this,</w:t>
      </w:r>
      <w:r w:rsidR="00367FFE">
        <w:rPr>
          <w:rFonts w:ascii="Calibri" w:eastAsia="Calibri" w:hAnsi="Calibri" w:cs="Calibri"/>
        </w:rPr>
        <w:t xml:space="preserve"> I would need to structure my feedback </w:t>
      </w:r>
      <w:r w:rsidR="00EF1D10">
        <w:rPr>
          <w:rFonts w:ascii="Calibri" w:eastAsia="Calibri" w:hAnsi="Calibri" w:cs="Calibri"/>
        </w:rPr>
        <w:t xml:space="preserve">in a way that highlights the positives of their work </w:t>
      </w:r>
      <w:r w:rsidR="00A74D8C">
        <w:rPr>
          <w:rFonts w:ascii="Calibri" w:eastAsia="Calibri" w:hAnsi="Calibri" w:cs="Calibri"/>
        </w:rPr>
        <w:t>whilst not overshadowing what they would need to work on mo</w:t>
      </w:r>
      <w:r w:rsidR="00A95366">
        <w:rPr>
          <w:rFonts w:ascii="Calibri" w:eastAsia="Calibri" w:hAnsi="Calibri" w:cs="Calibri"/>
        </w:rPr>
        <w:t xml:space="preserve">re. By placing an emphasis on what they have done right first it </w:t>
      </w:r>
      <w:r w:rsidR="00F51160">
        <w:rPr>
          <w:rFonts w:ascii="Calibri" w:eastAsia="Calibri" w:hAnsi="Calibri" w:cs="Calibri"/>
        </w:rPr>
        <w:t>will bolster their confidence</w:t>
      </w:r>
      <w:r w:rsidR="00FC4940">
        <w:rPr>
          <w:rFonts w:ascii="Calibri" w:eastAsia="Calibri" w:hAnsi="Calibri" w:cs="Calibri"/>
        </w:rPr>
        <w:t xml:space="preserve"> and make stude</w:t>
      </w:r>
      <w:r w:rsidR="00F63AEA">
        <w:rPr>
          <w:rFonts w:ascii="Calibri" w:eastAsia="Calibri" w:hAnsi="Calibri" w:cs="Calibri"/>
        </w:rPr>
        <w:t xml:space="preserve">nts more prepared to face the negative part of the feedback </w:t>
      </w:r>
      <w:r w:rsidR="00CC6BED">
        <w:rPr>
          <w:rFonts w:ascii="Calibri" w:eastAsia="Calibri" w:hAnsi="Calibri" w:cs="Calibri"/>
        </w:rPr>
        <w:t xml:space="preserve">that details which areas they will need to work on more in order to </w:t>
      </w:r>
      <w:r w:rsidR="000553FC">
        <w:rPr>
          <w:rFonts w:ascii="Calibri" w:eastAsia="Calibri" w:hAnsi="Calibri" w:cs="Calibri"/>
        </w:rPr>
        <w:t>ensure that the</w:t>
      </w:r>
      <w:r w:rsidR="003A3429">
        <w:rPr>
          <w:rFonts w:ascii="Calibri" w:eastAsia="Calibri" w:hAnsi="Calibri" w:cs="Calibri"/>
        </w:rPr>
        <w:t>y don’t get discouraged by what they did wrong</w:t>
      </w:r>
      <w:r w:rsidR="00AC1E21">
        <w:rPr>
          <w:rFonts w:ascii="Calibri" w:eastAsia="Calibri" w:hAnsi="Calibri" w:cs="Calibri"/>
        </w:rPr>
        <w:t xml:space="preserve">. </w:t>
      </w:r>
    </w:p>
    <w:p w14:paraId="43585530" w14:textId="0F01C26C" w:rsidR="005223E8" w:rsidRPr="005223E8" w:rsidRDefault="005223E8" w:rsidP="005223E8">
      <w:pPr>
        <w:pStyle w:val="Heading1"/>
        <w:rPr>
          <w:rFonts w:eastAsia="Calibri"/>
          <w:u w:val="single"/>
        </w:rPr>
      </w:pPr>
      <w:r>
        <w:rPr>
          <w:rFonts w:eastAsia="Calibri"/>
          <w:u w:val="single"/>
        </w:rPr>
        <w:t>Conclusion</w:t>
      </w:r>
    </w:p>
    <w:p w14:paraId="085556E4" w14:textId="2DC395D8" w:rsidR="004009A5" w:rsidRDefault="00AC1E21" w:rsidP="2A2CB3D9">
      <w:pPr>
        <w:rPr>
          <w:rFonts w:ascii="Calibri" w:eastAsia="Calibri" w:hAnsi="Calibri" w:cs="Calibri"/>
        </w:rPr>
      </w:pPr>
      <w:r>
        <w:rPr>
          <w:rFonts w:ascii="Calibri" w:eastAsia="Calibri" w:hAnsi="Calibri" w:cs="Calibri"/>
        </w:rPr>
        <w:t xml:space="preserve">In conclusion, </w:t>
      </w:r>
      <w:r w:rsidR="00030CA8">
        <w:rPr>
          <w:rFonts w:ascii="Calibri" w:eastAsia="Calibri" w:hAnsi="Calibri" w:cs="Calibri"/>
        </w:rPr>
        <w:t>Critical reflection is a key skill that teachers both new and those still currently in the profession use to further better understand their working environment. Each class may have similarities but as is often the case</w:t>
      </w:r>
      <w:r w:rsidR="008F256C">
        <w:rPr>
          <w:rFonts w:ascii="Calibri" w:eastAsia="Calibri" w:hAnsi="Calibri" w:cs="Calibri"/>
        </w:rPr>
        <w:t xml:space="preserve"> </w:t>
      </w:r>
      <w:r w:rsidR="001050A1">
        <w:rPr>
          <w:rFonts w:ascii="Calibri" w:eastAsia="Calibri" w:hAnsi="Calibri" w:cs="Calibri"/>
        </w:rPr>
        <w:t xml:space="preserve">no two classroom environments are the same, there will always be students with their own unique set of skills they need to work on and their own strengths </w:t>
      </w:r>
      <w:r w:rsidR="006D2D5F">
        <w:rPr>
          <w:rFonts w:ascii="Calibri" w:eastAsia="Calibri" w:hAnsi="Calibri" w:cs="Calibri"/>
        </w:rPr>
        <w:t xml:space="preserve">and as teachers it is often </w:t>
      </w:r>
      <w:r w:rsidR="0005691F">
        <w:rPr>
          <w:rFonts w:ascii="Calibri" w:eastAsia="Calibri" w:hAnsi="Calibri" w:cs="Calibri"/>
        </w:rPr>
        <w:t xml:space="preserve">their job to adapt to these </w:t>
      </w:r>
      <w:r w:rsidR="00A74917">
        <w:rPr>
          <w:rFonts w:ascii="Calibri" w:eastAsia="Calibri" w:hAnsi="Calibri" w:cs="Calibri"/>
        </w:rPr>
        <w:t>ever-changing</w:t>
      </w:r>
      <w:r w:rsidR="0005691F">
        <w:rPr>
          <w:rFonts w:ascii="Calibri" w:eastAsia="Calibri" w:hAnsi="Calibri" w:cs="Calibri"/>
        </w:rPr>
        <w:t xml:space="preserve"> environments and adapt to that change. In more recent years however, </w:t>
      </w:r>
      <w:r w:rsidR="00A74917">
        <w:rPr>
          <w:rFonts w:ascii="Calibri" w:eastAsia="Calibri" w:hAnsi="Calibri" w:cs="Calibri"/>
        </w:rPr>
        <w:t>especially in Wales, teachers now must adapt with the growing changes that have been made to the Curriculum</w:t>
      </w:r>
      <w:r w:rsidR="00941B3E">
        <w:rPr>
          <w:rFonts w:ascii="Calibri" w:eastAsia="Calibri" w:hAnsi="Calibri" w:cs="Calibri"/>
        </w:rPr>
        <w:t xml:space="preserve"> which gives teachers newfound freedoms that they didn’t have before</w:t>
      </w:r>
      <w:r w:rsidR="007F71B2">
        <w:rPr>
          <w:rFonts w:ascii="Calibri" w:eastAsia="Calibri" w:hAnsi="Calibri" w:cs="Calibri"/>
        </w:rPr>
        <w:t xml:space="preserve">. </w:t>
      </w:r>
      <w:r w:rsidR="006C7884">
        <w:rPr>
          <w:rFonts w:ascii="Calibri" w:eastAsia="Calibri" w:hAnsi="Calibri" w:cs="Calibri"/>
        </w:rPr>
        <w:t>Teacher</w:t>
      </w:r>
      <w:r w:rsidR="004C3C27">
        <w:rPr>
          <w:rFonts w:ascii="Calibri" w:eastAsia="Calibri" w:hAnsi="Calibri" w:cs="Calibri"/>
        </w:rPr>
        <w:t>s</w:t>
      </w:r>
      <w:r w:rsidR="006C7884">
        <w:rPr>
          <w:rFonts w:ascii="Calibri" w:eastAsia="Calibri" w:hAnsi="Calibri" w:cs="Calibri"/>
        </w:rPr>
        <w:t xml:space="preserve"> </w:t>
      </w:r>
      <w:r w:rsidR="00941B3E">
        <w:rPr>
          <w:rFonts w:ascii="Calibri" w:eastAsia="Calibri" w:hAnsi="Calibri" w:cs="Calibri"/>
        </w:rPr>
        <w:t>no</w:t>
      </w:r>
      <w:r w:rsidR="006C7884">
        <w:rPr>
          <w:rFonts w:ascii="Calibri" w:eastAsia="Calibri" w:hAnsi="Calibri" w:cs="Calibri"/>
        </w:rPr>
        <w:t>w no</w:t>
      </w:r>
      <w:r w:rsidR="00941B3E">
        <w:rPr>
          <w:rFonts w:ascii="Calibri" w:eastAsia="Calibri" w:hAnsi="Calibri" w:cs="Calibri"/>
        </w:rPr>
        <w:t xml:space="preserve"> longer need to stick </w:t>
      </w:r>
      <w:r w:rsidR="00232FE1">
        <w:rPr>
          <w:rFonts w:ascii="Calibri" w:eastAsia="Calibri" w:hAnsi="Calibri" w:cs="Calibri"/>
        </w:rPr>
        <w:t xml:space="preserve">to a linear </w:t>
      </w:r>
      <w:r w:rsidR="00F1025A">
        <w:rPr>
          <w:rFonts w:ascii="Calibri" w:eastAsia="Calibri" w:hAnsi="Calibri" w:cs="Calibri"/>
        </w:rPr>
        <w:t>pathway of lessons that were previously deigned</w:t>
      </w:r>
      <w:r w:rsidR="00E707C8">
        <w:rPr>
          <w:rFonts w:ascii="Calibri" w:eastAsia="Calibri" w:hAnsi="Calibri" w:cs="Calibri"/>
        </w:rPr>
        <w:t xml:space="preserve"> </w:t>
      </w:r>
      <w:r w:rsidR="003F347C">
        <w:rPr>
          <w:rFonts w:ascii="Calibri" w:eastAsia="Calibri" w:hAnsi="Calibri" w:cs="Calibri"/>
        </w:rPr>
        <w:t xml:space="preserve">to be taught as they were </w:t>
      </w:r>
      <w:r w:rsidR="0013625C">
        <w:rPr>
          <w:rFonts w:ascii="Calibri" w:eastAsia="Calibri" w:hAnsi="Calibri" w:cs="Calibri"/>
        </w:rPr>
        <w:t xml:space="preserve">and can now teach what they think is most appropriate for </w:t>
      </w:r>
      <w:r w:rsidR="00E707C8">
        <w:rPr>
          <w:rFonts w:ascii="Calibri" w:eastAsia="Calibri" w:hAnsi="Calibri" w:cs="Calibri"/>
        </w:rPr>
        <w:t>students to learn</w:t>
      </w:r>
      <w:r w:rsidR="00F04555">
        <w:rPr>
          <w:rFonts w:ascii="Calibri" w:eastAsia="Calibri" w:hAnsi="Calibri" w:cs="Calibri"/>
        </w:rPr>
        <w:t xml:space="preserve">. In short, under the new </w:t>
      </w:r>
      <w:r w:rsidR="00E95084">
        <w:rPr>
          <w:rFonts w:ascii="Calibri" w:eastAsia="Calibri" w:hAnsi="Calibri" w:cs="Calibri"/>
        </w:rPr>
        <w:t>curriculum</w:t>
      </w:r>
      <w:r w:rsidR="00F04555">
        <w:rPr>
          <w:rFonts w:ascii="Calibri" w:eastAsia="Calibri" w:hAnsi="Calibri" w:cs="Calibri"/>
        </w:rPr>
        <w:t xml:space="preserve"> teachers now that a great amount of flexibility</w:t>
      </w:r>
      <w:r w:rsidR="00E95084">
        <w:rPr>
          <w:rFonts w:ascii="Calibri" w:eastAsia="Calibri" w:hAnsi="Calibri" w:cs="Calibri"/>
        </w:rPr>
        <w:t xml:space="preserve">, and </w:t>
      </w:r>
      <w:r w:rsidR="00E707C8">
        <w:rPr>
          <w:rFonts w:ascii="Calibri" w:eastAsia="Calibri" w:hAnsi="Calibri" w:cs="Calibri"/>
        </w:rPr>
        <w:t xml:space="preserve">with this newfound freedom the role of critical reflection has </w:t>
      </w:r>
      <w:r w:rsidR="00D346F5">
        <w:rPr>
          <w:rFonts w:ascii="Calibri" w:eastAsia="Calibri" w:hAnsi="Calibri" w:cs="Calibri"/>
        </w:rPr>
        <w:t>become an essential part of a teacher’s skill set as they will now be able to make the proper adjustments to their lessons accordingly based on the reactions and behaviours of the students under their care</w:t>
      </w:r>
      <w:r w:rsidR="00D827F6">
        <w:rPr>
          <w:rFonts w:ascii="Calibri" w:eastAsia="Calibri" w:hAnsi="Calibri" w:cs="Calibri"/>
        </w:rPr>
        <w:t xml:space="preserve">. </w:t>
      </w:r>
      <w:r w:rsidR="00E34369">
        <w:rPr>
          <w:rFonts w:ascii="Calibri" w:eastAsia="Calibri" w:hAnsi="Calibri" w:cs="Calibri"/>
        </w:rPr>
        <w:t xml:space="preserve">For new teachers, the role of Critical reflection is </w:t>
      </w:r>
      <w:r w:rsidR="00DC0152">
        <w:rPr>
          <w:rFonts w:ascii="Calibri" w:eastAsia="Calibri" w:hAnsi="Calibri" w:cs="Calibri"/>
        </w:rPr>
        <w:t>an introduction to the wider world of teac</w:t>
      </w:r>
      <w:r w:rsidR="008F0061">
        <w:rPr>
          <w:rFonts w:ascii="Calibri" w:eastAsia="Calibri" w:hAnsi="Calibri" w:cs="Calibri"/>
        </w:rPr>
        <w:t xml:space="preserve">hing and serves as a stepping stone to which </w:t>
      </w:r>
      <w:r w:rsidR="00AF1716">
        <w:rPr>
          <w:rFonts w:ascii="Calibri" w:eastAsia="Calibri" w:hAnsi="Calibri" w:cs="Calibri"/>
        </w:rPr>
        <w:t xml:space="preserve">new teachers are then able to develop their own styles of teaching based on what they observe in classroom in the forms of critical incidents that they observe and </w:t>
      </w:r>
      <w:r w:rsidR="00DE1BE0">
        <w:rPr>
          <w:rFonts w:ascii="Calibri" w:eastAsia="Calibri" w:hAnsi="Calibri" w:cs="Calibri"/>
        </w:rPr>
        <w:t xml:space="preserve">by taking notes </w:t>
      </w:r>
      <w:r w:rsidR="00E3593C">
        <w:rPr>
          <w:rFonts w:ascii="Calibri" w:eastAsia="Calibri" w:hAnsi="Calibri" w:cs="Calibri"/>
        </w:rPr>
        <w:t xml:space="preserve">on what the more experienced teacher is </w:t>
      </w:r>
      <w:r w:rsidR="00943748">
        <w:rPr>
          <w:rFonts w:ascii="Calibri" w:eastAsia="Calibri" w:hAnsi="Calibri" w:cs="Calibri"/>
        </w:rPr>
        <w:t xml:space="preserve">doing in class to form their own style </w:t>
      </w:r>
      <w:r w:rsidR="00BF036F">
        <w:rPr>
          <w:rFonts w:ascii="Calibri" w:eastAsia="Calibri" w:hAnsi="Calibri" w:cs="Calibri"/>
        </w:rPr>
        <w:t xml:space="preserve">which could </w:t>
      </w:r>
      <w:r w:rsidR="00BF036F">
        <w:rPr>
          <w:rFonts w:ascii="Calibri" w:eastAsia="Calibri" w:hAnsi="Calibri" w:cs="Calibri"/>
        </w:rPr>
        <w:lastRenderedPageBreak/>
        <w:t>vary from behavioural management to feedback</w:t>
      </w:r>
      <w:r w:rsidR="00A97DE9">
        <w:rPr>
          <w:rFonts w:ascii="Calibri" w:eastAsia="Calibri" w:hAnsi="Calibri" w:cs="Calibri"/>
        </w:rPr>
        <w:t>, new teachers have much</w:t>
      </w:r>
      <w:r w:rsidR="001A274A">
        <w:rPr>
          <w:rFonts w:ascii="Calibri" w:eastAsia="Calibri" w:hAnsi="Calibri" w:cs="Calibri"/>
        </w:rPr>
        <w:t xml:space="preserve"> they can </w:t>
      </w:r>
      <w:r w:rsidR="002D0449">
        <w:rPr>
          <w:rFonts w:ascii="Calibri" w:eastAsia="Calibri" w:hAnsi="Calibri" w:cs="Calibri"/>
        </w:rPr>
        <w:t xml:space="preserve">critically reflect on in order to become a more effective teacher in the future. </w:t>
      </w:r>
    </w:p>
    <w:p w14:paraId="4FE9BBCB" w14:textId="73EA1F85" w:rsidR="004009A5" w:rsidRPr="007468DC" w:rsidRDefault="004009A5" w:rsidP="007468DC">
      <w:pPr>
        <w:pStyle w:val="Heading1"/>
        <w:rPr>
          <w:rFonts w:eastAsia="Calibri"/>
          <w:u w:val="single"/>
        </w:rPr>
      </w:pPr>
      <w:r>
        <w:rPr>
          <w:rFonts w:eastAsia="Calibri"/>
        </w:rPr>
        <w:br w:type="page"/>
      </w:r>
      <w:r w:rsidR="007468DC">
        <w:rPr>
          <w:rFonts w:eastAsia="Calibri"/>
        </w:rPr>
        <w:lastRenderedPageBreak/>
        <w:br/>
      </w:r>
      <w:r w:rsidR="007468DC">
        <w:rPr>
          <w:rFonts w:eastAsia="Calibri"/>
          <w:u w:val="single"/>
        </w:rPr>
        <w:t xml:space="preserve">BIBLIOGRAPHY </w:t>
      </w:r>
    </w:p>
    <w:p w14:paraId="791FB68D" w14:textId="123C4951" w:rsidR="00A22869" w:rsidRDefault="00A22869" w:rsidP="00F82810">
      <w:pPr>
        <w:pStyle w:val="NormalWeb"/>
        <w:numPr>
          <w:ilvl w:val="0"/>
          <w:numId w:val="1"/>
        </w:numPr>
        <w:spacing w:line="276" w:lineRule="auto"/>
      </w:pPr>
      <w:r>
        <w:t xml:space="preserve">Tripp, D. (1993) </w:t>
      </w:r>
      <w:r>
        <w:rPr>
          <w:i/>
          <w:iCs/>
        </w:rPr>
        <w:t>Critical incidents in teaching: Developing professional judgement</w:t>
      </w:r>
      <w:r>
        <w:t xml:space="preserve">. Abingdon, Oxon: Routledge. </w:t>
      </w:r>
    </w:p>
    <w:p w14:paraId="7D734947" w14:textId="77777777" w:rsidR="00121185" w:rsidRDefault="00121185" w:rsidP="00F82810">
      <w:pPr>
        <w:pStyle w:val="NormalWeb"/>
        <w:numPr>
          <w:ilvl w:val="0"/>
          <w:numId w:val="1"/>
        </w:numPr>
        <w:spacing w:line="276" w:lineRule="auto"/>
      </w:pPr>
      <w:r>
        <w:t xml:space="preserve">Shandomo, H.M. (2010) “ The Role of Critical Reflection in Teacher Education,” </w:t>
      </w:r>
      <w:r>
        <w:rPr>
          <w:i/>
          <w:iCs/>
        </w:rPr>
        <w:t>The Role of Critical Reflection in Teacher Education</w:t>
      </w:r>
      <w:r>
        <w:t xml:space="preserve">, pp. p101–113. </w:t>
      </w:r>
    </w:p>
    <w:p w14:paraId="1D161C6D" w14:textId="77777777" w:rsidR="00984F02" w:rsidRDefault="00984F02" w:rsidP="00F82810">
      <w:pPr>
        <w:pStyle w:val="NormalWeb"/>
        <w:numPr>
          <w:ilvl w:val="0"/>
          <w:numId w:val="1"/>
        </w:numPr>
        <w:spacing w:line="276" w:lineRule="auto"/>
      </w:pPr>
      <w:r>
        <w:t xml:space="preserve">Dewey, J. (1933) </w:t>
      </w:r>
      <w:r>
        <w:rPr>
          <w:i/>
          <w:iCs/>
        </w:rPr>
        <w:t>How we think</w:t>
      </w:r>
      <w:r>
        <w:t xml:space="preserve">. Boston, New York: D.C. Heath and company. </w:t>
      </w:r>
    </w:p>
    <w:p w14:paraId="4A85B076" w14:textId="77777777" w:rsidR="00347378" w:rsidRDefault="00347378" w:rsidP="00F82810">
      <w:pPr>
        <w:pStyle w:val="NormalWeb"/>
        <w:numPr>
          <w:ilvl w:val="0"/>
          <w:numId w:val="1"/>
        </w:numPr>
        <w:spacing w:line="276" w:lineRule="auto"/>
      </w:pPr>
      <w:r>
        <w:t xml:space="preserve">Third, S. (2022) “THE BEGINNING OF THEORIES &amp; MODELS OF REFLECTIVE PRACTICE – JOHN DEWEY,” in </w:t>
      </w:r>
      <w:r>
        <w:rPr>
          <w:i/>
          <w:iCs/>
        </w:rPr>
        <w:t>Reflective Practice in Early Years Education</w:t>
      </w:r>
      <w:r>
        <w:t xml:space="preserve">. London, Ontario: Fanshawe College Pressbooks. </w:t>
      </w:r>
    </w:p>
    <w:p w14:paraId="0D436255" w14:textId="77777777" w:rsidR="00F204F6" w:rsidRDefault="00F204F6" w:rsidP="00F82810">
      <w:pPr>
        <w:pStyle w:val="NormalWeb"/>
        <w:numPr>
          <w:ilvl w:val="0"/>
          <w:numId w:val="1"/>
        </w:numPr>
        <w:spacing w:line="276" w:lineRule="auto"/>
      </w:pPr>
      <w:r>
        <w:t xml:space="preserve">Furlong, J. </w:t>
      </w:r>
      <w:r>
        <w:rPr>
          <w:i/>
          <w:iCs/>
        </w:rPr>
        <w:t>et al.</w:t>
      </w:r>
      <w:r>
        <w:t xml:space="preserve"> (2021) “The reform of initial teacher education in Wales: From vision to reality,” </w:t>
      </w:r>
      <w:r>
        <w:rPr>
          <w:i/>
          <w:iCs/>
        </w:rPr>
        <w:t>Oxford Review of Education</w:t>
      </w:r>
      <w:r>
        <w:t xml:space="preserve">, 47(1), pp. 61–78. Available at: https://doi.org/10.1080/03054985.2020.1842180. </w:t>
      </w:r>
    </w:p>
    <w:p w14:paraId="2EE3A00A" w14:textId="3A2F6149" w:rsidR="005609CA" w:rsidRDefault="005609CA" w:rsidP="00F82810">
      <w:pPr>
        <w:pStyle w:val="NormalWeb"/>
        <w:numPr>
          <w:ilvl w:val="0"/>
          <w:numId w:val="1"/>
        </w:numPr>
        <w:spacing w:line="276" w:lineRule="auto"/>
      </w:pPr>
      <w:r>
        <w:t xml:space="preserve">Estyn(2018) </w:t>
      </w:r>
      <w:r>
        <w:rPr>
          <w:i/>
          <w:iCs/>
        </w:rPr>
        <w:t>Latest inspection reports: Estyn</w:t>
      </w:r>
      <w:r>
        <w:t xml:space="preserve">, </w:t>
      </w:r>
      <w:r>
        <w:rPr>
          <w:i/>
          <w:iCs/>
        </w:rPr>
        <w:t>Welcome to Estyn</w:t>
      </w:r>
      <w:r>
        <w:t xml:space="preserve">. Available at: https://www.estyn.gov.wales/inspection-reports (Accessed: October 14, 2022). </w:t>
      </w:r>
    </w:p>
    <w:p w14:paraId="4525DEE6" w14:textId="77777777" w:rsidR="005459B6" w:rsidRDefault="005459B6" w:rsidP="00F82810">
      <w:pPr>
        <w:pStyle w:val="NormalWeb"/>
        <w:numPr>
          <w:ilvl w:val="0"/>
          <w:numId w:val="1"/>
        </w:numPr>
        <w:spacing w:line="276" w:lineRule="auto"/>
      </w:pPr>
      <w:r>
        <w:t xml:space="preserve">Voerman, L. </w:t>
      </w:r>
      <w:r>
        <w:rPr>
          <w:i/>
          <w:iCs/>
        </w:rPr>
        <w:t>et al.</w:t>
      </w:r>
      <w:r>
        <w:t xml:space="preserve"> (2012) “Types and frequencies of feedback interventions in classroom interaction in secondary education,” </w:t>
      </w:r>
      <w:r>
        <w:rPr>
          <w:i/>
          <w:iCs/>
        </w:rPr>
        <w:t>Teaching and Teacher Education</w:t>
      </w:r>
      <w:r>
        <w:t xml:space="preserve">, 28(8), pp. 1107–1115. Available at: https://doi.org/10.1016/j.tate.2012.06.006. </w:t>
      </w:r>
    </w:p>
    <w:p w14:paraId="5E20FAEB" w14:textId="77777777" w:rsidR="004C022A" w:rsidRDefault="004C022A" w:rsidP="00F82810">
      <w:pPr>
        <w:pStyle w:val="NormalWeb"/>
        <w:numPr>
          <w:ilvl w:val="0"/>
          <w:numId w:val="1"/>
        </w:numPr>
        <w:spacing w:line="276" w:lineRule="auto"/>
      </w:pPr>
      <w:r>
        <w:t xml:space="preserve">Wightwick, A. (2022) “The huge changes to how schools will teach in Wales next term,” </w:t>
      </w:r>
      <w:r>
        <w:rPr>
          <w:i/>
          <w:iCs/>
        </w:rPr>
        <w:t>WalesOnline</w:t>
      </w:r>
      <w:r>
        <w:t xml:space="preserve">, 28 August. </w:t>
      </w:r>
    </w:p>
    <w:p w14:paraId="1D0C014B" w14:textId="77777777" w:rsidR="007813FB" w:rsidRDefault="007813FB" w:rsidP="00F82810">
      <w:pPr>
        <w:pStyle w:val="NormalWeb"/>
        <w:numPr>
          <w:ilvl w:val="0"/>
          <w:numId w:val="1"/>
        </w:numPr>
        <w:spacing w:line="276" w:lineRule="auto"/>
      </w:pPr>
      <w:r>
        <w:t xml:space="preserve">Sinha, T. and Kapur, M. (2021) “When problem solving followed by instruction works: Evidence for productive failure,” </w:t>
      </w:r>
      <w:r>
        <w:rPr>
          <w:i/>
          <w:iCs/>
        </w:rPr>
        <w:t>Review of Educational Research</w:t>
      </w:r>
      <w:r>
        <w:t xml:space="preserve">, 91(5), pp. 761–798. Available at: https://doi.org/10.3102/00346543211019105. </w:t>
      </w:r>
    </w:p>
    <w:p w14:paraId="11159F80" w14:textId="77777777" w:rsidR="000F517F" w:rsidRDefault="000F517F" w:rsidP="00F82810">
      <w:pPr>
        <w:pStyle w:val="NormalWeb"/>
        <w:numPr>
          <w:ilvl w:val="0"/>
          <w:numId w:val="1"/>
        </w:numPr>
        <w:spacing w:line="276" w:lineRule="auto"/>
      </w:pPr>
      <w:r>
        <w:t xml:space="preserve">Donaldson, G. (2014) </w:t>
      </w:r>
      <w:r>
        <w:rPr>
          <w:i/>
          <w:iCs/>
        </w:rPr>
        <w:t>Successful Futures Looking at the Curriculum and Assessment Arrangements in Wales</w:t>
      </w:r>
      <w:r>
        <w:t xml:space="preserve">, </w:t>
      </w:r>
      <w:r>
        <w:rPr>
          <w:i/>
          <w:iCs/>
        </w:rPr>
        <w:t>GOV.WALES</w:t>
      </w:r>
      <w:r>
        <w:t xml:space="preserve">. Available at: https://gov.wales/ (Accessed: October 17, 2022). </w:t>
      </w:r>
    </w:p>
    <w:p w14:paraId="49B288C5" w14:textId="77777777" w:rsidR="004C022A" w:rsidRDefault="004C022A" w:rsidP="004C022A">
      <w:pPr>
        <w:pStyle w:val="NormalWeb"/>
      </w:pPr>
    </w:p>
    <w:p w14:paraId="229735A3" w14:textId="77777777" w:rsidR="00423339" w:rsidRDefault="00423339" w:rsidP="007468DC">
      <w:pPr>
        <w:pStyle w:val="NormalWeb"/>
        <w:numPr>
          <w:ilvl w:val="0"/>
          <w:numId w:val="1"/>
        </w:numPr>
      </w:pPr>
      <w:r>
        <w:t xml:space="preserve">Van Der Kleij, F. and Adie, L. (2020) “Towards effective feedback: An investigation of teachers’ and students’ perceptions of oral feedback in classroom practice,” </w:t>
      </w:r>
      <w:r>
        <w:rPr>
          <w:i/>
          <w:iCs/>
        </w:rPr>
        <w:t>Assessment in Education: Principles, Policy &amp; Practice</w:t>
      </w:r>
      <w:r>
        <w:t xml:space="preserve">, 27(3), pp. 252–270. Available at: https://doi.org/10.1080/0969594x.2020.1748871. </w:t>
      </w:r>
    </w:p>
    <w:p w14:paraId="0E68AF93" w14:textId="77777777" w:rsidR="00F204F6" w:rsidRDefault="00F204F6" w:rsidP="00347378">
      <w:pPr>
        <w:pStyle w:val="NormalWeb"/>
        <w:ind w:left="567" w:hanging="567"/>
      </w:pPr>
    </w:p>
    <w:p w14:paraId="2F728ACD" w14:textId="77777777" w:rsidR="00284EDC" w:rsidRDefault="00284EDC" w:rsidP="007468DC">
      <w:pPr>
        <w:pStyle w:val="NormalWeb"/>
        <w:numPr>
          <w:ilvl w:val="0"/>
          <w:numId w:val="1"/>
        </w:numPr>
      </w:pPr>
      <w:r>
        <w:t xml:space="preserve">Faulconer, E., Griffith, J. and Gruss, A. (2021) “The impact of positive feedback on student outcomes and perceptions,” </w:t>
      </w:r>
      <w:r>
        <w:rPr>
          <w:i/>
          <w:iCs/>
        </w:rPr>
        <w:t>Assessment &amp; Evaluation in Higher Education</w:t>
      </w:r>
      <w:r>
        <w:t xml:space="preserve">, 47(2), pp. 259–268. Available at: https://doi.org/10.1080/02602938.2021.1910140. </w:t>
      </w:r>
    </w:p>
    <w:p w14:paraId="135BCBD6" w14:textId="77777777" w:rsidR="00347378" w:rsidRDefault="00347378" w:rsidP="00984F02">
      <w:pPr>
        <w:pStyle w:val="NormalWeb"/>
      </w:pPr>
    </w:p>
    <w:p w14:paraId="6E17B5B7" w14:textId="7BB09FAB" w:rsidR="005A63F6" w:rsidRDefault="005A63F6" w:rsidP="007468DC">
      <w:pPr>
        <w:pStyle w:val="NormalWeb"/>
        <w:numPr>
          <w:ilvl w:val="0"/>
          <w:numId w:val="1"/>
        </w:numPr>
      </w:pPr>
      <w:r>
        <w:lastRenderedPageBreak/>
        <w:t xml:space="preserve">Hilppö, J. and Stevens, R. (2020) “‘failure is just another try’: Re-framing failure in school through the Fuse Studio Approach,” </w:t>
      </w:r>
      <w:r>
        <w:rPr>
          <w:i/>
          <w:iCs/>
        </w:rPr>
        <w:t>International Journal of Educational Research</w:t>
      </w:r>
      <w:r>
        <w:t xml:space="preserve">, 99, p. 101494. Available at: </w:t>
      </w:r>
      <w:hyperlink r:id="rId5" w:history="1">
        <w:r w:rsidR="00394A2B" w:rsidRPr="0044001D">
          <w:rPr>
            <w:rStyle w:val="Hyperlink"/>
          </w:rPr>
          <w:t>https://doi.org/10.1016/j.ijer.2019.10.004</w:t>
        </w:r>
      </w:hyperlink>
      <w:r>
        <w:t xml:space="preserve">. </w:t>
      </w:r>
    </w:p>
    <w:p w14:paraId="41EA6F50" w14:textId="77777777" w:rsidR="00394A2B" w:rsidRDefault="00394A2B" w:rsidP="00394A2B">
      <w:pPr>
        <w:pStyle w:val="ListParagraph"/>
      </w:pPr>
    </w:p>
    <w:p w14:paraId="12D42B6D" w14:textId="77777777" w:rsidR="00B25383" w:rsidRDefault="00B25383" w:rsidP="00B25383">
      <w:pPr>
        <w:pStyle w:val="NormalWeb"/>
        <w:numPr>
          <w:ilvl w:val="0"/>
          <w:numId w:val="1"/>
        </w:numPr>
      </w:pPr>
      <w:r>
        <w:rPr>
          <w:i/>
          <w:iCs/>
        </w:rPr>
        <w:t>Ethical guidelines for educational research</w:t>
      </w:r>
      <w:r>
        <w:t xml:space="preserve"> (2018). London: BERA. </w:t>
      </w:r>
    </w:p>
    <w:p w14:paraId="11DE8297" w14:textId="77777777" w:rsidR="00394A2B" w:rsidRDefault="00394A2B" w:rsidP="00B25383">
      <w:pPr>
        <w:pStyle w:val="NormalWeb"/>
        <w:ind w:left="720"/>
      </w:pPr>
    </w:p>
    <w:p w14:paraId="5954B712" w14:textId="0E291496" w:rsidR="14577480" w:rsidRPr="007468DC" w:rsidRDefault="14577480" w:rsidP="007468DC">
      <w:pPr>
        <w:pStyle w:val="Heading1"/>
        <w:rPr>
          <w:rFonts w:eastAsia="Calibri"/>
          <w:u w:val="single"/>
        </w:rPr>
      </w:pPr>
    </w:p>
    <w:sectPr w:rsidR="14577480" w:rsidRPr="007468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jiEyCCZf" int2:invalidationBookmarkName="" int2:hashCode="weVZt4XxalqoYV" int2:id="Hsk5OfBP">
      <int2:state int2:value="Rejected" int2:type="LegacyProofing"/>
    </int2:bookmark>
    <int2:bookmark int2:bookmarkName="_Int_q3p34HSA" int2:invalidationBookmarkName="" int2:hashCode="0sx1iQz2X1033v" int2:id="OoaOqWuB">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9F3C2D"/>
    <w:multiLevelType w:val="hybridMultilevel"/>
    <w:tmpl w:val="AB626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6070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1E5"/>
    <w:rsid w:val="00005536"/>
    <w:rsid w:val="00012A99"/>
    <w:rsid w:val="000162B9"/>
    <w:rsid w:val="000168C7"/>
    <w:rsid w:val="0002120F"/>
    <w:rsid w:val="00024571"/>
    <w:rsid w:val="00025FF5"/>
    <w:rsid w:val="00026C55"/>
    <w:rsid w:val="000270B9"/>
    <w:rsid w:val="00030CA8"/>
    <w:rsid w:val="00042D9F"/>
    <w:rsid w:val="0004372B"/>
    <w:rsid w:val="00044966"/>
    <w:rsid w:val="000462D5"/>
    <w:rsid w:val="00050741"/>
    <w:rsid w:val="0005250F"/>
    <w:rsid w:val="000553FC"/>
    <w:rsid w:val="00055D26"/>
    <w:rsid w:val="0005691F"/>
    <w:rsid w:val="000610A1"/>
    <w:rsid w:val="00067DDC"/>
    <w:rsid w:val="000716F5"/>
    <w:rsid w:val="0008421A"/>
    <w:rsid w:val="00086EAB"/>
    <w:rsid w:val="00091A28"/>
    <w:rsid w:val="00094F25"/>
    <w:rsid w:val="000A1F17"/>
    <w:rsid w:val="000B4301"/>
    <w:rsid w:val="000B5A53"/>
    <w:rsid w:val="000C1881"/>
    <w:rsid w:val="000C2164"/>
    <w:rsid w:val="000C5F17"/>
    <w:rsid w:val="000D1CBB"/>
    <w:rsid w:val="000D340B"/>
    <w:rsid w:val="000E0C93"/>
    <w:rsid w:val="000E1512"/>
    <w:rsid w:val="000E65B5"/>
    <w:rsid w:val="000F5148"/>
    <w:rsid w:val="000F517F"/>
    <w:rsid w:val="000F51AB"/>
    <w:rsid w:val="001050A1"/>
    <w:rsid w:val="0010661E"/>
    <w:rsid w:val="00112208"/>
    <w:rsid w:val="00113AF0"/>
    <w:rsid w:val="001203F7"/>
    <w:rsid w:val="00121185"/>
    <w:rsid w:val="001259F3"/>
    <w:rsid w:val="00126882"/>
    <w:rsid w:val="001328FD"/>
    <w:rsid w:val="0013625C"/>
    <w:rsid w:val="001407D5"/>
    <w:rsid w:val="001419A3"/>
    <w:rsid w:val="0015455F"/>
    <w:rsid w:val="00160357"/>
    <w:rsid w:val="00163AD7"/>
    <w:rsid w:val="001761E1"/>
    <w:rsid w:val="00177E6E"/>
    <w:rsid w:val="001820EA"/>
    <w:rsid w:val="001851E5"/>
    <w:rsid w:val="00186A54"/>
    <w:rsid w:val="001A274A"/>
    <w:rsid w:val="001A56B4"/>
    <w:rsid w:val="001B1773"/>
    <w:rsid w:val="001B39F4"/>
    <w:rsid w:val="001B6555"/>
    <w:rsid w:val="001B6C15"/>
    <w:rsid w:val="001C0EA1"/>
    <w:rsid w:val="001D11C6"/>
    <w:rsid w:val="001D6116"/>
    <w:rsid w:val="001E0D8E"/>
    <w:rsid w:val="001E1461"/>
    <w:rsid w:val="001E3D3E"/>
    <w:rsid w:val="001E4A90"/>
    <w:rsid w:val="001F1684"/>
    <w:rsid w:val="001F5013"/>
    <w:rsid w:val="0021098B"/>
    <w:rsid w:val="00211A13"/>
    <w:rsid w:val="00214338"/>
    <w:rsid w:val="00216EF2"/>
    <w:rsid w:val="00223C70"/>
    <w:rsid w:val="0022709C"/>
    <w:rsid w:val="00232FE1"/>
    <w:rsid w:val="00242856"/>
    <w:rsid w:val="00244547"/>
    <w:rsid w:val="00250D32"/>
    <w:rsid w:val="0027119C"/>
    <w:rsid w:val="00280D49"/>
    <w:rsid w:val="00283FF9"/>
    <w:rsid w:val="00284992"/>
    <w:rsid w:val="00284E76"/>
    <w:rsid w:val="00284EDC"/>
    <w:rsid w:val="002C3A15"/>
    <w:rsid w:val="002C4069"/>
    <w:rsid w:val="002C7863"/>
    <w:rsid w:val="002D0449"/>
    <w:rsid w:val="002D25C8"/>
    <w:rsid w:val="002D5792"/>
    <w:rsid w:val="002D7CFC"/>
    <w:rsid w:val="00300C34"/>
    <w:rsid w:val="00305A3C"/>
    <w:rsid w:val="00311EF1"/>
    <w:rsid w:val="00324AAC"/>
    <w:rsid w:val="00325C9E"/>
    <w:rsid w:val="0032695A"/>
    <w:rsid w:val="00341559"/>
    <w:rsid w:val="003436A2"/>
    <w:rsid w:val="003467D1"/>
    <w:rsid w:val="00346D67"/>
    <w:rsid w:val="00347378"/>
    <w:rsid w:val="00352EC2"/>
    <w:rsid w:val="00354B1C"/>
    <w:rsid w:val="0036709A"/>
    <w:rsid w:val="00367F4E"/>
    <w:rsid w:val="00367FFE"/>
    <w:rsid w:val="00373276"/>
    <w:rsid w:val="0037451D"/>
    <w:rsid w:val="00383E3F"/>
    <w:rsid w:val="0039375B"/>
    <w:rsid w:val="00394A2B"/>
    <w:rsid w:val="00397AB7"/>
    <w:rsid w:val="00397ED3"/>
    <w:rsid w:val="003A130D"/>
    <w:rsid w:val="003A3429"/>
    <w:rsid w:val="003A4CC4"/>
    <w:rsid w:val="003A731B"/>
    <w:rsid w:val="003B1D8F"/>
    <w:rsid w:val="003B4867"/>
    <w:rsid w:val="003B4A0A"/>
    <w:rsid w:val="003B757A"/>
    <w:rsid w:val="003C5F8B"/>
    <w:rsid w:val="003C6325"/>
    <w:rsid w:val="003C6AED"/>
    <w:rsid w:val="003E0650"/>
    <w:rsid w:val="003E3727"/>
    <w:rsid w:val="003E3812"/>
    <w:rsid w:val="003E4020"/>
    <w:rsid w:val="003E4B3D"/>
    <w:rsid w:val="003E70EE"/>
    <w:rsid w:val="003E75C2"/>
    <w:rsid w:val="003F2D63"/>
    <w:rsid w:val="003F347C"/>
    <w:rsid w:val="003F66FF"/>
    <w:rsid w:val="003F766D"/>
    <w:rsid w:val="004009A5"/>
    <w:rsid w:val="00406A51"/>
    <w:rsid w:val="00417C2A"/>
    <w:rsid w:val="00421052"/>
    <w:rsid w:val="00423339"/>
    <w:rsid w:val="004328E0"/>
    <w:rsid w:val="0044062D"/>
    <w:rsid w:val="004409DF"/>
    <w:rsid w:val="00446914"/>
    <w:rsid w:val="00447991"/>
    <w:rsid w:val="004517E6"/>
    <w:rsid w:val="00457945"/>
    <w:rsid w:val="004607F3"/>
    <w:rsid w:val="0047234B"/>
    <w:rsid w:val="00475AC3"/>
    <w:rsid w:val="004800A3"/>
    <w:rsid w:val="00481619"/>
    <w:rsid w:val="00482959"/>
    <w:rsid w:val="00485A32"/>
    <w:rsid w:val="004922B0"/>
    <w:rsid w:val="00496D95"/>
    <w:rsid w:val="004A0F18"/>
    <w:rsid w:val="004A713A"/>
    <w:rsid w:val="004B0693"/>
    <w:rsid w:val="004B5F8C"/>
    <w:rsid w:val="004B7721"/>
    <w:rsid w:val="004C022A"/>
    <w:rsid w:val="004C12CA"/>
    <w:rsid w:val="004C1712"/>
    <w:rsid w:val="004C3C27"/>
    <w:rsid w:val="004C6A55"/>
    <w:rsid w:val="004C776F"/>
    <w:rsid w:val="004D7A18"/>
    <w:rsid w:val="004E151C"/>
    <w:rsid w:val="004E3132"/>
    <w:rsid w:val="004E595B"/>
    <w:rsid w:val="004E5E4E"/>
    <w:rsid w:val="004F0CB3"/>
    <w:rsid w:val="004F69AF"/>
    <w:rsid w:val="00500740"/>
    <w:rsid w:val="005022E2"/>
    <w:rsid w:val="005062F5"/>
    <w:rsid w:val="0051246E"/>
    <w:rsid w:val="005127BB"/>
    <w:rsid w:val="005223E8"/>
    <w:rsid w:val="00522C4E"/>
    <w:rsid w:val="00527547"/>
    <w:rsid w:val="00527FB4"/>
    <w:rsid w:val="00536D4F"/>
    <w:rsid w:val="00537AFC"/>
    <w:rsid w:val="00541E4A"/>
    <w:rsid w:val="0054527F"/>
    <w:rsid w:val="005459B6"/>
    <w:rsid w:val="00550BAA"/>
    <w:rsid w:val="0055299D"/>
    <w:rsid w:val="00554FA6"/>
    <w:rsid w:val="00555A91"/>
    <w:rsid w:val="00557CC9"/>
    <w:rsid w:val="005609CA"/>
    <w:rsid w:val="00560B2E"/>
    <w:rsid w:val="00565DAD"/>
    <w:rsid w:val="005740C8"/>
    <w:rsid w:val="00581550"/>
    <w:rsid w:val="005871D0"/>
    <w:rsid w:val="005902E6"/>
    <w:rsid w:val="00597F7C"/>
    <w:rsid w:val="005A1FB5"/>
    <w:rsid w:val="005A41DA"/>
    <w:rsid w:val="005A63F6"/>
    <w:rsid w:val="005A75DA"/>
    <w:rsid w:val="005A7A85"/>
    <w:rsid w:val="005B37DB"/>
    <w:rsid w:val="005C0DD5"/>
    <w:rsid w:val="005C2BF5"/>
    <w:rsid w:val="005C62BB"/>
    <w:rsid w:val="005D068A"/>
    <w:rsid w:val="005D2D6C"/>
    <w:rsid w:val="005D3DE1"/>
    <w:rsid w:val="005D75BD"/>
    <w:rsid w:val="005E01A7"/>
    <w:rsid w:val="005E08B4"/>
    <w:rsid w:val="005E19CA"/>
    <w:rsid w:val="005E271A"/>
    <w:rsid w:val="005E43D6"/>
    <w:rsid w:val="005F50C8"/>
    <w:rsid w:val="00601C6C"/>
    <w:rsid w:val="00604F37"/>
    <w:rsid w:val="00607719"/>
    <w:rsid w:val="0061575D"/>
    <w:rsid w:val="00615C3A"/>
    <w:rsid w:val="0062028E"/>
    <w:rsid w:val="006240BF"/>
    <w:rsid w:val="00624AD3"/>
    <w:rsid w:val="00630DDA"/>
    <w:rsid w:val="00635694"/>
    <w:rsid w:val="006427F7"/>
    <w:rsid w:val="00642CEF"/>
    <w:rsid w:val="006445E7"/>
    <w:rsid w:val="00645600"/>
    <w:rsid w:val="00661397"/>
    <w:rsid w:val="006759D3"/>
    <w:rsid w:val="00681108"/>
    <w:rsid w:val="00684CE0"/>
    <w:rsid w:val="00690746"/>
    <w:rsid w:val="00691003"/>
    <w:rsid w:val="00692BB4"/>
    <w:rsid w:val="006934AF"/>
    <w:rsid w:val="0069383C"/>
    <w:rsid w:val="006A3746"/>
    <w:rsid w:val="006A6F4E"/>
    <w:rsid w:val="006B31E4"/>
    <w:rsid w:val="006B3297"/>
    <w:rsid w:val="006B4C79"/>
    <w:rsid w:val="006B57A6"/>
    <w:rsid w:val="006B5A59"/>
    <w:rsid w:val="006C0430"/>
    <w:rsid w:val="006C2D89"/>
    <w:rsid w:val="006C49E8"/>
    <w:rsid w:val="006C7884"/>
    <w:rsid w:val="006C795B"/>
    <w:rsid w:val="006D045D"/>
    <w:rsid w:val="006D2D5F"/>
    <w:rsid w:val="006D36FA"/>
    <w:rsid w:val="006E5076"/>
    <w:rsid w:val="006F1067"/>
    <w:rsid w:val="006F37D2"/>
    <w:rsid w:val="007060D7"/>
    <w:rsid w:val="00714E27"/>
    <w:rsid w:val="0071791D"/>
    <w:rsid w:val="00726943"/>
    <w:rsid w:val="007323E7"/>
    <w:rsid w:val="0074014B"/>
    <w:rsid w:val="00742217"/>
    <w:rsid w:val="007468DC"/>
    <w:rsid w:val="00751ABB"/>
    <w:rsid w:val="0075341D"/>
    <w:rsid w:val="00754168"/>
    <w:rsid w:val="00756187"/>
    <w:rsid w:val="00757F74"/>
    <w:rsid w:val="0076031A"/>
    <w:rsid w:val="00760BE2"/>
    <w:rsid w:val="0076407F"/>
    <w:rsid w:val="0076740A"/>
    <w:rsid w:val="007723E7"/>
    <w:rsid w:val="007811A1"/>
    <w:rsid w:val="007813FB"/>
    <w:rsid w:val="00786BEC"/>
    <w:rsid w:val="007A756C"/>
    <w:rsid w:val="007B2F69"/>
    <w:rsid w:val="007B7FB0"/>
    <w:rsid w:val="007C00BE"/>
    <w:rsid w:val="007D0C57"/>
    <w:rsid w:val="007D32E7"/>
    <w:rsid w:val="007D657D"/>
    <w:rsid w:val="007D674A"/>
    <w:rsid w:val="007E4205"/>
    <w:rsid w:val="007E69AF"/>
    <w:rsid w:val="007F3723"/>
    <w:rsid w:val="007F71B2"/>
    <w:rsid w:val="00802EC2"/>
    <w:rsid w:val="00803723"/>
    <w:rsid w:val="008046D4"/>
    <w:rsid w:val="00810D71"/>
    <w:rsid w:val="0081245D"/>
    <w:rsid w:val="0081274A"/>
    <w:rsid w:val="00825180"/>
    <w:rsid w:val="0084169D"/>
    <w:rsid w:val="00845122"/>
    <w:rsid w:val="00860030"/>
    <w:rsid w:val="00861BBE"/>
    <w:rsid w:val="008661C6"/>
    <w:rsid w:val="008700EB"/>
    <w:rsid w:val="008802B5"/>
    <w:rsid w:val="008854CE"/>
    <w:rsid w:val="008928F5"/>
    <w:rsid w:val="008946CF"/>
    <w:rsid w:val="00895A1A"/>
    <w:rsid w:val="008A153F"/>
    <w:rsid w:val="008A193B"/>
    <w:rsid w:val="008A3448"/>
    <w:rsid w:val="008B48CB"/>
    <w:rsid w:val="008B550B"/>
    <w:rsid w:val="008C0D99"/>
    <w:rsid w:val="008C1307"/>
    <w:rsid w:val="008C5801"/>
    <w:rsid w:val="008D4F26"/>
    <w:rsid w:val="008D7194"/>
    <w:rsid w:val="008E0D6E"/>
    <w:rsid w:val="008F0061"/>
    <w:rsid w:val="008F256C"/>
    <w:rsid w:val="008F6622"/>
    <w:rsid w:val="00905021"/>
    <w:rsid w:val="0092150E"/>
    <w:rsid w:val="00923189"/>
    <w:rsid w:val="00930C96"/>
    <w:rsid w:val="00940E0E"/>
    <w:rsid w:val="00941B3E"/>
    <w:rsid w:val="00943748"/>
    <w:rsid w:val="009447C8"/>
    <w:rsid w:val="00952392"/>
    <w:rsid w:val="009555D3"/>
    <w:rsid w:val="00957A1A"/>
    <w:rsid w:val="0096658B"/>
    <w:rsid w:val="0097310E"/>
    <w:rsid w:val="00975F2A"/>
    <w:rsid w:val="00982155"/>
    <w:rsid w:val="00983AF6"/>
    <w:rsid w:val="00984F02"/>
    <w:rsid w:val="00985353"/>
    <w:rsid w:val="00992475"/>
    <w:rsid w:val="0099379C"/>
    <w:rsid w:val="009A2F5B"/>
    <w:rsid w:val="009A4B2F"/>
    <w:rsid w:val="009A6345"/>
    <w:rsid w:val="009B0FFD"/>
    <w:rsid w:val="009C0718"/>
    <w:rsid w:val="009C1192"/>
    <w:rsid w:val="009C2AFA"/>
    <w:rsid w:val="009C5140"/>
    <w:rsid w:val="009D2ACA"/>
    <w:rsid w:val="009D32E3"/>
    <w:rsid w:val="009D4339"/>
    <w:rsid w:val="009D694D"/>
    <w:rsid w:val="009D7ED7"/>
    <w:rsid w:val="009E359A"/>
    <w:rsid w:val="009E47B2"/>
    <w:rsid w:val="009E53F7"/>
    <w:rsid w:val="009F27AC"/>
    <w:rsid w:val="00A21F1D"/>
    <w:rsid w:val="00A22869"/>
    <w:rsid w:val="00A25448"/>
    <w:rsid w:val="00A27194"/>
    <w:rsid w:val="00A32338"/>
    <w:rsid w:val="00A324FA"/>
    <w:rsid w:val="00A32DAE"/>
    <w:rsid w:val="00A348EB"/>
    <w:rsid w:val="00A426C0"/>
    <w:rsid w:val="00A472A4"/>
    <w:rsid w:val="00A5588E"/>
    <w:rsid w:val="00A6129F"/>
    <w:rsid w:val="00A71789"/>
    <w:rsid w:val="00A71A5E"/>
    <w:rsid w:val="00A73210"/>
    <w:rsid w:val="00A74917"/>
    <w:rsid w:val="00A74D8C"/>
    <w:rsid w:val="00A80516"/>
    <w:rsid w:val="00A95366"/>
    <w:rsid w:val="00A9671C"/>
    <w:rsid w:val="00A97985"/>
    <w:rsid w:val="00A97DE9"/>
    <w:rsid w:val="00AA41F8"/>
    <w:rsid w:val="00AA5E8F"/>
    <w:rsid w:val="00AB4297"/>
    <w:rsid w:val="00AB557F"/>
    <w:rsid w:val="00AB6D1B"/>
    <w:rsid w:val="00AC0AE1"/>
    <w:rsid w:val="00AC1E21"/>
    <w:rsid w:val="00AC34E0"/>
    <w:rsid w:val="00AC4316"/>
    <w:rsid w:val="00AD7216"/>
    <w:rsid w:val="00AD7EB8"/>
    <w:rsid w:val="00AE083C"/>
    <w:rsid w:val="00AE154A"/>
    <w:rsid w:val="00AE2101"/>
    <w:rsid w:val="00AE5390"/>
    <w:rsid w:val="00AF1716"/>
    <w:rsid w:val="00AF3FA4"/>
    <w:rsid w:val="00B035F1"/>
    <w:rsid w:val="00B047C7"/>
    <w:rsid w:val="00B21970"/>
    <w:rsid w:val="00B25383"/>
    <w:rsid w:val="00B269BB"/>
    <w:rsid w:val="00B3208C"/>
    <w:rsid w:val="00B37DEC"/>
    <w:rsid w:val="00B473C5"/>
    <w:rsid w:val="00B517BB"/>
    <w:rsid w:val="00B51CD7"/>
    <w:rsid w:val="00B74FBA"/>
    <w:rsid w:val="00B871B1"/>
    <w:rsid w:val="00B90770"/>
    <w:rsid w:val="00B95D3E"/>
    <w:rsid w:val="00B976C7"/>
    <w:rsid w:val="00BA2BA6"/>
    <w:rsid w:val="00BA69C0"/>
    <w:rsid w:val="00BA6B75"/>
    <w:rsid w:val="00BB3A85"/>
    <w:rsid w:val="00BB5D19"/>
    <w:rsid w:val="00BC5CFB"/>
    <w:rsid w:val="00BD1425"/>
    <w:rsid w:val="00BD6CD7"/>
    <w:rsid w:val="00BE2895"/>
    <w:rsid w:val="00BF036F"/>
    <w:rsid w:val="00BF139F"/>
    <w:rsid w:val="00BF2449"/>
    <w:rsid w:val="00BF2C33"/>
    <w:rsid w:val="00C046CB"/>
    <w:rsid w:val="00C11965"/>
    <w:rsid w:val="00C12D9E"/>
    <w:rsid w:val="00C13DB7"/>
    <w:rsid w:val="00C36952"/>
    <w:rsid w:val="00C47C19"/>
    <w:rsid w:val="00C5206F"/>
    <w:rsid w:val="00C52374"/>
    <w:rsid w:val="00C54709"/>
    <w:rsid w:val="00C55DB6"/>
    <w:rsid w:val="00C60EE3"/>
    <w:rsid w:val="00C65AB1"/>
    <w:rsid w:val="00C7142F"/>
    <w:rsid w:val="00C73042"/>
    <w:rsid w:val="00C80D9D"/>
    <w:rsid w:val="00C83451"/>
    <w:rsid w:val="00C83959"/>
    <w:rsid w:val="00C87B6D"/>
    <w:rsid w:val="00CA0B4C"/>
    <w:rsid w:val="00CA123F"/>
    <w:rsid w:val="00CB4D05"/>
    <w:rsid w:val="00CB6A63"/>
    <w:rsid w:val="00CC491D"/>
    <w:rsid w:val="00CC6BED"/>
    <w:rsid w:val="00CD33A5"/>
    <w:rsid w:val="00CD4ED6"/>
    <w:rsid w:val="00CE4737"/>
    <w:rsid w:val="00CE7DD8"/>
    <w:rsid w:val="00CF035C"/>
    <w:rsid w:val="00CF44AC"/>
    <w:rsid w:val="00CF5B8D"/>
    <w:rsid w:val="00D0076D"/>
    <w:rsid w:val="00D06362"/>
    <w:rsid w:val="00D13F32"/>
    <w:rsid w:val="00D142EE"/>
    <w:rsid w:val="00D16099"/>
    <w:rsid w:val="00D20516"/>
    <w:rsid w:val="00D20E2E"/>
    <w:rsid w:val="00D245F6"/>
    <w:rsid w:val="00D334BA"/>
    <w:rsid w:val="00D346F5"/>
    <w:rsid w:val="00D40403"/>
    <w:rsid w:val="00D57F64"/>
    <w:rsid w:val="00D6379F"/>
    <w:rsid w:val="00D77458"/>
    <w:rsid w:val="00D805C7"/>
    <w:rsid w:val="00D827F6"/>
    <w:rsid w:val="00D83E9D"/>
    <w:rsid w:val="00D854C6"/>
    <w:rsid w:val="00D86C4F"/>
    <w:rsid w:val="00D872F9"/>
    <w:rsid w:val="00D91A5C"/>
    <w:rsid w:val="00D92026"/>
    <w:rsid w:val="00D951E6"/>
    <w:rsid w:val="00D95D12"/>
    <w:rsid w:val="00D975B6"/>
    <w:rsid w:val="00DA6708"/>
    <w:rsid w:val="00DB1603"/>
    <w:rsid w:val="00DB78EE"/>
    <w:rsid w:val="00DC0152"/>
    <w:rsid w:val="00DC573E"/>
    <w:rsid w:val="00DD137C"/>
    <w:rsid w:val="00DD2D84"/>
    <w:rsid w:val="00DD365B"/>
    <w:rsid w:val="00DD58E0"/>
    <w:rsid w:val="00DE1BE0"/>
    <w:rsid w:val="00DE50CD"/>
    <w:rsid w:val="00DF2D72"/>
    <w:rsid w:val="00DF5D2E"/>
    <w:rsid w:val="00DF7D22"/>
    <w:rsid w:val="00E01094"/>
    <w:rsid w:val="00E02C9E"/>
    <w:rsid w:val="00E02F67"/>
    <w:rsid w:val="00E05BFC"/>
    <w:rsid w:val="00E11029"/>
    <w:rsid w:val="00E110EF"/>
    <w:rsid w:val="00E12081"/>
    <w:rsid w:val="00E22E0B"/>
    <w:rsid w:val="00E24E60"/>
    <w:rsid w:val="00E303BE"/>
    <w:rsid w:val="00E304C0"/>
    <w:rsid w:val="00E318FA"/>
    <w:rsid w:val="00E33922"/>
    <w:rsid w:val="00E34369"/>
    <w:rsid w:val="00E3593C"/>
    <w:rsid w:val="00E40082"/>
    <w:rsid w:val="00E40A28"/>
    <w:rsid w:val="00E45148"/>
    <w:rsid w:val="00E629F8"/>
    <w:rsid w:val="00E6747B"/>
    <w:rsid w:val="00E707C8"/>
    <w:rsid w:val="00E8029E"/>
    <w:rsid w:val="00E81981"/>
    <w:rsid w:val="00E81B6E"/>
    <w:rsid w:val="00E81CC3"/>
    <w:rsid w:val="00E82BBC"/>
    <w:rsid w:val="00E86177"/>
    <w:rsid w:val="00E903BA"/>
    <w:rsid w:val="00E931F1"/>
    <w:rsid w:val="00E94663"/>
    <w:rsid w:val="00E95084"/>
    <w:rsid w:val="00E97AE6"/>
    <w:rsid w:val="00E97B68"/>
    <w:rsid w:val="00EA0E00"/>
    <w:rsid w:val="00EA2621"/>
    <w:rsid w:val="00EA2778"/>
    <w:rsid w:val="00EB2E62"/>
    <w:rsid w:val="00EB78B2"/>
    <w:rsid w:val="00EC371C"/>
    <w:rsid w:val="00ED4AE2"/>
    <w:rsid w:val="00EE287A"/>
    <w:rsid w:val="00EE46B4"/>
    <w:rsid w:val="00EF1D10"/>
    <w:rsid w:val="00F02D34"/>
    <w:rsid w:val="00F03B41"/>
    <w:rsid w:val="00F03C0B"/>
    <w:rsid w:val="00F04555"/>
    <w:rsid w:val="00F0603B"/>
    <w:rsid w:val="00F06146"/>
    <w:rsid w:val="00F1025A"/>
    <w:rsid w:val="00F204F6"/>
    <w:rsid w:val="00F230B5"/>
    <w:rsid w:val="00F32883"/>
    <w:rsid w:val="00F33D89"/>
    <w:rsid w:val="00F34FB0"/>
    <w:rsid w:val="00F353C2"/>
    <w:rsid w:val="00F37342"/>
    <w:rsid w:val="00F37484"/>
    <w:rsid w:val="00F379E6"/>
    <w:rsid w:val="00F401F1"/>
    <w:rsid w:val="00F43056"/>
    <w:rsid w:val="00F45A39"/>
    <w:rsid w:val="00F51160"/>
    <w:rsid w:val="00F513FF"/>
    <w:rsid w:val="00F55AD5"/>
    <w:rsid w:val="00F63AEA"/>
    <w:rsid w:val="00F71399"/>
    <w:rsid w:val="00F71EDF"/>
    <w:rsid w:val="00F81C85"/>
    <w:rsid w:val="00F82810"/>
    <w:rsid w:val="00F86AA2"/>
    <w:rsid w:val="00F95975"/>
    <w:rsid w:val="00F95D87"/>
    <w:rsid w:val="00FA08F8"/>
    <w:rsid w:val="00FA262A"/>
    <w:rsid w:val="00FA709D"/>
    <w:rsid w:val="00FA7FAB"/>
    <w:rsid w:val="00FB06AD"/>
    <w:rsid w:val="00FB2A10"/>
    <w:rsid w:val="00FB6D33"/>
    <w:rsid w:val="00FC4940"/>
    <w:rsid w:val="00FC7CA1"/>
    <w:rsid w:val="00FD10F7"/>
    <w:rsid w:val="00FE2034"/>
    <w:rsid w:val="00FE699F"/>
    <w:rsid w:val="00FE6F86"/>
    <w:rsid w:val="00FE762C"/>
    <w:rsid w:val="00FF28AA"/>
    <w:rsid w:val="00FF5C96"/>
    <w:rsid w:val="00FF6B8E"/>
    <w:rsid w:val="14577480"/>
    <w:rsid w:val="2A2CB3D9"/>
    <w:rsid w:val="50EDD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6E51F"/>
  <w15:chartTrackingRefBased/>
  <w15:docId w15:val="{0C77BDB3-6891-435D-9BFD-477FE99BC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1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28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2719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94A2B"/>
    <w:rPr>
      <w:color w:val="0563C1" w:themeColor="hyperlink"/>
      <w:u w:val="single"/>
    </w:rPr>
  </w:style>
  <w:style w:type="character" w:styleId="UnresolvedMention">
    <w:name w:val="Unresolved Mention"/>
    <w:basedOn w:val="DefaultParagraphFont"/>
    <w:uiPriority w:val="99"/>
    <w:semiHidden/>
    <w:unhideWhenUsed/>
    <w:rsid w:val="00394A2B"/>
    <w:rPr>
      <w:color w:val="605E5C"/>
      <w:shd w:val="clear" w:color="auto" w:fill="E1DFDD"/>
    </w:rPr>
  </w:style>
  <w:style w:type="paragraph" w:styleId="ListParagraph">
    <w:name w:val="List Paragraph"/>
    <w:basedOn w:val="Normal"/>
    <w:uiPriority w:val="34"/>
    <w:qFormat/>
    <w:rsid w:val="00394A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884393">
      <w:bodyDiv w:val="1"/>
      <w:marLeft w:val="0"/>
      <w:marRight w:val="0"/>
      <w:marTop w:val="0"/>
      <w:marBottom w:val="0"/>
      <w:divBdr>
        <w:top w:val="none" w:sz="0" w:space="0" w:color="auto"/>
        <w:left w:val="none" w:sz="0" w:space="0" w:color="auto"/>
        <w:bottom w:val="none" w:sz="0" w:space="0" w:color="auto"/>
        <w:right w:val="none" w:sz="0" w:space="0" w:color="auto"/>
      </w:divBdr>
    </w:div>
    <w:div w:id="424377981">
      <w:bodyDiv w:val="1"/>
      <w:marLeft w:val="0"/>
      <w:marRight w:val="0"/>
      <w:marTop w:val="0"/>
      <w:marBottom w:val="0"/>
      <w:divBdr>
        <w:top w:val="none" w:sz="0" w:space="0" w:color="auto"/>
        <w:left w:val="none" w:sz="0" w:space="0" w:color="auto"/>
        <w:bottom w:val="none" w:sz="0" w:space="0" w:color="auto"/>
        <w:right w:val="none" w:sz="0" w:space="0" w:color="auto"/>
      </w:divBdr>
    </w:div>
    <w:div w:id="612590836">
      <w:bodyDiv w:val="1"/>
      <w:marLeft w:val="0"/>
      <w:marRight w:val="0"/>
      <w:marTop w:val="0"/>
      <w:marBottom w:val="0"/>
      <w:divBdr>
        <w:top w:val="none" w:sz="0" w:space="0" w:color="auto"/>
        <w:left w:val="none" w:sz="0" w:space="0" w:color="auto"/>
        <w:bottom w:val="none" w:sz="0" w:space="0" w:color="auto"/>
        <w:right w:val="none" w:sz="0" w:space="0" w:color="auto"/>
      </w:divBdr>
    </w:div>
    <w:div w:id="941643534">
      <w:bodyDiv w:val="1"/>
      <w:marLeft w:val="0"/>
      <w:marRight w:val="0"/>
      <w:marTop w:val="0"/>
      <w:marBottom w:val="0"/>
      <w:divBdr>
        <w:top w:val="none" w:sz="0" w:space="0" w:color="auto"/>
        <w:left w:val="none" w:sz="0" w:space="0" w:color="auto"/>
        <w:bottom w:val="none" w:sz="0" w:space="0" w:color="auto"/>
        <w:right w:val="none" w:sz="0" w:space="0" w:color="auto"/>
      </w:divBdr>
    </w:div>
    <w:div w:id="996417907">
      <w:bodyDiv w:val="1"/>
      <w:marLeft w:val="0"/>
      <w:marRight w:val="0"/>
      <w:marTop w:val="0"/>
      <w:marBottom w:val="0"/>
      <w:divBdr>
        <w:top w:val="none" w:sz="0" w:space="0" w:color="auto"/>
        <w:left w:val="none" w:sz="0" w:space="0" w:color="auto"/>
        <w:bottom w:val="none" w:sz="0" w:space="0" w:color="auto"/>
        <w:right w:val="none" w:sz="0" w:space="0" w:color="auto"/>
      </w:divBdr>
    </w:div>
    <w:div w:id="1251427097">
      <w:bodyDiv w:val="1"/>
      <w:marLeft w:val="0"/>
      <w:marRight w:val="0"/>
      <w:marTop w:val="0"/>
      <w:marBottom w:val="0"/>
      <w:divBdr>
        <w:top w:val="none" w:sz="0" w:space="0" w:color="auto"/>
        <w:left w:val="none" w:sz="0" w:space="0" w:color="auto"/>
        <w:bottom w:val="none" w:sz="0" w:space="0" w:color="auto"/>
        <w:right w:val="none" w:sz="0" w:space="0" w:color="auto"/>
      </w:divBdr>
    </w:div>
    <w:div w:id="1329095897">
      <w:bodyDiv w:val="1"/>
      <w:marLeft w:val="0"/>
      <w:marRight w:val="0"/>
      <w:marTop w:val="0"/>
      <w:marBottom w:val="0"/>
      <w:divBdr>
        <w:top w:val="none" w:sz="0" w:space="0" w:color="auto"/>
        <w:left w:val="none" w:sz="0" w:space="0" w:color="auto"/>
        <w:bottom w:val="none" w:sz="0" w:space="0" w:color="auto"/>
        <w:right w:val="none" w:sz="0" w:space="0" w:color="auto"/>
      </w:divBdr>
    </w:div>
    <w:div w:id="1361972691">
      <w:bodyDiv w:val="1"/>
      <w:marLeft w:val="0"/>
      <w:marRight w:val="0"/>
      <w:marTop w:val="0"/>
      <w:marBottom w:val="0"/>
      <w:divBdr>
        <w:top w:val="none" w:sz="0" w:space="0" w:color="auto"/>
        <w:left w:val="none" w:sz="0" w:space="0" w:color="auto"/>
        <w:bottom w:val="none" w:sz="0" w:space="0" w:color="auto"/>
        <w:right w:val="none" w:sz="0" w:space="0" w:color="auto"/>
      </w:divBdr>
    </w:div>
    <w:div w:id="1381781817">
      <w:bodyDiv w:val="1"/>
      <w:marLeft w:val="0"/>
      <w:marRight w:val="0"/>
      <w:marTop w:val="0"/>
      <w:marBottom w:val="0"/>
      <w:divBdr>
        <w:top w:val="none" w:sz="0" w:space="0" w:color="auto"/>
        <w:left w:val="none" w:sz="0" w:space="0" w:color="auto"/>
        <w:bottom w:val="none" w:sz="0" w:space="0" w:color="auto"/>
        <w:right w:val="none" w:sz="0" w:space="0" w:color="auto"/>
      </w:divBdr>
    </w:div>
    <w:div w:id="1415399978">
      <w:bodyDiv w:val="1"/>
      <w:marLeft w:val="0"/>
      <w:marRight w:val="0"/>
      <w:marTop w:val="0"/>
      <w:marBottom w:val="0"/>
      <w:divBdr>
        <w:top w:val="none" w:sz="0" w:space="0" w:color="auto"/>
        <w:left w:val="none" w:sz="0" w:space="0" w:color="auto"/>
        <w:bottom w:val="none" w:sz="0" w:space="0" w:color="auto"/>
        <w:right w:val="none" w:sz="0" w:space="0" w:color="auto"/>
      </w:divBdr>
    </w:div>
    <w:div w:id="1741975142">
      <w:bodyDiv w:val="1"/>
      <w:marLeft w:val="0"/>
      <w:marRight w:val="0"/>
      <w:marTop w:val="0"/>
      <w:marBottom w:val="0"/>
      <w:divBdr>
        <w:top w:val="none" w:sz="0" w:space="0" w:color="auto"/>
        <w:left w:val="none" w:sz="0" w:space="0" w:color="auto"/>
        <w:bottom w:val="none" w:sz="0" w:space="0" w:color="auto"/>
        <w:right w:val="none" w:sz="0" w:space="0" w:color="auto"/>
      </w:divBdr>
    </w:div>
    <w:div w:id="1903977992">
      <w:bodyDiv w:val="1"/>
      <w:marLeft w:val="0"/>
      <w:marRight w:val="0"/>
      <w:marTop w:val="0"/>
      <w:marBottom w:val="0"/>
      <w:divBdr>
        <w:top w:val="none" w:sz="0" w:space="0" w:color="auto"/>
        <w:left w:val="none" w:sz="0" w:space="0" w:color="auto"/>
        <w:bottom w:val="none" w:sz="0" w:space="0" w:color="auto"/>
        <w:right w:val="none" w:sz="0" w:space="0" w:color="auto"/>
      </w:divBdr>
    </w:div>
    <w:div w:id="2066372779">
      <w:bodyDiv w:val="1"/>
      <w:marLeft w:val="0"/>
      <w:marRight w:val="0"/>
      <w:marTop w:val="0"/>
      <w:marBottom w:val="0"/>
      <w:divBdr>
        <w:top w:val="none" w:sz="0" w:space="0" w:color="auto"/>
        <w:left w:val="none" w:sz="0" w:space="0" w:color="auto"/>
        <w:bottom w:val="none" w:sz="0" w:space="0" w:color="auto"/>
        <w:right w:val="none" w:sz="0" w:space="0" w:color="auto"/>
      </w:divBdr>
    </w:div>
    <w:div w:id="2136023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j.ijer.2019.10.00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4060</Words>
  <Characters>23145</Characters>
  <Application>Microsoft Office Word</Application>
  <DocSecurity>0</DocSecurity>
  <Lines>192</Lines>
  <Paragraphs>54</Paragraphs>
  <ScaleCrop>false</ScaleCrop>
  <Company/>
  <LinksUpToDate>false</LinksUpToDate>
  <CharactersWithSpaces>27151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vignaharra nemalan</dc:creator>
  <cp:keywords/>
  <dc:description/>
  <cp:lastModifiedBy>vignaharra nemalan</cp:lastModifiedBy>
  <cp:revision>2</cp:revision>
  <dcterms:created xsi:type="dcterms:W3CDTF">2022-11-04T11:39:00Z</dcterms:created>
  <dcterms:modified xsi:type="dcterms:W3CDTF">2022-11-04T11:39:00Z</dcterms:modified>
</cp:coreProperties>
</file>