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D72A8" w14:textId="77777777" w:rsidR="00F60E97" w:rsidRPr="00F60E97" w:rsidRDefault="00F60E97" w:rsidP="00F60E97">
      <w:pPr>
        <w:spacing w:line="360" w:lineRule="auto"/>
        <w:jc w:val="center"/>
        <w:rPr>
          <w:rFonts w:ascii="Arial" w:eastAsia="Aptos" w:hAnsi="Arial" w:cs="Arial"/>
          <w:b/>
          <w:bCs/>
          <w:sz w:val="28"/>
          <w:szCs w:val="28"/>
        </w:rPr>
      </w:pPr>
      <w:r w:rsidRPr="00F60E97">
        <w:rPr>
          <w:rFonts w:ascii="Arial" w:eastAsia="Aptos" w:hAnsi="Arial" w:cs="Arial"/>
          <w:b/>
          <w:bCs/>
          <w:sz w:val="28"/>
          <w:szCs w:val="28"/>
        </w:rPr>
        <w:t>UNIVERSITY OF WALES TRINITY SAINT DAVID</w:t>
      </w:r>
    </w:p>
    <w:p w14:paraId="34947FC8" w14:textId="77777777" w:rsidR="00F60E97" w:rsidRPr="00F60E97" w:rsidRDefault="00F60E97" w:rsidP="00F60E97">
      <w:pPr>
        <w:spacing w:line="360" w:lineRule="auto"/>
        <w:jc w:val="center"/>
        <w:rPr>
          <w:rFonts w:ascii="Arial" w:eastAsia="Aptos" w:hAnsi="Arial" w:cs="Arial"/>
          <w:b/>
          <w:bCs/>
          <w:sz w:val="28"/>
          <w:szCs w:val="28"/>
        </w:rPr>
      </w:pPr>
      <w:r w:rsidRPr="00F60E97">
        <w:rPr>
          <w:rFonts w:ascii="Arial" w:eastAsia="Aptos" w:hAnsi="Arial" w:cs="Arial"/>
          <w:b/>
          <w:bCs/>
          <w:sz w:val="28"/>
          <w:szCs w:val="28"/>
        </w:rPr>
        <w:t>MBA PART TIME ONLINE</w:t>
      </w:r>
    </w:p>
    <w:p w14:paraId="3FF6F2F3" w14:textId="77777777" w:rsidR="00F60E97" w:rsidRPr="00F60E97" w:rsidRDefault="00F60E97" w:rsidP="00F60E97">
      <w:pPr>
        <w:spacing w:line="360" w:lineRule="auto"/>
        <w:rPr>
          <w:rFonts w:ascii="Arial" w:eastAsia="Aptos" w:hAnsi="Arial" w:cs="Arial"/>
          <w:b/>
          <w:bCs/>
          <w:sz w:val="28"/>
          <w:szCs w:val="28"/>
        </w:rPr>
      </w:pPr>
    </w:p>
    <w:p w14:paraId="7FD31F34" w14:textId="77777777" w:rsidR="00F60E97" w:rsidRPr="00F60E97" w:rsidRDefault="00F60E97" w:rsidP="00F60E97">
      <w:pPr>
        <w:spacing w:line="360" w:lineRule="auto"/>
        <w:rPr>
          <w:rFonts w:ascii="Arial" w:eastAsia="Aptos" w:hAnsi="Arial" w:cs="Arial"/>
          <w:b/>
          <w:bCs/>
          <w:sz w:val="28"/>
          <w:szCs w:val="28"/>
        </w:rPr>
      </w:pPr>
    </w:p>
    <w:p w14:paraId="6161004E" w14:textId="77777777" w:rsidR="00F60E97" w:rsidRPr="00F60E97" w:rsidRDefault="00F60E97" w:rsidP="00F60E97">
      <w:pPr>
        <w:spacing w:line="360" w:lineRule="auto"/>
        <w:rPr>
          <w:rFonts w:ascii="Arial" w:eastAsia="Aptos" w:hAnsi="Arial" w:cs="Arial"/>
          <w:b/>
          <w:bCs/>
          <w:sz w:val="28"/>
          <w:szCs w:val="28"/>
        </w:rPr>
      </w:pPr>
    </w:p>
    <w:p w14:paraId="17E45D03" w14:textId="77777777" w:rsidR="00F60E97" w:rsidRPr="00F60E97" w:rsidRDefault="00F60E97" w:rsidP="00F60E97">
      <w:pPr>
        <w:spacing w:line="360" w:lineRule="auto"/>
        <w:jc w:val="center"/>
        <w:rPr>
          <w:rFonts w:ascii="Arial" w:eastAsia="Aptos" w:hAnsi="Arial" w:cs="Arial"/>
          <w:b/>
          <w:bCs/>
          <w:sz w:val="48"/>
          <w:szCs w:val="48"/>
        </w:rPr>
      </w:pPr>
      <w:r w:rsidRPr="00F60E97">
        <w:rPr>
          <w:rFonts w:ascii="Arial" w:eastAsia="Aptos" w:hAnsi="Arial" w:cs="Arial"/>
          <w:b/>
          <w:bCs/>
          <w:sz w:val="48"/>
          <w:szCs w:val="48"/>
        </w:rPr>
        <w:t>Use of Big Data and Advanced Technology in Employee Engagement at Celebrity Cruises</w:t>
      </w:r>
    </w:p>
    <w:p w14:paraId="7BEDFC99" w14:textId="77777777" w:rsidR="00F60E97" w:rsidRPr="00F60E97" w:rsidRDefault="00F60E97" w:rsidP="00F60E97">
      <w:pPr>
        <w:spacing w:line="360" w:lineRule="auto"/>
        <w:jc w:val="center"/>
        <w:rPr>
          <w:rFonts w:ascii="Arial" w:eastAsia="Aptos" w:hAnsi="Arial" w:cs="Arial"/>
          <w:b/>
          <w:bCs/>
          <w:sz w:val="28"/>
          <w:szCs w:val="28"/>
        </w:rPr>
      </w:pPr>
    </w:p>
    <w:p w14:paraId="740061CE" w14:textId="77777777" w:rsidR="00F60E97" w:rsidRPr="00F60E97" w:rsidRDefault="00F60E97" w:rsidP="00F60E97">
      <w:pPr>
        <w:spacing w:line="360" w:lineRule="auto"/>
        <w:jc w:val="center"/>
        <w:rPr>
          <w:rFonts w:ascii="Arial" w:eastAsia="Aptos" w:hAnsi="Arial" w:cs="Arial"/>
          <w:b/>
          <w:bCs/>
          <w:sz w:val="28"/>
          <w:szCs w:val="28"/>
        </w:rPr>
      </w:pPr>
    </w:p>
    <w:p w14:paraId="4DB50F26" w14:textId="77777777" w:rsidR="00F60E97" w:rsidRPr="00F60E97" w:rsidRDefault="00F60E97" w:rsidP="00F60E97">
      <w:pPr>
        <w:spacing w:line="360" w:lineRule="auto"/>
        <w:jc w:val="center"/>
        <w:rPr>
          <w:rFonts w:ascii="Arial" w:eastAsia="Aptos" w:hAnsi="Arial" w:cs="Arial"/>
          <w:b/>
          <w:bCs/>
          <w:sz w:val="28"/>
          <w:szCs w:val="28"/>
        </w:rPr>
      </w:pPr>
    </w:p>
    <w:p w14:paraId="361313A0" w14:textId="77777777" w:rsidR="00F60E97" w:rsidRPr="00F60E97" w:rsidRDefault="00F60E97" w:rsidP="00F60E97">
      <w:pPr>
        <w:spacing w:line="360" w:lineRule="auto"/>
        <w:jc w:val="center"/>
        <w:rPr>
          <w:rFonts w:ascii="Arial" w:eastAsia="Aptos" w:hAnsi="Arial" w:cs="Arial"/>
          <w:b/>
          <w:bCs/>
          <w:sz w:val="28"/>
          <w:szCs w:val="28"/>
        </w:rPr>
      </w:pPr>
    </w:p>
    <w:p w14:paraId="14E4AD68" w14:textId="77777777" w:rsidR="00F60E97" w:rsidRPr="00F60E97" w:rsidRDefault="00F60E97" w:rsidP="00F60E97">
      <w:pPr>
        <w:spacing w:line="360" w:lineRule="auto"/>
        <w:jc w:val="center"/>
        <w:rPr>
          <w:rFonts w:ascii="Arial" w:eastAsia="Aptos" w:hAnsi="Arial" w:cs="Arial"/>
          <w:b/>
          <w:bCs/>
          <w:sz w:val="28"/>
          <w:szCs w:val="28"/>
        </w:rPr>
      </w:pPr>
      <w:r w:rsidRPr="00F60E97">
        <w:rPr>
          <w:rFonts w:ascii="Arial" w:eastAsia="Aptos" w:hAnsi="Arial" w:cs="Arial"/>
          <w:b/>
          <w:bCs/>
          <w:sz w:val="28"/>
          <w:szCs w:val="28"/>
        </w:rPr>
        <w:t>MODULE: MANAGING PEOPLE IN ORGANISATIONS</w:t>
      </w:r>
    </w:p>
    <w:p w14:paraId="23DD1ED0" w14:textId="77777777" w:rsidR="00F60E97" w:rsidRPr="00F60E97" w:rsidRDefault="00F60E97" w:rsidP="00F60E97">
      <w:pPr>
        <w:spacing w:line="360" w:lineRule="auto"/>
        <w:jc w:val="center"/>
        <w:rPr>
          <w:rFonts w:ascii="Arial" w:eastAsia="Aptos" w:hAnsi="Arial" w:cs="Arial"/>
          <w:b/>
          <w:bCs/>
          <w:sz w:val="28"/>
          <w:szCs w:val="28"/>
        </w:rPr>
      </w:pPr>
      <w:r w:rsidRPr="00F60E97">
        <w:rPr>
          <w:rFonts w:ascii="Arial" w:eastAsia="Aptos" w:hAnsi="Arial" w:cs="Arial"/>
          <w:b/>
          <w:bCs/>
          <w:sz w:val="28"/>
          <w:szCs w:val="28"/>
        </w:rPr>
        <w:t>MODULE CODE: BMMB7025D</w:t>
      </w:r>
    </w:p>
    <w:p w14:paraId="74F3D598" w14:textId="77777777" w:rsidR="00F60E97" w:rsidRPr="00F60E97" w:rsidRDefault="00F60E97" w:rsidP="00F60E97">
      <w:pPr>
        <w:spacing w:line="360" w:lineRule="auto"/>
        <w:jc w:val="center"/>
        <w:rPr>
          <w:rFonts w:ascii="Arial" w:eastAsia="Aptos" w:hAnsi="Arial" w:cs="Arial"/>
          <w:b/>
          <w:bCs/>
          <w:sz w:val="28"/>
          <w:szCs w:val="28"/>
        </w:rPr>
      </w:pPr>
      <w:r w:rsidRPr="00F60E97">
        <w:rPr>
          <w:rFonts w:ascii="Arial" w:eastAsia="Aptos" w:hAnsi="Arial" w:cs="Arial"/>
          <w:b/>
          <w:bCs/>
          <w:sz w:val="28"/>
          <w:szCs w:val="28"/>
        </w:rPr>
        <w:t>STUDENT NAME: VELISLAVA HRISTOVA</w:t>
      </w:r>
      <w:r w:rsidRPr="00F60E97">
        <w:rPr>
          <w:rFonts w:ascii="Arial" w:eastAsia="Aptos" w:hAnsi="Arial" w:cs="Arial"/>
          <w:b/>
          <w:bCs/>
          <w:sz w:val="28"/>
          <w:szCs w:val="28"/>
        </w:rPr>
        <w:br/>
        <w:t>STUDENT ID: 2233502</w:t>
      </w:r>
    </w:p>
    <w:p w14:paraId="495625B9" w14:textId="77777777" w:rsidR="00F60E97" w:rsidRPr="00F60E97" w:rsidRDefault="00F60E97" w:rsidP="00F60E97">
      <w:pPr>
        <w:spacing w:line="360" w:lineRule="auto"/>
        <w:jc w:val="center"/>
        <w:rPr>
          <w:rFonts w:ascii="Arial" w:eastAsia="Aptos" w:hAnsi="Arial" w:cs="Arial"/>
          <w:b/>
          <w:bCs/>
          <w:sz w:val="28"/>
          <w:szCs w:val="28"/>
        </w:rPr>
      </w:pPr>
      <w:r w:rsidRPr="00F60E97">
        <w:rPr>
          <w:rFonts w:ascii="Arial" w:eastAsia="Aptos" w:hAnsi="Arial" w:cs="Arial"/>
          <w:b/>
          <w:bCs/>
          <w:sz w:val="28"/>
          <w:szCs w:val="28"/>
        </w:rPr>
        <w:t>PROGRAMME DIRECTOR: HELEN EVANS</w:t>
      </w:r>
    </w:p>
    <w:p w14:paraId="38EA2447" w14:textId="77777777" w:rsidR="00F60E97" w:rsidRDefault="00F60E97" w:rsidP="000655EB">
      <w:pPr>
        <w:spacing w:line="360" w:lineRule="auto"/>
        <w:jc w:val="both"/>
        <w:rPr>
          <w:rFonts w:ascii="Arial" w:hAnsi="Arial" w:cs="Arial"/>
          <w:b/>
          <w:bCs/>
        </w:rPr>
      </w:pPr>
    </w:p>
    <w:p w14:paraId="45FF7C3C" w14:textId="45761FBA" w:rsidR="005A757E" w:rsidRDefault="00F60E97" w:rsidP="00F60E97">
      <w:pPr>
        <w:rPr>
          <w:rFonts w:ascii="Arial" w:hAnsi="Arial" w:cs="Arial"/>
          <w:b/>
          <w:bCs/>
        </w:rPr>
      </w:pPr>
      <w:r>
        <w:rPr>
          <w:rFonts w:ascii="Arial" w:hAnsi="Arial" w:cs="Arial"/>
          <w:b/>
          <w:bCs/>
        </w:rPr>
        <w:br w:type="page"/>
      </w:r>
      <w:r w:rsidR="005A757E" w:rsidRPr="005A757E">
        <w:rPr>
          <w:rFonts w:ascii="Arial" w:hAnsi="Arial" w:cs="Arial"/>
          <w:b/>
          <w:bCs/>
        </w:rPr>
        <w:lastRenderedPageBreak/>
        <w:t>Introduction</w:t>
      </w:r>
    </w:p>
    <w:p w14:paraId="7396BA70" w14:textId="77777777" w:rsidR="00F60E97" w:rsidRPr="005A757E" w:rsidRDefault="00F60E97" w:rsidP="00F60E97">
      <w:pPr>
        <w:rPr>
          <w:rFonts w:ascii="Arial" w:hAnsi="Arial" w:cs="Arial"/>
          <w:b/>
          <w:bCs/>
        </w:rPr>
      </w:pPr>
    </w:p>
    <w:p w14:paraId="754DDD44" w14:textId="02D573D1" w:rsidR="005A757E" w:rsidRPr="005A757E" w:rsidRDefault="005A757E" w:rsidP="005A757E">
      <w:pPr>
        <w:spacing w:line="360" w:lineRule="auto"/>
        <w:jc w:val="both"/>
        <w:rPr>
          <w:rFonts w:ascii="Arial" w:hAnsi="Arial" w:cs="Arial"/>
        </w:rPr>
      </w:pPr>
      <w:r w:rsidRPr="005A757E">
        <w:rPr>
          <w:rFonts w:ascii="Arial" w:hAnsi="Arial" w:cs="Arial"/>
        </w:rPr>
        <w:t xml:space="preserve">Employee engagement is a critical determinant of organisational performance, particularly </w:t>
      </w:r>
      <w:r w:rsidR="00F60E97">
        <w:rPr>
          <w:rFonts w:ascii="Arial" w:hAnsi="Arial" w:cs="Arial"/>
        </w:rPr>
        <w:t>in the cruise industry, where employees operate in demanding,</w:t>
      </w:r>
      <w:r w:rsidRPr="005A757E">
        <w:rPr>
          <w:rFonts w:ascii="Arial" w:hAnsi="Arial" w:cs="Arial"/>
        </w:rPr>
        <w:t xml:space="preserve"> service-intensive environments. Drawing on a peer discussion with an employee at Celebrity Cruises, this analysis critically examines how big data and advanced technologies</w:t>
      </w:r>
      <w:r>
        <w:rPr>
          <w:rFonts w:ascii="Arial" w:hAnsi="Arial" w:cs="Arial"/>
        </w:rPr>
        <w:t xml:space="preserve">, </w:t>
      </w:r>
      <w:r w:rsidRPr="005A757E">
        <w:rPr>
          <w:rFonts w:ascii="Arial" w:hAnsi="Arial" w:cs="Arial"/>
        </w:rPr>
        <w:t>primarily used in recruitment</w:t>
      </w:r>
      <w:r>
        <w:rPr>
          <w:rFonts w:ascii="Arial" w:hAnsi="Arial" w:cs="Arial"/>
        </w:rPr>
        <w:t xml:space="preserve">, </w:t>
      </w:r>
      <w:r w:rsidRPr="005A757E">
        <w:rPr>
          <w:rFonts w:ascii="Arial" w:hAnsi="Arial" w:cs="Arial"/>
        </w:rPr>
        <w:t>extend their influence into employee engagement practices. The increasing adoption of HR analytics reflects a shift towards evidence-based human resource management, where data is leveraged to enhance strategic decision-making (Marler and Boudreau, 2017). Research suggests that data-driven HR systems can support engagement through predictive insights and improved workforce planning, although their effectiveness depends on organisational context and implementation (</w:t>
      </w:r>
      <w:proofErr w:type="spellStart"/>
      <w:r w:rsidRPr="005A757E">
        <w:rPr>
          <w:rFonts w:ascii="Arial" w:hAnsi="Arial" w:cs="Arial"/>
        </w:rPr>
        <w:t>Minbaeva</w:t>
      </w:r>
      <w:proofErr w:type="spellEnd"/>
      <w:r w:rsidRPr="005A757E">
        <w:rPr>
          <w:rFonts w:ascii="Arial" w:hAnsi="Arial" w:cs="Arial"/>
        </w:rPr>
        <w:t>, 2018; Stone et al., 2015).</w:t>
      </w:r>
    </w:p>
    <w:p w14:paraId="472E60E1" w14:textId="2427668E" w:rsidR="005A757E" w:rsidRPr="005A757E" w:rsidRDefault="005A757E" w:rsidP="005A757E">
      <w:pPr>
        <w:spacing w:line="360" w:lineRule="auto"/>
        <w:jc w:val="both"/>
        <w:rPr>
          <w:rFonts w:ascii="Arial" w:hAnsi="Arial" w:cs="Arial"/>
        </w:rPr>
      </w:pPr>
    </w:p>
    <w:p w14:paraId="59477639" w14:textId="77777777" w:rsidR="005A757E" w:rsidRDefault="005A757E" w:rsidP="005A757E">
      <w:pPr>
        <w:spacing w:line="360" w:lineRule="auto"/>
        <w:jc w:val="both"/>
        <w:rPr>
          <w:rFonts w:ascii="Arial" w:hAnsi="Arial" w:cs="Arial"/>
          <w:b/>
          <w:bCs/>
        </w:rPr>
      </w:pPr>
      <w:r w:rsidRPr="005A757E">
        <w:rPr>
          <w:rFonts w:ascii="Arial" w:hAnsi="Arial" w:cs="Arial"/>
          <w:b/>
          <w:bCs/>
        </w:rPr>
        <w:t>Use of Technology in Employee Engagement</w:t>
      </w:r>
    </w:p>
    <w:p w14:paraId="2C10748B" w14:textId="77777777" w:rsidR="00F60E97" w:rsidRPr="005A757E" w:rsidRDefault="00F60E97" w:rsidP="005A757E">
      <w:pPr>
        <w:spacing w:line="360" w:lineRule="auto"/>
        <w:jc w:val="both"/>
        <w:rPr>
          <w:rFonts w:ascii="Arial" w:hAnsi="Arial" w:cs="Arial"/>
          <w:b/>
          <w:bCs/>
        </w:rPr>
      </w:pPr>
    </w:p>
    <w:p w14:paraId="258F446C" w14:textId="77777777" w:rsidR="005A757E" w:rsidRPr="005A757E" w:rsidRDefault="005A757E" w:rsidP="005A757E">
      <w:pPr>
        <w:spacing w:line="360" w:lineRule="auto"/>
        <w:jc w:val="both"/>
        <w:rPr>
          <w:rFonts w:ascii="Arial" w:hAnsi="Arial" w:cs="Arial"/>
        </w:rPr>
      </w:pPr>
      <w:r w:rsidRPr="005A757E">
        <w:rPr>
          <w:rFonts w:ascii="Arial" w:hAnsi="Arial" w:cs="Arial"/>
        </w:rPr>
        <w:t>Although advanced technologies at Celebrity Cruises are primarily applied within recruitment, insights from the peer discussion suggest that these systems are also repurposed to inform engagement strategies:</w:t>
      </w:r>
    </w:p>
    <w:p w14:paraId="0440A34D" w14:textId="77777777" w:rsidR="005A757E" w:rsidRPr="005A757E" w:rsidRDefault="005A757E" w:rsidP="005A757E">
      <w:pPr>
        <w:spacing w:line="360" w:lineRule="auto"/>
        <w:jc w:val="both"/>
        <w:rPr>
          <w:rFonts w:ascii="Arial" w:hAnsi="Arial" w:cs="Arial"/>
        </w:rPr>
      </w:pPr>
      <w:r w:rsidRPr="005A757E">
        <w:rPr>
          <w:rFonts w:ascii="Arial" w:hAnsi="Arial" w:cs="Arial"/>
        </w:rPr>
        <w:t>“Most systems are focused on recruitment and onboarding, but the data collected is also used to track employee satisfaction trends and retention patterns across ships.”</w:t>
      </w:r>
    </w:p>
    <w:p w14:paraId="3EC58010" w14:textId="77777777" w:rsidR="005A757E" w:rsidRPr="005A757E" w:rsidRDefault="005A757E" w:rsidP="005A757E">
      <w:pPr>
        <w:spacing w:line="360" w:lineRule="auto"/>
        <w:jc w:val="both"/>
        <w:rPr>
          <w:rFonts w:ascii="Arial" w:hAnsi="Arial" w:cs="Arial"/>
        </w:rPr>
      </w:pPr>
      <w:r w:rsidRPr="005A757E">
        <w:rPr>
          <w:rFonts w:ascii="Arial" w:hAnsi="Arial" w:cs="Arial"/>
        </w:rPr>
        <w:t>This highlights the growing integration of HR data across the employee lifecycle, where analytics are used not only to recruit talent but also to monitor retention and engagement indicators. Such practices enable organisations to move beyond reactive HR approaches towards more proactive workforce management (</w:t>
      </w:r>
      <w:proofErr w:type="spellStart"/>
      <w:r w:rsidRPr="005A757E">
        <w:rPr>
          <w:rFonts w:ascii="Arial" w:hAnsi="Arial" w:cs="Arial"/>
        </w:rPr>
        <w:t>Ravesangar</w:t>
      </w:r>
      <w:proofErr w:type="spellEnd"/>
      <w:r w:rsidRPr="005A757E">
        <w:rPr>
          <w:rFonts w:ascii="Arial" w:hAnsi="Arial" w:cs="Arial"/>
        </w:rPr>
        <w:t>, 2024). However, this reliance on data also raises questions regarding whether engagement is being understood holistically or reduced to measurable indicators.</w:t>
      </w:r>
    </w:p>
    <w:p w14:paraId="39CEBD68" w14:textId="16961BF2" w:rsidR="005A757E" w:rsidRPr="005A757E" w:rsidRDefault="005A757E" w:rsidP="005A757E">
      <w:pPr>
        <w:spacing w:line="360" w:lineRule="auto"/>
        <w:jc w:val="both"/>
        <w:rPr>
          <w:rFonts w:ascii="Arial" w:hAnsi="Arial" w:cs="Arial"/>
        </w:rPr>
      </w:pPr>
    </w:p>
    <w:p w14:paraId="4B44FF38" w14:textId="77777777" w:rsidR="005A757E" w:rsidRPr="005A757E" w:rsidRDefault="005A757E" w:rsidP="005A757E">
      <w:pPr>
        <w:spacing w:line="360" w:lineRule="auto"/>
        <w:jc w:val="both"/>
        <w:rPr>
          <w:rFonts w:ascii="Arial" w:hAnsi="Arial" w:cs="Arial"/>
          <w:b/>
          <w:bCs/>
        </w:rPr>
      </w:pPr>
      <w:r w:rsidRPr="005A757E">
        <w:rPr>
          <w:rFonts w:ascii="Arial" w:hAnsi="Arial" w:cs="Arial"/>
          <w:b/>
          <w:bCs/>
        </w:rPr>
        <w:t>Theoretical Integration</w:t>
      </w:r>
    </w:p>
    <w:p w14:paraId="30FFE947" w14:textId="77777777" w:rsidR="005A757E" w:rsidRPr="005A757E" w:rsidRDefault="005A757E" w:rsidP="005A757E">
      <w:pPr>
        <w:spacing w:line="360" w:lineRule="auto"/>
        <w:jc w:val="both"/>
        <w:rPr>
          <w:rFonts w:ascii="Arial" w:hAnsi="Arial" w:cs="Arial"/>
        </w:rPr>
      </w:pPr>
      <w:r w:rsidRPr="005A757E">
        <w:rPr>
          <w:rFonts w:ascii="Arial" w:hAnsi="Arial" w:cs="Arial"/>
        </w:rPr>
        <w:lastRenderedPageBreak/>
        <w:t>Kahn (1990) conceptualises engagement as a function of psychological meaningfulness, safety and availability. Big data can enhance these conditions by identifying disengagement signals and enabling timely interventions. However, its intrusive potential may simultaneously undermine psychological safety if employees perceive monitoring as surveillance rather than support, a concern highlighted in discussions of people analytics (CIPD, 2023).</w:t>
      </w:r>
    </w:p>
    <w:p w14:paraId="64A50BC7" w14:textId="78F9A3ED" w:rsidR="005A757E" w:rsidRPr="005A757E" w:rsidRDefault="005A757E" w:rsidP="005A757E">
      <w:pPr>
        <w:spacing w:line="360" w:lineRule="auto"/>
        <w:jc w:val="both"/>
        <w:rPr>
          <w:rFonts w:ascii="Arial" w:hAnsi="Arial" w:cs="Arial"/>
        </w:rPr>
      </w:pPr>
      <w:r w:rsidRPr="005A757E">
        <w:rPr>
          <w:rFonts w:ascii="Arial" w:hAnsi="Arial" w:cs="Arial"/>
        </w:rPr>
        <w:t xml:space="preserve">In contrast, Herzberg (1959) distinguishes between hygiene factors and motivators, suggesting that improvements in working conditions alone are insufficient to generate genuine engagement. While big data effectively strengthens hygiene </w:t>
      </w:r>
      <w:proofErr w:type="spellStart"/>
      <w:r w:rsidRPr="005A757E">
        <w:rPr>
          <w:rFonts w:ascii="Arial" w:hAnsi="Arial" w:cs="Arial"/>
        </w:rPr>
        <w:t>factors</w:t>
      </w:r>
      <w:r w:rsidR="005E1A89">
        <w:rPr>
          <w:rFonts w:ascii="Arial" w:hAnsi="Arial" w:cs="Arial"/>
        </w:rPr>
        <w:t>,</w:t>
      </w:r>
      <w:r w:rsidRPr="005A757E">
        <w:rPr>
          <w:rFonts w:ascii="Arial" w:hAnsi="Arial" w:cs="Arial"/>
        </w:rPr>
        <w:t>such</w:t>
      </w:r>
      <w:proofErr w:type="spellEnd"/>
      <w:r w:rsidRPr="005A757E">
        <w:rPr>
          <w:rFonts w:ascii="Arial" w:hAnsi="Arial" w:cs="Arial"/>
        </w:rPr>
        <w:t xml:space="preserve"> as scheduling and workload management</w:t>
      </w:r>
      <w:r>
        <w:rPr>
          <w:rFonts w:ascii="Arial" w:hAnsi="Arial" w:cs="Arial"/>
        </w:rPr>
        <w:t xml:space="preserve">, </w:t>
      </w:r>
      <w:r w:rsidRPr="005A757E">
        <w:rPr>
          <w:rFonts w:ascii="Arial" w:hAnsi="Arial" w:cs="Arial"/>
        </w:rPr>
        <w:t>it has a more limited impact on intrinsic motivators unless complemented by human-centred practices (Alam, 2024).</w:t>
      </w:r>
    </w:p>
    <w:p w14:paraId="2AC1B9F8" w14:textId="77777777" w:rsidR="005A757E" w:rsidRPr="005A757E" w:rsidRDefault="005A757E" w:rsidP="005A757E">
      <w:pPr>
        <w:spacing w:line="360" w:lineRule="auto"/>
        <w:jc w:val="both"/>
        <w:rPr>
          <w:rFonts w:ascii="Arial" w:hAnsi="Arial" w:cs="Arial"/>
        </w:rPr>
      </w:pPr>
      <w:r w:rsidRPr="005A757E">
        <w:rPr>
          <w:rFonts w:ascii="Arial" w:hAnsi="Arial" w:cs="Arial"/>
        </w:rPr>
        <w:t>Critically, while Kahn’s model emphasises the subjective and psychological experience of engagement, Herzberg’s framework highlights structural conditions, suggesting that big data is more effective in addressing organisational deficiencies than fostering authentic employee engagement.</w:t>
      </w:r>
    </w:p>
    <w:p w14:paraId="65082F6A" w14:textId="0AE52CA2" w:rsidR="005A757E" w:rsidRPr="005A757E" w:rsidRDefault="005A757E" w:rsidP="005A757E">
      <w:pPr>
        <w:spacing w:line="360" w:lineRule="auto"/>
        <w:jc w:val="both"/>
        <w:rPr>
          <w:rFonts w:ascii="Arial" w:hAnsi="Arial" w:cs="Arial"/>
        </w:rPr>
      </w:pPr>
    </w:p>
    <w:p w14:paraId="060FEAED" w14:textId="77777777" w:rsidR="005A757E" w:rsidRDefault="005A757E" w:rsidP="005A757E">
      <w:pPr>
        <w:spacing w:line="360" w:lineRule="auto"/>
        <w:jc w:val="both"/>
        <w:rPr>
          <w:rFonts w:ascii="Arial" w:hAnsi="Arial" w:cs="Arial"/>
          <w:b/>
          <w:bCs/>
        </w:rPr>
      </w:pPr>
      <w:r w:rsidRPr="005A757E">
        <w:rPr>
          <w:rFonts w:ascii="Arial" w:hAnsi="Arial" w:cs="Arial"/>
          <w:b/>
          <w:bCs/>
        </w:rPr>
        <w:t>Benefits of Big Data in Employee Engagement</w:t>
      </w:r>
    </w:p>
    <w:p w14:paraId="3FBC0A4C" w14:textId="77777777" w:rsidR="00F60E97" w:rsidRPr="005A757E" w:rsidRDefault="00F60E97" w:rsidP="005A757E">
      <w:pPr>
        <w:spacing w:line="360" w:lineRule="auto"/>
        <w:jc w:val="both"/>
        <w:rPr>
          <w:rFonts w:ascii="Arial" w:hAnsi="Arial" w:cs="Arial"/>
          <w:b/>
          <w:bCs/>
        </w:rPr>
      </w:pPr>
    </w:p>
    <w:p w14:paraId="2BB42B6A" w14:textId="77777777" w:rsidR="005A757E" w:rsidRPr="005A757E" w:rsidRDefault="005A757E" w:rsidP="005A757E">
      <w:pPr>
        <w:spacing w:line="360" w:lineRule="auto"/>
        <w:jc w:val="both"/>
        <w:rPr>
          <w:rFonts w:ascii="Arial" w:hAnsi="Arial" w:cs="Arial"/>
        </w:rPr>
      </w:pPr>
      <w:r w:rsidRPr="005A757E">
        <w:rPr>
          <w:rFonts w:ascii="Arial" w:hAnsi="Arial" w:cs="Arial"/>
        </w:rPr>
        <w:t xml:space="preserve">Big data offers several strategic advantages. Firstly, it facilitates data-driven decision-making by identifying patterns in employee behaviour and predicting turnover risks (Marler and Boudreau, 2017; </w:t>
      </w:r>
      <w:proofErr w:type="spellStart"/>
      <w:r w:rsidRPr="005A757E">
        <w:rPr>
          <w:rFonts w:ascii="Arial" w:hAnsi="Arial" w:cs="Arial"/>
        </w:rPr>
        <w:t>Ravesangar</w:t>
      </w:r>
      <w:proofErr w:type="spellEnd"/>
      <w:r w:rsidRPr="005A757E">
        <w:rPr>
          <w:rFonts w:ascii="Arial" w:hAnsi="Arial" w:cs="Arial"/>
        </w:rPr>
        <w:t>, 2024). This is particularly relevant in the cruise industry, where high labour turnover presents ongoing challenges (Baum, 2015). Secondly, predictive analytics enables targeted retention strategies, allowing organisations to intervene before disengagement leads to attrition (</w:t>
      </w:r>
      <w:proofErr w:type="spellStart"/>
      <w:r w:rsidRPr="005A757E">
        <w:rPr>
          <w:rFonts w:ascii="Arial" w:hAnsi="Arial" w:cs="Arial"/>
        </w:rPr>
        <w:t>Minbaeva</w:t>
      </w:r>
      <w:proofErr w:type="spellEnd"/>
      <w:r w:rsidRPr="005A757E">
        <w:rPr>
          <w:rFonts w:ascii="Arial" w:hAnsi="Arial" w:cs="Arial"/>
        </w:rPr>
        <w:t>, 2018).</w:t>
      </w:r>
    </w:p>
    <w:p w14:paraId="39F24684" w14:textId="77777777" w:rsidR="005A757E" w:rsidRPr="005A757E" w:rsidRDefault="005A757E" w:rsidP="005A757E">
      <w:pPr>
        <w:spacing w:line="360" w:lineRule="auto"/>
        <w:jc w:val="both"/>
        <w:rPr>
          <w:rFonts w:ascii="Arial" w:hAnsi="Arial" w:cs="Arial"/>
        </w:rPr>
      </w:pPr>
      <w:r w:rsidRPr="005A757E">
        <w:rPr>
          <w:rFonts w:ascii="Arial" w:hAnsi="Arial" w:cs="Arial"/>
        </w:rPr>
        <w:t>Furthermore, digital platforms enhance communication and feedback mechanisms, improving organisational responsiveness and transparency (Stone et al., 2015). HR analytics also enables the personalisation of employee management practices, which can strengthen organisational commitment when implemented effectively (CIPD, 2023). However, these benefits are contingent on the quality and interpretation of data, rather than the technology itself.</w:t>
      </w:r>
    </w:p>
    <w:p w14:paraId="1E881AF5" w14:textId="14EE046B" w:rsidR="005A757E" w:rsidRPr="005A757E" w:rsidRDefault="005A757E" w:rsidP="005A757E">
      <w:pPr>
        <w:spacing w:line="360" w:lineRule="auto"/>
        <w:jc w:val="both"/>
        <w:rPr>
          <w:rFonts w:ascii="Arial" w:hAnsi="Arial" w:cs="Arial"/>
        </w:rPr>
      </w:pPr>
    </w:p>
    <w:p w14:paraId="667EFD25" w14:textId="77777777" w:rsidR="005A757E" w:rsidRDefault="005A757E" w:rsidP="005A757E">
      <w:pPr>
        <w:spacing w:line="360" w:lineRule="auto"/>
        <w:jc w:val="both"/>
        <w:rPr>
          <w:rFonts w:ascii="Arial" w:hAnsi="Arial" w:cs="Arial"/>
          <w:b/>
          <w:bCs/>
        </w:rPr>
      </w:pPr>
      <w:r w:rsidRPr="005A757E">
        <w:rPr>
          <w:rFonts w:ascii="Arial" w:hAnsi="Arial" w:cs="Arial"/>
          <w:b/>
          <w:bCs/>
        </w:rPr>
        <w:t>Risks and Challenges</w:t>
      </w:r>
    </w:p>
    <w:p w14:paraId="5CC9F56F" w14:textId="77777777" w:rsidR="00F60E97" w:rsidRPr="005A757E" w:rsidRDefault="00F60E97" w:rsidP="005A757E">
      <w:pPr>
        <w:spacing w:line="360" w:lineRule="auto"/>
        <w:jc w:val="both"/>
        <w:rPr>
          <w:rFonts w:ascii="Arial" w:hAnsi="Arial" w:cs="Arial"/>
          <w:b/>
          <w:bCs/>
        </w:rPr>
      </w:pPr>
    </w:p>
    <w:p w14:paraId="30C273F8" w14:textId="77777777" w:rsidR="005A757E" w:rsidRPr="005A757E" w:rsidRDefault="005A757E" w:rsidP="005A757E">
      <w:pPr>
        <w:spacing w:line="360" w:lineRule="auto"/>
        <w:jc w:val="both"/>
        <w:rPr>
          <w:rFonts w:ascii="Arial" w:hAnsi="Arial" w:cs="Arial"/>
        </w:rPr>
      </w:pPr>
      <w:r w:rsidRPr="005A757E">
        <w:rPr>
          <w:rFonts w:ascii="Arial" w:hAnsi="Arial" w:cs="Arial"/>
        </w:rPr>
        <w:t>Despite its advantages, the use of big data introduces significant risks. Data privacy concerns remain prominent, as the collection and analysis of employee information may lead to perceptions of surveillance and reduced trust (CIPD, 2023). This is particularly problematic in environments where employees already experience limited autonomy.</w:t>
      </w:r>
    </w:p>
    <w:p w14:paraId="2EE7D0C7" w14:textId="77777777" w:rsidR="005A757E" w:rsidRPr="005A757E" w:rsidRDefault="005A757E" w:rsidP="005A757E">
      <w:pPr>
        <w:spacing w:line="360" w:lineRule="auto"/>
        <w:jc w:val="both"/>
        <w:rPr>
          <w:rFonts w:ascii="Arial" w:hAnsi="Arial" w:cs="Arial"/>
        </w:rPr>
      </w:pPr>
      <w:r w:rsidRPr="005A757E">
        <w:rPr>
          <w:rFonts w:ascii="Arial" w:hAnsi="Arial" w:cs="Arial"/>
        </w:rPr>
        <w:t>Additionally, an over-reliance on quantitative data risks neglecting the emotional and relational dimensions of engagement, which are central to service-based industries (Chamorro-</w:t>
      </w:r>
      <w:proofErr w:type="spellStart"/>
      <w:r w:rsidRPr="005A757E">
        <w:rPr>
          <w:rFonts w:ascii="Arial" w:hAnsi="Arial" w:cs="Arial"/>
        </w:rPr>
        <w:t>Premuzic</w:t>
      </w:r>
      <w:proofErr w:type="spellEnd"/>
      <w:r w:rsidRPr="005A757E">
        <w:rPr>
          <w:rFonts w:ascii="Arial" w:hAnsi="Arial" w:cs="Arial"/>
        </w:rPr>
        <w:t xml:space="preserve"> et al., 2019). Algorithmic bias further complicates this issue, as flawed datasets may reinforce existing inequalities, undermining perceptions of fairness (Raghavan et al., 2020).</w:t>
      </w:r>
    </w:p>
    <w:p w14:paraId="0E413A69" w14:textId="77777777" w:rsidR="005A757E" w:rsidRPr="005A757E" w:rsidRDefault="005A757E" w:rsidP="005A757E">
      <w:pPr>
        <w:spacing w:line="360" w:lineRule="auto"/>
        <w:jc w:val="both"/>
        <w:rPr>
          <w:rFonts w:ascii="Arial" w:hAnsi="Arial" w:cs="Arial"/>
        </w:rPr>
      </w:pPr>
      <w:r w:rsidRPr="005A757E">
        <w:rPr>
          <w:rFonts w:ascii="Arial" w:hAnsi="Arial" w:cs="Arial"/>
        </w:rPr>
        <w:t>Moreover, persistent low global engagement levels suggest that technological solutions alone are insufficient to address deeper organisational and motivational challenges (Gallup, 2025). This indicates a gap between technological capability and practical impact.</w:t>
      </w:r>
    </w:p>
    <w:p w14:paraId="776A98FF" w14:textId="0A2C2DE1" w:rsidR="005A757E" w:rsidRPr="005A757E" w:rsidRDefault="005A757E" w:rsidP="005A757E">
      <w:pPr>
        <w:spacing w:line="360" w:lineRule="auto"/>
        <w:jc w:val="both"/>
        <w:rPr>
          <w:rFonts w:ascii="Arial" w:hAnsi="Arial" w:cs="Arial"/>
          <w:b/>
          <w:bCs/>
        </w:rPr>
      </w:pPr>
    </w:p>
    <w:p w14:paraId="4F7C5A15" w14:textId="77777777" w:rsidR="005A757E" w:rsidRDefault="005A757E" w:rsidP="005A757E">
      <w:pPr>
        <w:spacing w:line="360" w:lineRule="auto"/>
        <w:jc w:val="both"/>
        <w:rPr>
          <w:rFonts w:ascii="Arial" w:hAnsi="Arial" w:cs="Arial"/>
          <w:b/>
          <w:bCs/>
        </w:rPr>
      </w:pPr>
      <w:r w:rsidRPr="005A757E">
        <w:rPr>
          <w:rFonts w:ascii="Arial" w:hAnsi="Arial" w:cs="Arial"/>
          <w:b/>
          <w:bCs/>
        </w:rPr>
        <w:t>Critical Evaluation and Conclusion</w:t>
      </w:r>
    </w:p>
    <w:p w14:paraId="18B9D6DC" w14:textId="77777777" w:rsidR="00F60E97" w:rsidRPr="005A757E" w:rsidRDefault="00F60E97" w:rsidP="005A757E">
      <w:pPr>
        <w:spacing w:line="360" w:lineRule="auto"/>
        <w:jc w:val="both"/>
        <w:rPr>
          <w:rFonts w:ascii="Arial" w:hAnsi="Arial" w:cs="Arial"/>
          <w:b/>
          <w:bCs/>
        </w:rPr>
      </w:pPr>
    </w:p>
    <w:p w14:paraId="7098C3BF" w14:textId="77777777" w:rsidR="005A757E" w:rsidRPr="005A757E" w:rsidRDefault="005A757E" w:rsidP="005A757E">
      <w:pPr>
        <w:spacing w:line="360" w:lineRule="auto"/>
        <w:jc w:val="both"/>
        <w:rPr>
          <w:rFonts w:ascii="Arial" w:hAnsi="Arial" w:cs="Arial"/>
        </w:rPr>
      </w:pPr>
      <w:r w:rsidRPr="005A757E">
        <w:rPr>
          <w:rFonts w:ascii="Arial" w:hAnsi="Arial" w:cs="Arial"/>
        </w:rPr>
        <w:t>From a critical standpoint, big data enhances efficiency and strategic insight but may simultaneously constrain the relational and human aspects of employee engagement. While it supports elements of both Kahn’s psychological conditions and Herzberg’s hygiene factors, its contribution to intrinsic motivation remains limited.</w:t>
      </w:r>
    </w:p>
    <w:p w14:paraId="54319E4D" w14:textId="0E92CED6" w:rsidR="00F60E97" w:rsidRPr="000655EB" w:rsidRDefault="005A757E" w:rsidP="000655EB">
      <w:pPr>
        <w:spacing w:line="360" w:lineRule="auto"/>
        <w:jc w:val="both"/>
        <w:rPr>
          <w:rFonts w:ascii="Arial" w:hAnsi="Arial" w:cs="Arial"/>
        </w:rPr>
      </w:pPr>
      <w:r w:rsidRPr="005A757E">
        <w:rPr>
          <w:rFonts w:ascii="Arial" w:hAnsi="Arial" w:cs="Arial"/>
        </w:rPr>
        <w:t>In the context of Celebrity Cruises, technology functions as an enabling tool rather than a comprehensive solution. Its effectiveness depends on how it is integrated with human-centred leadership and ethical HR practices. Therefore, a balanced approach that combines analytical capability with managerial judgement is essential to achieve sustainable and meaningful employee engagement.</w:t>
      </w:r>
    </w:p>
    <w:p w14:paraId="08B0409A" w14:textId="4F660827" w:rsidR="000655EB" w:rsidRDefault="000655EB" w:rsidP="000655EB">
      <w:pPr>
        <w:spacing w:line="360" w:lineRule="auto"/>
        <w:jc w:val="both"/>
        <w:rPr>
          <w:rFonts w:ascii="Arial" w:hAnsi="Arial" w:cs="Arial"/>
          <w:b/>
          <w:bCs/>
          <w:lang w:val="en-US"/>
        </w:rPr>
      </w:pPr>
      <w:r w:rsidRPr="000655EB">
        <w:rPr>
          <w:rFonts w:ascii="Arial" w:hAnsi="Arial" w:cs="Arial"/>
          <w:b/>
          <w:bCs/>
          <w:lang w:val="en-US"/>
        </w:rPr>
        <w:lastRenderedPageBreak/>
        <w:t>Referenc</w:t>
      </w:r>
      <w:r w:rsidR="00883370">
        <w:rPr>
          <w:rFonts w:ascii="Arial" w:hAnsi="Arial" w:cs="Arial"/>
          <w:b/>
          <w:bCs/>
          <w:lang w:val="en-US"/>
        </w:rPr>
        <w:t>es:</w:t>
      </w:r>
    </w:p>
    <w:p w14:paraId="5B64A398" w14:textId="77777777" w:rsidR="00883370" w:rsidRPr="000655EB" w:rsidRDefault="00883370" w:rsidP="000655EB">
      <w:pPr>
        <w:spacing w:line="360" w:lineRule="auto"/>
        <w:jc w:val="both"/>
        <w:rPr>
          <w:rFonts w:ascii="Arial" w:hAnsi="Arial" w:cs="Arial"/>
          <w:b/>
          <w:bCs/>
          <w:lang w:val="en-US"/>
        </w:rPr>
      </w:pPr>
    </w:p>
    <w:p w14:paraId="6CAB05B2" w14:textId="33F8ABCF" w:rsidR="000655EB" w:rsidRPr="000655EB" w:rsidRDefault="000655EB" w:rsidP="000655EB">
      <w:pPr>
        <w:spacing w:line="360" w:lineRule="auto"/>
        <w:jc w:val="both"/>
        <w:rPr>
          <w:rFonts w:ascii="Arial" w:hAnsi="Arial" w:cs="Arial"/>
          <w:lang w:val="en-US"/>
        </w:rPr>
      </w:pPr>
      <w:r w:rsidRPr="000655EB">
        <w:rPr>
          <w:rFonts w:ascii="Arial" w:hAnsi="Arial" w:cs="Arial"/>
          <w:lang w:val="en-US"/>
        </w:rPr>
        <w:t>Alam, M.J. (</w:t>
      </w:r>
      <w:r w:rsidR="00C57256" w:rsidRPr="000655EB">
        <w:rPr>
          <w:rFonts w:ascii="Arial" w:hAnsi="Arial" w:cs="Arial"/>
          <w:lang w:val="en-US"/>
        </w:rPr>
        <w:t>2024)</w:t>
      </w:r>
      <w:r w:rsidR="00C57256">
        <w:rPr>
          <w:rFonts w:ascii="Arial" w:hAnsi="Arial" w:cs="Arial"/>
          <w:lang w:val="en-US"/>
        </w:rPr>
        <w:t>.</w:t>
      </w:r>
      <w:r w:rsidR="00C57256" w:rsidRPr="000655EB">
        <w:rPr>
          <w:rFonts w:ascii="Arial" w:hAnsi="Arial" w:cs="Arial"/>
          <w:lang w:val="en-US"/>
        </w:rPr>
        <w:t xml:space="preserve"> </w:t>
      </w:r>
      <w:r w:rsidR="00A2476F">
        <w:rPr>
          <w:rFonts w:ascii="Arial" w:hAnsi="Arial" w:cs="Arial"/>
          <w:lang w:val="en-US"/>
        </w:rPr>
        <w:t>‘</w:t>
      </w:r>
      <w:r w:rsidRPr="000655EB">
        <w:rPr>
          <w:rFonts w:ascii="Arial" w:hAnsi="Arial" w:cs="Arial"/>
          <w:lang w:val="en-US"/>
        </w:rPr>
        <w:t>Human resource management practices and employee engagement</w:t>
      </w:r>
      <w:r w:rsidR="00A2476F">
        <w:rPr>
          <w:rFonts w:ascii="Arial" w:hAnsi="Arial" w:cs="Arial"/>
          <w:lang w:val="en-US"/>
        </w:rPr>
        <w:t>'</w:t>
      </w:r>
      <w:r w:rsidRPr="000655EB">
        <w:rPr>
          <w:rFonts w:ascii="Arial" w:hAnsi="Arial" w:cs="Arial"/>
          <w:lang w:val="en-US"/>
        </w:rPr>
        <w:t xml:space="preserve">, </w:t>
      </w:r>
      <w:r w:rsidRPr="000655EB">
        <w:rPr>
          <w:rFonts w:ascii="Arial" w:hAnsi="Arial" w:cs="Arial"/>
          <w:i/>
          <w:iCs/>
          <w:lang w:val="en-US"/>
        </w:rPr>
        <w:t>Cogent Business &amp; Management</w:t>
      </w:r>
      <w:r w:rsidRPr="000655EB">
        <w:rPr>
          <w:rFonts w:ascii="Arial" w:hAnsi="Arial" w:cs="Arial"/>
          <w:lang w:val="en-US"/>
        </w:rPr>
        <w:t>.</w:t>
      </w:r>
      <w:r w:rsidR="00A2476F" w:rsidRPr="00A2476F">
        <w:t xml:space="preserve"> </w:t>
      </w:r>
      <w:r w:rsidR="00A2476F" w:rsidRPr="00A2476F">
        <w:rPr>
          <w:rFonts w:ascii="Arial" w:hAnsi="Arial" w:cs="Arial"/>
        </w:rPr>
        <w:t>11(1).</w:t>
      </w:r>
    </w:p>
    <w:p w14:paraId="78066EE1" w14:textId="77777777" w:rsidR="000655EB" w:rsidRDefault="000655EB" w:rsidP="000655EB">
      <w:pPr>
        <w:spacing w:line="360" w:lineRule="auto"/>
        <w:jc w:val="both"/>
        <w:rPr>
          <w:rFonts w:ascii="Arial" w:hAnsi="Arial" w:cs="Arial"/>
          <w:lang w:val="en-US"/>
        </w:rPr>
      </w:pPr>
      <w:r w:rsidRPr="000655EB">
        <w:rPr>
          <w:rFonts w:ascii="Arial" w:hAnsi="Arial" w:cs="Arial"/>
          <w:lang w:val="en-US"/>
        </w:rPr>
        <w:t xml:space="preserve">Baum, T. (2015) </w:t>
      </w:r>
      <w:r w:rsidRPr="000655EB">
        <w:rPr>
          <w:rFonts w:ascii="Arial" w:hAnsi="Arial" w:cs="Arial"/>
          <w:i/>
          <w:iCs/>
          <w:lang w:val="en-US"/>
        </w:rPr>
        <w:t>Human resource management for tourism, hospitality and leisure: An international perspective</w:t>
      </w:r>
      <w:r w:rsidRPr="000655EB">
        <w:rPr>
          <w:rFonts w:ascii="Arial" w:hAnsi="Arial" w:cs="Arial"/>
          <w:lang w:val="en-US"/>
        </w:rPr>
        <w:t xml:space="preserve">. 2nd </w:t>
      </w:r>
      <w:proofErr w:type="spellStart"/>
      <w:r w:rsidRPr="000655EB">
        <w:rPr>
          <w:rFonts w:ascii="Arial" w:hAnsi="Arial" w:cs="Arial"/>
          <w:lang w:val="en-US"/>
        </w:rPr>
        <w:t>edn</w:t>
      </w:r>
      <w:proofErr w:type="spellEnd"/>
      <w:r w:rsidRPr="000655EB">
        <w:rPr>
          <w:rFonts w:ascii="Arial" w:hAnsi="Arial" w:cs="Arial"/>
          <w:lang w:val="en-US"/>
        </w:rPr>
        <w:t>. London: Thomson Learning.</w:t>
      </w:r>
    </w:p>
    <w:p w14:paraId="2317E9D7" w14:textId="3DCCF61B" w:rsidR="004F5E2E" w:rsidRPr="000655EB" w:rsidRDefault="004F5E2E" w:rsidP="000655EB">
      <w:pPr>
        <w:spacing w:line="360" w:lineRule="auto"/>
        <w:jc w:val="both"/>
        <w:rPr>
          <w:rFonts w:ascii="Arial" w:hAnsi="Arial" w:cs="Arial"/>
          <w:lang w:val="en-US"/>
        </w:rPr>
      </w:pPr>
      <w:r w:rsidRPr="004F5E2E">
        <w:rPr>
          <w:rFonts w:ascii="Arial" w:hAnsi="Arial" w:cs="Arial"/>
        </w:rPr>
        <w:t>Chamorro-</w:t>
      </w:r>
      <w:proofErr w:type="spellStart"/>
      <w:r w:rsidRPr="004F5E2E">
        <w:rPr>
          <w:rFonts w:ascii="Arial" w:hAnsi="Arial" w:cs="Arial"/>
        </w:rPr>
        <w:t>Premuzic</w:t>
      </w:r>
      <w:proofErr w:type="spellEnd"/>
      <w:r w:rsidRPr="004F5E2E">
        <w:rPr>
          <w:rFonts w:ascii="Arial" w:hAnsi="Arial" w:cs="Arial"/>
        </w:rPr>
        <w:t xml:space="preserve">, T., </w:t>
      </w:r>
      <w:proofErr w:type="spellStart"/>
      <w:r w:rsidRPr="004F5E2E">
        <w:rPr>
          <w:rFonts w:ascii="Arial" w:hAnsi="Arial" w:cs="Arial"/>
        </w:rPr>
        <w:t>Winsborough</w:t>
      </w:r>
      <w:proofErr w:type="spellEnd"/>
      <w:r w:rsidRPr="004F5E2E">
        <w:rPr>
          <w:rFonts w:ascii="Arial" w:hAnsi="Arial" w:cs="Arial"/>
        </w:rPr>
        <w:t xml:space="preserve">, D., Sherman, R.A. and Hogan, R. (2019) ‘New talent signals: Shiny new objects or a brave new world?’, </w:t>
      </w:r>
      <w:r w:rsidRPr="004F5E2E">
        <w:rPr>
          <w:rFonts w:ascii="Arial" w:hAnsi="Arial" w:cs="Arial"/>
          <w:i/>
          <w:iCs/>
        </w:rPr>
        <w:t>Industrial and Organizational Psychology</w:t>
      </w:r>
      <w:r w:rsidRPr="004F5E2E">
        <w:rPr>
          <w:rFonts w:ascii="Arial" w:hAnsi="Arial" w:cs="Arial"/>
        </w:rPr>
        <w:t xml:space="preserve">, 12(3), pp. 216–226. </w:t>
      </w:r>
    </w:p>
    <w:p w14:paraId="29D89943" w14:textId="0988F264" w:rsidR="000655EB" w:rsidRPr="000655EB" w:rsidRDefault="000655EB" w:rsidP="000655EB">
      <w:pPr>
        <w:spacing w:line="360" w:lineRule="auto"/>
        <w:jc w:val="both"/>
        <w:rPr>
          <w:rFonts w:ascii="Arial" w:hAnsi="Arial" w:cs="Arial"/>
          <w:lang w:val="en-US"/>
        </w:rPr>
      </w:pPr>
      <w:r w:rsidRPr="000655EB">
        <w:rPr>
          <w:rFonts w:ascii="Arial" w:hAnsi="Arial" w:cs="Arial"/>
          <w:lang w:val="en-US"/>
        </w:rPr>
        <w:t xml:space="preserve">CIPD (2023) </w:t>
      </w:r>
      <w:r w:rsidRPr="000655EB">
        <w:rPr>
          <w:rFonts w:ascii="Arial" w:hAnsi="Arial" w:cs="Arial"/>
          <w:i/>
          <w:iCs/>
          <w:lang w:val="en-US"/>
        </w:rPr>
        <w:t>People analytics and technology in HR</w:t>
      </w:r>
      <w:r w:rsidRPr="000655EB">
        <w:rPr>
          <w:rFonts w:ascii="Arial" w:hAnsi="Arial" w:cs="Arial"/>
          <w:lang w:val="en-US"/>
        </w:rPr>
        <w:t>.</w:t>
      </w:r>
      <w:r w:rsidR="004F5E2E" w:rsidRPr="004F5E2E">
        <w:t xml:space="preserve"> </w:t>
      </w:r>
      <w:r w:rsidR="004F5E2E" w:rsidRPr="004F5E2E">
        <w:rPr>
          <w:rFonts w:ascii="Arial" w:hAnsi="Arial" w:cs="Arial"/>
        </w:rPr>
        <w:t>London: Chartered Institute of Personnel and Development</w:t>
      </w:r>
      <w:r w:rsidR="004F5E2E">
        <w:rPr>
          <w:rFonts w:ascii="Arial" w:hAnsi="Arial" w:cs="Arial"/>
        </w:rPr>
        <w:t>.</w:t>
      </w:r>
      <w:r w:rsidRPr="000655EB">
        <w:rPr>
          <w:rFonts w:ascii="Arial" w:hAnsi="Arial" w:cs="Arial"/>
          <w:lang w:val="en-US"/>
        </w:rPr>
        <w:t xml:space="preserve"> Available at:</w:t>
      </w:r>
      <w:r w:rsidR="00883370" w:rsidRPr="00883370">
        <w:t xml:space="preserve"> </w:t>
      </w:r>
      <w:hyperlink r:id="rId4" w:history="1">
        <w:r w:rsidR="00883370" w:rsidRPr="003D3BC7">
          <w:rPr>
            <w:rStyle w:val="Hyperlink"/>
            <w:rFonts w:ascii="Arial" w:hAnsi="Arial" w:cs="Arial"/>
            <w:lang w:val="en-US"/>
          </w:rPr>
          <w:t>https://www.cipd.or</w:t>
        </w:r>
        <w:r w:rsidR="00883370" w:rsidRPr="003D3BC7">
          <w:rPr>
            <w:rStyle w:val="Hyperlink"/>
            <w:rFonts w:ascii="Arial" w:hAnsi="Arial" w:cs="Arial"/>
            <w:lang w:val="en-US"/>
          </w:rPr>
          <w:t>g</w:t>
        </w:r>
        <w:r w:rsidR="00883370" w:rsidRPr="003D3BC7">
          <w:rPr>
            <w:rStyle w:val="Hyperlink"/>
            <w:rFonts w:ascii="Arial" w:hAnsi="Arial" w:cs="Arial"/>
            <w:lang w:val="en-US"/>
          </w:rPr>
          <w:t>/uk/topics/people-analytics/</w:t>
        </w:r>
      </w:hyperlink>
      <w:r w:rsidR="00883370">
        <w:rPr>
          <w:rFonts w:ascii="Arial" w:hAnsi="Arial" w:cs="Arial"/>
          <w:lang w:val="en-US"/>
        </w:rPr>
        <w:t xml:space="preserve"> </w:t>
      </w:r>
      <w:r w:rsidRPr="000655EB">
        <w:rPr>
          <w:rFonts w:ascii="Arial" w:hAnsi="Arial" w:cs="Arial"/>
          <w:lang w:val="en-US"/>
        </w:rPr>
        <w:t xml:space="preserve"> (Accessed: 6 April 2026).</w:t>
      </w:r>
    </w:p>
    <w:p w14:paraId="757C6BFD" w14:textId="7066DB58" w:rsidR="000655EB" w:rsidRPr="000655EB" w:rsidRDefault="000655EB" w:rsidP="000655EB">
      <w:pPr>
        <w:spacing w:line="360" w:lineRule="auto"/>
        <w:jc w:val="both"/>
        <w:rPr>
          <w:rFonts w:ascii="Arial" w:hAnsi="Arial" w:cs="Arial"/>
          <w:lang w:val="en-US"/>
        </w:rPr>
      </w:pPr>
      <w:r w:rsidRPr="000655EB">
        <w:rPr>
          <w:rFonts w:ascii="Arial" w:hAnsi="Arial" w:cs="Arial"/>
          <w:lang w:val="en-US"/>
        </w:rPr>
        <w:t>Gallup (2025)</w:t>
      </w:r>
      <w:r w:rsidR="00C57256">
        <w:rPr>
          <w:rFonts w:ascii="Arial" w:hAnsi="Arial" w:cs="Arial"/>
          <w:lang w:val="en-US"/>
        </w:rPr>
        <w:t>.</w:t>
      </w:r>
      <w:r w:rsidRPr="000655EB">
        <w:rPr>
          <w:rFonts w:ascii="Arial" w:hAnsi="Arial" w:cs="Arial"/>
          <w:lang w:val="en-US"/>
        </w:rPr>
        <w:t xml:space="preserve"> </w:t>
      </w:r>
      <w:r w:rsidRPr="000655EB">
        <w:rPr>
          <w:rFonts w:ascii="Arial" w:hAnsi="Arial" w:cs="Arial"/>
          <w:i/>
          <w:iCs/>
          <w:lang w:val="en-US"/>
        </w:rPr>
        <w:t>State of the global workplace report</w:t>
      </w:r>
      <w:r w:rsidRPr="000655EB">
        <w:rPr>
          <w:rFonts w:ascii="Arial" w:hAnsi="Arial" w:cs="Arial"/>
          <w:lang w:val="en-US"/>
        </w:rPr>
        <w:t xml:space="preserve">. Available at: </w:t>
      </w:r>
      <w:hyperlink r:id="rId5" w:history="1">
        <w:r w:rsidR="00C57256" w:rsidRPr="000655EB">
          <w:rPr>
            <w:rStyle w:val="Hyperlink"/>
            <w:rFonts w:ascii="Arial" w:hAnsi="Arial" w:cs="Arial"/>
            <w:lang w:val="en-US"/>
          </w:rPr>
          <w:t>https://www.gallup.c</w:t>
        </w:r>
        <w:r w:rsidR="00C57256" w:rsidRPr="000655EB">
          <w:rPr>
            <w:rStyle w:val="Hyperlink"/>
            <w:rFonts w:ascii="Arial" w:hAnsi="Arial" w:cs="Arial"/>
            <w:lang w:val="en-US"/>
          </w:rPr>
          <w:t>o</w:t>
        </w:r>
        <w:r w:rsidR="00C57256" w:rsidRPr="000655EB">
          <w:rPr>
            <w:rStyle w:val="Hyperlink"/>
            <w:rFonts w:ascii="Arial" w:hAnsi="Arial" w:cs="Arial"/>
            <w:lang w:val="en-US"/>
          </w:rPr>
          <w:t>m</w:t>
        </w:r>
      </w:hyperlink>
      <w:r w:rsidR="00C57256">
        <w:rPr>
          <w:rFonts w:ascii="Arial" w:hAnsi="Arial" w:cs="Arial"/>
          <w:lang w:val="en-US"/>
        </w:rPr>
        <w:t xml:space="preserve"> </w:t>
      </w:r>
      <w:r w:rsidRPr="000655EB">
        <w:rPr>
          <w:rFonts w:ascii="Arial" w:hAnsi="Arial" w:cs="Arial"/>
          <w:lang w:val="en-US"/>
        </w:rPr>
        <w:t xml:space="preserve"> (Accessed: 6 April 2026).</w:t>
      </w:r>
    </w:p>
    <w:p w14:paraId="4147C225" w14:textId="14B18442" w:rsidR="000655EB" w:rsidRPr="000655EB" w:rsidRDefault="000655EB" w:rsidP="000655EB">
      <w:pPr>
        <w:spacing w:line="360" w:lineRule="auto"/>
        <w:jc w:val="both"/>
        <w:rPr>
          <w:rFonts w:ascii="Arial" w:hAnsi="Arial" w:cs="Arial"/>
          <w:lang w:val="en-US"/>
        </w:rPr>
      </w:pPr>
      <w:r w:rsidRPr="000655EB">
        <w:rPr>
          <w:rFonts w:ascii="Arial" w:hAnsi="Arial" w:cs="Arial"/>
          <w:lang w:val="en-US"/>
        </w:rPr>
        <w:t>Herzberg, F. (1959)</w:t>
      </w:r>
      <w:r w:rsidR="00C57256">
        <w:rPr>
          <w:rFonts w:ascii="Arial" w:hAnsi="Arial" w:cs="Arial"/>
          <w:lang w:val="en-US"/>
        </w:rPr>
        <w:t>.</w:t>
      </w:r>
      <w:r w:rsidRPr="000655EB">
        <w:rPr>
          <w:rFonts w:ascii="Arial" w:hAnsi="Arial" w:cs="Arial"/>
          <w:lang w:val="en-US"/>
        </w:rPr>
        <w:t xml:space="preserve"> </w:t>
      </w:r>
      <w:r w:rsidRPr="000655EB">
        <w:rPr>
          <w:rFonts w:ascii="Arial" w:hAnsi="Arial" w:cs="Arial"/>
          <w:i/>
          <w:iCs/>
          <w:lang w:val="en-US"/>
        </w:rPr>
        <w:t>The motivation to work</w:t>
      </w:r>
      <w:r w:rsidRPr="000655EB">
        <w:rPr>
          <w:rFonts w:ascii="Arial" w:hAnsi="Arial" w:cs="Arial"/>
          <w:lang w:val="en-US"/>
        </w:rPr>
        <w:t>. New York: Wiley.</w:t>
      </w:r>
    </w:p>
    <w:p w14:paraId="78EFDB62" w14:textId="6E2C00F3" w:rsidR="000655EB" w:rsidRPr="000655EB" w:rsidRDefault="000655EB" w:rsidP="000655EB">
      <w:pPr>
        <w:spacing w:line="360" w:lineRule="auto"/>
        <w:jc w:val="both"/>
        <w:rPr>
          <w:rFonts w:ascii="Arial" w:hAnsi="Arial" w:cs="Arial"/>
          <w:lang w:val="en-US"/>
        </w:rPr>
      </w:pPr>
      <w:r w:rsidRPr="000655EB">
        <w:rPr>
          <w:rFonts w:ascii="Arial" w:hAnsi="Arial" w:cs="Arial"/>
          <w:lang w:val="en-US"/>
        </w:rPr>
        <w:t>Kahn, W.A. (1990)</w:t>
      </w:r>
      <w:r w:rsidR="00A2476F" w:rsidRPr="00A2476F">
        <w:t xml:space="preserve"> </w:t>
      </w:r>
      <w:r w:rsidR="00A2476F" w:rsidRPr="00A2476F">
        <w:rPr>
          <w:rFonts w:ascii="Arial" w:hAnsi="Arial" w:cs="Arial"/>
        </w:rPr>
        <w:t xml:space="preserve">‘Psychological conditions of personal engagement and disengagement at work’, </w:t>
      </w:r>
      <w:r w:rsidR="00A2476F" w:rsidRPr="00A2476F">
        <w:rPr>
          <w:rFonts w:ascii="Arial" w:hAnsi="Arial" w:cs="Arial"/>
          <w:i/>
          <w:iCs/>
        </w:rPr>
        <w:t>Academy of Management Journal</w:t>
      </w:r>
      <w:r w:rsidR="00A2476F" w:rsidRPr="00A2476F">
        <w:rPr>
          <w:rFonts w:ascii="Arial" w:hAnsi="Arial" w:cs="Arial"/>
        </w:rPr>
        <w:t>, 33(4), pp. 692–</w:t>
      </w:r>
      <w:r w:rsidR="00A2476F" w:rsidRPr="00A2476F">
        <w:rPr>
          <w:rFonts w:ascii="Arial" w:hAnsi="Arial" w:cs="Arial"/>
        </w:rPr>
        <w:t>724.</w:t>
      </w:r>
      <w:r w:rsidR="00883370" w:rsidRPr="00883370">
        <w:t xml:space="preserve"> </w:t>
      </w:r>
      <w:r w:rsidR="00883370" w:rsidRPr="00883370">
        <w:rPr>
          <w:rFonts w:ascii="Arial" w:hAnsi="Arial" w:cs="Arial"/>
        </w:rPr>
        <w:t xml:space="preserve">Available at: </w:t>
      </w:r>
      <w:hyperlink r:id="rId6" w:history="1">
        <w:r w:rsidR="00883370" w:rsidRPr="003D3BC7">
          <w:rPr>
            <w:rStyle w:val="Hyperlink"/>
            <w:rFonts w:ascii="Arial" w:hAnsi="Arial" w:cs="Arial"/>
          </w:rPr>
          <w:t>https://doi.org/10.2307/</w:t>
        </w:r>
        <w:r w:rsidR="00883370" w:rsidRPr="003D3BC7">
          <w:rPr>
            <w:rStyle w:val="Hyperlink"/>
            <w:rFonts w:ascii="Arial" w:hAnsi="Arial" w:cs="Arial"/>
          </w:rPr>
          <w:t>2</w:t>
        </w:r>
        <w:r w:rsidR="00883370" w:rsidRPr="003D3BC7">
          <w:rPr>
            <w:rStyle w:val="Hyperlink"/>
            <w:rFonts w:ascii="Arial" w:hAnsi="Arial" w:cs="Arial"/>
          </w:rPr>
          <w:t>56287</w:t>
        </w:r>
      </w:hyperlink>
      <w:r w:rsidR="00883370">
        <w:rPr>
          <w:rFonts w:ascii="Arial" w:hAnsi="Arial" w:cs="Arial"/>
        </w:rPr>
        <w:t xml:space="preserve"> </w:t>
      </w:r>
    </w:p>
    <w:p w14:paraId="1D429E47" w14:textId="77777777" w:rsidR="004C61D0" w:rsidRDefault="000655EB" w:rsidP="004C61D0">
      <w:pPr>
        <w:spacing w:line="360" w:lineRule="auto"/>
        <w:jc w:val="both"/>
        <w:rPr>
          <w:rFonts w:ascii="Arial" w:hAnsi="Arial" w:cs="Arial"/>
          <w:lang w:val="en-US"/>
        </w:rPr>
      </w:pPr>
      <w:r w:rsidRPr="000655EB">
        <w:rPr>
          <w:rFonts w:ascii="Arial" w:hAnsi="Arial" w:cs="Arial"/>
          <w:lang w:val="en-US"/>
        </w:rPr>
        <w:t xml:space="preserve">Marler, J.H. and Boudreau, J.W. (2017) </w:t>
      </w:r>
      <w:r w:rsidR="004C61D0" w:rsidRPr="004C61D0">
        <w:rPr>
          <w:rFonts w:ascii="Arial" w:hAnsi="Arial" w:cs="Arial"/>
        </w:rPr>
        <w:t xml:space="preserve">‘An evidence-based review of HR analytics’, </w:t>
      </w:r>
      <w:r w:rsidR="004C61D0" w:rsidRPr="004C61D0">
        <w:rPr>
          <w:rFonts w:ascii="Arial" w:hAnsi="Arial" w:cs="Arial"/>
          <w:i/>
          <w:iCs/>
        </w:rPr>
        <w:t>The International Journal of Human Resource Management</w:t>
      </w:r>
      <w:r w:rsidR="004C61D0" w:rsidRPr="004C61D0">
        <w:rPr>
          <w:rFonts w:ascii="Arial" w:hAnsi="Arial" w:cs="Arial"/>
        </w:rPr>
        <w:t xml:space="preserve">, 28(1), pp. 3–26. Available at: </w:t>
      </w:r>
      <w:hyperlink r:id="rId7" w:tgtFrame="_new" w:history="1">
        <w:r w:rsidR="004C61D0" w:rsidRPr="004C61D0">
          <w:rPr>
            <w:rStyle w:val="Hyperlink"/>
            <w:rFonts w:ascii="Arial" w:hAnsi="Arial" w:cs="Arial"/>
          </w:rPr>
          <w:t>https://doi.org/10.1080/09585192.2016.1</w:t>
        </w:r>
        <w:r w:rsidR="004C61D0" w:rsidRPr="004C61D0">
          <w:rPr>
            <w:rStyle w:val="Hyperlink"/>
            <w:rFonts w:ascii="Arial" w:hAnsi="Arial" w:cs="Arial"/>
          </w:rPr>
          <w:t>2</w:t>
        </w:r>
        <w:r w:rsidR="004C61D0" w:rsidRPr="004C61D0">
          <w:rPr>
            <w:rStyle w:val="Hyperlink"/>
            <w:rFonts w:ascii="Arial" w:hAnsi="Arial" w:cs="Arial"/>
          </w:rPr>
          <w:t>44699</w:t>
        </w:r>
      </w:hyperlink>
    </w:p>
    <w:p w14:paraId="6B0985BF" w14:textId="24A50FB0" w:rsidR="005A757E" w:rsidRDefault="005A757E" w:rsidP="004C61D0">
      <w:pPr>
        <w:spacing w:line="360" w:lineRule="auto"/>
        <w:jc w:val="both"/>
        <w:rPr>
          <w:rFonts w:ascii="Arial" w:hAnsi="Arial" w:cs="Arial"/>
          <w:lang w:val="en-US"/>
        </w:rPr>
      </w:pPr>
      <w:proofErr w:type="spellStart"/>
      <w:r w:rsidRPr="005A757E">
        <w:rPr>
          <w:rFonts w:ascii="Arial" w:hAnsi="Arial" w:cs="Arial"/>
        </w:rPr>
        <w:t>Minbaeva</w:t>
      </w:r>
      <w:proofErr w:type="spellEnd"/>
      <w:r w:rsidRPr="005A757E">
        <w:rPr>
          <w:rFonts w:ascii="Arial" w:hAnsi="Arial" w:cs="Arial"/>
        </w:rPr>
        <w:t xml:space="preserve">, D. (2018) ‘Building credible human capital analytics for organisational competitive advantage’, </w:t>
      </w:r>
      <w:r w:rsidRPr="005A757E">
        <w:rPr>
          <w:rFonts w:ascii="Arial" w:hAnsi="Arial" w:cs="Arial"/>
          <w:i/>
          <w:iCs/>
        </w:rPr>
        <w:t>Human Resource Management</w:t>
      </w:r>
      <w:r w:rsidRPr="005A757E">
        <w:rPr>
          <w:rFonts w:ascii="Arial" w:hAnsi="Arial" w:cs="Arial"/>
        </w:rPr>
        <w:t xml:space="preserve">, 57(3), pp. 701–713. Available at: </w:t>
      </w:r>
      <w:hyperlink r:id="rId8" w:tgtFrame="_new" w:history="1">
        <w:r w:rsidRPr="005A757E">
          <w:rPr>
            <w:rStyle w:val="Hyperlink"/>
            <w:rFonts w:ascii="Arial" w:hAnsi="Arial" w:cs="Arial"/>
          </w:rPr>
          <w:t>https://doi.org/</w:t>
        </w:r>
        <w:r w:rsidRPr="005A757E">
          <w:rPr>
            <w:rStyle w:val="Hyperlink"/>
            <w:rFonts w:ascii="Arial" w:hAnsi="Arial" w:cs="Arial"/>
          </w:rPr>
          <w:t>1</w:t>
        </w:r>
        <w:r w:rsidRPr="005A757E">
          <w:rPr>
            <w:rStyle w:val="Hyperlink"/>
            <w:rFonts w:ascii="Arial" w:hAnsi="Arial" w:cs="Arial"/>
          </w:rPr>
          <w:t>0.1002/hrm.21848</w:t>
        </w:r>
      </w:hyperlink>
    </w:p>
    <w:p w14:paraId="11F69044" w14:textId="77777777" w:rsidR="004C61D0" w:rsidRPr="004C61D0" w:rsidRDefault="004C61D0" w:rsidP="004C61D0">
      <w:pPr>
        <w:spacing w:line="360" w:lineRule="auto"/>
        <w:jc w:val="both"/>
        <w:rPr>
          <w:rFonts w:ascii="Arial" w:hAnsi="Arial" w:cs="Arial"/>
        </w:rPr>
      </w:pPr>
      <w:r w:rsidRPr="004C61D0">
        <w:rPr>
          <w:rFonts w:ascii="Arial" w:hAnsi="Arial" w:cs="Arial"/>
        </w:rPr>
        <w:t xml:space="preserve">Raghavan, M., Barocas, S., Kleinberg, J. and Levy, K. (2020) ‘Mitigating bias in algorithmic hiring’, </w:t>
      </w:r>
      <w:r w:rsidRPr="004C61D0">
        <w:rPr>
          <w:rFonts w:ascii="Arial" w:hAnsi="Arial" w:cs="Arial"/>
          <w:i/>
          <w:iCs/>
        </w:rPr>
        <w:t>Proceedings of the 2020 Conference on Fairness, Accountability, and Transparency</w:t>
      </w:r>
      <w:r w:rsidRPr="004C61D0">
        <w:rPr>
          <w:rFonts w:ascii="Arial" w:hAnsi="Arial" w:cs="Arial"/>
        </w:rPr>
        <w:t xml:space="preserve">, pp. 469–481. Available at: </w:t>
      </w:r>
      <w:hyperlink r:id="rId9" w:tgtFrame="_new" w:history="1">
        <w:r w:rsidRPr="004C61D0">
          <w:rPr>
            <w:rStyle w:val="Hyperlink"/>
            <w:rFonts w:ascii="Arial" w:hAnsi="Arial" w:cs="Arial"/>
          </w:rPr>
          <w:t>https://doi.org/10.1145/33510</w:t>
        </w:r>
        <w:r w:rsidRPr="004C61D0">
          <w:rPr>
            <w:rStyle w:val="Hyperlink"/>
            <w:rFonts w:ascii="Arial" w:hAnsi="Arial" w:cs="Arial"/>
          </w:rPr>
          <w:t>9</w:t>
        </w:r>
        <w:r w:rsidRPr="004C61D0">
          <w:rPr>
            <w:rStyle w:val="Hyperlink"/>
            <w:rFonts w:ascii="Arial" w:hAnsi="Arial" w:cs="Arial"/>
          </w:rPr>
          <w:t>5.3372828</w:t>
        </w:r>
      </w:hyperlink>
    </w:p>
    <w:p w14:paraId="562A4D34" w14:textId="328D7D89" w:rsidR="000655EB" w:rsidRDefault="000655EB" w:rsidP="000655EB">
      <w:pPr>
        <w:spacing w:line="360" w:lineRule="auto"/>
        <w:jc w:val="both"/>
        <w:rPr>
          <w:rFonts w:ascii="Arial" w:hAnsi="Arial" w:cs="Arial"/>
        </w:rPr>
      </w:pPr>
      <w:proofErr w:type="spellStart"/>
      <w:r w:rsidRPr="000655EB">
        <w:rPr>
          <w:rFonts w:ascii="Arial" w:hAnsi="Arial" w:cs="Arial"/>
          <w:lang w:val="en-US"/>
        </w:rPr>
        <w:lastRenderedPageBreak/>
        <w:t>Ravesangar</w:t>
      </w:r>
      <w:proofErr w:type="spellEnd"/>
      <w:r w:rsidRPr="000655EB">
        <w:rPr>
          <w:rFonts w:ascii="Arial" w:hAnsi="Arial" w:cs="Arial"/>
          <w:lang w:val="en-US"/>
        </w:rPr>
        <w:t>, K. (</w:t>
      </w:r>
      <w:r w:rsidR="008756FD" w:rsidRPr="000655EB">
        <w:rPr>
          <w:rFonts w:ascii="Arial" w:hAnsi="Arial" w:cs="Arial"/>
          <w:lang w:val="en-US"/>
        </w:rPr>
        <w:t>2024)</w:t>
      </w:r>
      <w:r w:rsidR="008756FD">
        <w:rPr>
          <w:rFonts w:ascii="Arial" w:hAnsi="Arial" w:cs="Arial"/>
          <w:lang w:val="en-US"/>
        </w:rPr>
        <w:t xml:space="preserve"> </w:t>
      </w:r>
      <w:r w:rsidR="008756FD" w:rsidRPr="008756FD">
        <w:rPr>
          <w:rFonts w:ascii="Arial" w:hAnsi="Arial" w:cs="Arial"/>
        </w:rPr>
        <w:t xml:space="preserve">‘HR analytics and employee retention’, </w:t>
      </w:r>
      <w:proofErr w:type="spellStart"/>
      <w:r w:rsidR="008756FD" w:rsidRPr="008756FD">
        <w:rPr>
          <w:rFonts w:ascii="Arial" w:hAnsi="Arial" w:cs="Arial"/>
          <w:i/>
          <w:iCs/>
        </w:rPr>
        <w:t>ShodhKosh</w:t>
      </w:r>
      <w:proofErr w:type="spellEnd"/>
      <w:r w:rsidR="008756FD" w:rsidRPr="008756FD">
        <w:rPr>
          <w:rFonts w:ascii="Arial" w:hAnsi="Arial" w:cs="Arial"/>
          <w:i/>
          <w:iCs/>
        </w:rPr>
        <w:t>: Journal of Visual and Performing Arts</w:t>
      </w:r>
      <w:r w:rsidR="008756FD" w:rsidRPr="008756FD">
        <w:rPr>
          <w:rFonts w:ascii="Arial" w:hAnsi="Arial" w:cs="Arial"/>
        </w:rPr>
        <w:t>, 5(1)</w:t>
      </w:r>
      <w:r w:rsidR="00A2476F">
        <w:rPr>
          <w:rFonts w:ascii="Arial" w:hAnsi="Arial" w:cs="Arial"/>
        </w:rPr>
        <w:t>, pp.</w:t>
      </w:r>
      <w:r w:rsidR="00A2476F" w:rsidRPr="00A2476F">
        <w:rPr>
          <w:rFonts w:ascii="Arial" w:hAnsi="Arial" w:cs="Arial"/>
          <w:color w:val="0A0A0A"/>
          <w:shd w:val="clear" w:color="auto" w:fill="FFFFFF"/>
        </w:rPr>
        <w:t xml:space="preserve"> </w:t>
      </w:r>
      <w:r w:rsidR="00A2476F" w:rsidRPr="00A2476F">
        <w:rPr>
          <w:rFonts w:ascii="Arial" w:hAnsi="Arial" w:cs="Arial"/>
        </w:rPr>
        <w:t>2923–2929</w:t>
      </w:r>
    </w:p>
    <w:p w14:paraId="6D577867" w14:textId="5B8D6194" w:rsidR="008756FD" w:rsidRPr="000655EB" w:rsidRDefault="008756FD" w:rsidP="000655EB">
      <w:pPr>
        <w:spacing w:line="360" w:lineRule="auto"/>
        <w:jc w:val="both"/>
        <w:rPr>
          <w:rFonts w:ascii="Arial" w:hAnsi="Arial" w:cs="Arial"/>
          <w:lang w:val="en-US"/>
        </w:rPr>
      </w:pPr>
      <w:r w:rsidRPr="008756FD">
        <w:rPr>
          <w:rFonts w:ascii="Arial" w:hAnsi="Arial" w:cs="Arial"/>
        </w:rPr>
        <w:t xml:space="preserve">Stone, D.L., Deadrick, D.L., Lukaszewski, K.M. and Johnson, R. (2015) ‘The influence of technology on the future of human resource management’, </w:t>
      </w:r>
      <w:r w:rsidRPr="008756FD">
        <w:rPr>
          <w:rFonts w:ascii="Arial" w:hAnsi="Arial" w:cs="Arial"/>
          <w:i/>
          <w:iCs/>
        </w:rPr>
        <w:t>Human Resource Management Review</w:t>
      </w:r>
      <w:r w:rsidRPr="008756FD">
        <w:rPr>
          <w:rFonts w:ascii="Arial" w:hAnsi="Arial" w:cs="Arial"/>
        </w:rPr>
        <w:t xml:space="preserve">, 25(2), pp. 216–231. Available at: </w:t>
      </w:r>
      <w:hyperlink r:id="rId10" w:tgtFrame="_new" w:history="1">
        <w:r w:rsidRPr="008756FD">
          <w:rPr>
            <w:rStyle w:val="Hyperlink"/>
            <w:rFonts w:ascii="Arial" w:hAnsi="Arial" w:cs="Arial"/>
          </w:rPr>
          <w:t>https://doi.org/10.1016/j.hr</w:t>
        </w:r>
        <w:r w:rsidRPr="008756FD">
          <w:rPr>
            <w:rStyle w:val="Hyperlink"/>
            <w:rFonts w:ascii="Arial" w:hAnsi="Arial" w:cs="Arial"/>
          </w:rPr>
          <w:t>m</w:t>
        </w:r>
        <w:r w:rsidRPr="008756FD">
          <w:rPr>
            <w:rStyle w:val="Hyperlink"/>
            <w:rFonts w:ascii="Arial" w:hAnsi="Arial" w:cs="Arial"/>
          </w:rPr>
          <w:t>r.2015.01.002</w:t>
        </w:r>
      </w:hyperlink>
    </w:p>
    <w:p w14:paraId="582F53AC" w14:textId="244DA23E" w:rsidR="000655EB" w:rsidRPr="000655EB" w:rsidRDefault="008756FD" w:rsidP="000655EB">
      <w:pPr>
        <w:spacing w:line="360" w:lineRule="auto"/>
        <w:jc w:val="both"/>
        <w:rPr>
          <w:rFonts w:ascii="Arial" w:hAnsi="Arial" w:cs="Arial"/>
          <w:lang w:val="en-US"/>
        </w:rPr>
      </w:pPr>
      <w:r w:rsidRPr="008756FD">
        <w:t xml:space="preserve"> </w:t>
      </w:r>
    </w:p>
    <w:p w14:paraId="39223995" w14:textId="77777777" w:rsidR="00B97688" w:rsidRPr="000655EB" w:rsidRDefault="00B97688" w:rsidP="000655EB">
      <w:pPr>
        <w:spacing w:line="360" w:lineRule="auto"/>
        <w:jc w:val="both"/>
        <w:rPr>
          <w:rFonts w:ascii="Arial" w:hAnsi="Arial" w:cs="Arial"/>
        </w:rPr>
      </w:pPr>
    </w:p>
    <w:sectPr w:rsidR="00B97688" w:rsidRPr="000655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688"/>
    <w:rsid w:val="000655EB"/>
    <w:rsid w:val="001140F3"/>
    <w:rsid w:val="004C61D0"/>
    <w:rsid w:val="004F5E2E"/>
    <w:rsid w:val="00570751"/>
    <w:rsid w:val="005A757E"/>
    <w:rsid w:val="005E1A89"/>
    <w:rsid w:val="008756FD"/>
    <w:rsid w:val="00883370"/>
    <w:rsid w:val="00A2476F"/>
    <w:rsid w:val="00B97688"/>
    <w:rsid w:val="00BB7A8F"/>
    <w:rsid w:val="00C57256"/>
    <w:rsid w:val="00F60E97"/>
    <w:rsid w:val="00F92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FFEDC"/>
  <w15:chartTrackingRefBased/>
  <w15:docId w15:val="{4F89EE31-A3D2-48A2-9305-E1928E267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6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6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6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6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6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6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6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6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6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6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6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6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6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6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6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6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6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688"/>
    <w:rPr>
      <w:rFonts w:eastAsiaTheme="majorEastAsia" w:cstheme="majorBidi"/>
      <w:color w:val="272727" w:themeColor="text1" w:themeTint="D8"/>
    </w:rPr>
  </w:style>
  <w:style w:type="paragraph" w:styleId="Title">
    <w:name w:val="Title"/>
    <w:basedOn w:val="Normal"/>
    <w:next w:val="Normal"/>
    <w:link w:val="TitleChar"/>
    <w:uiPriority w:val="10"/>
    <w:qFormat/>
    <w:rsid w:val="00B976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6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6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6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688"/>
    <w:pPr>
      <w:spacing w:before="160"/>
      <w:jc w:val="center"/>
    </w:pPr>
    <w:rPr>
      <w:i/>
      <w:iCs/>
      <w:color w:val="404040" w:themeColor="text1" w:themeTint="BF"/>
    </w:rPr>
  </w:style>
  <w:style w:type="character" w:customStyle="1" w:styleId="QuoteChar">
    <w:name w:val="Quote Char"/>
    <w:basedOn w:val="DefaultParagraphFont"/>
    <w:link w:val="Quote"/>
    <w:uiPriority w:val="29"/>
    <w:rsid w:val="00B97688"/>
    <w:rPr>
      <w:i/>
      <w:iCs/>
      <w:color w:val="404040" w:themeColor="text1" w:themeTint="BF"/>
    </w:rPr>
  </w:style>
  <w:style w:type="paragraph" w:styleId="ListParagraph">
    <w:name w:val="List Paragraph"/>
    <w:basedOn w:val="Normal"/>
    <w:uiPriority w:val="34"/>
    <w:qFormat/>
    <w:rsid w:val="00B97688"/>
    <w:pPr>
      <w:ind w:left="720"/>
      <w:contextualSpacing/>
    </w:pPr>
  </w:style>
  <w:style w:type="character" w:styleId="IntenseEmphasis">
    <w:name w:val="Intense Emphasis"/>
    <w:basedOn w:val="DefaultParagraphFont"/>
    <w:uiPriority w:val="21"/>
    <w:qFormat/>
    <w:rsid w:val="00B97688"/>
    <w:rPr>
      <w:i/>
      <w:iCs/>
      <w:color w:val="0F4761" w:themeColor="accent1" w:themeShade="BF"/>
    </w:rPr>
  </w:style>
  <w:style w:type="paragraph" w:styleId="IntenseQuote">
    <w:name w:val="Intense Quote"/>
    <w:basedOn w:val="Normal"/>
    <w:next w:val="Normal"/>
    <w:link w:val="IntenseQuoteChar"/>
    <w:uiPriority w:val="30"/>
    <w:qFormat/>
    <w:rsid w:val="00B976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688"/>
    <w:rPr>
      <w:i/>
      <w:iCs/>
      <w:color w:val="0F4761" w:themeColor="accent1" w:themeShade="BF"/>
    </w:rPr>
  </w:style>
  <w:style w:type="character" w:styleId="IntenseReference">
    <w:name w:val="Intense Reference"/>
    <w:basedOn w:val="DefaultParagraphFont"/>
    <w:uiPriority w:val="32"/>
    <w:qFormat/>
    <w:rsid w:val="00B97688"/>
    <w:rPr>
      <w:b/>
      <w:bCs/>
      <w:smallCaps/>
      <w:color w:val="0F4761" w:themeColor="accent1" w:themeShade="BF"/>
      <w:spacing w:val="5"/>
    </w:rPr>
  </w:style>
  <w:style w:type="character" w:styleId="Hyperlink">
    <w:name w:val="Hyperlink"/>
    <w:basedOn w:val="DefaultParagraphFont"/>
    <w:uiPriority w:val="99"/>
    <w:unhideWhenUsed/>
    <w:rsid w:val="00C57256"/>
    <w:rPr>
      <w:color w:val="467886" w:themeColor="hyperlink"/>
      <w:u w:val="single"/>
    </w:rPr>
  </w:style>
  <w:style w:type="character" w:styleId="UnresolvedMention">
    <w:name w:val="Unresolved Mention"/>
    <w:basedOn w:val="DefaultParagraphFont"/>
    <w:uiPriority w:val="99"/>
    <w:semiHidden/>
    <w:unhideWhenUsed/>
    <w:rsid w:val="00C57256"/>
    <w:rPr>
      <w:color w:val="605E5C"/>
      <w:shd w:val="clear" w:color="auto" w:fill="E1DFDD"/>
    </w:rPr>
  </w:style>
  <w:style w:type="character" w:styleId="FollowedHyperlink">
    <w:name w:val="FollowedHyperlink"/>
    <w:basedOn w:val="DefaultParagraphFont"/>
    <w:uiPriority w:val="99"/>
    <w:semiHidden/>
    <w:unhideWhenUsed/>
    <w:rsid w:val="00C572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hrm.21848" TargetMode="External"/><Relationship Id="rId3" Type="http://schemas.openxmlformats.org/officeDocument/2006/relationships/webSettings" Target="webSettings.xml"/><Relationship Id="rId7" Type="http://schemas.openxmlformats.org/officeDocument/2006/relationships/hyperlink" Target="https://doi.org/10.1080/09585192.2016.124469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2307/256287" TargetMode="External"/><Relationship Id="rId11" Type="http://schemas.openxmlformats.org/officeDocument/2006/relationships/fontTable" Target="fontTable.xml"/><Relationship Id="rId5" Type="http://schemas.openxmlformats.org/officeDocument/2006/relationships/hyperlink" Target="https://www.gallup.com" TargetMode="External"/><Relationship Id="rId10" Type="http://schemas.openxmlformats.org/officeDocument/2006/relationships/hyperlink" Target="https://doi.org/10.1016/j.hrmr.2015.01.002" TargetMode="External"/><Relationship Id="rId4" Type="http://schemas.openxmlformats.org/officeDocument/2006/relationships/hyperlink" Target="https://www.cipd.org/uk/topics/people-analytics/" TargetMode="External"/><Relationship Id="rId9" Type="http://schemas.openxmlformats.org/officeDocument/2006/relationships/hyperlink" Target="https://doi.org/10.1145/3351095.33728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1268</Words>
  <Characters>7231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 Iliev</dc:creator>
  <cp:keywords/>
  <dc:description/>
  <cp:lastModifiedBy>Venelin Iliev</cp:lastModifiedBy>
  <cp:revision>4</cp:revision>
  <dcterms:created xsi:type="dcterms:W3CDTF">2026-04-12T02:34:00Z</dcterms:created>
  <dcterms:modified xsi:type="dcterms:W3CDTF">2026-04-12T14:13:00Z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c3c8b969-307f-4895-985d-6445e1ca75b0</vt:lpwstr>
  </property>
</Properties>
</file>