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75F" w:rsidRPr="00FD5E27" w:rsidRDefault="009C075F" w:rsidP="009C075F">
      <w:pPr>
        <w:spacing w:line="480" w:lineRule="auto"/>
        <w:jc w:val="center"/>
        <w:rPr>
          <w:sz w:val="24"/>
          <w:szCs w:val="24"/>
          <w:u w:val="single"/>
        </w:rPr>
      </w:pPr>
      <w:r w:rsidRPr="00FD5E27">
        <w:rPr>
          <w:sz w:val="24"/>
          <w:szCs w:val="24"/>
          <w:u w:val="single"/>
        </w:rPr>
        <w:t>To what extent do ‘revenant burials’ indicate a fear of the dead returning?</w:t>
      </w:r>
    </w:p>
    <w:p w:rsidR="009C075F" w:rsidRDefault="009C075F" w:rsidP="009C075F">
      <w:pPr>
        <w:spacing w:line="480" w:lineRule="auto"/>
      </w:pPr>
    </w:p>
    <w:p w:rsidR="009C075F" w:rsidRDefault="009C075F" w:rsidP="009C075F">
      <w:pPr>
        <w:spacing w:line="480" w:lineRule="auto"/>
      </w:pPr>
      <w:r>
        <w:t>There are confusions and there is a grey area about the differences between a ghost and a revenant.</w:t>
      </w:r>
      <w:r>
        <w:rPr>
          <w:rStyle w:val="FootnoteReference"/>
        </w:rPr>
        <w:footnoteReference w:id="1"/>
      </w:r>
      <w:r>
        <w:t xml:space="preserve"> A revenant is generally considered to be a deceased person who is able to access their body. Weaver remarks that the revenants are sometimes referred to as ‘solid ghosts’ but more often are referred to as a revenant which comes from the Latin of returning.</w:t>
      </w:r>
      <w:r>
        <w:rPr>
          <w:rStyle w:val="FootnoteReference"/>
        </w:rPr>
        <w:footnoteReference w:id="2"/>
      </w:r>
      <w:r>
        <w:t xml:space="preserve"> Revenant burials are not very common and are very unusual type of burial. In revenant burial a person would be prevented from returning in case they did become a revenant after they died. These represented fears people had about death, that people would go against the natural order to return to their bodies. Weaver also remarks that </w:t>
      </w:r>
      <w:r>
        <w:rPr>
          <w:rFonts w:ascii="Calibri" w:hAnsi="Calibri" w:cs="Calibri"/>
        </w:rPr>
        <w:t>'Revenants are feared because it is believed that they leave their graves at night for the explicit purpose of harming the living'.</w:t>
      </w:r>
      <w:r>
        <w:rPr>
          <w:rStyle w:val="FootnoteReference"/>
          <w:rFonts w:ascii="Calibri" w:hAnsi="Calibri" w:cs="Calibri"/>
        </w:rPr>
        <w:footnoteReference w:id="3"/>
      </w:r>
      <w:r>
        <w:rPr>
          <w:rFonts w:ascii="Calibri" w:hAnsi="Calibri" w:cs="Calibri"/>
        </w:rPr>
        <w:t xml:space="preserve"> This suggests that people feared revenants in case they harmed them. </w:t>
      </w:r>
      <w:r>
        <w:t xml:space="preserve">This essay will focus on ancient Greek revenant burials found in </w:t>
      </w:r>
      <w:proofErr w:type="spellStart"/>
      <w:r w:rsidRPr="0010743C">
        <w:t>Kamarina</w:t>
      </w:r>
      <w:proofErr w:type="spellEnd"/>
      <w:r>
        <w:t xml:space="preserve">, Sicily. </w:t>
      </w:r>
    </w:p>
    <w:p w:rsidR="009C075F" w:rsidRDefault="009C075F" w:rsidP="009C075F">
      <w:pPr>
        <w:spacing w:line="480" w:lineRule="auto"/>
        <w:ind w:firstLine="720"/>
      </w:pPr>
      <w:r>
        <w:t xml:space="preserve">There are different types of revenant burials with different methods of keeping the person in their grave. Some methods appear more desperate and fearful than others. The most extreme forms place heavy stones or other weights to pin the body down or involve the body being desecrated through dismemberment or the use of stakes or nails being driven into the corpse. Other revenant burials simply turn the body to face downwards or otherwise cover the body with jars or slabs that would prevent a body rising but do not in any other way harm the body. This type appears to show more respect for the body and the different types of burial suggest different types of revenant or levels of threat. The graves alone do not give enough evidence as to why these types of burials took place because there are so few of them. The literary texts that refer to revenants provide some reasoning behind why these burials take place. There is no certain explanation as to why these burials occur but instead clues and fragments that </w:t>
      </w:r>
      <w:r w:rsidRPr="00B76F71">
        <w:t xml:space="preserve">archaeologist </w:t>
      </w:r>
      <w:r>
        <w:t xml:space="preserve">and historians have put </w:t>
      </w:r>
      <w:r>
        <w:lastRenderedPageBreak/>
        <w:t xml:space="preserve">together.  There may have once been an ancient source that detailed information about revenant burial but they have been lost. </w:t>
      </w:r>
    </w:p>
    <w:p w:rsidR="009C075F" w:rsidRDefault="009C075F" w:rsidP="009C075F">
      <w:pPr>
        <w:spacing w:line="480" w:lineRule="auto"/>
        <w:ind w:firstLine="720"/>
      </w:pPr>
      <w:r>
        <w:t>Here the evidence from the graves is compared with the literary accounts and folklore to build a picture of the practises and beliefs that surround them. The evidence suggests that there was a genuine fear about revenants and people returning from their graves but the threat was limited to certain groups or individual types of people.</w:t>
      </w:r>
    </w:p>
    <w:p w:rsidR="009C075F" w:rsidRPr="002F2597" w:rsidRDefault="009C075F" w:rsidP="009C075F">
      <w:pPr>
        <w:spacing w:line="480" w:lineRule="auto"/>
        <w:ind w:firstLine="720"/>
        <w:rPr>
          <w:rFonts w:ascii="Calibri" w:hAnsi="Calibri" w:cs="Calibri"/>
        </w:rPr>
      </w:pPr>
      <w:r>
        <w:t xml:space="preserve">There are several accounts of revenants from ancient sources whereby people wake up whilst being buried or cremated. These writings are not considered to be myth or folklore. Pliny, in book 7 of his </w:t>
      </w:r>
      <w:r w:rsidRPr="0004601D">
        <w:rPr>
          <w:i/>
          <w:iCs/>
        </w:rPr>
        <w:t>Natural</w:t>
      </w:r>
      <w:r>
        <w:t xml:space="preserve"> </w:t>
      </w:r>
      <w:r w:rsidRPr="0004601D">
        <w:rPr>
          <w:i/>
          <w:iCs/>
        </w:rPr>
        <w:t>Histories</w:t>
      </w:r>
      <w:r>
        <w:t xml:space="preserve"> writes about a man who woke up on a funeral pyre but could not be saved and he died twice.</w:t>
      </w:r>
      <w:r>
        <w:rPr>
          <w:rStyle w:val="FootnoteReference"/>
        </w:rPr>
        <w:footnoteReference w:id="4"/>
      </w:r>
      <w:r>
        <w:t xml:space="preserve"> Pliny also talks about </w:t>
      </w:r>
      <w:r>
        <w:rPr>
          <w:rFonts w:ascii="Calibri" w:hAnsi="Calibri" w:cs="Calibri"/>
        </w:rPr>
        <w:t xml:space="preserve">a person being buried and walking home and Plato, in his </w:t>
      </w:r>
      <w:r w:rsidRPr="0004601D">
        <w:rPr>
          <w:rFonts w:ascii="Calibri" w:hAnsi="Calibri" w:cs="Calibri"/>
          <w:i/>
          <w:iCs/>
        </w:rPr>
        <w:t>Republic</w:t>
      </w:r>
      <w:r>
        <w:rPr>
          <w:rFonts w:ascii="Calibri" w:hAnsi="Calibri" w:cs="Calibri"/>
        </w:rPr>
        <w:t xml:space="preserve"> discusses a man who had died and who woke up on the funeral pyre and was able to be saved, he then told people what he had experienced.</w:t>
      </w:r>
      <w:r>
        <w:rPr>
          <w:rStyle w:val="FootnoteReference"/>
          <w:rFonts w:ascii="Calibri" w:hAnsi="Calibri" w:cs="Calibri"/>
        </w:rPr>
        <w:footnoteReference w:id="5"/>
      </w:r>
      <w:r>
        <w:rPr>
          <w:rFonts w:ascii="Calibri" w:hAnsi="Calibri" w:cs="Calibri"/>
        </w:rPr>
        <w:t xml:space="preserve"> These accounts are not like mythological accounts which have mysterious and unrealistic aspects to them. The accounts given here by Pliny and Plato are anecdotal accounts which modern scientists would be able to explain. There may have been a misdiagnosis in declaring the person deceased and the person may have been in a coma or unconscious. The ancient Greeks may not have had a way to explain this so looked to revenants and myth for the answers. Herodotus writes about a man who appears to be moving on the funeral pyre.</w:t>
      </w:r>
      <w:r>
        <w:rPr>
          <w:rStyle w:val="FootnoteReference"/>
          <w:rFonts w:ascii="Calibri" w:hAnsi="Calibri" w:cs="Calibri"/>
        </w:rPr>
        <w:footnoteReference w:id="6"/>
      </w:r>
      <w:r>
        <w:rPr>
          <w:rFonts w:ascii="Calibri" w:hAnsi="Calibri" w:cs="Calibri"/>
        </w:rPr>
        <w:t xml:space="preserve"> This could have been due to the gasses moving and being released from the body once the person had died.</w:t>
      </w:r>
      <w:r>
        <w:rPr>
          <w:rStyle w:val="FootnoteReference"/>
          <w:rFonts w:ascii="Calibri" w:hAnsi="Calibri" w:cs="Calibri"/>
        </w:rPr>
        <w:footnoteReference w:id="7"/>
      </w:r>
      <w:r>
        <w:rPr>
          <w:rFonts w:ascii="Calibri" w:hAnsi="Calibri" w:cs="Calibri"/>
        </w:rPr>
        <w:t xml:space="preserve"> The accounts given of people waking up once they have been cremated as given by the ancient sources would have inspired fear for people about others waking up once they had died. </w:t>
      </w:r>
    </w:p>
    <w:p w:rsidR="009C075F" w:rsidRDefault="009C075F" w:rsidP="009C075F">
      <w:pPr>
        <w:spacing w:line="480" w:lineRule="auto"/>
        <w:ind w:firstLine="720"/>
        <w:rPr>
          <w:rFonts w:ascii="Calibri" w:hAnsi="Calibri" w:cs="Calibri"/>
        </w:rPr>
      </w:pPr>
      <w:r>
        <w:lastRenderedPageBreak/>
        <w:t xml:space="preserve">There is another ancient writing that talks about revenants but this has a more supernatural aspect to it although it does not fall into the myth and folklore category. </w:t>
      </w:r>
      <w:proofErr w:type="spellStart"/>
      <w:r>
        <w:rPr>
          <w:rFonts w:ascii="Calibri" w:hAnsi="Calibri" w:cs="Calibri"/>
        </w:rPr>
        <w:t>Phlegon</w:t>
      </w:r>
      <w:proofErr w:type="spellEnd"/>
      <w:r>
        <w:rPr>
          <w:rFonts w:ascii="Calibri" w:hAnsi="Calibri" w:cs="Calibri"/>
        </w:rPr>
        <w:t xml:space="preserve">, </w:t>
      </w:r>
      <w:r>
        <w:t xml:space="preserve">a Greek writer whose work only survives in fragments and through the work of other ancient authors, notes that there is a soldier who was stabbed and died in battle, he </w:t>
      </w:r>
      <w:r>
        <w:rPr>
          <w:rFonts w:ascii="Calibri" w:hAnsi="Calibri" w:cs="Calibri"/>
        </w:rPr>
        <w:t>was standing up at midday giving omens before dying again. The generals were 'shaken' and decided to quickly cremate him.</w:t>
      </w:r>
      <w:r>
        <w:rPr>
          <w:rStyle w:val="FootnoteReference"/>
          <w:rFonts w:ascii="Calibri" w:hAnsi="Calibri" w:cs="Calibri"/>
        </w:rPr>
        <w:footnoteReference w:id="8"/>
      </w:r>
      <w:r>
        <w:rPr>
          <w:rFonts w:ascii="Calibri" w:hAnsi="Calibri" w:cs="Calibri"/>
        </w:rPr>
        <w:t xml:space="preserve"> This is very similar to mythological accounts where someone arises from the dead and there are no scientific explanations to understand why it happens. This passage is similar to mythological accounts as they often try to dispose of the body in a way that the dead </w:t>
      </w:r>
      <w:proofErr w:type="spellStart"/>
      <w:r>
        <w:rPr>
          <w:rFonts w:ascii="Calibri" w:hAnsi="Calibri" w:cs="Calibri"/>
        </w:rPr>
        <w:t>can not</w:t>
      </w:r>
      <w:proofErr w:type="spellEnd"/>
      <w:r>
        <w:rPr>
          <w:rFonts w:ascii="Calibri" w:hAnsi="Calibri" w:cs="Calibri"/>
        </w:rPr>
        <w:t xml:space="preserve"> return again such as the man who Pausanias writes about who needs to be buried so the attacks of the people stop.</w:t>
      </w:r>
      <w:r>
        <w:rPr>
          <w:rStyle w:val="FootnoteReference"/>
          <w:rFonts w:ascii="Calibri" w:hAnsi="Calibri" w:cs="Calibri"/>
        </w:rPr>
        <w:footnoteReference w:id="9"/>
      </w:r>
      <w:r>
        <w:rPr>
          <w:rFonts w:ascii="Calibri" w:hAnsi="Calibri" w:cs="Calibri"/>
        </w:rPr>
        <w:t xml:space="preserve"> Some of the accounts have more supernatural aspects even though they are not quite folklore or myth. These accounts also add to the fear of dead returning and the necessity of the body being disposed of in the correct way. </w:t>
      </w:r>
    </w:p>
    <w:p w:rsidR="009C075F" w:rsidRPr="00822A5A" w:rsidRDefault="009C075F" w:rsidP="009C075F">
      <w:pPr>
        <w:spacing w:line="480" w:lineRule="auto"/>
        <w:rPr>
          <w:rFonts w:ascii="Calibri" w:hAnsi="Calibri" w:cs="Calibri"/>
        </w:rPr>
      </w:pPr>
      <w:r>
        <w:tab/>
        <w:t xml:space="preserve">A number of narratives including folklore tales and myths from ancient Greece talk about revenants returning from the dead and add a more fantasy aspect to the return. They contribute to the fears of the dead returning. The story of </w:t>
      </w:r>
      <w:proofErr w:type="spellStart"/>
      <w:r>
        <w:t>Tesmesa</w:t>
      </w:r>
      <w:proofErr w:type="spellEnd"/>
      <w:r>
        <w:t xml:space="preserve"> as told by Pausanias and Strabo gives details of a man who was one of Odysseus’ soldiers until he raped a woman and was stoned to death. The man was left unburied and had to be given tribute and a sanctuary dedicated to him to stop him attacking people. As a revenant the regularly returns to the world of the living however, one day he was defeated and disappeared in the ocean. This story of a revenant is different from others, as the revenant is defeated rather than the body disposed of. This passage talks about a ghost but Felton and Ogden point out that in order for the deceased to be able to physically attack people he must be a revenant not a ghost. </w:t>
      </w:r>
      <w:r>
        <w:rPr>
          <w:rStyle w:val="FootnoteReference"/>
        </w:rPr>
        <w:footnoteReference w:id="10"/>
      </w:r>
      <w:r>
        <w:t xml:space="preserve"> Felton points out that the ancient Greeks had no word for a revenant which contributes to the confusion and conflict around the meaning of the word revenant.</w:t>
      </w:r>
      <w:r>
        <w:rPr>
          <w:rStyle w:val="FootnoteReference"/>
        </w:rPr>
        <w:footnoteReference w:id="11"/>
      </w:r>
      <w:r>
        <w:t xml:space="preserve"> </w:t>
      </w:r>
      <w:r>
        <w:rPr>
          <w:rFonts w:ascii="Calibri" w:hAnsi="Calibri" w:cs="Calibri"/>
        </w:rPr>
        <w:lastRenderedPageBreak/>
        <w:t>Pausanias also writes about a hero ghost attacking people. The Delphic oracle was consulted who told the people to bury the dead solider and build a monument in his honour and attach it to rock.</w:t>
      </w:r>
      <w:r>
        <w:rPr>
          <w:rStyle w:val="FootnoteReference"/>
          <w:rFonts w:ascii="Calibri" w:hAnsi="Calibri" w:cs="Calibri"/>
        </w:rPr>
        <w:footnoteReference w:id="12"/>
      </w:r>
      <w:r>
        <w:rPr>
          <w:rFonts w:ascii="Calibri" w:hAnsi="Calibri" w:cs="Calibri"/>
        </w:rPr>
        <w:t xml:space="preserve"> </w:t>
      </w:r>
      <w:r>
        <w:t>Both of these passages play on the aspect that people have a duty to ensure the burial of the deceased is completed otherwise they may return. Weaver also suggests that those who die before their time or die a violent death will return from the grave.</w:t>
      </w:r>
      <w:r>
        <w:rPr>
          <w:rStyle w:val="FootnoteReference"/>
        </w:rPr>
        <w:footnoteReference w:id="13"/>
      </w:r>
      <w:r>
        <w:t xml:space="preserve"> Narrative, folklore and myths add a more fantasy aspect about revenants returning to the dead and can enhance the fear of leaving a person unburied. </w:t>
      </w:r>
    </w:p>
    <w:p w:rsidR="009C075F" w:rsidRDefault="009C075F" w:rsidP="009C075F">
      <w:pPr>
        <w:spacing w:line="480" w:lineRule="auto"/>
      </w:pPr>
      <w:r>
        <w:tab/>
        <w:t xml:space="preserve">The case studies of the graves in </w:t>
      </w:r>
      <w:proofErr w:type="spellStart"/>
      <w:r w:rsidRPr="0010743C">
        <w:t>Kamarina</w:t>
      </w:r>
      <w:proofErr w:type="spellEnd"/>
      <w:r>
        <w:t xml:space="preserve"> show the differences in revenant burials and show that people did fear that others could return from the grave. Sixty six percent of the burials at </w:t>
      </w:r>
      <w:proofErr w:type="spellStart"/>
      <w:r w:rsidRPr="0010743C">
        <w:t>Kamarina</w:t>
      </w:r>
      <w:proofErr w:type="spellEnd"/>
      <w:r>
        <w:t xml:space="preserve"> were on their back.</w:t>
      </w:r>
      <w:r>
        <w:rPr>
          <w:rStyle w:val="FootnoteReference"/>
        </w:rPr>
        <w:footnoteReference w:id="14"/>
      </w:r>
      <w:r>
        <w:t xml:space="preserve"> There will have been some people who were buried on their side, but there will have been a small portion of people who were buried face down. This is significant as it is believed it would confuse the dead if they were to rise, showing that people feared that the dead might return. However, Weaver believes that there are two tombs that are ‘unique’ and of significance because they are different from the others.</w:t>
      </w:r>
      <w:r>
        <w:rPr>
          <w:rStyle w:val="FootnoteReference"/>
        </w:rPr>
        <w:footnoteReference w:id="15"/>
      </w:r>
      <w:r>
        <w:t xml:space="preserve"> Tomb 653 contains an adult who was ill throughout their lifetime. This was established through an investigation of the remains that showed severe malnutrition through their teeth and bones. Their head and feet are pinned down by ‘large amphora fragments’. </w:t>
      </w:r>
      <w:r>
        <w:rPr>
          <w:rStyle w:val="FootnoteReference"/>
        </w:rPr>
        <w:footnoteReference w:id="16"/>
      </w:r>
      <w:r>
        <w:t xml:space="preserve"> This could suggest the amphorae are there to prevent the corpse from rising. If the person was ill and physical deformed, they would deviate from the social norms and sit outside of the social spheres. The person could have also been killed by violence which Ogden provides as a reason why a ghost or revenant may want to rise out of their grave.</w:t>
      </w:r>
      <w:r>
        <w:rPr>
          <w:rStyle w:val="FootnoteReference"/>
        </w:rPr>
        <w:footnoteReference w:id="17"/>
      </w:r>
      <w:r>
        <w:t xml:space="preserve"> Tomb 693 contains a child </w:t>
      </w:r>
      <w:r w:rsidR="007D1EAD">
        <w:t xml:space="preserve">between the age </w:t>
      </w:r>
      <w:bookmarkStart w:id="0" w:name="_GoBack"/>
      <w:bookmarkEnd w:id="0"/>
      <w:r>
        <w:t>of 8-13 who had no signs of disease, and he had ‘five large stones put onto his body’.</w:t>
      </w:r>
      <w:r>
        <w:rPr>
          <w:rStyle w:val="FootnoteReference"/>
        </w:rPr>
        <w:footnoteReference w:id="18"/>
      </w:r>
      <w:r>
        <w:t xml:space="preserve"> The child could have been considered a potential revenant as those who died before their </w:t>
      </w:r>
      <w:r>
        <w:lastRenderedPageBreak/>
        <w:t>time were thought to come back and rise from their grave.</w:t>
      </w:r>
      <w:r>
        <w:rPr>
          <w:rStyle w:val="FootnoteReference"/>
        </w:rPr>
        <w:footnoteReference w:id="19"/>
      </w:r>
      <w:r>
        <w:t xml:space="preserve"> The graves in </w:t>
      </w:r>
      <w:proofErr w:type="spellStart"/>
      <w:r w:rsidRPr="0010743C">
        <w:t>Kamarina</w:t>
      </w:r>
      <w:proofErr w:type="spellEnd"/>
      <w:r>
        <w:t xml:space="preserve"> show that people were afraid of people coming back from the dead. </w:t>
      </w:r>
    </w:p>
    <w:p w:rsidR="009C075F" w:rsidRDefault="009C075F" w:rsidP="009C075F">
      <w:pPr>
        <w:spacing w:line="480" w:lineRule="auto"/>
      </w:pPr>
      <w:r>
        <w:t xml:space="preserve">There are a number of types of revenants such as those who have died before their time, died in a violent way and those that attack and cause problems when they return from the grave. This accounts for the differences in burials and the different methods of keeping corpses in their graves. The myths demonstrate the culturally held beliefs about the afterlife and the underworld. The revenants are seen to go against the journey of the spirt by returning to the world of the living. The evidence from the graves is compared with literary accounts and folklore. The ancient sources give details of people being woken up whilst being cremated. They also talk about the necessity of making sure the body is buried properly. The myth and folklore accounts add a supernatural element and talk of those dead before their time returning. The case studies at </w:t>
      </w:r>
      <w:proofErr w:type="spellStart"/>
      <w:r w:rsidRPr="0010743C">
        <w:t>Kamarina</w:t>
      </w:r>
      <w:proofErr w:type="spellEnd"/>
      <w:r>
        <w:t xml:space="preserve"> show they ways in which people would stop the deceased returning from the grave. This could be done through placing weighted objects on to the corpse.  The evidence suggests that there was a fear about revenants and people returning from the grave but the threat was constricted to certain groups of people. </w:t>
      </w:r>
    </w:p>
    <w:p w:rsidR="009C075F" w:rsidRDefault="009C075F" w:rsidP="009C075F">
      <w:pPr>
        <w:spacing w:line="480" w:lineRule="auto"/>
      </w:pPr>
    </w:p>
    <w:p w:rsidR="009C075F" w:rsidRDefault="009C075F" w:rsidP="009C075F">
      <w:r>
        <w:br w:type="page"/>
      </w:r>
    </w:p>
    <w:p w:rsidR="009C075F" w:rsidRPr="00943E0C" w:rsidRDefault="009C075F" w:rsidP="009C075F">
      <w:pPr>
        <w:spacing w:line="480" w:lineRule="auto"/>
        <w:rPr>
          <w:u w:val="single"/>
        </w:rPr>
      </w:pPr>
      <w:r w:rsidRPr="00943E0C">
        <w:rPr>
          <w:u w:val="single"/>
        </w:rPr>
        <w:lastRenderedPageBreak/>
        <w:t xml:space="preserve">Bibliography </w:t>
      </w:r>
    </w:p>
    <w:p w:rsidR="009C075F" w:rsidRDefault="009C075F" w:rsidP="009C075F">
      <w:pPr>
        <w:spacing w:line="480" w:lineRule="auto"/>
        <w:rPr>
          <w:u w:val="single"/>
        </w:rPr>
      </w:pPr>
      <w:r w:rsidRPr="00943E0C">
        <w:rPr>
          <w:u w:val="single"/>
        </w:rPr>
        <w:t xml:space="preserve">Ancient </w:t>
      </w:r>
    </w:p>
    <w:p w:rsidR="009C075F" w:rsidRDefault="009C075F" w:rsidP="009C075F">
      <w:pPr>
        <w:spacing w:line="480" w:lineRule="auto"/>
        <w:rPr>
          <w:rFonts w:cstheme="minorHAnsi"/>
          <w:color w:val="000000"/>
        </w:rPr>
      </w:pPr>
      <w:r w:rsidRPr="00A37930">
        <w:rPr>
          <w:rFonts w:cstheme="minorHAnsi"/>
          <w:color w:val="000000"/>
        </w:rPr>
        <w:t xml:space="preserve">Herodotus, </w:t>
      </w:r>
      <w:r w:rsidRPr="00A37930">
        <w:rPr>
          <w:rFonts w:cstheme="minorHAnsi"/>
          <w:i/>
          <w:iCs/>
          <w:color w:val="000000"/>
        </w:rPr>
        <w:t>Histories</w:t>
      </w:r>
      <w:r w:rsidRPr="00A37930">
        <w:rPr>
          <w:rFonts w:cstheme="minorHAnsi"/>
          <w:color w:val="000000"/>
        </w:rPr>
        <w:t>. Goodley, A. (trans.). 1920. Cambridge: Harvard University Press</w:t>
      </w:r>
    </w:p>
    <w:p w:rsidR="009C075F" w:rsidRDefault="009C075F" w:rsidP="009C075F">
      <w:pPr>
        <w:spacing w:line="480" w:lineRule="auto"/>
        <w:rPr>
          <w:rFonts w:cstheme="minorHAnsi"/>
          <w:color w:val="000000"/>
        </w:rPr>
      </w:pPr>
      <w:r>
        <w:rPr>
          <w:rFonts w:cstheme="minorHAnsi"/>
          <w:color w:val="000000"/>
        </w:rPr>
        <w:t xml:space="preserve">Pausanias, </w:t>
      </w:r>
      <w:r w:rsidRPr="00A37930">
        <w:rPr>
          <w:rFonts w:cstheme="minorHAnsi"/>
          <w:i/>
          <w:iCs/>
          <w:color w:val="000000"/>
        </w:rPr>
        <w:t>Descriptions of Greece</w:t>
      </w:r>
      <w:r>
        <w:rPr>
          <w:rFonts w:cstheme="minorHAnsi"/>
          <w:color w:val="000000"/>
        </w:rPr>
        <w:t xml:space="preserve">. Jones, W. Ormerod, H. (trans.). 1918. London: Willian Heinemann Ltd. </w:t>
      </w:r>
    </w:p>
    <w:p w:rsidR="009C075F" w:rsidRPr="00E90BB2" w:rsidRDefault="009C075F" w:rsidP="009C075F">
      <w:pPr>
        <w:spacing w:line="480" w:lineRule="auto"/>
        <w:rPr>
          <w:rFonts w:cstheme="minorHAnsi"/>
        </w:rPr>
      </w:pPr>
      <w:r w:rsidRPr="00A37930">
        <w:rPr>
          <w:rFonts w:cstheme="minorHAnsi"/>
        </w:rPr>
        <w:t xml:space="preserve">Plato, </w:t>
      </w:r>
      <w:r w:rsidRPr="00A37930">
        <w:rPr>
          <w:rFonts w:cstheme="minorHAnsi"/>
          <w:i/>
          <w:iCs/>
        </w:rPr>
        <w:t>Plato in Twelve Volumes</w:t>
      </w:r>
      <w:r w:rsidRPr="00A37930">
        <w:rPr>
          <w:rFonts w:cstheme="minorHAnsi"/>
        </w:rPr>
        <w:t xml:space="preserve">. </w:t>
      </w:r>
      <w:proofErr w:type="spellStart"/>
      <w:r w:rsidRPr="00A37930">
        <w:rPr>
          <w:rFonts w:cstheme="minorHAnsi"/>
        </w:rPr>
        <w:t>Shorey</w:t>
      </w:r>
      <w:proofErr w:type="spellEnd"/>
      <w:r w:rsidRPr="00A37930">
        <w:rPr>
          <w:rFonts w:cstheme="minorHAnsi"/>
        </w:rPr>
        <w:t xml:space="preserve">, P. (trans.). 1969. London: William Heinemann Ltd. </w:t>
      </w:r>
    </w:p>
    <w:p w:rsidR="009C075F" w:rsidRPr="00A37930" w:rsidRDefault="009C075F" w:rsidP="009C075F">
      <w:pPr>
        <w:spacing w:line="480" w:lineRule="auto"/>
        <w:rPr>
          <w:rFonts w:cstheme="minorHAnsi"/>
        </w:rPr>
      </w:pPr>
      <w:r w:rsidRPr="00A37930">
        <w:rPr>
          <w:rFonts w:cstheme="minorHAnsi"/>
        </w:rPr>
        <w:t xml:space="preserve">Pliny the Elder, </w:t>
      </w:r>
      <w:r w:rsidRPr="00A37930">
        <w:rPr>
          <w:rFonts w:cstheme="minorHAnsi"/>
          <w:i/>
          <w:iCs/>
        </w:rPr>
        <w:t>The</w:t>
      </w:r>
      <w:r w:rsidRPr="00A37930">
        <w:rPr>
          <w:rFonts w:cstheme="minorHAnsi"/>
        </w:rPr>
        <w:t xml:space="preserve"> </w:t>
      </w:r>
      <w:r w:rsidRPr="00A37930">
        <w:rPr>
          <w:rFonts w:cstheme="minorHAnsi"/>
          <w:i/>
          <w:iCs/>
        </w:rPr>
        <w:t>Natural</w:t>
      </w:r>
      <w:r w:rsidRPr="00A37930">
        <w:rPr>
          <w:rFonts w:cstheme="minorHAnsi"/>
        </w:rPr>
        <w:t xml:space="preserve"> </w:t>
      </w:r>
      <w:r w:rsidRPr="00A37930">
        <w:rPr>
          <w:rFonts w:cstheme="minorHAnsi"/>
          <w:i/>
          <w:iCs/>
        </w:rPr>
        <w:t>History</w:t>
      </w:r>
      <w:r w:rsidRPr="00A37930">
        <w:rPr>
          <w:rFonts w:cstheme="minorHAnsi"/>
        </w:rPr>
        <w:t>. Bostock, J (trans.). 1855. London: Taylor and Francis</w:t>
      </w:r>
    </w:p>
    <w:p w:rsidR="009C075F" w:rsidRPr="00A37930" w:rsidRDefault="009C075F" w:rsidP="009C075F">
      <w:pPr>
        <w:spacing w:line="480" w:lineRule="auto"/>
        <w:rPr>
          <w:rFonts w:cstheme="minorHAnsi"/>
          <w:u w:val="single"/>
        </w:rPr>
      </w:pPr>
      <w:r w:rsidRPr="00A37930">
        <w:rPr>
          <w:rFonts w:cstheme="minorHAnsi"/>
          <w:u w:val="single"/>
        </w:rPr>
        <w:t xml:space="preserve">Modern </w:t>
      </w:r>
    </w:p>
    <w:p w:rsidR="009C075F" w:rsidRPr="00A37930" w:rsidRDefault="009C075F" w:rsidP="009C075F">
      <w:pPr>
        <w:pStyle w:val="Bibliography"/>
        <w:rPr>
          <w:rFonts w:ascii="Calibri" w:hAnsi="Calibri" w:cs="Calibri"/>
        </w:rPr>
      </w:pPr>
      <w:r>
        <w:rPr>
          <w:rFonts w:cstheme="minorHAnsi"/>
        </w:rPr>
        <w:fldChar w:fldCharType="begin"/>
      </w:r>
      <w:r>
        <w:rPr>
          <w:rFonts w:cstheme="minorHAnsi"/>
        </w:rPr>
        <w:instrText xml:space="preserve"> ADDIN ZOTERO_BIBL {"custom":[]} CSL_BIBLIOGRAPHY </w:instrText>
      </w:r>
      <w:r>
        <w:rPr>
          <w:rFonts w:cstheme="minorHAnsi"/>
        </w:rPr>
        <w:fldChar w:fldCharType="separate"/>
      </w:r>
      <w:r w:rsidRPr="00A37930">
        <w:rPr>
          <w:rFonts w:ascii="Calibri" w:hAnsi="Calibri" w:cs="Calibri"/>
        </w:rPr>
        <w:t>Ogden</w:t>
      </w:r>
      <w:r>
        <w:rPr>
          <w:rFonts w:ascii="Calibri" w:hAnsi="Calibri" w:cs="Calibri"/>
        </w:rPr>
        <w:t>, D.</w:t>
      </w:r>
      <w:r w:rsidRPr="00A37930">
        <w:rPr>
          <w:rFonts w:ascii="Calibri" w:hAnsi="Calibri" w:cs="Calibri"/>
        </w:rPr>
        <w:t xml:space="preserve"> 2002. </w:t>
      </w:r>
      <w:r w:rsidRPr="00A37930">
        <w:rPr>
          <w:rFonts w:ascii="Calibri" w:hAnsi="Calibri" w:cs="Calibri"/>
          <w:i/>
          <w:iCs/>
        </w:rPr>
        <w:t>Magic, witchcraft and ghosts in the Greek and Roman worlds: a sourcebook</w:t>
      </w:r>
      <w:r w:rsidRPr="00A37930">
        <w:rPr>
          <w:rFonts w:ascii="Calibri" w:hAnsi="Calibri" w:cs="Calibri"/>
        </w:rPr>
        <w:t>. Oxford: Oxford University Press.</w:t>
      </w:r>
    </w:p>
    <w:p w:rsidR="009C075F" w:rsidRPr="00A37930" w:rsidRDefault="009C075F" w:rsidP="009C075F">
      <w:pPr>
        <w:pStyle w:val="Bibliography"/>
        <w:rPr>
          <w:rFonts w:ascii="Calibri" w:hAnsi="Calibri" w:cs="Calibri"/>
        </w:rPr>
      </w:pPr>
      <w:r w:rsidRPr="00A37930">
        <w:rPr>
          <w:rFonts w:ascii="Calibri" w:hAnsi="Calibri" w:cs="Calibri"/>
        </w:rPr>
        <w:t xml:space="preserve">Felton, D. 2010. </w:t>
      </w:r>
      <w:r w:rsidRPr="00A37930">
        <w:rPr>
          <w:rFonts w:ascii="Calibri" w:hAnsi="Calibri" w:cs="Calibri"/>
          <w:i/>
          <w:iCs/>
        </w:rPr>
        <w:t>Haunted Greece and Rome: Ghost Stories from Classical Antiquity</w:t>
      </w:r>
      <w:r w:rsidRPr="00A37930">
        <w:rPr>
          <w:rFonts w:ascii="Calibri" w:hAnsi="Calibri" w:cs="Calibri"/>
        </w:rPr>
        <w:t>.</w:t>
      </w:r>
      <w:r>
        <w:rPr>
          <w:rFonts w:ascii="Calibri" w:hAnsi="Calibri" w:cs="Calibri"/>
        </w:rPr>
        <w:t xml:space="preserve"> Austin:</w:t>
      </w:r>
      <w:r w:rsidRPr="00A37930">
        <w:rPr>
          <w:rFonts w:ascii="Calibri" w:hAnsi="Calibri" w:cs="Calibri"/>
        </w:rPr>
        <w:t xml:space="preserve"> University of Texas Press.</w:t>
      </w:r>
    </w:p>
    <w:p w:rsidR="009C075F" w:rsidRPr="00A37930" w:rsidRDefault="009C075F" w:rsidP="009C075F">
      <w:pPr>
        <w:pStyle w:val="Bibliography"/>
        <w:rPr>
          <w:rFonts w:ascii="Calibri" w:hAnsi="Calibri" w:cs="Calibri"/>
        </w:rPr>
      </w:pPr>
      <w:r w:rsidRPr="00A37930">
        <w:rPr>
          <w:rFonts w:ascii="Calibri" w:hAnsi="Calibri" w:cs="Calibri"/>
        </w:rPr>
        <w:t>Weaver,</w:t>
      </w:r>
      <w:r>
        <w:rPr>
          <w:rFonts w:ascii="Calibri" w:hAnsi="Calibri" w:cs="Calibri"/>
        </w:rPr>
        <w:t xml:space="preserve"> S.</w:t>
      </w:r>
      <w:r w:rsidRPr="00A37930">
        <w:rPr>
          <w:rFonts w:ascii="Calibri" w:hAnsi="Calibri" w:cs="Calibri"/>
        </w:rPr>
        <w:t xml:space="preserve"> 2015. </w:t>
      </w:r>
      <w:r w:rsidRPr="00A37930">
        <w:rPr>
          <w:rFonts w:ascii="Calibri" w:hAnsi="Calibri" w:cs="Calibri"/>
          <w:i/>
          <w:iCs/>
        </w:rPr>
        <w:t xml:space="preserve">Bioarchaeology of Classical </w:t>
      </w:r>
      <w:proofErr w:type="spellStart"/>
      <w:r w:rsidRPr="00A37930">
        <w:rPr>
          <w:rFonts w:ascii="Calibri" w:hAnsi="Calibri" w:cs="Calibri"/>
          <w:i/>
          <w:iCs/>
        </w:rPr>
        <w:t>Kamarina</w:t>
      </w:r>
      <w:proofErr w:type="spellEnd"/>
      <w:r w:rsidRPr="00A37930">
        <w:rPr>
          <w:rFonts w:ascii="Calibri" w:hAnsi="Calibri" w:cs="Calibri"/>
          <w:i/>
          <w:iCs/>
        </w:rPr>
        <w:t>: Life and Death in Greek Sicily</w:t>
      </w:r>
      <w:r w:rsidRPr="00A37930">
        <w:rPr>
          <w:rFonts w:ascii="Calibri" w:hAnsi="Calibri" w:cs="Calibri"/>
        </w:rPr>
        <w:t xml:space="preserve">. Gainesville: University Press of Florida. </w:t>
      </w:r>
    </w:p>
    <w:p w:rsidR="009C075F" w:rsidRPr="00A37930" w:rsidRDefault="009C075F" w:rsidP="009C075F">
      <w:pPr>
        <w:spacing w:line="480" w:lineRule="auto"/>
        <w:rPr>
          <w:rFonts w:cstheme="minorHAnsi"/>
        </w:rPr>
      </w:pPr>
      <w:r>
        <w:rPr>
          <w:rFonts w:cstheme="minorHAnsi"/>
        </w:rPr>
        <w:fldChar w:fldCharType="end"/>
      </w:r>
    </w:p>
    <w:p w:rsidR="00D451AD" w:rsidRDefault="00D451AD"/>
    <w:sectPr w:rsidR="00D45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714" w:rsidRDefault="00295714" w:rsidP="009C075F">
      <w:pPr>
        <w:spacing w:after="0" w:line="240" w:lineRule="auto"/>
      </w:pPr>
      <w:r>
        <w:separator/>
      </w:r>
    </w:p>
  </w:endnote>
  <w:endnote w:type="continuationSeparator" w:id="0">
    <w:p w:rsidR="00295714" w:rsidRDefault="00295714" w:rsidP="009C0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714" w:rsidRDefault="00295714" w:rsidP="009C075F">
      <w:pPr>
        <w:spacing w:after="0" w:line="240" w:lineRule="auto"/>
      </w:pPr>
      <w:r>
        <w:separator/>
      </w:r>
    </w:p>
  </w:footnote>
  <w:footnote w:type="continuationSeparator" w:id="0">
    <w:p w:rsidR="00295714" w:rsidRDefault="00295714" w:rsidP="009C075F">
      <w:pPr>
        <w:spacing w:after="0" w:line="240" w:lineRule="auto"/>
      </w:pPr>
      <w:r>
        <w:continuationSeparator/>
      </w:r>
    </w:p>
  </w:footnote>
  <w:footnote w:id="1">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{"citationID":"avphv17k00","properties":{"formattedCitation":"(Felton 2010; Sulosky Weaver 2015)","plainCitation":"(Felton 2010; Sulosky Weaver 2015)"},"citationItems":[{"id":132,"uris":["http://zotero.org/users/local/6UyN5u7d/items/LCYMD7W9"],"uri":["http://zotero.org/users/local/6UyN5u7d/items/LCYMD7W9"],"itemData":{"id":132,"type":"book","title":"Haunted Greece and Rome: Ghost Stories from Classical Antiquity","publisher":"University of Texas Press","number-of-pages":"170","source":"Google Books","abstract":"Stories of ghostly spirits who return to this world to warn of danger, to prophesy, to take revenge, to request proper burial, or to comfort the living fascinated people in ancient times just as they do today. In this innovative, interdisciplinary study, the author combines a modern folkloric perspective with literary analysis of ghost stories from classical antiquity to shed new light on the stories' folk roots. The author begins by examining ancient Greek and Roman beliefs about death and the departed and the various kinds of ghost stories which arose from these beliefs. She then focuses on the longer stories of Plautus, Pliny, and Lucian, which concern haunted houses. Her analysis illuminates the oral and literary transmission and adaptation of folkloric motifs and the development of the ghost story as a literary form. In her concluding chapter, the author also traces the influence of ancient ghost stories on modern ghost story writers, a topic that will interest all readers and scholars of tales of hauntings.","ISBN":"978-0-292-78924-1","note":"Google-Books-ID: 3TCwxMR2GokC","shortTitle":"Haunted Greece and Rome","language":"en","author":[{"family":"Felton","given":"D."}],"issued":{"date-parts":[["2010",7,22]]}}},{"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F15364">
        <w:rPr>
          <w:rFonts w:ascii="Calibri" w:hAnsi="Calibri" w:cs="Calibri"/>
        </w:rPr>
        <w:t>Felton</w:t>
      </w:r>
      <w:r>
        <w:rPr>
          <w:rFonts w:ascii="Calibri" w:hAnsi="Calibri" w:cs="Calibri"/>
        </w:rPr>
        <w:t>.</w:t>
      </w:r>
      <w:r w:rsidRPr="00F15364">
        <w:rPr>
          <w:rFonts w:ascii="Calibri" w:hAnsi="Calibri" w:cs="Calibri"/>
        </w:rPr>
        <w:t xml:space="preserve"> 2010</w:t>
      </w:r>
      <w:r>
        <w:rPr>
          <w:rFonts w:ascii="Calibri" w:hAnsi="Calibri" w:cs="Calibri"/>
        </w:rPr>
        <w:t xml:space="preserve">. </w:t>
      </w:r>
      <w:r w:rsidRPr="00F15364">
        <w:rPr>
          <w:rFonts w:ascii="Calibri" w:hAnsi="Calibri" w:cs="Calibri"/>
        </w:rPr>
        <w:t>Weaver</w:t>
      </w:r>
      <w:r>
        <w:rPr>
          <w:rFonts w:ascii="Calibri" w:hAnsi="Calibri" w:cs="Calibri"/>
        </w:rPr>
        <w:t>.</w:t>
      </w:r>
      <w:r w:rsidRPr="00F15364">
        <w:rPr>
          <w:rFonts w:ascii="Calibri" w:hAnsi="Calibri" w:cs="Calibri"/>
        </w:rPr>
        <w:t xml:space="preserve"> 2015</w:t>
      </w:r>
      <w:r>
        <w:fldChar w:fldCharType="end"/>
      </w:r>
    </w:p>
  </w:footnote>
  <w:footnote w:id="2">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{"citationID":"a1ahqb5fj77","properties":{"formattedCitation":"(Sulosky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2F7887">
        <w:rPr>
          <w:rFonts w:ascii="Calibri" w:hAnsi="Calibri" w:cs="Calibri"/>
        </w:rPr>
        <w:t>Weaver 2015</w:t>
      </w:r>
      <w:r>
        <w:rPr>
          <w:rFonts w:ascii="Calibri" w:hAnsi="Calibri" w:cs="Calibri"/>
        </w:rPr>
        <w:t>: 213</w:t>
      </w:r>
      <w:r>
        <w:fldChar w:fldCharType="end"/>
      </w:r>
    </w:p>
  </w:footnote>
  <w:footnote w:id="3">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{"citationID":"a2avhefs1pb","properties":{"formattedCitation":"(Sulosky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026E95">
        <w:rPr>
          <w:rFonts w:ascii="Calibri" w:hAnsi="Calibri" w:cs="Calibri"/>
        </w:rPr>
        <w:t>Weaver 2015</w:t>
      </w:r>
      <w:r>
        <w:rPr>
          <w:rFonts w:ascii="Calibri" w:hAnsi="Calibri" w:cs="Calibri"/>
        </w:rPr>
        <w:t>:213</w:t>
      </w:r>
      <w:r>
        <w:fldChar w:fldCharType="end"/>
      </w:r>
    </w:p>
  </w:footnote>
  <w:footnote w:id="4">
    <w:p w:rsidR="009C075F" w:rsidRDefault="009C075F" w:rsidP="009C075F">
      <w:pPr>
        <w:pStyle w:val="FootnoteText"/>
      </w:pPr>
      <w:r>
        <w:rPr>
          <w:rStyle w:val="FootnoteReference"/>
        </w:rPr>
        <w:footnoteRef/>
      </w:r>
      <w:r>
        <w:t xml:space="preserve"> Pliny. NH. 7.52</w:t>
      </w:r>
    </w:p>
  </w:footnote>
  <w:footnote w:id="5">
    <w:p w:rsidR="009C075F" w:rsidRDefault="009C075F" w:rsidP="009C075F">
      <w:pPr>
        <w:pStyle w:val="FootnoteText"/>
      </w:pPr>
      <w:r>
        <w:rPr>
          <w:rStyle w:val="FootnoteReference"/>
        </w:rPr>
        <w:footnoteRef/>
      </w:r>
      <w:r>
        <w:t xml:space="preserve"> Pliny. NH. 7.52; </w:t>
      </w:r>
      <w:r w:rsidRPr="0053430B">
        <w:t xml:space="preserve">Plato. Rep. </w:t>
      </w:r>
      <w:r w:rsidRPr="0053430B">
        <w:rPr>
          <w:rFonts w:ascii="Calibri" w:hAnsi="Calibri" w:cs="Calibri"/>
        </w:rPr>
        <w:t>10.614b</w:t>
      </w:r>
    </w:p>
  </w:footnote>
  <w:footnote w:id="6">
    <w:p w:rsidR="009C075F" w:rsidRDefault="009C075F" w:rsidP="009C075F">
      <w:pPr>
        <w:pStyle w:val="FootnoteText"/>
      </w:pPr>
      <w:r>
        <w:rPr>
          <w:rStyle w:val="FootnoteReference"/>
        </w:rPr>
        <w:footnoteRef/>
      </w:r>
      <w:r>
        <w:t xml:space="preserve"> </w:t>
      </w:r>
      <w:proofErr w:type="spellStart"/>
      <w:r w:rsidRPr="002F2597">
        <w:t>H</w:t>
      </w:r>
      <w:r>
        <w:t>dt</w:t>
      </w:r>
      <w:proofErr w:type="spellEnd"/>
      <w:r>
        <w:t>.</w:t>
      </w:r>
      <w:r w:rsidRPr="002F2597">
        <w:t xml:space="preserve"> Hist</w:t>
      </w:r>
      <w:r>
        <w:t>.</w:t>
      </w:r>
      <w:r w:rsidRPr="002F2597">
        <w:t xml:space="preserve"> 9.120</w:t>
      </w:r>
    </w:p>
  </w:footnote>
  <w:footnote w:id="7">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{"citationID":"aeq215mg2s","properties":{"formattedCitation":"(Sulosky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2F2597">
        <w:rPr>
          <w:rFonts w:ascii="Calibri" w:hAnsi="Calibri" w:cs="Calibri"/>
        </w:rPr>
        <w:t>Weaver</w:t>
      </w:r>
      <w:r>
        <w:rPr>
          <w:rFonts w:ascii="Calibri" w:hAnsi="Calibri" w:cs="Calibri"/>
        </w:rPr>
        <w:t>.</w:t>
      </w:r>
      <w:r w:rsidRPr="002F2597">
        <w:rPr>
          <w:rFonts w:ascii="Calibri" w:hAnsi="Calibri" w:cs="Calibri"/>
        </w:rPr>
        <w:t xml:space="preserve"> 2015</w:t>
      </w:r>
      <w:r>
        <w:rPr>
          <w:rFonts w:ascii="Calibri" w:hAnsi="Calibri" w:cs="Calibri"/>
        </w:rPr>
        <w:t>: 215</w:t>
      </w:r>
      <w:r>
        <w:fldChar w:fldCharType="end"/>
      </w:r>
    </w:p>
  </w:footnote>
  <w:footnote w:id="8">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{"citationID":"a2n67so1m7u","properties":{"formattedCitation":"(Felton 2010)","plainCitation":"(Felton 2010)"},"citationItems":[{"id":132,"uris":["http://zotero.org/users/local/6UyN5u7d/items/LCYMD7W9"],"uri":["http://zotero.org/users/local/6UyN5u7d/items/LCYMD7W9"],"itemData":{"id":132,"type":"book","title":"Haunted Greece and Rome: Ghost Stories from Classical Antiquity","publisher":"University of Texas Press","number-of-pages":"170","source":"Google Books","abstract":"Stories of ghostly spirits who return to this world to warn of danger, to prophesy, to take revenge, to request proper burial, or to comfort the living fascinated people in ancient times just as they do today. In this innovative, interdisciplinary study, the author combines a modern folkloric perspective with literary analysis of ghost stories from classical antiquity to shed new light on the stories' folk roots. The author begins by examining ancient Greek and Roman beliefs about death and the departed and the various kinds of ghost stories which arose from these beliefs. She then focuses on the longer stories of Plautus, Pliny, and Lucian, which concern haunted houses. Her analysis illuminates the oral and literary transmission and adaptation of folkloric motifs and the development of the ghost story as a literary form. In her concluding chapter, the author also traces the influence of ancient ghost stories on modern ghost story writers, a topic that will interest all readers and scholars of tales of hauntings.","ISBN":"978-0-292-78924-1","note":"Google-Books-ID: 3TCwxMR2GokC","shortTitle":"Haunted Greece and Rome","language":"en","author":[{"family":"Felton","given":"D."}],"issued":{"date-parts":[["2010",7,22]]}}}],"schema":"https://github.com/citation-style-language/schema/raw/master/csl-citation.json"} </w:instrText>
      </w:r>
      <w:r>
        <w:fldChar w:fldCharType="separate"/>
      </w:r>
      <w:r w:rsidRPr="00F61F54">
        <w:rPr>
          <w:rFonts w:ascii="Calibri" w:hAnsi="Calibri" w:cs="Calibri"/>
        </w:rPr>
        <w:t>Felton</w:t>
      </w:r>
      <w:r>
        <w:rPr>
          <w:rFonts w:ascii="Calibri" w:hAnsi="Calibri" w:cs="Calibri"/>
        </w:rPr>
        <w:t>.</w:t>
      </w:r>
      <w:r w:rsidRPr="00F61F54">
        <w:rPr>
          <w:rFonts w:ascii="Calibri" w:hAnsi="Calibri" w:cs="Calibri"/>
        </w:rPr>
        <w:t xml:space="preserve"> 2010</w:t>
      </w:r>
      <w:r>
        <w:rPr>
          <w:rFonts w:ascii="Calibri" w:hAnsi="Calibri" w:cs="Calibri"/>
        </w:rPr>
        <w:t>: 29</w:t>
      </w:r>
      <w:r>
        <w:fldChar w:fldCharType="end"/>
      </w:r>
      <w:r>
        <w:t xml:space="preserve">; </w:t>
      </w:r>
      <w:proofErr w:type="spellStart"/>
      <w:r>
        <w:t>Phlegon</w:t>
      </w:r>
      <w:proofErr w:type="spellEnd"/>
      <w:r>
        <w:t>. Mir. 3</w:t>
      </w:r>
    </w:p>
  </w:footnote>
  <w:footnote w:id="9">
    <w:p w:rsidR="009C075F" w:rsidRDefault="009C075F" w:rsidP="009C075F">
      <w:pPr>
        <w:pStyle w:val="FootnoteText"/>
      </w:pPr>
      <w:r>
        <w:rPr>
          <w:rStyle w:val="FootnoteReference"/>
        </w:rPr>
        <w:footnoteRef/>
      </w:r>
      <w:r>
        <w:t xml:space="preserve"> </w:t>
      </w:r>
      <w:r w:rsidRPr="007A28FF">
        <w:rPr>
          <w:rFonts w:ascii="Calibri" w:hAnsi="Calibri" w:cs="Calibri"/>
        </w:rPr>
        <w:t>Paus. 9.38.5</w:t>
      </w:r>
    </w:p>
  </w:footnote>
  <w:footnote w:id="10">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{"citationID":"a1qs6vm3eev","properties":{"formattedCitation":"(Daniel. Ogden 2002)","plainCitation":"(Daniel. Ogden 2002)"},"citationItems":[{"id":143,"uris":["http://zotero.org/users/local/6UyN5u7d/items/SFRHEJN4"],"uri":["http://zotero.org/users/local/6UyN5u7d/items/SFRHEJN4"],"itemData":{"id":143,"type":"book","title":"Magic, witchcraft and ghosts in the Greek and Roman worlds: a sourcebook","publisher":"Oxford University Press","publisher-place":"Oxford","number-of-pages":"x+353","source":"librarycatalogue.uwtsd.ac.uk","event-place":"Oxford","ISBN":"978-0-19-513575-6","call-number":"133.430938 MAG","shortTitle":"Magic, witchcraft and ghosts in the Greek and Roman worlds","language":"eng","author":[{"literal":"Daniel. Ogden"}],"issued":{"date-parts":[["2002"]]}}}],"schema":"https://github.com/citation-style-language/schema/raw/master/csl-citation.json"} </w:instrText>
      </w:r>
      <w:r>
        <w:fldChar w:fldCharType="separate"/>
      </w:r>
      <w:r w:rsidRPr="0010743C">
        <w:rPr>
          <w:rFonts w:ascii="Calibri" w:hAnsi="Calibri" w:cs="Calibri"/>
        </w:rPr>
        <w:t>Ogden</w:t>
      </w:r>
      <w:r>
        <w:rPr>
          <w:rFonts w:ascii="Calibri" w:hAnsi="Calibri" w:cs="Calibri"/>
        </w:rPr>
        <w:t>.</w:t>
      </w:r>
      <w:r w:rsidRPr="0010743C">
        <w:rPr>
          <w:rFonts w:ascii="Calibri" w:hAnsi="Calibri" w:cs="Calibri"/>
        </w:rPr>
        <w:t xml:space="preserve"> 2002</w:t>
      </w:r>
      <w:r>
        <w:fldChar w:fldCharType="end"/>
      </w:r>
      <w:r>
        <w:t xml:space="preserve">: 176; Felton. 2010:26 </w:t>
      </w:r>
    </w:p>
  </w:footnote>
  <w:footnote w:id="11">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{"citationID":"a1v2rcl0odt","properties":{"formattedCitation":"(Felton 2010)","plainCitation":"(Felton 2010)"},"citationItems":[{"id":132,"uris":["http://zotero.org/users/local/6UyN5u7d/items/LCYMD7W9"],"uri":["http://zotero.org/users/local/6UyN5u7d/items/LCYMD7W9"],"itemData":{"id":132,"type":"book","title":"Haunted Greece and Rome: Ghost Stories from Classical Antiquity","publisher":"University of Texas Press","number-of-pages":"170","source":"Google Books","abstract":"Stories of ghostly spirits who return to this world to warn of danger, to prophesy, to take revenge, to request proper burial, or to comfort the living fascinated people in ancient times just as they do today. In this innovative, interdisciplinary study, the author combines a modern folkloric perspective with literary analysis of ghost stories from classical antiquity to shed new light on the stories' folk roots. The author begins by examining ancient Greek and Roman beliefs about death and the departed and the various kinds of ghost stories which arose from these beliefs. She then focuses on the longer stories of Plautus, Pliny, and Lucian, which concern haunted houses. Her analysis illuminates the oral and literary transmission and adaptation of folkloric motifs and the development of the ghost story as a literary form. In her concluding chapter, the author also traces the influence of ancient ghost stories on modern ghost story writers, a topic that will interest all readers and scholars of tales of hauntings.","ISBN":"978-0-292-78924-1","note":"Google-Books-ID: 3TCwxMR2GokC","shortTitle":"Haunted Greece and Rome","language":"en","author":[{"family":"Felton","given":"D."}],"issued":{"date-parts":[["2010",7,22]]}}}],"schema":"https://github.com/citation-style-language/schema/raw/master/csl-citation.json"} </w:instrText>
      </w:r>
      <w:r>
        <w:fldChar w:fldCharType="separate"/>
      </w:r>
      <w:r w:rsidRPr="005A6F36">
        <w:rPr>
          <w:rFonts w:ascii="Calibri" w:hAnsi="Calibri" w:cs="Calibri"/>
        </w:rPr>
        <w:t>Felton</w:t>
      </w:r>
      <w:r>
        <w:rPr>
          <w:rFonts w:ascii="Calibri" w:hAnsi="Calibri" w:cs="Calibri"/>
        </w:rPr>
        <w:t>.</w:t>
      </w:r>
      <w:r w:rsidRPr="005A6F36">
        <w:rPr>
          <w:rFonts w:ascii="Calibri" w:hAnsi="Calibri" w:cs="Calibri"/>
        </w:rPr>
        <w:t xml:space="preserve"> 2010</w:t>
      </w:r>
      <w:r>
        <w:rPr>
          <w:rFonts w:ascii="Calibri" w:hAnsi="Calibri" w:cs="Calibri"/>
        </w:rPr>
        <w:t>: 26</w:t>
      </w:r>
      <w:r>
        <w:fldChar w:fldCharType="end"/>
      </w:r>
    </w:p>
  </w:footnote>
  <w:footnote w:id="12">
    <w:p w:rsidR="009C075F" w:rsidRPr="00822A5A" w:rsidRDefault="009C075F" w:rsidP="009C075F">
      <w:pPr>
        <w:pStyle w:val="FootnoteText"/>
      </w:pPr>
      <w:r w:rsidRPr="00822A5A">
        <w:rPr>
          <w:rStyle w:val="FootnoteReference"/>
        </w:rPr>
        <w:footnoteRef/>
      </w:r>
      <w:r w:rsidRPr="00822A5A">
        <w:t xml:space="preserve"> </w:t>
      </w:r>
      <w:r w:rsidRPr="00822A5A">
        <w:fldChar w:fldCharType="begin"/>
      </w:r>
      <w:r w:rsidRPr="00822A5A">
        <w:instrText xml:space="preserve"> ADDIN ZOTERO_ITEM CSL_CITATION {"citationID":"a2931ljcgc6","properties":{"formattedCitation":"(Felton 2010)","plainCitation":"(Felton 2010)"},"citationItems":[{"id":132,"uris":["http://zotero.org/users/local/6UyN5u7d/items/LCYMD7W9"],"uri":["http://zotero.org/users/local/6UyN5u7d/items/LCYMD7W9"],"itemData":{"id":132,"type":"book","title":"Haunted Greece and Rome: Ghost Stories from Classical Antiquity","publisher":"University of Texas Press","number-of-pages":"170","source":"Google Books","abstract":"Stories of ghostly spirits who return to this world to warn of danger, to prophesy, to take revenge, to request proper burial, or to comfort the living fascinated people in ancient times just as they do today. In this innovative, interdisciplinary study, the author combines a modern folkloric perspective with literary analysis of ghost stories from classical antiquity to shed new light on the stories' folk roots. The author begins by examining ancient Greek and Roman beliefs about death and the departed and the various kinds of ghost stories which arose from these beliefs. She then focuses on the longer stories of Plautus, Pliny, and Lucian, which concern haunted houses. Her analysis illuminates the oral and literary transmission and adaptation of folkloric motifs and the development of the ghost story as a literary form. In her concluding chapter, the author also traces the influence of ancient ghost stories on modern ghost story writers, a topic that will interest all readers and scholars of tales of hauntings.","ISBN":"978-0-292-78924-1","note":"Google-Books-ID: 3TCwxMR2GokC","shortTitle":"Haunted Greece and Rome","language":"en","author":[{"family":"Felton","given":"D."}],"issued":{"date-parts":[["2010",7,22]]}}}],"schema":"https://github.com/citation-style-language/schema/raw/master/csl-citation.json"} </w:instrText>
      </w:r>
      <w:r w:rsidRPr="00822A5A">
        <w:fldChar w:fldCharType="separate"/>
      </w:r>
      <w:r w:rsidRPr="00822A5A">
        <w:rPr>
          <w:rFonts w:ascii="Calibri" w:hAnsi="Calibri" w:cs="Calibri"/>
        </w:rPr>
        <w:t>Felton. 2010: 27</w:t>
      </w:r>
      <w:r w:rsidRPr="00822A5A">
        <w:fldChar w:fldCharType="end"/>
      </w:r>
      <w:r w:rsidRPr="00822A5A">
        <w:t>; Paus</w:t>
      </w:r>
      <w:r>
        <w:t>.</w:t>
      </w:r>
      <w:r w:rsidRPr="00822A5A">
        <w:t xml:space="preserve"> </w:t>
      </w:r>
      <w:r w:rsidRPr="00822A5A">
        <w:rPr>
          <w:rFonts w:ascii="Calibri" w:hAnsi="Calibri" w:cs="Calibri"/>
        </w:rPr>
        <w:t>9.38.5</w:t>
      </w:r>
    </w:p>
  </w:footnote>
  <w:footnote w:id="13">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{"citationID":"a1bmhe1gcsp","properties":{"formattedCitation":"(Sulosky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5A6F36">
        <w:rPr>
          <w:rFonts w:ascii="Calibri" w:hAnsi="Calibri" w:cs="Calibri"/>
        </w:rPr>
        <w:t>Weaver</w:t>
      </w:r>
      <w:r>
        <w:rPr>
          <w:rFonts w:ascii="Calibri" w:hAnsi="Calibri" w:cs="Calibri"/>
        </w:rPr>
        <w:t>.</w:t>
      </w:r>
      <w:r w:rsidRPr="005A6F36">
        <w:rPr>
          <w:rFonts w:ascii="Calibri" w:hAnsi="Calibri" w:cs="Calibri"/>
        </w:rPr>
        <w:t xml:space="preserve"> 201</w:t>
      </w:r>
      <w:r>
        <w:rPr>
          <w:rFonts w:ascii="Calibri" w:hAnsi="Calibri" w:cs="Calibri"/>
        </w:rPr>
        <w:t>5: 214</w:t>
      </w:r>
      <w:r>
        <w:fldChar w:fldCharType="end"/>
      </w:r>
    </w:p>
  </w:footnote>
  <w:footnote w:id="14">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{"citationID":"ascu6k8rib","properties":{"formattedCitation":"(Sulosky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10743C">
        <w:rPr>
          <w:rFonts w:ascii="Calibri" w:hAnsi="Calibri" w:cs="Calibri"/>
        </w:rPr>
        <w:t>Weaver 2015</w:t>
      </w:r>
      <w:r>
        <w:rPr>
          <w:rFonts w:ascii="Calibri" w:hAnsi="Calibri" w:cs="Calibri"/>
        </w:rPr>
        <w:t>: 212</w:t>
      </w:r>
      <w:r>
        <w:fldChar w:fldCharType="end"/>
      </w:r>
    </w:p>
  </w:footnote>
  <w:footnote w:id="15">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{"citationID":"a1o37ivl2v0","properties":{"formattedCitation":"(Sulosky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3C1FE8">
        <w:rPr>
          <w:rFonts w:ascii="Calibri" w:hAnsi="Calibri" w:cs="Calibri"/>
        </w:rPr>
        <w:t>Weaver</w:t>
      </w:r>
      <w:r>
        <w:rPr>
          <w:rFonts w:ascii="Calibri" w:hAnsi="Calibri" w:cs="Calibri"/>
        </w:rPr>
        <w:t>.</w:t>
      </w:r>
      <w:r w:rsidRPr="003C1FE8">
        <w:rPr>
          <w:rFonts w:ascii="Calibri" w:hAnsi="Calibri" w:cs="Calibri"/>
        </w:rPr>
        <w:t xml:space="preserve"> 2015</w:t>
      </w:r>
      <w:r>
        <w:rPr>
          <w:rFonts w:ascii="Calibri" w:hAnsi="Calibri" w:cs="Calibri"/>
        </w:rPr>
        <w:t>: 212</w:t>
      </w:r>
      <w:r>
        <w:fldChar w:fldCharType="end"/>
      </w:r>
    </w:p>
  </w:footnote>
  <w:footnote w:id="16">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{"citationID":"ae0nfhsdmh","properties":{"formattedCitation":"(Sulosky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3C1FE8">
        <w:rPr>
          <w:rFonts w:ascii="Calibri" w:hAnsi="Calibri" w:cs="Calibri"/>
        </w:rPr>
        <w:t>Weaver</w:t>
      </w:r>
      <w:r>
        <w:rPr>
          <w:rFonts w:ascii="Calibri" w:hAnsi="Calibri" w:cs="Calibri"/>
        </w:rPr>
        <w:t>.</w:t>
      </w:r>
      <w:r w:rsidRPr="003C1FE8">
        <w:rPr>
          <w:rFonts w:ascii="Calibri" w:hAnsi="Calibri" w:cs="Calibri"/>
        </w:rPr>
        <w:t xml:space="preserve"> 2015</w:t>
      </w:r>
      <w:r>
        <w:rPr>
          <w:rFonts w:ascii="Calibri" w:hAnsi="Calibri" w:cs="Calibri"/>
        </w:rPr>
        <w:t>: 213</w:t>
      </w:r>
      <w:r>
        <w:fldChar w:fldCharType="end"/>
      </w:r>
    </w:p>
  </w:footnote>
  <w:footnote w:id="17">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{"citationID":"a1pojntimtu","properties":{"formattedCitation":"(Daniel. Ogden 2002)","plainCitation":"(Daniel. Ogden 2002)"},"citationItems":[{"id":143,"uris":["http://zotero.org/users/local/6UyN5u7d/items/SFRHEJN4"],"uri":["http://zotero.org/users/local/6UyN5u7d/items/SFRHEJN4"],"itemData":{"id":143,"type":"book","title":"Magic, witchcraft and ghosts in the Greek and Roman worlds: a sourcebook","publisher":"Oxford University Press","publisher-place":"Oxford","number-of-pages":"x+353","source":"librarycatalogue.uwtsd.ac.uk","event-place":"Oxford","ISBN":"978-0-19-513575-6","call-number":"133.430938 MAG","shortTitle":"Magic, witchcraft and ghosts in the Greek and Roman worlds","language":"eng","author":[{"literal":"Daniel. Ogden"}],"issued":{"date-parts":[["2002"]]}}}],"schema":"https://github.com/citation-style-language/schema/raw/master/csl-citation.json"} </w:instrText>
      </w:r>
      <w:r>
        <w:fldChar w:fldCharType="separate"/>
      </w:r>
      <w:r w:rsidRPr="00026E95">
        <w:rPr>
          <w:rFonts w:ascii="Calibri" w:hAnsi="Calibri" w:cs="Calibri"/>
        </w:rPr>
        <w:t>Ogden</w:t>
      </w:r>
      <w:r>
        <w:rPr>
          <w:rFonts w:ascii="Calibri" w:hAnsi="Calibri" w:cs="Calibri"/>
        </w:rPr>
        <w:t>.</w:t>
      </w:r>
      <w:r w:rsidRPr="00026E95">
        <w:rPr>
          <w:rFonts w:ascii="Calibri" w:hAnsi="Calibri" w:cs="Calibri"/>
        </w:rPr>
        <w:t xml:space="preserve"> 2002</w:t>
      </w:r>
      <w:r>
        <w:rPr>
          <w:rFonts w:ascii="Calibri" w:hAnsi="Calibri" w:cs="Calibri"/>
        </w:rPr>
        <w:t>: 146</w:t>
      </w:r>
      <w:r>
        <w:fldChar w:fldCharType="end"/>
      </w:r>
    </w:p>
  </w:footnote>
  <w:footnote w:id="18">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{"citationID":"a1stltitp2","properties":{"formattedCitation":"(Sulosky Weaver 2015)","plainCitation":"(Sulosky Weaver 2015)"},"citationItems":[{"id":140,"uris":["http://zotero.org/users/local/6UyN5u7d/items/Z25NXUDG"],"uri":["http://zotero.org/users/local/6UyN5u7d/items/Z25NXUDG"],"itemData":{"id":140,"type":"book","title":"Bioarchaeology of Classical Kamarina: Life and Death in Greek Sicily","publisher":"University Press of Florida","publisher-place":"Gainesville, UNITED STATES","source":"ProQuest Ebook Central","event-place":"Gainesville, UNITED STATES","URL":"http://ebookcentral.proquest.com/lib/trinity/detail.action?docID=2128266","ISBN":"978-0-8130-5554-1","shortTitle":"Bioarchaeology of Classical Kamarina","author":[{"family":"Sulosky Weaver","given":"Carrie L."}],"issued":{"date-parts":[["2015"]]},"accessed":{"date-parts":[["2018",1,19]]}}}],"schema":"https://github.com/citation-style-language/schema/raw/master/csl-citation.json"} </w:instrText>
      </w:r>
      <w:r>
        <w:fldChar w:fldCharType="separate"/>
      </w:r>
      <w:r w:rsidRPr="00026E95">
        <w:rPr>
          <w:rFonts w:ascii="Calibri" w:hAnsi="Calibri" w:cs="Calibri"/>
        </w:rPr>
        <w:t>Weaver</w:t>
      </w:r>
      <w:r>
        <w:rPr>
          <w:rFonts w:ascii="Calibri" w:hAnsi="Calibri" w:cs="Calibri"/>
        </w:rPr>
        <w:t>.</w:t>
      </w:r>
      <w:r w:rsidRPr="00026E95">
        <w:rPr>
          <w:rFonts w:ascii="Calibri" w:hAnsi="Calibri" w:cs="Calibri"/>
        </w:rPr>
        <w:t xml:space="preserve"> 2015</w:t>
      </w:r>
      <w:r>
        <w:fldChar w:fldCharType="end"/>
      </w:r>
      <w:r>
        <w:t>: 212</w:t>
      </w:r>
    </w:p>
  </w:footnote>
  <w:footnote w:id="19">
    <w:p w:rsidR="009C075F" w:rsidRDefault="009C075F" w:rsidP="009C075F">
      <w:pPr>
        <w:pStyle w:val="FootnoteText"/>
      </w:pPr>
      <w:r>
        <w:rPr>
          <w:rStyle w:val="FootnoteReference"/>
        </w:rPr>
        <w:footnoteRef/>
      </w:r>
      <w:r>
        <w:t xml:space="preserve"> </w:t>
      </w:r>
      <w:r>
        <w:fldChar w:fldCharType="begin"/>
      </w:r>
      <w:r>
        <w:instrText xml:space="preserve"> ADDIN ZOTERO_ITEM CSL_CITATION {"citationID":"ata2ouisf0","properties":{"formattedCitation":"(Daniel. Ogden 2002)","plainCitation":"(Daniel. Ogden 2002)"},"citationItems":[{"id":143,"uris":["http://zotero.org/users/local/6UyN5u7d/items/SFRHEJN4"],"uri":["http://zotero.org/users/local/6UyN5u7d/items/SFRHEJN4"],"itemData":{"id":143,"type":"book","title":"Magic, witchcraft and ghosts in the Greek and Roman worlds: a sourcebook","publisher":"Oxford University Press","publisher-place":"Oxford","number-of-pages":"x+353","source":"librarycatalogue.uwtsd.ac.uk","event-place":"Oxford","ISBN":"978-0-19-513575-6","call-number":"133.430938 MAG","shortTitle":"Magic, witchcraft and ghosts in the Greek and Roman worlds","language":"eng","author":[{"literal":"Daniel. Ogden"}],"issued":{"date-parts":[["2002"]]}}}],"schema":"https://github.com/citation-style-language/schema/raw/master/csl-citation.json"} </w:instrText>
      </w:r>
      <w:r>
        <w:fldChar w:fldCharType="separate"/>
      </w:r>
      <w:r w:rsidRPr="00026E95">
        <w:rPr>
          <w:rFonts w:ascii="Calibri" w:hAnsi="Calibri" w:cs="Calibri"/>
        </w:rPr>
        <w:t>Ogden 2002</w:t>
      </w:r>
      <w:r>
        <w:rPr>
          <w:rFonts w:ascii="Calibri" w:hAnsi="Calibri" w:cs="Calibri"/>
        </w:rPr>
        <w:t>: 146</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75F"/>
    <w:rsid w:val="00281682"/>
    <w:rsid w:val="00295714"/>
    <w:rsid w:val="007D1EAD"/>
    <w:rsid w:val="009C075F"/>
    <w:rsid w:val="00D451AD"/>
    <w:rsid w:val="00DA3A22"/>
    <w:rsid w:val="00FD2E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1A189"/>
  <w15:chartTrackingRefBased/>
  <w15:docId w15:val="{67930F6A-EC12-4BF6-8069-3CB939698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0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07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075F"/>
    <w:rPr>
      <w:sz w:val="20"/>
      <w:szCs w:val="20"/>
    </w:rPr>
  </w:style>
  <w:style w:type="character" w:styleId="FootnoteReference">
    <w:name w:val="footnote reference"/>
    <w:basedOn w:val="DefaultParagraphFont"/>
    <w:uiPriority w:val="99"/>
    <w:semiHidden/>
    <w:unhideWhenUsed/>
    <w:rsid w:val="009C075F"/>
    <w:rPr>
      <w:vertAlign w:val="superscript"/>
    </w:rPr>
  </w:style>
  <w:style w:type="paragraph" w:styleId="Bibliography">
    <w:name w:val="Bibliography"/>
    <w:basedOn w:val="Normal"/>
    <w:next w:val="Normal"/>
    <w:uiPriority w:val="37"/>
    <w:unhideWhenUsed/>
    <w:rsid w:val="009C075F"/>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1535</Words>
  <Characters>8753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Bell</dc:creator>
  <cp:keywords/>
  <dc:description/>
  <cp:lastModifiedBy>Jessica Bell</cp:lastModifiedBy>
  <cp:revision>2</cp:revision>
  <dcterms:created xsi:type="dcterms:W3CDTF">2018-01-19T16:45:00Z</dcterms:created>
  <dcterms:modified xsi:type="dcterms:W3CDTF">2018-01-19T16:47:00Z</dcterms:modified>
</cp:coreProperties>
</file>