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8AE54" w14:textId="6F224B2D" w:rsidR="00124439" w:rsidRPr="00124439" w:rsidRDefault="00124439" w:rsidP="00124439">
      <w:pPr>
        <w:pStyle w:val="Heading1"/>
        <w:rPr>
          <w:rFonts w:ascii="Arial" w:hAnsi="Arial" w:cs="Arial"/>
          <w:sz w:val="36"/>
          <w:szCs w:val="36"/>
        </w:rPr>
      </w:pPr>
      <w:r w:rsidRPr="00124439">
        <w:rPr>
          <w:rFonts w:ascii="Arial" w:hAnsi="Arial" w:cs="Arial"/>
          <w:sz w:val="36"/>
          <w:szCs w:val="36"/>
        </w:rPr>
        <w:t>BMDS7009 Programme, Project and Change Management in Health and Social Care</w:t>
      </w:r>
      <w:r w:rsidR="0025158B">
        <w:rPr>
          <w:rFonts w:ascii="Arial" w:hAnsi="Arial" w:cs="Arial"/>
          <w:sz w:val="36"/>
          <w:szCs w:val="36"/>
        </w:rPr>
        <w:t>- CW2</w:t>
      </w:r>
    </w:p>
    <w:p w14:paraId="7C7A648A" w14:textId="55A22F70" w:rsidR="00124439" w:rsidRPr="00124439" w:rsidRDefault="00124439" w:rsidP="00124439">
      <w:pPr>
        <w:spacing w:line="480" w:lineRule="auto"/>
        <w:rPr>
          <w:rFonts w:ascii="Arial" w:hAnsi="Arial" w:cs="Arial"/>
          <w:sz w:val="24"/>
          <w:szCs w:val="24"/>
        </w:rPr>
      </w:pPr>
      <w:r w:rsidRPr="00124439">
        <w:rPr>
          <w:rFonts w:ascii="Arial" w:hAnsi="Arial" w:cs="Arial"/>
          <w:sz w:val="24"/>
          <w:szCs w:val="24"/>
        </w:rPr>
        <w:t>“I confirm this essay is my own original work and does not include text created by a generative artificial intelligence tool”.</w:t>
      </w:r>
    </w:p>
    <w:p w14:paraId="24E26EC6" w14:textId="24EF7C48" w:rsidR="003403D4" w:rsidRPr="0059221B" w:rsidRDefault="003403D4" w:rsidP="0059221B">
      <w:pPr>
        <w:spacing w:before="100" w:beforeAutospacing="1" w:after="100" w:afterAutospacing="1" w:line="480" w:lineRule="auto"/>
        <w:rPr>
          <w:rFonts w:ascii="Arial" w:eastAsia="Times New Roman" w:hAnsi="Arial" w:cs="Arial"/>
          <w:b/>
          <w:bCs/>
          <w:sz w:val="28"/>
          <w:szCs w:val="28"/>
          <w:u w:val="single"/>
          <w:lang w:eastAsia="en-GB"/>
        </w:rPr>
      </w:pPr>
      <w:r w:rsidRPr="0059221B">
        <w:rPr>
          <w:rFonts w:ascii="Arial" w:eastAsia="Times New Roman" w:hAnsi="Arial" w:cs="Arial"/>
          <w:b/>
          <w:bCs/>
          <w:sz w:val="28"/>
          <w:szCs w:val="28"/>
          <w:u w:val="single"/>
          <w:lang w:eastAsia="en-GB"/>
        </w:rPr>
        <w:t>Introduction</w:t>
      </w:r>
    </w:p>
    <w:p w14:paraId="64AA52BD" w14:textId="560F9506" w:rsidR="003403D4" w:rsidRPr="003403D4" w:rsidRDefault="003403D4" w:rsidP="0059221B">
      <w:p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A</w:t>
      </w:r>
      <w:r w:rsidRPr="003403D4">
        <w:rPr>
          <w:rFonts w:ascii="Arial" w:eastAsia="Times New Roman" w:hAnsi="Arial" w:cs="Arial"/>
          <w:sz w:val="24"/>
          <w:szCs w:val="24"/>
          <w:lang w:eastAsia="en-GB"/>
        </w:rPr>
        <w:t>neurin Bevan University Health Board (ABUHB) provides acute, community and primary care across Gwent, with a strategic emphasis on delivering safe, high</w:t>
      </w:r>
      <w:r w:rsidRPr="003403D4">
        <w:rPr>
          <w:rFonts w:ascii="Arial" w:eastAsia="Times New Roman" w:hAnsi="Arial" w:cs="Arial"/>
          <w:sz w:val="24"/>
          <w:szCs w:val="24"/>
          <w:lang w:eastAsia="en-GB"/>
        </w:rPr>
        <w:noBreakHyphen/>
        <w:t>quality services as close to home as possible through its Clinical Futures programme</w:t>
      </w:r>
      <w:r w:rsidR="00DB009F" w:rsidRPr="0059221B">
        <w:rPr>
          <w:rFonts w:ascii="Arial" w:eastAsia="Times New Roman" w:hAnsi="Arial" w:cs="Arial"/>
          <w:sz w:val="24"/>
          <w:szCs w:val="24"/>
          <w:lang w:eastAsia="en-GB"/>
        </w:rPr>
        <w:t>,</w:t>
      </w:r>
      <w:r w:rsidRPr="003403D4">
        <w:rPr>
          <w:rFonts w:ascii="Arial" w:eastAsia="Times New Roman" w:hAnsi="Arial" w:cs="Arial"/>
          <w:sz w:val="24"/>
          <w:szCs w:val="24"/>
          <w:lang w:eastAsia="en-GB"/>
        </w:rPr>
        <w:t xml:space="preserve"> and related developments that reorganise care models to improve access and sustainability (Aneurin Bevan University Health Board, </w:t>
      </w:r>
      <w:r w:rsidR="00DB009F" w:rsidRPr="0059221B">
        <w:rPr>
          <w:rFonts w:ascii="Arial" w:eastAsia="Times New Roman" w:hAnsi="Arial" w:cs="Arial"/>
          <w:sz w:val="24"/>
          <w:szCs w:val="24"/>
          <w:lang w:eastAsia="en-GB"/>
        </w:rPr>
        <w:t>2020</w:t>
      </w:r>
      <w:r w:rsidRPr="003403D4">
        <w:rPr>
          <w:rFonts w:ascii="Arial" w:eastAsia="Times New Roman" w:hAnsi="Arial" w:cs="Arial"/>
          <w:sz w:val="24"/>
          <w:szCs w:val="24"/>
          <w:lang w:eastAsia="en-GB"/>
        </w:rPr>
        <w:t xml:space="preserve">). This strategic direction explicitly prioritises shifting appropriate care out of hospital settings and closer to patients’ communities, reshaping clinical pathways to address rising demand and complexity while maintaining service quality and equity (Aneurin Bevan University Health Board, </w:t>
      </w:r>
      <w:r w:rsidR="00DB009F" w:rsidRPr="0059221B">
        <w:rPr>
          <w:rFonts w:ascii="Arial" w:eastAsia="Times New Roman" w:hAnsi="Arial" w:cs="Arial"/>
          <w:sz w:val="24"/>
          <w:szCs w:val="24"/>
          <w:lang w:eastAsia="en-GB"/>
        </w:rPr>
        <w:t>2020</w:t>
      </w:r>
      <w:r w:rsidRPr="003403D4">
        <w:rPr>
          <w:rFonts w:ascii="Arial" w:eastAsia="Times New Roman" w:hAnsi="Arial" w:cs="Arial"/>
          <w:sz w:val="24"/>
          <w:szCs w:val="24"/>
          <w:lang w:eastAsia="en-GB"/>
        </w:rPr>
        <w:t>). Sleep</w:t>
      </w:r>
      <w:r w:rsidRPr="003403D4">
        <w:rPr>
          <w:rFonts w:ascii="Arial" w:eastAsia="Times New Roman" w:hAnsi="Arial" w:cs="Arial"/>
          <w:sz w:val="24"/>
          <w:szCs w:val="24"/>
          <w:lang w:eastAsia="en-GB"/>
        </w:rPr>
        <w:noBreakHyphen/>
        <w:t>disordered breathing (SDB), particularly obstructive sleep apnoea (OSA), imposes a significant clinical and operational burden on health systems, not only because of its association with cardiometabolic morbidity but also due to the throughput demands of diagnosis and treatment. In Wales, the policy environment has encouraged digital and community</w:t>
      </w:r>
      <w:r w:rsidRPr="003403D4">
        <w:rPr>
          <w:rFonts w:ascii="Arial" w:eastAsia="Times New Roman" w:hAnsi="Arial" w:cs="Arial"/>
          <w:sz w:val="24"/>
          <w:szCs w:val="24"/>
          <w:lang w:eastAsia="en-GB"/>
        </w:rPr>
        <w:noBreakHyphen/>
        <w:t xml:space="preserve">centred transformation for several years: </w:t>
      </w:r>
      <w:r w:rsidRPr="003403D4">
        <w:rPr>
          <w:rFonts w:ascii="Arial" w:eastAsia="Times New Roman" w:hAnsi="Arial" w:cs="Arial"/>
          <w:i/>
          <w:iCs/>
          <w:sz w:val="24"/>
          <w:szCs w:val="24"/>
          <w:lang w:eastAsia="en-GB"/>
        </w:rPr>
        <w:t>A Healthier Wales</w:t>
      </w:r>
      <w:r w:rsidRPr="003403D4">
        <w:rPr>
          <w:rFonts w:ascii="Arial" w:eastAsia="Times New Roman" w:hAnsi="Arial" w:cs="Arial"/>
          <w:sz w:val="24"/>
          <w:szCs w:val="24"/>
          <w:lang w:eastAsia="en-GB"/>
        </w:rPr>
        <w:t xml:space="preserve"> set a whole</w:t>
      </w:r>
      <w:r w:rsidRPr="003403D4">
        <w:rPr>
          <w:rFonts w:ascii="Arial" w:eastAsia="Times New Roman" w:hAnsi="Arial" w:cs="Arial"/>
          <w:sz w:val="24"/>
          <w:szCs w:val="24"/>
          <w:lang w:eastAsia="en-GB"/>
        </w:rPr>
        <w:noBreakHyphen/>
        <w:t>system vision for integrated, preventative, technology</w:t>
      </w:r>
      <w:r w:rsidRPr="003403D4">
        <w:rPr>
          <w:rFonts w:ascii="Arial" w:eastAsia="Times New Roman" w:hAnsi="Arial" w:cs="Arial"/>
          <w:sz w:val="24"/>
          <w:szCs w:val="24"/>
          <w:lang w:eastAsia="en-GB"/>
        </w:rPr>
        <w:noBreakHyphen/>
        <w:t>enabled health and social care, with an emphasis on seamless services and equitable outcomes (Welsh Government, 2018; updated 2025). This policy context legitimises local programmes that redesign diagnostics around digital tools, data, and user</w:t>
      </w:r>
      <w:r w:rsidRPr="003403D4">
        <w:rPr>
          <w:rFonts w:ascii="Arial" w:eastAsia="Times New Roman" w:hAnsi="Arial" w:cs="Arial"/>
          <w:sz w:val="24"/>
          <w:szCs w:val="24"/>
          <w:lang w:eastAsia="en-GB"/>
        </w:rPr>
        <w:noBreakHyphen/>
        <w:t>centred processes.</w:t>
      </w:r>
    </w:p>
    <w:p w14:paraId="75351990" w14:textId="4D1DC816" w:rsidR="003403D4" w:rsidRPr="003403D4" w:rsidRDefault="003403D4" w:rsidP="0059221B">
      <w:pPr>
        <w:spacing w:before="100" w:beforeAutospacing="1" w:after="100" w:afterAutospacing="1"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lastRenderedPageBreak/>
        <w:t xml:space="preserve">Within ABUHB’s Sleep Physiology service, home sleep apnoea testing (HSAT) is central to meeting rising demand. Contemporary evidence indicates that HSAT can reliably identify OSA in a large proportion of uncomplicated adults, with one 2023 analysis reporting that </w:t>
      </w:r>
      <w:r w:rsidR="00DB009F" w:rsidRPr="0059221B">
        <w:rPr>
          <w:rFonts w:ascii="Arial" w:eastAsia="Times New Roman" w:hAnsi="Arial" w:cs="Arial"/>
          <w:sz w:val="24"/>
          <w:szCs w:val="24"/>
          <w:lang w:eastAsia="en-GB"/>
        </w:rPr>
        <w:t>nearly</w:t>
      </w:r>
      <w:r w:rsidRPr="003403D4">
        <w:rPr>
          <w:rFonts w:ascii="Arial" w:eastAsia="Times New Roman" w:hAnsi="Arial" w:cs="Arial"/>
          <w:sz w:val="24"/>
          <w:szCs w:val="24"/>
          <w:lang w:eastAsia="en-GB"/>
        </w:rPr>
        <w:t xml:space="preserve"> four in five HSATs were positive for OSA and that a substantial subset could proceed directly to auto</w:t>
      </w:r>
      <w:r w:rsidRPr="003403D4">
        <w:rPr>
          <w:rFonts w:ascii="Arial" w:eastAsia="Times New Roman" w:hAnsi="Arial" w:cs="Arial"/>
          <w:sz w:val="24"/>
          <w:szCs w:val="24"/>
          <w:lang w:eastAsia="en-GB"/>
        </w:rPr>
        <w:noBreakHyphen/>
        <w:t>CPAP or titration, thereby easing pressure on limited in</w:t>
      </w:r>
      <w:r w:rsidRPr="003403D4">
        <w:rPr>
          <w:rFonts w:ascii="Arial" w:eastAsia="Times New Roman" w:hAnsi="Arial" w:cs="Arial"/>
          <w:sz w:val="24"/>
          <w:szCs w:val="24"/>
          <w:lang w:eastAsia="en-GB"/>
        </w:rPr>
        <w:noBreakHyphen/>
        <w:t>lab polysomnography (PSG) capacity (</w:t>
      </w:r>
      <w:proofErr w:type="spellStart"/>
      <w:r w:rsidRPr="003403D4">
        <w:rPr>
          <w:rFonts w:ascii="Arial" w:eastAsia="Times New Roman" w:hAnsi="Arial" w:cs="Arial"/>
          <w:sz w:val="24"/>
          <w:szCs w:val="24"/>
          <w:lang w:eastAsia="en-GB"/>
        </w:rPr>
        <w:t>Kholoane</w:t>
      </w:r>
      <w:proofErr w:type="spellEnd"/>
      <w:r w:rsidRPr="003403D4">
        <w:rPr>
          <w:rFonts w:ascii="Arial" w:eastAsia="Times New Roman" w:hAnsi="Arial" w:cs="Arial"/>
          <w:sz w:val="24"/>
          <w:szCs w:val="24"/>
          <w:lang w:eastAsia="en-GB"/>
        </w:rPr>
        <w:t xml:space="preserve"> et al., 2023). In parallel, the American Academy of Sleep Medicine (AASM) has continued to publish and consolidate guidance across sleep</w:t>
      </w:r>
      <w:r w:rsidRPr="003403D4">
        <w:rPr>
          <w:rFonts w:ascii="Arial" w:eastAsia="Times New Roman" w:hAnsi="Arial" w:cs="Arial"/>
          <w:sz w:val="24"/>
          <w:szCs w:val="24"/>
          <w:lang w:eastAsia="en-GB"/>
        </w:rPr>
        <w:noBreakHyphen/>
        <w:t>related breathing disorders, reinforcing the legitimacy of structured, standardised diagnostic and therapeutic practices that can be aligned with digital pathways (American Academy of Sleep Medicine, 2025). Yet despite this maturing evidence base, day</w:t>
      </w:r>
      <w:r w:rsidRPr="003403D4">
        <w:rPr>
          <w:rFonts w:ascii="Arial" w:eastAsia="Times New Roman" w:hAnsi="Arial" w:cs="Arial"/>
          <w:sz w:val="24"/>
          <w:szCs w:val="24"/>
          <w:lang w:eastAsia="en-GB"/>
        </w:rPr>
        <w:noBreakHyphen/>
        <w:t>to</w:t>
      </w:r>
      <w:r w:rsidRPr="003403D4">
        <w:rPr>
          <w:rFonts w:ascii="Arial" w:eastAsia="Times New Roman" w:hAnsi="Arial" w:cs="Arial"/>
          <w:sz w:val="24"/>
          <w:szCs w:val="24"/>
          <w:lang w:eastAsia="en-GB"/>
        </w:rPr>
        <w:noBreakHyphen/>
        <w:t>day operational inefficiencies remain common in local pathways: paper pre</w:t>
      </w:r>
      <w:r w:rsidRPr="003403D4">
        <w:rPr>
          <w:rFonts w:ascii="Arial" w:eastAsia="Times New Roman" w:hAnsi="Arial" w:cs="Arial"/>
          <w:sz w:val="24"/>
          <w:szCs w:val="24"/>
          <w:lang w:eastAsia="en-GB"/>
        </w:rPr>
        <w:noBreakHyphen/>
        <w:t>assessment forms require manual transcription; device data are often retrieved via SD card/USB; patient setup instructions may be inconsistent; and reporting formats can vary between clinicians. These issues contribute to longer turnaround times, workflow variability, and additional patient contacts</w:t>
      </w:r>
      <w:r w:rsidR="00DB009F" w:rsidRPr="0059221B">
        <w:rPr>
          <w:rFonts w:ascii="Arial" w:eastAsia="Times New Roman" w:hAnsi="Arial" w:cs="Arial"/>
          <w:sz w:val="24"/>
          <w:szCs w:val="24"/>
          <w:lang w:eastAsia="en-GB"/>
        </w:rPr>
        <w:t xml:space="preserve"> which are </w:t>
      </w:r>
      <w:r w:rsidRPr="003403D4">
        <w:rPr>
          <w:rFonts w:ascii="Arial" w:eastAsia="Times New Roman" w:hAnsi="Arial" w:cs="Arial"/>
          <w:sz w:val="24"/>
          <w:szCs w:val="24"/>
          <w:lang w:eastAsia="en-GB"/>
        </w:rPr>
        <w:t>precisely the inefficiencies that digital redesign aims to eliminate.</w:t>
      </w:r>
      <w:r w:rsidRPr="0059221B">
        <w:rPr>
          <w:rFonts w:ascii="Arial" w:eastAsia="Times New Roman" w:hAnsi="Arial" w:cs="Arial"/>
          <w:sz w:val="24"/>
          <w:szCs w:val="24"/>
          <w:lang w:eastAsia="en-GB"/>
        </w:rPr>
        <w:t xml:space="preserve"> </w:t>
      </w:r>
    </w:p>
    <w:p w14:paraId="1122A1A7" w14:textId="061BE512" w:rsidR="003403D4" w:rsidRPr="003403D4" w:rsidRDefault="003403D4" w:rsidP="0059221B">
      <w:pPr>
        <w:spacing w:before="100" w:beforeAutospacing="1" w:after="100" w:afterAutospacing="1"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Recent advances in digital sleep medicine substantiate the opportunity for transformation. On the diagnostic front, smartphone</w:t>
      </w:r>
      <w:r w:rsidRPr="003403D4">
        <w:rPr>
          <w:rFonts w:ascii="Arial" w:eastAsia="Times New Roman" w:hAnsi="Arial" w:cs="Arial"/>
          <w:sz w:val="24"/>
          <w:szCs w:val="24"/>
          <w:lang w:eastAsia="en-GB"/>
        </w:rPr>
        <w:noBreakHyphen/>
        <w:t>based models that analyse nocturnal breathing sounds using deep learning have demonstrated high accuracy compared with concurrent home PSG, evidencing the feasibility of low</w:t>
      </w:r>
      <w:r w:rsidRPr="003403D4">
        <w:rPr>
          <w:rFonts w:ascii="Arial" w:eastAsia="Times New Roman" w:hAnsi="Arial" w:cs="Arial"/>
          <w:sz w:val="24"/>
          <w:szCs w:val="24"/>
          <w:lang w:eastAsia="en-GB"/>
        </w:rPr>
        <w:noBreakHyphen/>
        <w:t>touch, digitally supported screening and triage (Han et al., 2024). A parallel line of innovation has focused on device design and connectivity: newer HSAT and home PSG systems</w:t>
      </w:r>
      <w:r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including wireless platforms such as NOX</w:t>
      </w:r>
      <w:r w:rsidRPr="003403D4">
        <w:rPr>
          <w:rFonts w:ascii="Arial" w:eastAsia="Times New Roman" w:hAnsi="Arial" w:cs="Arial"/>
          <w:sz w:val="24"/>
          <w:szCs w:val="24"/>
          <w:lang w:eastAsia="en-GB"/>
        </w:rPr>
        <w:noBreakHyphen/>
        <w:t xml:space="preserve">T3s and the </w:t>
      </w:r>
      <w:proofErr w:type="spellStart"/>
      <w:r w:rsidRPr="003403D4">
        <w:rPr>
          <w:rFonts w:ascii="Arial" w:eastAsia="Times New Roman" w:hAnsi="Arial" w:cs="Arial"/>
          <w:sz w:val="24"/>
          <w:szCs w:val="24"/>
          <w:lang w:eastAsia="en-GB"/>
        </w:rPr>
        <w:t>Onera</w:t>
      </w:r>
      <w:proofErr w:type="spellEnd"/>
      <w:r w:rsidRPr="003403D4">
        <w:rPr>
          <w:rFonts w:ascii="Arial" w:eastAsia="Times New Roman" w:hAnsi="Arial" w:cs="Arial"/>
          <w:sz w:val="24"/>
          <w:szCs w:val="24"/>
          <w:lang w:eastAsia="en-GB"/>
        </w:rPr>
        <w:t xml:space="preserve"> patch</w:t>
      </w:r>
      <w:r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have simplified self</w:t>
      </w:r>
      <w:r w:rsidRPr="003403D4">
        <w:rPr>
          <w:rFonts w:ascii="Arial" w:eastAsia="Times New Roman" w:hAnsi="Arial" w:cs="Arial"/>
          <w:sz w:val="24"/>
          <w:szCs w:val="24"/>
          <w:lang w:eastAsia="en-GB"/>
        </w:rPr>
        <w:noBreakHyphen/>
        <w:t xml:space="preserve">application, reduced setup time, and enabled direct cloud upload </w:t>
      </w:r>
      <w:r w:rsidRPr="003403D4">
        <w:rPr>
          <w:rFonts w:ascii="Arial" w:eastAsia="Times New Roman" w:hAnsi="Arial" w:cs="Arial"/>
          <w:sz w:val="24"/>
          <w:szCs w:val="24"/>
          <w:lang w:eastAsia="en-GB"/>
        </w:rPr>
        <w:lastRenderedPageBreak/>
        <w:t>of physiological data, which collectively improve data completeness and shorten downstream reporting intervals (</w:t>
      </w:r>
      <w:proofErr w:type="spellStart"/>
      <w:r w:rsidRPr="003403D4">
        <w:rPr>
          <w:rFonts w:ascii="Arial" w:eastAsia="Times New Roman" w:hAnsi="Arial" w:cs="Arial"/>
          <w:sz w:val="24"/>
          <w:szCs w:val="24"/>
          <w:lang w:eastAsia="en-GB"/>
        </w:rPr>
        <w:t>Taweesedt</w:t>
      </w:r>
      <w:proofErr w:type="spellEnd"/>
      <w:r w:rsidRPr="003403D4">
        <w:rPr>
          <w:rFonts w:ascii="Arial" w:eastAsia="Times New Roman" w:hAnsi="Arial" w:cs="Arial"/>
          <w:sz w:val="24"/>
          <w:szCs w:val="24"/>
          <w:lang w:eastAsia="en-GB"/>
        </w:rPr>
        <w:t xml:space="preserve">, 2025). </w:t>
      </w:r>
    </w:p>
    <w:p w14:paraId="3655553E" w14:textId="77777777" w:rsidR="003403D4" w:rsidRPr="0059221B" w:rsidRDefault="003403D4" w:rsidP="0059221B">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At the same time, systematic reviews show that machine</w:t>
      </w:r>
      <w:r w:rsidRPr="003403D4">
        <w:rPr>
          <w:rFonts w:ascii="Arial" w:eastAsia="Times New Roman" w:hAnsi="Arial" w:cs="Arial"/>
          <w:sz w:val="24"/>
          <w:szCs w:val="24"/>
          <w:lang w:eastAsia="en-GB"/>
        </w:rPr>
        <w:noBreakHyphen/>
        <w:t>learning models trained on anthropometric, oximetry and respiratory features can match or outperform traditional screening tools, opening the door to automated triage, risk stratification and eventually AI</w:t>
      </w:r>
      <w:r w:rsidRPr="003403D4">
        <w:rPr>
          <w:rFonts w:ascii="Arial" w:eastAsia="Times New Roman" w:hAnsi="Arial" w:cs="Arial"/>
          <w:sz w:val="24"/>
          <w:szCs w:val="24"/>
          <w:lang w:eastAsia="en-GB"/>
        </w:rPr>
        <w:noBreakHyphen/>
        <w:t>assisted scoring within clinical workflows (Giorgi et al., 2025).</w:t>
      </w:r>
    </w:p>
    <w:p w14:paraId="59BAF3BA" w14:textId="77777777" w:rsidR="003D65E7" w:rsidRPr="0059221B" w:rsidRDefault="003403D4" w:rsidP="0059221B">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 xml:space="preserve"> </w:t>
      </w:r>
    </w:p>
    <w:p w14:paraId="62803D3E" w14:textId="14609EDB" w:rsidR="00D04910" w:rsidRPr="0059221B" w:rsidRDefault="003403D4" w:rsidP="0059221B">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The business</w:t>
      </w:r>
      <w:r w:rsidRPr="003403D4">
        <w:rPr>
          <w:rFonts w:ascii="Arial" w:eastAsia="Times New Roman" w:hAnsi="Arial" w:cs="Arial"/>
          <w:b/>
          <w:bCs/>
          <w:sz w:val="24"/>
          <w:szCs w:val="24"/>
          <w:lang w:eastAsia="en-GB"/>
        </w:rPr>
        <w:t xml:space="preserve"> </w:t>
      </w:r>
      <w:r w:rsidRPr="003403D4">
        <w:rPr>
          <w:rFonts w:ascii="Arial" w:eastAsia="Times New Roman" w:hAnsi="Arial" w:cs="Arial"/>
          <w:sz w:val="24"/>
          <w:szCs w:val="24"/>
          <w:lang w:eastAsia="en-GB"/>
        </w:rPr>
        <w:t>problem for ABUHB is that its current SDB diagnostic pathway</w:t>
      </w:r>
      <w:r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although clinically effective</w:t>
      </w:r>
      <w:r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relies on fragmented, manual processes that create avoidable delay, variation and administrative burden. These include paper pre</w:t>
      </w:r>
      <w:r w:rsidRPr="003403D4">
        <w:rPr>
          <w:rFonts w:ascii="Arial" w:eastAsia="Times New Roman" w:hAnsi="Arial" w:cs="Arial"/>
          <w:sz w:val="24"/>
          <w:szCs w:val="24"/>
          <w:lang w:eastAsia="en-GB"/>
        </w:rPr>
        <w:noBreakHyphen/>
        <w:t>assessment workflows, non</w:t>
      </w:r>
      <w:r w:rsidRPr="003403D4">
        <w:rPr>
          <w:rFonts w:ascii="Arial" w:eastAsia="Times New Roman" w:hAnsi="Arial" w:cs="Arial"/>
          <w:sz w:val="24"/>
          <w:szCs w:val="24"/>
          <w:lang w:eastAsia="en-GB"/>
        </w:rPr>
        <w:noBreakHyphen/>
        <w:t xml:space="preserve">standardised digital patient education, manual transfer of device data, and </w:t>
      </w:r>
      <w:r w:rsidR="00D04910" w:rsidRPr="0059221B">
        <w:rPr>
          <w:rFonts w:ascii="Arial" w:eastAsia="Times New Roman" w:hAnsi="Arial" w:cs="Arial"/>
          <w:sz w:val="24"/>
          <w:szCs w:val="24"/>
          <w:lang w:eastAsia="en-GB"/>
        </w:rPr>
        <w:t>array</w:t>
      </w:r>
      <w:r w:rsidRPr="003403D4">
        <w:rPr>
          <w:rFonts w:ascii="Arial" w:eastAsia="Times New Roman" w:hAnsi="Arial" w:cs="Arial"/>
          <w:sz w:val="24"/>
          <w:szCs w:val="24"/>
          <w:lang w:eastAsia="en-GB"/>
        </w:rPr>
        <w:t xml:space="preserve"> in reporting outputs. Against a background of growing referrals and service pressures, these inefficiencies adversely affect throughput, staff experience and patient satisfaction. The opportunity is therefore to implement a digitally integrated pathway that</w:t>
      </w:r>
    </w:p>
    <w:p w14:paraId="58B47844" w14:textId="77777777" w:rsidR="00D04910" w:rsidRPr="0059221B" w:rsidRDefault="003403D4" w:rsidP="0059221B">
      <w:pPr>
        <w:pStyle w:val="ListParagraph"/>
        <w:numPr>
          <w:ilvl w:val="0"/>
          <w:numId w:val="4"/>
        </w:num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captures structured pre</w:t>
      </w:r>
      <w:r w:rsidRPr="0059221B">
        <w:rPr>
          <w:rFonts w:ascii="Arial" w:eastAsia="Times New Roman" w:hAnsi="Arial" w:cs="Arial"/>
          <w:sz w:val="24"/>
          <w:szCs w:val="24"/>
          <w:lang w:eastAsia="en-GB"/>
        </w:rPr>
        <w:noBreakHyphen/>
        <w:t>assessment data through web forms with automated scoring</w:t>
      </w:r>
    </w:p>
    <w:p w14:paraId="0DEFF6A9" w14:textId="153F6CED" w:rsidR="00D04910" w:rsidRPr="0059221B" w:rsidRDefault="003403D4" w:rsidP="0059221B">
      <w:pPr>
        <w:pStyle w:val="ListParagraph"/>
        <w:numPr>
          <w:ilvl w:val="0"/>
          <w:numId w:val="4"/>
        </w:num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triag</w:t>
      </w:r>
      <w:r w:rsidR="00D04910" w:rsidRPr="0059221B">
        <w:rPr>
          <w:rFonts w:ascii="Arial" w:eastAsia="Times New Roman" w:hAnsi="Arial" w:cs="Arial"/>
          <w:sz w:val="24"/>
          <w:szCs w:val="24"/>
          <w:lang w:eastAsia="en-GB"/>
        </w:rPr>
        <w:t>ing</w:t>
      </w:r>
      <w:r w:rsidRPr="0059221B">
        <w:rPr>
          <w:rFonts w:ascii="Arial" w:eastAsia="Times New Roman" w:hAnsi="Arial" w:cs="Arial"/>
          <w:sz w:val="24"/>
          <w:szCs w:val="24"/>
          <w:lang w:eastAsia="en-GB"/>
        </w:rPr>
        <w:t xml:space="preserve"> patients using </w:t>
      </w:r>
      <w:r w:rsidR="00D04910" w:rsidRPr="0059221B">
        <w:rPr>
          <w:rFonts w:ascii="Arial" w:eastAsia="Times New Roman" w:hAnsi="Arial" w:cs="Arial"/>
          <w:sz w:val="24"/>
          <w:szCs w:val="24"/>
          <w:lang w:eastAsia="en-GB"/>
        </w:rPr>
        <w:t>evidence</w:t>
      </w:r>
      <w:r w:rsidRPr="0059221B">
        <w:rPr>
          <w:rFonts w:ascii="Arial" w:eastAsia="Times New Roman" w:hAnsi="Arial" w:cs="Arial"/>
          <w:sz w:val="24"/>
          <w:szCs w:val="24"/>
          <w:lang w:eastAsia="en-GB"/>
        </w:rPr>
        <w:noBreakHyphen/>
        <w:t>based rule</w:t>
      </w:r>
      <w:r w:rsidRPr="0059221B">
        <w:rPr>
          <w:rFonts w:ascii="Arial" w:eastAsia="Times New Roman" w:hAnsi="Arial" w:cs="Arial"/>
          <w:sz w:val="24"/>
          <w:szCs w:val="24"/>
          <w:lang w:eastAsia="en-GB"/>
        </w:rPr>
        <w:noBreakHyphen/>
        <w:t xml:space="preserve">set that can </w:t>
      </w:r>
      <w:r w:rsidR="00D04910" w:rsidRPr="0059221B">
        <w:rPr>
          <w:rFonts w:ascii="Arial" w:eastAsia="Times New Roman" w:hAnsi="Arial" w:cs="Arial"/>
          <w:sz w:val="24"/>
          <w:szCs w:val="24"/>
          <w:lang w:eastAsia="en-GB"/>
        </w:rPr>
        <w:t xml:space="preserve">eventually </w:t>
      </w:r>
      <w:r w:rsidRPr="0059221B">
        <w:rPr>
          <w:rFonts w:ascii="Arial" w:eastAsia="Times New Roman" w:hAnsi="Arial" w:cs="Arial"/>
          <w:sz w:val="24"/>
          <w:szCs w:val="24"/>
          <w:lang w:eastAsia="en-GB"/>
        </w:rPr>
        <w:t>evolve toward AI</w:t>
      </w:r>
      <w:r w:rsidRPr="0059221B">
        <w:rPr>
          <w:rFonts w:ascii="Arial" w:eastAsia="Times New Roman" w:hAnsi="Arial" w:cs="Arial"/>
          <w:sz w:val="24"/>
          <w:szCs w:val="24"/>
          <w:lang w:eastAsia="en-GB"/>
        </w:rPr>
        <w:noBreakHyphen/>
        <w:t>assisted risk models</w:t>
      </w:r>
    </w:p>
    <w:p w14:paraId="60DF147E" w14:textId="77777777" w:rsidR="00D04910" w:rsidRPr="0059221B" w:rsidRDefault="003403D4" w:rsidP="0059221B">
      <w:pPr>
        <w:pStyle w:val="ListParagraph"/>
        <w:numPr>
          <w:ilvl w:val="0"/>
          <w:numId w:val="4"/>
        </w:num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stream</w:t>
      </w:r>
      <w:r w:rsidR="00D04910" w:rsidRPr="0059221B">
        <w:rPr>
          <w:rFonts w:ascii="Arial" w:eastAsia="Times New Roman" w:hAnsi="Arial" w:cs="Arial"/>
          <w:sz w:val="24"/>
          <w:szCs w:val="24"/>
          <w:lang w:eastAsia="en-GB"/>
        </w:rPr>
        <w:t>ing</w:t>
      </w:r>
      <w:r w:rsidRPr="0059221B">
        <w:rPr>
          <w:rFonts w:ascii="Arial" w:eastAsia="Times New Roman" w:hAnsi="Arial" w:cs="Arial"/>
          <w:sz w:val="24"/>
          <w:szCs w:val="24"/>
          <w:lang w:eastAsia="en-GB"/>
        </w:rPr>
        <w:t xml:space="preserve"> device data securely to the clinical record without manual media handling</w:t>
      </w:r>
    </w:p>
    <w:p w14:paraId="4A4F4C19" w14:textId="77777777" w:rsidR="00D04910" w:rsidRPr="0059221B" w:rsidRDefault="003403D4" w:rsidP="0059221B">
      <w:pPr>
        <w:pStyle w:val="ListParagraph"/>
        <w:numPr>
          <w:ilvl w:val="0"/>
          <w:numId w:val="4"/>
        </w:num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standardises patient education via video</w:t>
      </w:r>
      <w:r w:rsidRPr="0059221B">
        <w:rPr>
          <w:rFonts w:ascii="Arial" w:eastAsia="Times New Roman" w:hAnsi="Arial" w:cs="Arial"/>
          <w:sz w:val="24"/>
          <w:szCs w:val="24"/>
          <w:lang w:eastAsia="en-GB"/>
        </w:rPr>
        <w:noBreakHyphen/>
        <w:t>rich digital materials</w:t>
      </w:r>
    </w:p>
    <w:p w14:paraId="6F467723" w14:textId="77777777" w:rsidR="00D04910" w:rsidRPr="0059221B" w:rsidRDefault="00D04910" w:rsidP="0059221B">
      <w:pPr>
        <w:pStyle w:val="ListParagraph"/>
        <w:numPr>
          <w:ilvl w:val="0"/>
          <w:numId w:val="4"/>
        </w:num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and,</w:t>
      </w:r>
      <w:r w:rsidR="003403D4" w:rsidRPr="0059221B">
        <w:rPr>
          <w:rFonts w:ascii="Arial" w:eastAsia="Times New Roman" w:hAnsi="Arial" w:cs="Arial"/>
          <w:sz w:val="24"/>
          <w:szCs w:val="24"/>
          <w:lang w:eastAsia="en-GB"/>
        </w:rPr>
        <w:t xml:space="preserve"> embeds structured reporting templates with consistent, guideline</w:t>
      </w:r>
      <w:r w:rsidR="003403D4" w:rsidRPr="0059221B">
        <w:rPr>
          <w:rFonts w:ascii="Arial" w:eastAsia="Times New Roman" w:hAnsi="Arial" w:cs="Arial"/>
          <w:sz w:val="24"/>
          <w:szCs w:val="24"/>
          <w:lang w:eastAsia="en-GB"/>
        </w:rPr>
        <w:noBreakHyphen/>
        <w:t>concordant terminology.</w:t>
      </w:r>
    </w:p>
    <w:p w14:paraId="41E5223F" w14:textId="77777777" w:rsidR="00D04910" w:rsidRPr="0059221B" w:rsidRDefault="003403D4" w:rsidP="0059221B">
      <w:p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lastRenderedPageBreak/>
        <w:t xml:space="preserve">This approach aligns with the national policy intent of </w:t>
      </w:r>
      <w:r w:rsidRPr="0059221B">
        <w:rPr>
          <w:rFonts w:ascii="Arial" w:eastAsia="Times New Roman" w:hAnsi="Arial" w:cs="Arial"/>
          <w:i/>
          <w:iCs/>
          <w:sz w:val="24"/>
          <w:szCs w:val="24"/>
          <w:lang w:eastAsia="en-GB"/>
        </w:rPr>
        <w:t>A Healthier Wales</w:t>
      </w:r>
      <w:r w:rsidR="00DB009F" w:rsidRPr="0059221B">
        <w:rPr>
          <w:rFonts w:ascii="Arial" w:eastAsia="Times New Roman" w:hAnsi="Arial" w:cs="Arial"/>
          <w:sz w:val="24"/>
          <w:szCs w:val="24"/>
          <w:lang w:eastAsia="en-GB"/>
        </w:rPr>
        <w:t xml:space="preserve"> </w:t>
      </w:r>
      <w:r w:rsidRPr="0059221B">
        <w:rPr>
          <w:rFonts w:ascii="Arial" w:eastAsia="Times New Roman" w:hAnsi="Arial" w:cs="Arial"/>
          <w:sz w:val="24"/>
          <w:szCs w:val="24"/>
          <w:lang w:eastAsia="en-GB"/>
        </w:rPr>
        <w:t>namely a whole</w:t>
      </w:r>
      <w:r w:rsidRPr="0059221B">
        <w:rPr>
          <w:rFonts w:ascii="Arial" w:eastAsia="Times New Roman" w:hAnsi="Arial" w:cs="Arial"/>
          <w:sz w:val="24"/>
          <w:szCs w:val="24"/>
          <w:lang w:eastAsia="en-GB"/>
        </w:rPr>
        <w:noBreakHyphen/>
        <w:t>system, data</w:t>
      </w:r>
      <w:r w:rsidRPr="0059221B">
        <w:rPr>
          <w:rFonts w:ascii="Arial" w:eastAsia="Times New Roman" w:hAnsi="Arial" w:cs="Arial"/>
          <w:sz w:val="24"/>
          <w:szCs w:val="24"/>
          <w:lang w:eastAsia="en-GB"/>
        </w:rPr>
        <w:noBreakHyphen/>
        <w:t>enabled, preventative model</w:t>
      </w:r>
      <w:r w:rsidR="00DB009F" w:rsidRPr="0059221B">
        <w:rPr>
          <w:rFonts w:ascii="Arial" w:eastAsia="Times New Roman" w:hAnsi="Arial" w:cs="Arial"/>
          <w:sz w:val="24"/>
          <w:szCs w:val="24"/>
          <w:lang w:eastAsia="en-GB"/>
        </w:rPr>
        <w:t xml:space="preserve"> </w:t>
      </w:r>
      <w:r w:rsidRPr="0059221B">
        <w:rPr>
          <w:rFonts w:ascii="Arial" w:eastAsia="Times New Roman" w:hAnsi="Arial" w:cs="Arial"/>
          <w:sz w:val="24"/>
          <w:szCs w:val="24"/>
          <w:lang w:eastAsia="en-GB"/>
        </w:rPr>
        <w:t>and with ABUHB’s Clinical Futures aim to deliver more care closer to home while safeguarding quality and sustainability (Welsh Government, 2018; updated 2025</w:t>
      </w:r>
      <w:r w:rsidR="00D04910" w:rsidRPr="0059221B">
        <w:rPr>
          <w:rFonts w:ascii="Arial" w:eastAsia="Times New Roman" w:hAnsi="Arial" w:cs="Arial"/>
          <w:sz w:val="24"/>
          <w:szCs w:val="24"/>
          <w:lang w:eastAsia="en-GB"/>
        </w:rPr>
        <w:t>), (</w:t>
      </w:r>
      <w:r w:rsidRPr="0059221B">
        <w:rPr>
          <w:rFonts w:ascii="Arial" w:eastAsia="Times New Roman" w:hAnsi="Arial" w:cs="Arial"/>
          <w:sz w:val="24"/>
          <w:szCs w:val="24"/>
          <w:lang w:eastAsia="en-GB"/>
        </w:rPr>
        <w:t xml:space="preserve">Aneurin Bevan University Health Board, </w:t>
      </w:r>
      <w:r w:rsidR="00DB009F" w:rsidRPr="0059221B">
        <w:rPr>
          <w:rFonts w:ascii="Arial" w:eastAsia="Times New Roman" w:hAnsi="Arial" w:cs="Arial"/>
          <w:sz w:val="24"/>
          <w:szCs w:val="24"/>
          <w:lang w:eastAsia="en-GB"/>
        </w:rPr>
        <w:t>2023</w:t>
      </w:r>
      <w:r w:rsidRPr="0059221B">
        <w:rPr>
          <w:rFonts w:ascii="Arial" w:eastAsia="Times New Roman" w:hAnsi="Arial" w:cs="Arial"/>
          <w:sz w:val="24"/>
          <w:szCs w:val="24"/>
          <w:lang w:eastAsia="en-GB"/>
        </w:rPr>
        <w:t>).</w:t>
      </w:r>
    </w:p>
    <w:p w14:paraId="398E5C9D" w14:textId="77777777" w:rsidR="0059221B" w:rsidRDefault="003403D4" w:rsidP="0059221B">
      <w:pPr>
        <w:spacing w:before="100" w:beforeAutospacing="1" w:after="100" w:afterAutospacing="1"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The aim of the project is to reduce diagnostic turnaround time, improve data quality and completeness, enhance patient experience, and support workforce efficiency across the Sleep Physiology service through a coherent digital redesign. The scope includes pre</w:t>
      </w:r>
      <w:r w:rsidRPr="0059221B">
        <w:rPr>
          <w:rFonts w:ascii="Arial" w:eastAsia="Times New Roman" w:hAnsi="Arial" w:cs="Arial"/>
          <w:sz w:val="24"/>
          <w:szCs w:val="24"/>
          <w:lang w:eastAsia="en-GB"/>
        </w:rPr>
        <w:noBreakHyphen/>
        <w:t>assessment, triage, device preparation and return, data ingestion, reporting and results communication; it excludes major device procurement beyond interoperability needs, and CPAP therapeutic pathway redesign at this stage.</w:t>
      </w:r>
    </w:p>
    <w:p w14:paraId="1113DF1A" w14:textId="01807ED5" w:rsidR="003403D4" w:rsidRPr="0059221B" w:rsidRDefault="003403D4" w:rsidP="0059221B">
      <w:pPr>
        <w:spacing w:before="100" w:beforeAutospacing="1" w:after="100" w:afterAutospacing="1" w:line="480" w:lineRule="auto"/>
        <w:rPr>
          <w:rFonts w:ascii="Arial" w:eastAsia="Times New Roman" w:hAnsi="Arial" w:cs="Arial"/>
          <w:b/>
          <w:bCs/>
          <w:sz w:val="28"/>
          <w:szCs w:val="28"/>
          <w:u w:val="single"/>
          <w:lang w:eastAsia="en-GB"/>
        </w:rPr>
      </w:pPr>
      <w:r w:rsidRPr="0059221B">
        <w:rPr>
          <w:rFonts w:ascii="Arial" w:hAnsi="Arial" w:cs="Arial"/>
          <w:b/>
          <w:bCs/>
          <w:sz w:val="28"/>
          <w:szCs w:val="28"/>
          <w:u w:val="single"/>
        </w:rPr>
        <w:t>Methods</w:t>
      </w:r>
    </w:p>
    <w:p w14:paraId="6475ACF7" w14:textId="307EF1ED" w:rsidR="003403D4" w:rsidRPr="0059221B" w:rsidRDefault="003403D4" w:rsidP="0059221B">
      <w:pPr>
        <w:spacing w:before="100" w:beforeAutospacing="1" w:after="100" w:afterAutospacing="1"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The intervention comprises an integrated set of workflow changes.</w:t>
      </w:r>
    </w:p>
    <w:p w14:paraId="1CFD1242" w14:textId="310D40A4" w:rsidR="003403D4" w:rsidRPr="003403D4" w:rsidRDefault="003403D4" w:rsidP="0059221B">
      <w:pPr>
        <w:spacing w:before="100" w:beforeAutospacing="1" w:after="100" w:afterAutospacing="1"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First, a secure digital pre</w:t>
      </w:r>
      <w:r w:rsidRPr="003403D4">
        <w:rPr>
          <w:rFonts w:ascii="Arial" w:eastAsia="Times New Roman" w:hAnsi="Arial" w:cs="Arial"/>
          <w:sz w:val="24"/>
          <w:szCs w:val="24"/>
          <w:lang w:eastAsia="en-GB"/>
        </w:rPr>
        <w:noBreakHyphen/>
        <w:t>assessment will be issued at referral, capturing the Epworth Sleepiness Scale, STOP</w:t>
      </w:r>
      <w:r w:rsidRPr="003403D4">
        <w:rPr>
          <w:rFonts w:ascii="Arial" w:eastAsia="Times New Roman" w:hAnsi="Arial" w:cs="Arial"/>
          <w:sz w:val="24"/>
          <w:szCs w:val="24"/>
          <w:lang w:eastAsia="en-GB"/>
        </w:rPr>
        <w:noBreakHyphen/>
        <w:t>BANG, comorbidities, medications, occupational factors and sleep patterns, with automated completeness checks and real</w:t>
      </w:r>
      <w:r w:rsidRPr="003403D4">
        <w:rPr>
          <w:rFonts w:ascii="Arial" w:eastAsia="Times New Roman" w:hAnsi="Arial" w:cs="Arial"/>
          <w:sz w:val="24"/>
          <w:szCs w:val="24"/>
          <w:lang w:eastAsia="en-GB"/>
        </w:rPr>
        <w:noBreakHyphen/>
        <w:t>time risk scoring. Structured digital capture reduces transcription error, supports early identification of missing fields, and feeds triage without duplication. Evidence from AI</w:t>
      </w:r>
      <w:r w:rsidRPr="003403D4">
        <w:rPr>
          <w:rFonts w:ascii="Arial" w:eastAsia="Times New Roman" w:hAnsi="Arial" w:cs="Arial"/>
          <w:sz w:val="24"/>
          <w:szCs w:val="24"/>
          <w:lang w:eastAsia="en-GB"/>
        </w:rPr>
        <w:noBreakHyphen/>
        <w:t>enabled OSA screening indicates that such structured inputs form high</w:t>
      </w:r>
      <w:r w:rsidRPr="003403D4">
        <w:rPr>
          <w:rFonts w:ascii="Arial" w:eastAsia="Times New Roman" w:hAnsi="Arial" w:cs="Arial"/>
          <w:sz w:val="24"/>
          <w:szCs w:val="24"/>
          <w:lang w:eastAsia="en-GB"/>
        </w:rPr>
        <w:noBreakHyphen/>
        <w:t xml:space="preserve">value features for predictive models, strengthening triage accuracy as datasets accumulate (Giorgi et al., 2025). </w:t>
      </w:r>
    </w:p>
    <w:p w14:paraId="53D6EF85" w14:textId="5EE186B0" w:rsidR="003403D4" w:rsidRPr="003403D4" w:rsidRDefault="003403D4" w:rsidP="0059221B">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 xml:space="preserve">Second, an automated triage layer will classify patients into high, medium or routine priority using validated thresholds and clinical rules; over time, locally validated </w:t>
      </w:r>
      <w:r w:rsidRPr="003403D4">
        <w:rPr>
          <w:rFonts w:ascii="Arial" w:eastAsia="Times New Roman" w:hAnsi="Arial" w:cs="Arial"/>
          <w:sz w:val="24"/>
          <w:szCs w:val="24"/>
          <w:lang w:eastAsia="en-GB"/>
        </w:rPr>
        <w:lastRenderedPageBreak/>
        <w:t>machine</w:t>
      </w:r>
      <w:r w:rsidRPr="003403D4">
        <w:rPr>
          <w:rFonts w:ascii="Arial" w:eastAsia="Times New Roman" w:hAnsi="Arial" w:cs="Arial"/>
          <w:sz w:val="24"/>
          <w:szCs w:val="24"/>
          <w:lang w:eastAsia="en-GB"/>
        </w:rPr>
        <w:noBreakHyphen/>
        <w:t>learning</w:t>
      </w:r>
      <w:r w:rsidR="00317E21" w:rsidRPr="0059221B">
        <w:rPr>
          <w:rFonts w:ascii="Arial" w:eastAsia="Times New Roman" w:hAnsi="Arial" w:cs="Arial"/>
          <w:sz w:val="24"/>
          <w:szCs w:val="24"/>
          <w:lang w:eastAsia="en-GB"/>
        </w:rPr>
        <w:t xml:space="preserve"> (ML)</w:t>
      </w:r>
      <w:r w:rsidRPr="003403D4">
        <w:rPr>
          <w:rFonts w:ascii="Arial" w:eastAsia="Times New Roman" w:hAnsi="Arial" w:cs="Arial"/>
          <w:sz w:val="24"/>
          <w:szCs w:val="24"/>
          <w:lang w:eastAsia="en-GB"/>
        </w:rPr>
        <w:t xml:space="preserve"> models can be introduced to refine sensitivity/specificity and detect atypical risk profiles. Systematic reviews consistently report that ML</w:t>
      </w:r>
      <w:r w:rsidRPr="003403D4">
        <w:rPr>
          <w:rFonts w:ascii="Arial" w:eastAsia="Times New Roman" w:hAnsi="Arial" w:cs="Arial"/>
          <w:sz w:val="24"/>
          <w:szCs w:val="24"/>
          <w:lang w:eastAsia="en-GB"/>
        </w:rPr>
        <w:noBreakHyphen/>
        <w:t xml:space="preserve">based models achieve strong diagnostic performance across large cohorts, supporting their use in prioritisation and early detection once appropriate governance is in place (Giorgi et al., 2025). </w:t>
      </w:r>
    </w:p>
    <w:p w14:paraId="77AF97DB" w14:textId="5EA45940" w:rsidR="003403D4" w:rsidRPr="003403D4" w:rsidRDefault="003403D4" w:rsidP="0059221B">
      <w:pPr>
        <w:spacing w:before="100" w:beforeAutospacing="1" w:after="100" w:afterAutospacing="1"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Third, device</w:t>
      </w:r>
      <w:r w:rsidRPr="003403D4">
        <w:rPr>
          <w:rFonts w:ascii="Arial" w:eastAsia="Times New Roman" w:hAnsi="Arial" w:cs="Arial"/>
          <w:sz w:val="24"/>
          <w:szCs w:val="24"/>
          <w:lang w:eastAsia="en-GB"/>
        </w:rPr>
        <w:noBreakHyphen/>
        <w:t>to</w:t>
      </w:r>
      <w:r w:rsidRPr="003403D4">
        <w:rPr>
          <w:rFonts w:ascii="Arial" w:eastAsia="Times New Roman" w:hAnsi="Arial" w:cs="Arial"/>
          <w:sz w:val="24"/>
          <w:szCs w:val="24"/>
          <w:lang w:eastAsia="en-GB"/>
        </w:rPr>
        <w:noBreakHyphen/>
        <w:t>record integration will replace manual media handling. Wireless HSAT/home</w:t>
      </w:r>
      <w:r w:rsidR="00317E21"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P</w:t>
      </w:r>
      <w:r w:rsidR="00317E21" w:rsidRPr="0059221B">
        <w:rPr>
          <w:rFonts w:ascii="Arial" w:eastAsia="Times New Roman" w:hAnsi="Arial" w:cs="Arial"/>
          <w:sz w:val="24"/>
          <w:szCs w:val="24"/>
          <w:lang w:eastAsia="en-GB"/>
        </w:rPr>
        <w:t>olygraphy</w:t>
      </w:r>
      <w:r w:rsidRPr="003403D4">
        <w:rPr>
          <w:rFonts w:ascii="Arial" w:eastAsia="Times New Roman" w:hAnsi="Arial" w:cs="Arial"/>
          <w:sz w:val="24"/>
          <w:szCs w:val="24"/>
          <w:lang w:eastAsia="en-GB"/>
        </w:rPr>
        <w:t xml:space="preserve"> platforms that support secure cloud upload (e.g., NOX</w:t>
      </w:r>
      <w:r w:rsidRPr="003403D4">
        <w:rPr>
          <w:rFonts w:ascii="Arial" w:eastAsia="Times New Roman" w:hAnsi="Arial" w:cs="Arial"/>
          <w:sz w:val="24"/>
          <w:szCs w:val="24"/>
          <w:lang w:eastAsia="en-GB"/>
        </w:rPr>
        <w:noBreakHyphen/>
        <w:t xml:space="preserve">T3s; </w:t>
      </w:r>
      <w:proofErr w:type="spellStart"/>
      <w:r w:rsidRPr="003403D4">
        <w:rPr>
          <w:rFonts w:ascii="Arial" w:eastAsia="Times New Roman" w:hAnsi="Arial" w:cs="Arial"/>
          <w:sz w:val="24"/>
          <w:szCs w:val="24"/>
          <w:lang w:eastAsia="en-GB"/>
        </w:rPr>
        <w:t>Onera</w:t>
      </w:r>
      <w:proofErr w:type="spellEnd"/>
      <w:r w:rsidRPr="003403D4">
        <w:rPr>
          <w:rFonts w:ascii="Arial" w:eastAsia="Times New Roman" w:hAnsi="Arial" w:cs="Arial"/>
          <w:sz w:val="24"/>
          <w:szCs w:val="24"/>
          <w:lang w:eastAsia="en-GB"/>
        </w:rPr>
        <w:t>) will be configured to ingest files directly into the clinical system for clinician review, reducing delays related to physical device turnover and data corruption (</w:t>
      </w:r>
      <w:proofErr w:type="spellStart"/>
      <w:r w:rsidRPr="003403D4">
        <w:rPr>
          <w:rFonts w:ascii="Arial" w:eastAsia="Times New Roman" w:hAnsi="Arial" w:cs="Arial"/>
          <w:sz w:val="24"/>
          <w:szCs w:val="24"/>
          <w:lang w:eastAsia="en-GB"/>
        </w:rPr>
        <w:t>Taweesedt</w:t>
      </w:r>
      <w:proofErr w:type="spellEnd"/>
      <w:r w:rsidRPr="003403D4">
        <w:rPr>
          <w:rFonts w:ascii="Arial" w:eastAsia="Times New Roman" w:hAnsi="Arial" w:cs="Arial"/>
          <w:sz w:val="24"/>
          <w:szCs w:val="24"/>
          <w:lang w:eastAsia="en-GB"/>
        </w:rPr>
        <w:t xml:space="preserve">, 2025). </w:t>
      </w:r>
    </w:p>
    <w:p w14:paraId="20BF0EA3" w14:textId="4A2E047E" w:rsidR="003403D4" w:rsidRPr="0059221B" w:rsidRDefault="003403D4" w:rsidP="0059221B">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Fourth, a digital patient information hub will provide video</w:t>
      </w:r>
      <w:r w:rsidRPr="003403D4">
        <w:rPr>
          <w:rFonts w:ascii="Arial" w:eastAsia="Times New Roman" w:hAnsi="Arial" w:cs="Arial"/>
          <w:sz w:val="24"/>
          <w:szCs w:val="24"/>
          <w:lang w:eastAsia="en-GB"/>
        </w:rPr>
        <w:noBreakHyphen/>
        <w:t>based setup guidance, troubleshooting, sleep hygiene advice and FAQs to reduce user error and telephone queries; usability advances reported for simplified, patch</w:t>
      </w:r>
      <w:r w:rsidRPr="003403D4">
        <w:rPr>
          <w:rFonts w:ascii="Arial" w:eastAsia="Times New Roman" w:hAnsi="Arial" w:cs="Arial"/>
          <w:sz w:val="24"/>
          <w:szCs w:val="24"/>
          <w:lang w:eastAsia="en-GB"/>
        </w:rPr>
        <w:noBreakHyphen/>
        <w:t xml:space="preserve">based sensors indicate that clear instruction paired with intuitive design can materially lower </w:t>
      </w:r>
      <w:r w:rsidR="00317E21" w:rsidRPr="0059221B">
        <w:rPr>
          <w:rFonts w:ascii="Arial" w:eastAsia="Times New Roman" w:hAnsi="Arial" w:cs="Arial"/>
          <w:sz w:val="24"/>
          <w:szCs w:val="24"/>
          <w:lang w:eastAsia="en-GB"/>
        </w:rPr>
        <w:t xml:space="preserve">home sleep </w:t>
      </w:r>
      <w:r w:rsidRPr="003403D4">
        <w:rPr>
          <w:rFonts w:ascii="Arial" w:eastAsia="Times New Roman" w:hAnsi="Arial" w:cs="Arial"/>
          <w:sz w:val="24"/>
          <w:szCs w:val="24"/>
          <w:lang w:eastAsia="en-GB"/>
        </w:rPr>
        <w:t>study</w:t>
      </w:r>
      <w:r w:rsidR="00317E21"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failure rates (</w:t>
      </w:r>
      <w:proofErr w:type="spellStart"/>
      <w:r w:rsidRPr="003403D4">
        <w:rPr>
          <w:rFonts w:ascii="Arial" w:eastAsia="Times New Roman" w:hAnsi="Arial" w:cs="Arial"/>
          <w:sz w:val="24"/>
          <w:szCs w:val="24"/>
          <w:lang w:eastAsia="en-GB"/>
        </w:rPr>
        <w:t>Osa</w:t>
      </w:r>
      <w:proofErr w:type="spellEnd"/>
      <w:r w:rsidRPr="003403D4">
        <w:rPr>
          <w:rFonts w:ascii="Arial" w:eastAsia="Times New Roman" w:hAnsi="Arial" w:cs="Arial"/>
          <w:sz w:val="24"/>
          <w:szCs w:val="24"/>
          <w:lang w:eastAsia="en-GB"/>
        </w:rPr>
        <w:noBreakHyphen/>
        <w:t xml:space="preserve">Sanchez et al., 2025; </w:t>
      </w:r>
      <w:proofErr w:type="spellStart"/>
      <w:r w:rsidRPr="003403D4">
        <w:rPr>
          <w:rFonts w:ascii="Arial" w:eastAsia="Times New Roman" w:hAnsi="Arial" w:cs="Arial"/>
          <w:sz w:val="24"/>
          <w:szCs w:val="24"/>
          <w:lang w:eastAsia="en-GB"/>
        </w:rPr>
        <w:t>Taweesedt</w:t>
      </w:r>
      <w:proofErr w:type="spellEnd"/>
      <w:r w:rsidRPr="003403D4">
        <w:rPr>
          <w:rFonts w:ascii="Arial" w:eastAsia="Times New Roman" w:hAnsi="Arial" w:cs="Arial"/>
          <w:sz w:val="24"/>
          <w:szCs w:val="24"/>
          <w:lang w:eastAsia="en-GB"/>
        </w:rPr>
        <w:t xml:space="preserve">, 2025). </w:t>
      </w:r>
    </w:p>
    <w:p w14:paraId="7B70398A" w14:textId="77777777" w:rsidR="003403D4" w:rsidRPr="0059221B" w:rsidRDefault="003403D4" w:rsidP="0059221B">
      <w:pPr>
        <w:spacing w:after="0" w:line="480" w:lineRule="auto"/>
        <w:rPr>
          <w:rFonts w:ascii="Arial" w:eastAsia="Times New Roman" w:hAnsi="Arial" w:cs="Arial"/>
          <w:sz w:val="24"/>
          <w:szCs w:val="24"/>
          <w:lang w:eastAsia="en-GB"/>
        </w:rPr>
      </w:pPr>
    </w:p>
    <w:p w14:paraId="2102435E" w14:textId="07E642DD" w:rsidR="003403D4" w:rsidRPr="0059221B" w:rsidRDefault="003403D4" w:rsidP="0059221B">
      <w:pPr>
        <w:spacing w:after="0"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F</w:t>
      </w:r>
      <w:r w:rsidRPr="003403D4">
        <w:rPr>
          <w:rFonts w:ascii="Arial" w:eastAsia="Times New Roman" w:hAnsi="Arial" w:cs="Arial"/>
          <w:sz w:val="24"/>
          <w:szCs w:val="24"/>
          <w:lang w:eastAsia="en-GB"/>
        </w:rPr>
        <w:t>ifth, structured reporting templates embedded in the clinical system will harmonise outputs across clinicians</w:t>
      </w:r>
      <w:r w:rsidR="00317E21" w:rsidRPr="0059221B">
        <w:rPr>
          <w:rFonts w:ascii="Arial" w:eastAsia="Times New Roman" w:hAnsi="Arial" w:cs="Arial"/>
          <w:sz w:val="24"/>
          <w:szCs w:val="24"/>
          <w:lang w:eastAsia="en-GB"/>
        </w:rPr>
        <w:t xml:space="preserve">, hospital sites </w:t>
      </w:r>
      <w:r w:rsidRPr="003403D4">
        <w:rPr>
          <w:rFonts w:ascii="Arial" w:eastAsia="Times New Roman" w:hAnsi="Arial" w:cs="Arial"/>
          <w:sz w:val="24"/>
          <w:szCs w:val="24"/>
          <w:lang w:eastAsia="en-GB"/>
        </w:rPr>
        <w:t>and align with contemporary guidance from professional bodies (American Academy of Sleep Medicine,</w:t>
      </w:r>
      <w:r w:rsidR="00317E21"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2025).</w:t>
      </w:r>
    </w:p>
    <w:p w14:paraId="04D5FF0E" w14:textId="77777777" w:rsidR="003403D4" w:rsidRPr="0059221B" w:rsidRDefault="003403D4" w:rsidP="0059221B">
      <w:pPr>
        <w:spacing w:after="0" w:line="480" w:lineRule="auto"/>
        <w:rPr>
          <w:rFonts w:ascii="Arial" w:eastAsia="Times New Roman" w:hAnsi="Arial" w:cs="Arial"/>
          <w:sz w:val="24"/>
          <w:szCs w:val="24"/>
          <w:lang w:eastAsia="en-GB"/>
        </w:rPr>
      </w:pPr>
    </w:p>
    <w:p w14:paraId="0AFFB43F" w14:textId="2FB13A9F" w:rsidR="003403D4" w:rsidRPr="003403D4" w:rsidRDefault="003403D4" w:rsidP="0059221B">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Finally, performance dashboards will summarise referral volumes, allocation delays, device</w:t>
      </w:r>
      <w:r w:rsidR="00317E21"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return intervals, report completion times, study failure rates and patient</w:t>
      </w:r>
      <w:r w:rsidR="00317E21" w:rsidRPr="0059221B">
        <w:rPr>
          <w:rFonts w:ascii="Arial" w:eastAsia="Times New Roman" w:hAnsi="Arial" w:cs="Arial"/>
          <w:sz w:val="24"/>
          <w:szCs w:val="24"/>
          <w:lang w:eastAsia="en-GB"/>
        </w:rPr>
        <w:t xml:space="preserve"> </w:t>
      </w:r>
      <w:r w:rsidRPr="003403D4">
        <w:rPr>
          <w:rFonts w:ascii="Arial" w:eastAsia="Times New Roman" w:hAnsi="Arial" w:cs="Arial"/>
          <w:sz w:val="24"/>
          <w:szCs w:val="24"/>
          <w:lang w:eastAsia="en-GB"/>
        </w:rPr>
        <w:t>reported experience measures</w:t>
      </w:r>
      <w:r w:rsidR="00317E21" w:rsidRPr="0059221B">
        <w:rPr>
          <w:rFonts w:ascii="Arial" w:eastAsia="Times New Roman" w:hAnsi="Arial" w:cs="Arial"/>
          <w:sz w:val="24"/>
          <w:szCs w:val="24"/>
          <w:lang w:eastAsia="en-GB"/>
        </w:rPr>
        <w:t xml:space="preserve"> (PREMs)</w:t>
      </w:r>
      <w:r w:rsidRPr="003403D4">
        <w:rPr>
          <w:rFonts w:ascii="Arial" w:eastAsia="Times New Roman" w:hAnsi="Arial" w:cs="Arial"/>
          <w:sz w:val="24"/>
          <w:szCs w:val="24"/>
          <w:lang w:eastAsia="en-GB"/>
        </w:rPr>
        <w:t xml:space="preserve"> to enable continuous quality improvement and benefits tracking.</w:t>
      </w:r>
    </w:p>
    <w:p w14:paraId="04E3EA6D" w14:textId="77777777" w:rsidR="00800AF0" w:rsidRPr="0059221B" w:rsidRDefault="00800AF0" w:rsidP="0059221B">
      <w:pPr>
        <w:spacing w:after="0" w:line="480" w:lineRule="auto"/>
        <w:rPr>
          <w:rFonts w:ascii="Arial" w:eastAsia="Times New Roman" w:hAnsi="Arial" w:cs="Arial"/>
          <w:sz w:val="24"/>
          <w:szCs w:val="24"/>
          <w:lang w:eastAsia="en-GB"/>
        </w:rPr>
      </w:pPr>
    </w:p>
    <w:p w14:paraId="32D910DE" w14:textId="23DDFA10" w:rsidR="00C70C71" w:rsidRPr="0059221B" w:rsidRDefault="00C70C71" w:rsidP="0059221B">
      <w:pPr>
        <w:spacing w:after="0"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T</w:t>
      </w:r>
      <w:r w:rsidRPr="00C70C71">
        <w:rPr>
          <w:rFonts w:ascii="Arial" w:eastAsia="Times New Roman" w:hAnsi="Arial" w:cs="Arial"/>
          <w:sz w:val="24"/>
          <w:szCs w:val="24"/>
          <w:lang w:eastAsia="en-GB"/>
        </w:rPr>
        <w:t>he Model for Improvement (MFI) with iterative Plan</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Do</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Study</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Act (PDSA) cycles is essential for this digital pathway change because it provides a scientific, small</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tests</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of</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 xml:space="preserve">change method to learn quickly in </w:t>
      </w:r>
      <w:r w:rsidR="00800AF0" w:rsidRPr="0059221B">
        <w:rPr>
          <w:rFonts w:ascii="Arial" w:eastAsia="Times New Roman" w:hAnsi="Arial" w:cs="Arial"/>
          <w:sz w:val="24"/>
          <w:szCs w:val="24"/>
          <w:lang w:eastAsia="en-GB"/>
        </w:rPr>
        <w:t>a</w:t>
      </w:r>
      <w:r w:rsidRPr="00C70C71">
        <w:rPr>
          <w:rFonts w:ascii="Arial" w:eastAsia="Times New Roman" w:hAnsi="Arial" w:cs="Arial"/>
          <w:sz w:val="24"/>
          <w:szCs w:val="24"/>
          <w:lang w:eastAsia="en-GB"/>
        </w:rPr>
        <w:t xml:space="preserve"> local ABUHB context, reduce implementation risk, and scale only those components that demonstrably improve care (Institute for Healthcare Improvement, n.d.; Public Health Wales/Improvement Cymru, 2023). In practice, the project will begin by piloting digital pre</w:t>
      </w:r>
      <w:r w:rsidRPr="00C70C71">
        <w:rPr>
          <w:rFonts w:ascii="Arial" w:eastAsia="Times New Roman" w:hAnsi="Arial" w:cs="Arial"/>
          <w:sz w:val="24"/>
          <w:szCs w:val="24"/>
          <w:lang w:eastAsia="en-GB"/>
        </w:rPr>
        <w:noBreakHyphen/>
        <w:t>assessment with a small cohort, then refining logic and the user interface, and subsequently layering automated triage, staged device</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to</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record integration, structured reporting templates, and performance dashboards. Each PDSA cycle will state a prediction (e.g., a percentage reduction in incomplete pre</w:t>
      </w:r>
      <w:r w:rsidRPr="00C70C71">
        <w:rPr>
          <w:rFonts w:ascii="Arial" w:eastAsia="Times New Roman" w:hAnsi="Arial" w:cs="Arial"/>
          <w:sz w:val="24"/>
          <w:szCs w:val="24"/>
          <w:lang w:eastAsia="en-GB"/>
        </w:rPr>
        <w:noBreakHyphen/>
        <w:t>assessments or minutes saved per report), collect data over time, compare with baseline, and adapt the change package; this staged, measurement</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driven approach is particularly appropriate for digital interventions where outcomes depend on local workflows and infrastructure, and it supports safety through clinician</w:t>
      </w:r>
      <w:r w:rsidRPr="00C70C71">
        <w:rPr>
          <w:rFonts w:ascii="Arial" w:eastAsia="Times New Roman" w:hAnsi="Arial" w:cs="Arial"/>
          <w:b/>
          <w:bCs/>
          <w:sz w:val="24"/>
          <w:szCs w:val="24"/>
          <w:lang w:eastAsia="en-GB"/>
        </w:rPr>
        <w:t xml:space="preserve"> </w:t>
      </w:r>
      <w:r w:rsidRPr="00C70C71">
        <w:rPr>
          <w:rFonts w:ascii="Arial" w:eastAsia="Times New Roman" w:hAnsi="Arial" w:cs="Arial"/>
          <w:sz w:val="24"/>
          <w:szCs w:val="24"/>
          <w:lang w:eastAsia="en-GB"/>
        </w:rPr>
        <w:t>validation and rollback</w:t>
      </w:r>
      <w:r w:rsidRPr="00C70C71">
        <w:rPr>
          <w:rFonts w:ascii="Arial" w:eastAsia="Times New Roman" w:hAnsi="Arial" w:cs="Arial"/>
          <w:b/>
          <w:bCs/>
          <w:sz w:val="24"/>
          <w:szCs w:val="24"/>
          <w:lang w:eastAsia="en-GB"/>
        </w:rPr>
        <w:t xml:space="preserve"> </w:t>
      </w:r>
      <w:r w:rsidRPr="00C70C71">
        <w:rPr>
          <w:rFonts w:ascii="Arial" w:eastAsia="Times New Roman" w:hAnsi="Arial" w:cs="Arial"/>
          <w:sz w:val="24"/>
          <w:szCs w:val="24"/>
          <w:lang w:eastAsia="en-GB"/>
        </w:rPr>
        <w:t>options (Institute for Healthcare Improvement, n.d.; Public Health Wales/Improvement Cymru, 2023). Moreover, published evaluations emphasise that PDSA’s impact depends on fidelity</w:t>
      </w:r>
      <w:r w:rsidRPr="00C70C71">
        <w:rPr>
          <w:rFonts w:ascii="Arial" w:eastAsia="Times New Roman" w:hAnsi="Arial" w:cs="Arial"/>
          <w:b/>
          <w:bCs/>
          <w:sz w:val="24"/>
          <w:szCs w:val="24"/>
          <w:lang w:eastAsia="en-GB"/>
        </w:rPr>
        <w:t xml:space="preserve"> </w:t>
      </w:r>
      <w:r w:rsidRPr="00C70C71">
        <w:rPr>
          <w:rFonts w:ascii="Arial" w:eastAsia="Times New Roman" w:hAnsi="Arial" w:cs="Arial"/>
          <w:sz w:val="24"/>
          <w:szCs w:val="24"/>
          <w:lang w:eastAsia="en-GB"/>
        </w:rPr>
        <w:t>to</w:t>
      </w:r>
      <w:r w:rsidRPr="00C70C71">
        <w:rPr>
          <w:rFonts w:ascii="Arial" w:eastAsia="Times New Roman" w:hAnsi="Arial" w:cs="Arial"/>
          <w:b/>
          <w:bCs/>
          <w:sz w:val="24"/>
          <w:szCs w:val="24"/>
          <w:lang w:eastAsia="en-GB"/>
        </w:rPr>
        <w:t xml:space="preserve"> </w:t>
      </w:r>
      <w:r w:rsidRPr="00C70C71">
        <w:rPr>
          <w:rFonts w:ascii="Arial" w:eastAsia="Times New Roman" w:hAnsi="Arial" w:cs="Arial"/>
          <w:sz w:val="24"/>
          <w:szCs w:val="24"/>
          <w:lang w:eastAsia="en-GB"/>
        </w:rPr>
        <w:t>core</w:t>
      </w:r>
      <w:r w:rsidRPr="00C70C71">
        <w:rPr>
          <w:rFonts w:ascii="Arial" w:eastAsia="Times New Roman" w:hAnsi="Arial" w:cs="Arial"/>
          <w:b/>
          <w:bCs/>
          <w:sz w:val="24"/>
          <w:szCs w:val="24"/>
          <w:lang w:eastAsia="en-GB"/>
        </w:rPr>
        <w:t xml:space="preserve"> </w:t>
      </w:r>
      <w:r w:rsidRPr="00C70C71">
        <w:rPr>
          <w:rFonts w:ascii="Arial" w:eastAsia="Times New Roman" w:hAnsi="Arial" w:cs="Arial"/>
          <w:sz w:val="24"/>
          <w:szCs w:val="24"/>
          <w:lang w:eastAsia="en-GB"/>
        </w:rPr>
        <w:t>features</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iterative cycles, prediction</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based testing, and use of time</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series data</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so disciplined documentation (e.g., PDSA worksheets), process mapping (current</w:t>
      </w:r>
      <w:r w:rsidR="00800AF0" w:rsidRPr="0059221B">
        <w:rPr>
          <w:rFonts w:ascii="Arial" w:eastAsia="Times New Roman" w:hAnsi="Arial" w:cs="Arial"/>
          <w:sz w:val="24"/>
          <w:szCs w:val="24"/>
          <w:lang w:eastAsia="en-GB"/>
        </w:rPr>
        <w:t xml:space="preserve"> to </w:t>
      </w:r>
      <w:r w:rsidRPr="00C70C71">
        <w:rPr>
          <w:rFonts w:ascii="Arial" w:eastAsia="Times New Roman" w:hAnsi="Arial" w:cs="Arial"/>
          <w:sz w:val="24"/>
          <w:szCs w:val="24"/>
          <w:lang w:eastAsia="en-GB"/>
        </w:rPr>
        <w:t>future state), stakeholder analysis, a RAID log for risks/dependencies, and benefits</w:t>
      </w:r>
      <w:r w:rsidR="00800AF0" w:rsidRPr="0059221B">
        <w:rPr>
          <w:rFonts w:ascii="Arial" w:eastAsia="Times New Roman" w:hAnsi="Arial" w:cs="Arial"/>
          <w:sz w:val="24"/>
          <w:szCs w:val="24"/>
          <w:lang w:eastAsia="en-GB"/>
        </w:rPr>
        <w:t xml:space="preserve"> </w:t>
      </w:r>
      <w:r w:rsidRPr="00C70C71">
        <w:rPr>
          <w:rFonts w:ascii="Arial" w:eastAsia="Times New Roman" w:hAnsi="Arial" w:cs="Arial"/>
          <w:sz w:val="24"/>
          <w:szCs w:val="24"/>
          <w:lang w:eastAsia="en-GB"/>
        </w:rPr>
        <w:t>realisation mapping should be embedded to maintain rigour and alignment with organisational aims (Taylor et al., 2013; Institute for Healthcare Improvement, n.d.; Public Health Wales/Improvement Cymru, 2023). Collectively, these features make PDSA essential for frontline pathway redesign, enabling rapid</w:t>
      </w:r>
      <w:r w:rsidRPr="00C70C71">
        <w:rPr>
          <w:rFonts w:ascii="Arial" w:eastAsia="Times New Roman" w:hAnsi="Arial" w:cs="Arial"/>
          <w:b/>
          <w:bCs/>
          <w:sz w:val="24"/>
          <w:szCs w:val="24"/>
          <w:lang w:eastAsia="en-GB"/>
        </w:rPr>
        <w:t xml:space="preserve"> </w:t>
      </w:r>
      <w:r w:rsidRPr="00C70C71">
        <w:rPr>
          <w:rFonts w:ascii="Arial" w:eastAsia="Times New Roman" w:hAnsi="Arial" w:cs="Arial"/>
          <w:sz w:val="24"/>
          <w:szCs w:val="24"/>
          <w:lang w:eastAsia="en-GB"/>
        </w:rPr>
        <w:t xml:space="preserve">learning, safer adoption, and credible evidence of improvement before </w:t>
      </w:r>
      <w:r w:rsidR="00800AF0" w:rsidRPr="0059221B">
        <w:rPr>
          <w:rFonts w:ascii="Arial" w:eastAsia="Times New Roman" w:hAnsi="Arial" w:cs="Arial"/>
          <w:sz w:val="24"/>
          <w:szCs w:val="24"/>
          <w:lang w:eastAsia="en-GB"/>
        </w:rPr>
        <w:t>a wider</w:t>
      </w:r>
      <w:r w:rsidRPr="00C70C71">
        <w:rPr>
          <w:rFonts w:ascii="Arial" w:eastAsia="Times New Roman" w:hAnsi="Arial" w:cs="Arial"/>
          <w:sz w:val="24"/>
          <w:szCs w:val="24"/>
          <w:lang w:eastAsia="en-GB"/>
        </w:rPr>
        <w:t xml:space="preserve"> and </w:t>
      </w:r>
      <w:r w:rsidRPr="00C70C71">
        <w:rPr>
          <w:rFonts w:ascii="Arial" w:eastAsia="Times New Roman" w:hAnsi="Arial" w:cs="Arial"/>
          <w:sz w:val="24"/>
          <w:szCs w:val="24"/>
          <w:lang w:eastAsia="en-GB"/>
        </w:rPr>
        <w:lastRenderedPageBreak/>
        <w:t>full implementation (Institute for Healthcare Improvement, n.d.; Public Health Wales/Improvement Cymru, 2023).</w:t>
      </w:r>
    </w:p>
    <w:p w14:paraId="0187A77B" w14:textId="77777777" w:rsidR="003403D4" w:rsidRPr="0059221B" w:rsidRDefault="003403D4" w:rsidP="0059221B">
      <w:pPr>
        <w:pStyle w:val="NormalWeb"/>
        <w:spacing w:line="480" w:lineRule="auto"/>
        <w:rPr>
          <w:rFonts w:ascii="Segoe UI" w:hAnsi="Segoe UI" w:cs="Segoe UI"/>
        </w:rPr>
      </w:pPr>
    </w:p>
    <w:p w14:paraId="0212B78D" w14:textId="77777777" w:rsidR="003403D4" w:rsidRPr="0059221B" w:rsidRDefault="003403D4" w:rsidP="0059221B">
      <w:pPr>
        <w:pStyle w:val="NormalWeb"/>
        <w:spacing w:line="480" w:lineRule="auto"/>
        <w:rPr>
          <w:rFonts w:ascii="Arial" w:hAnsi="Arial" w:cs="Arial"/>
          <w:b/>
          <w:bCs/>
          <w:sz w:val="28"/>
          <w:szCs w:val="28"/>
          <w:u w:val="single"/>
        </w:rPr>
      </w:pPr>
      <w:r w:rsidRPr="0059221B">
        <w:rPr>
          <w:rFonts w:ascii="Arial" w:hAnsi="Arial" w:cs="Arial"/>
          <w:b/>
          <w:bCs/>
          <w:sz w:val="28"/>
          <w:szCs w:val="28"/>
          <w:u w:val="single"/>
        </w:rPr>
        <w:t>Discussion</w:t>
      </w:r>
    </w:p>
    <w:p w14:paraId="5ECC6E8E" w14:textId="77777777" w:rsidR="007865FB" w:rsidRPr="0059221B" w:rsidRDefault="007865FB" w:rsidP="0059221B">
      <w:pPr>
        <w:spacing w:after="0"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 xml:space="preserve">A risk and mitigation table </w:t>
      </w:r>
      <w:proofErr w:type="gramStart"/>
      <w:r w:rsidRPr="0059221B">
        <w:rPr>
          <w:rFonts w:ascii="Arial" w:eastAsia="Times New Roman" w:hAnsi="Arial" w:cs="Arial"/>
          <w:sz w:val="24"/>
          <w:szCs w:val="24"/>
          <w:lang w:eastAsia="en-GB"/>
        </w:rPr>
        <w:t>is</w:t>
      </w:r>
      <w:proofErr w:type="gramEnd"/>
      <w:r w:rsidRPr="0059221B">
        <w:rPr>
          <w:rFonts w:ascii="Arial" w:eastAsia="Times New Roman" w:hAnsi="Arial" w:cs="Arial"/>
          <w:sz w:val="24"/>
          <w:szCs w:val="24"/>
          <w:lang w:eastAsia="en-GB"/>
        </w:rPr>
        <w:t xml:space="preserve"> an essential tool in project and service change implementation because it provides a systematic method for identifying, analysing and proactively managing the uncertainties that could compromise the success of a transformation initiative. Digital health projects, such as those encouraged under </w:t>
      </w:r>
      <w:r w:rsidRPr="0059221B">
        <w:rPr>
          <w:rFonts w:ascii="Arial" w:eastAsia="Times New Roman" w:hAnsi="Arial" w:cs="Arial"/>
          <w:i/>
          <w:iCs/>
          <w:sz w:val="24"/>
          <w:szCs w:val="24"/>
          <w:lang w:eastAsia="en-GB"/>
        </w:rPr>
        <w:t>A Healthier Wales</w:t>
      </w:r>
      <w:r w:rsidRPr="0059221B">
        <w:rPr>
          <w:rFonts w:ascii="Arial" w:eastAsia="Times New Roman" w:hAnsi="Arial" w:cs="Arial"/>
          <w:sz w:val="24"/>
          <w:szCs w:val="24"/>
          <w:lang w:eastAsia="en-GB"/>
        </w:rPr>
        <w:t>, require structured approaches to risk because technological, organisational and workforce challenges can impede adoption if not anticipated and monitored (Welsh Government, 2018; updated 2025).</w:t>
      </w:r>
    </w:p>
    <w:p w14:paraId="63BA2728" w14:textId="77777777" w:rsidR="007865FB" w:rsidRPr="0059221B" w:rsidRDefault="007865FB" w:rsidP="0059221B">
      <w:pPr>
        <w:pStyle w:val="ListParagraph"/>
        <w:spacing w:after="0" w:line="480" w:lineRule="auto"/>
        <w:rPr>
          <w:rFonts w:ascii="Arial" w:eastAsia="Times New Roman" w:hAnsi="Arial" w:cs="Arial"/>
          <w:sz w:val="24"/>
          <w:szCs w:val="24"/>
          <w:lang w:eastAsia="en-GB"/>
        </w:rPr>
      </w:pPr>
    </w:p>
    <w:p w14:paraId="777D271C" w14:textId="77777777" w:rsidR="007865FB" w:rsidRPr="0059221B" w:rsidRDefault="007865FB" w:rsidP="0059221B">
      <w:pPr>
        <w:spacing w:after="0"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This is particularly relevant in NHS Wales, where strategic plans emphasise the need for strong leadership, clear decision making, and continuous engagement to support safe and sustainable transformation across the whole system. A structured risk and mitigation table enables teams to align with these expectations by clearly linking each risk to targeted mitigation actions, ensuring accountability and supporting transparent, evidence-based decision making.</w:t>
      </w:r>
    </w:p>
    <w:p w14:paraId="1752477F" w14:textId="77777777" w:rsidR="007865FB" w:rsidRPr="0059221B" w:rsidRDefault="007865FB" w:rsidP="0059221B">
      <w:pPr>
        <w:pStyle w:val="ListParagraph"/>
        <w:spacing w:after="0" w:line="480" w:lineRule="auto"/>
        <w:rPr>
          <w:rFonts w:ascii="Arial" w:eastAsia="Times New Roman" w:hAnsi="Arial" w:cs="Arial"/>
          <w:sz w:val="24"/>
          <w:szCs w:val="24"/>
          <w:lang w:eastAsia="en-GB"/>
        </w:rPr>
      </w:pPr>
    </w:p>
    <w:p w14:paraId="4A8DA362" w14:textId="09254C5A" w:rsidR="007865FB" w:rsidRPr="0059221B" w:rsidRDefault="007865FB" w:rsidP="00773C68">
      <w:pPr>
        <w:spacing w:line="480" w:lineRule="auto"/>
        <w:rPr>
          <w:rFonts w:ascii="Arial" w:eastAsia="Times New Roman" w:hAnsi="Arial" w:cs="Arial"/>
          <w:sz w:val="24"/>
          <w:szCs w:val="24"/>
          <w:lang w:eastAsia="en-GB"/>
        </w:rPr>
      </w:pPr>
      <w:r w:rsidRPr="0059221B">
        <w:rPr>
          <w:rFonts w:ascii="Arial" w:eastAsia="Times New Roman" w:hAnsi="Arial" w:cs="Arial"/>
          <w:sz w:val="24"/>
          <w:szCs w:val="24"/>
          <w:lang w:eastAsia="en-GB"/>
        </w:rPr>
        <w:t xml:space="preserve">Similarly, ABUHB’s Clinical Futures programme highlights the importance of planning for system wide change and ensuring the resilience of newly adopted models of care (Aneurin Bevan University Health Board, 2023). By using a risk </w:t>
      </w:r>
      <w:r w:rsidR="00810F20">
        <w:rPr>
          <w:rFonts w:ascii="Arial" w:eastAsia="Times New Roman" w:hAnsi="Arial" w:cs="Arial"/>
          <w:sz w:val="24"/>
          <w:szCs w:val="24"/>
          <w:lang w:eastAsia="en-GB"/>
        </w:rPr>
        <w:t>assessment</w:t>
      </w:r>
      <w:r w:rsidRPr="0059221B">
        <w:rPr>
          <w:rFonts w:ascii="Arial" w:eastAsia="Times New Roman" w:hAnsi="Arial" w:cs="Arial"/>
          <w:sz w:val="24"/>
          <w:szCs w:val="24"/>
          <w:lang w:eastAsia="en-GB"/>
        </w:rPr>
        <w:t xml:space="preserve"> table such as table 1, project teams are better equipped to foresee </w:t>
      </w:r>
      <w:r w:rsidRPr="0059221B">
        <w:rPr>
          <w:rFonts w:ascii="Arial" w:eastAsia="Times New Roman" w:hAnsi="Arial" w:cs="Arial"/>
          <w:sz w:val="24"/>
          <w:szCs w:val="24"/>
          <w:lang w:eastAsia="en-GB"/>
        </w:rPr>
        <w:lastRenderedPageBreak/>
        <w:t xml:space="preserve">issues </w:t>
      </w:r>
      <w:r w:rsidRPr="007B254F">
        <w:rPr>
          <w:rFonts w:ascii="Arial" w:eastAsia="Times New Roman" w:hAnsi="Arial" w:cs="Arial"/>
          <w:sz w:val="24"/>
          <w:szCs w:val="24"/>
          <w:lang w:eastAsia="en-GB"/>
        </w:rPr>
        <w:t>such as digital exclusion, workforce adaptation challenges, technology integration failures or governance concerns, and can implement safeguards early</w:t>
      </w:r>
      <w:r w:rsidR="007B254F" w:rsidRPr="007B254F">
        <w:rPr>
          <w:rFonts w:ascii="Arial" w:eastAsia="Times New Roman" w:hAnsi="Arial" w:cs="Arial"/>
          <w:sz w:val="24"/>
          <w:szCs w:val="24"/>
          <w:lang w:eastAsia="en-GB"/>
        </w:rPr>
        <w:t xml:space="preserve"> (</w:t>
      </w:r>
      <w:proofErr w:type="spellStart"/>
      <w:r w:rsidR="007B254F" w:rsidRPr="007B254F">
        <w:rPr>
          <w:rFonts w:ascii="Arial" w:eastAsia="Times New Roman" w:hAnsi="Arial" w:cs="Arial"/>
          <w:sz w:val="24"/>
          <w:szCs w:val="24"/>
          <w:lang w:eastAsia="en-GB"/>
        </w:rPr>
        <w:t>Shnaydman</w:t>
      </w:r>
      <w:proofErr w:type="spellEnd"/>
      <w:r w:rsidR="007B254F" w:rsidRPr="007B254F">
        <w:rPr>
          <w:rFonts w:ascii="Arial" w:eastAsia="Times New Roman" w:hAnsi="Arial" w:cs="Arial"/>
          <w:sz w:val="24"/>
          <w:szCs w:val="24"/>
          <w:lang w:eastAsia="en-GB"/>
        </w:rPr>
        <w:t>, 2023)</w:t>
      </w:r>
      <w:r w:rsidRPr="007B254F">
        <w:rPr>
          <w:rFonts w:ascii="Arial" w:eastAsia="Times New Roman" w:hAnsi="Arial" w:cs="Arial"/>
          <w:sz w:val="24"/>
          <w:szCs w:val="24"/>
          <w:lang w:eastAsia="en-GB"/>
        </w:rPr>
        <w:t>.</w:t>
      </w:r>
      <w:r w:rsidRPr="0059221B">
        <w:rPr>
          <w:rFonts w:ascii="Arial" w:eastAsia="Times New Roman" w:hAnsi="Arial" w:cs="Arial"/>
          <w:sz w:val="24"/>
          <w:szCs w:val="24"/>
          <w:lang w:eastAsia="en-GB"/>
        </w:rPr>
        <w:t xml:space="preserve"> This structured approach not only reduces the likelihood and impact of risks but also enhances service quality, supports stakeholder confidence, and strengthens alignment with organisational strategy, ultimately increasing the probability of a successful and sustainable project outcome.</w:t>
      </w:r>
    </w:p>
    <w:tbl>
      <w:tblPr>
        <w:tblStyle w:val="TableGrid"/>
        <w:tblW w:w="10916" w:type="dxa"/>
        <w:tblInd w:w="-998" w:type="dxa"/>
        <w:tblLayout w:type="fixed"/>
        <w:tblLook w:val="04A0" w:firstRow="1" w:lastRow="0" w:firstColumn="1" w:lastColumn="0" w:noHBand="0" w:noVBand="1"/>
      </w:tblPr>
      <w:tblGrid>
        <w:gridCol w:w="1702"/>
        <w:gridCol w:w="2268"/>
        <w:gridCol w:w="1418"/>
        <w:gridCol w:w="1701"/>
        <w:gridCol w:w="2409"/>
        <w:gridCol w:w="1418"/>
      </w:tblGrid>
      <w:tr w:rsidR="00F332B8" w14:paraId="2334CDE7" w14:textId="77777777" w:rsidTr="00F332B8">
        <w:tc>
          <w:tcPr>
            <w:tcW w:w="1702" w:type="dxa"/>
          </w:tcPr>
          <w:p w14:paraId="2FC87A1A"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Risk Category</w:t>
            </w:r>
          </w:p>
        </w:tc>
        <w:tc>
          <w:tcPr>
            <w:tcW w:w="2268" w:type="dxa"/>
          </w:tcPr>
          <w:p w14:paraId="39011329"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Specific Risk</w:t>
            </w:r>
          </w:p>
        </w:tc>
        <w:tc>
          <w:tcPr>
            <w:tcW w:w="1418" w:type="dxa"/>
          </w:tcPr>
          <w:p w14:paraId="7948CBF4"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Risk severity</w:t>
            </w:r>
          </w:p>
        </w:tc>
        <w:tc>
          <w:tcPr>
            <w:tcW w:w="1701" w:type="dxa"/>
          </w:tcPr>
          <w:p w14:paraId="78C55B74"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Potential Impact</w:t>
            </w:r>
          </w:p>
        </w:tc>
        <w:tc>
          <w:tcPr>
            <w:tcW w:w="2409" w:type="dxa"/>
          </w:tcPr>
          <w:p w14:paraId="46526F3F"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Mitigation Strategy</w:t>
            </w:r>
          </w:p>
        </w:tc>
        <w:tc>
          <w:tcPr>
            <w:tcW w:w="1418" w:type="dxa"/>
          </w:tcPr>
          <w:p w14:paraId="6382925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Mitigated risk severity</w:t>
            </w:r>
          </w:p>
        </w:tc>
      </w:tr>
      <w:tr w:rsidR="00F332B8" w14:paraId="1EEE5C4D" w14:textId="77777777" w:rsidTr="00F332B8">
        <w:tc>
          <w:tcPr>
            <w:tcW w:w="1702" w:type="dxa"/>
          </w:tcPr>
          <w:p w14:paraId="3BCBD68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Technology/ Systems</w:t>
            </w:r>
          </w:p>
        </w:tc>
        <w:tc>
          <w:tcPr>
            <w:tcW w:w="2268" w:type="dxa"/>
          </w:tcPr>
          <w:p w14:paraId="15F2016A"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Interoperability failures between wireless HSAT devices and NHS Wales systems</w:t>
            </w:r>
          </w:p>
        </w:tc>
        <w:tc>
          <w:tcPr>
            <w:tcW w:w="1418" w:type="dxa"/>
            <w:shd w:val="clear" w:color="auto" w:fill="FF0000"/>
          </w:tcPr>
          <w:p w14:paraId="002D0977"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High</w:t>
            </w:r>
          </w:p>
        </w:tc>
        <w:tc>
          <w:tcPr>
            <w:tcW w:w="1701" w:type="dxa"/>
          </w:tcPr>
          <w:p w14:paraId="5AD0D86B"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Delayed uploads, incomplete data sets, resulting in repeat studies</w:t>
            </w:r>
          </w:p>
        </w:tc>
        <w:tc>
          <w:tcPr>
            <w:tcW w:w="2409" w:type="dxa"/>
          </w:tcPr>
          <w:p w14:paraId="190B77F0"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Early technical testing, phased integration, manual fallback such as SD card back-up, collaboration with DHCW/ICT services</w:t>
            </w:r>
          </w:p>
        </w:tc>
        <w:tc>
          <w:tcPr>
            <w:tcW w:w="1418" w:type="dxa"/>
            <w:shd w:val="clear" w:color="auto" w:fill="92D050"/>
          </w:tcPr>
          <w:p w14:paraId="6804E5BC"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015D8A24" w14:textId="77777777" w:rsidTr="00F332B8">
        <w:tc>
          <w:tcPr>
            <w:tcW w:w="1702" w:type="dxa"/>
          </w:tcPr>
          <w:p w14:paraId="3957CB3E"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Technology/ Data Quality</w:t>
            </w:r>
          </w:p>
        </w:tc>
        <w:tc>
          <w:tcPr>
            <w:tcW w:w="2268" w:type="dxa"/>
          </w:tcPr>
          <w:p w14:paraId="781CD81F"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Algorithm bias, or inaccurate automatic triage</w:t>
            </w:r>
          </w:p>
        </w:tc>
        <w:tc>
          <w:tcPr>
            <w:tcW w:w="1418" w:type="dxa"/>
            <w:shd w:val="clear" w:color="auto" w:fill="FF0000"/>
          </w:tcPr>
          <w:p w14:paraId="059C0BDC"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High</w:t>
            </w:r>
          </w:p>
        </w:tc>
        <w:tc>
          <w:tcPr>
            <w:tcW w:w="1701" w:type="dxa"/>
          </w:tcPr>
          <w:p w14:paraId="4E7FAE4B"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Misclassification, inequitable triage outcomes</w:t>
            </w:r>
          </w:p>
        </w:tc>
        <w:tc>
          <w:tcPr>
            <w:tcW w:w="2409" w:type="dxa"/>
          </w:tcPr>
          <w:p w14:paraId="134E5601"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Local validation, routine auditing, clinician oversight, dataset expansion</w:t>
            </w:r>
          </w:p>
        </w:tc>
        <w:tc>
          <w:tcPr>
            <w:tcW w:w="1418" w:type="dxa"/>
            <w:shd w:val="clear" w:color="auto" w:fill="92D050"/>
          </w:tcPr>
          <w:p w14:paraId="3F46274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478183B0" w14:textId="77777777" w:rsidTr="00F332B8">
        <w:tc>
          <w:tcPr>
            <w:tcW w:w="1702" w:type="dxa"/>
          </w:tcPr>
          <w:p w14:paraId="7C89352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Operational/ workflow</w:t>
            </w:r>
          </w:p>
        </w:tc>
        <w:tc>
          <w:tcPr>
            <w:tcW w:w="2268" w:type="dxa"/>
          </w:tcPr>
          <w:p w14:paraId="36C93492"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Temporary reduction in staff productivity during transition</w:t>
            </w:r>
          </w:p>
        </w:tc>
        <w:tc>
          <w:tcPr>
            <w:tcW w:w="1418" w:type="dxa"/>
            <w:shd w:val="clear" w:color="auto" w:fill="FFC000"/>
          </w:tcPr>
          <w:p w14:paraId="5FF29FC7"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Medium</w:t>
            </w:r>
          </w:p>
        </w:tc>
        <w:tc>
          <w:tcPr>
            <w:tcW w:w="1701" w:type="dxa"/>
          </w:tcPr>
          <w:p w14:paraId="79E86DDB"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Increased workload, staff burnout, reporting delays</w:t>
            </w:r>
          </w:p>
        </w:tc>
        <w:tc>
          <w:tcPr>
            <w:tcW w:w="2409" w:type="dxa"/>
          </w:tcPr>
          <w:p w14:paraId="64CB5F3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Training/education, super-user roles, gradual phased rollout, additional temporary support.</w:t>
            </w:r>
          </w:p>
        </w:tc>
        <w:tc>
          <w:tcPr>
            <w:tcW w:w="1418" w:type="dxa"/>
            <w:shd w:val="clear" w:color="auto" w:fill="92D050"/>
          </w:tcPr>
          <w:p w14:paraId="6910E080"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469A227A" w14:textId="77777777" w:rsidTr="00F332B8">
        <w:tc>
          <w:tcPr>
            <w:tcW w:w="1702" w:type="dxa"/>
          </w:tcPr>
          <w:p w14:paraId="4EA5D413"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Clinical</w:t>
            </w:r>
          </w:p>
        </w:tc>
        <w:tc>
          <w:tcPr>
            <w:tcW w:w="2268" w:type="dxa"/>
          </w:tcPr>
          <w:p w14:paraId="4AC5AE4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Incorrect set up by patients</w:t>
            </w:r>
          </w:p>
        </w:tc>
        <w:tc>
          <w:tcPr>
            <w:tcW w:w="1418" w:type="dxa"/>
            <w:shd w:val="clear" w:color="auto" w:fill="FFC000"/>
          </w:tcPr>
          <w:p w14:paraId="1CBB9750"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Medium</w:t>
            </w:r>
          </w:p>
        </w:tc>
        <w:tc>
          <w:tcPr>
            <w:tcW w:w="1701" w:type="dxa"/>
          </w:tcPr>
          <w:p w14:paraId="63A8906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Failed studies, repeat tests, longer wait times</w:t>
            </w:r>
          </w:p>
        </w:tc>
        <w:tc>
          <w:tcPr>
            <w:tcW w:w="2409" w:type="dxa"/>
          </w:tcPr>
          <w:p w14:paraId="54B8D66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Video instructions, SMS reminders, helpline, user friendly devices.</w:t>
            </w:r>
          </w:p>
        </w:tc>
        <w:tc>
          <w:tcPr>
            <w:tcW w:w="1418" w:type="dxa"/>
            <w:shd w:val="clear" w:color="auto" w:fill="92D050"/>
          </w:tcPr>
          <w:p w14:paraId="5205E11E"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2D321DD7" w14:textId="77777777" w:rsidTr="00F332B8">
        <w:tc>
          <w:tcPr>
            <w:tcW w:w="1702" w:type="dxa"/>
          </w:tcPr>
          <w:p w14:paraId="22296F59"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Patient/ Access</w:t>
            </w:r>
          </w:p>
        </w:tc>
        <w:tc>
          <w:tcPr>
            <w:tcW w:w="2268" w:type="dxa"/>
          </w:tcPr>
          <w:p w14:paraId="2AA178AF"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Digital exclusion</w:t>
            </w:r>
          </w:p>
        </w:tc>
        <w:tc>
          <w:tcPr>
            <w:tcW w:w="1418" w:type="dxa"/>
            <w:shd w:val="clear" w:color="auto" w:fill="FF0000"/>
          </w:tcPr>
          <w:p w14:paraId="0F9F92C4"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High</w:t>
            </w:r>
          </w:p>
        </w:tc>
        <w:tc>
          <w:tcPr>
            <w:tcW w:w="1701" w:type="dxa"/>
          </w:tcPr>
          <w:p w14:paraId="77CE1DBA"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Inequitable access, incomplete assessments</w:t>
            </w:r>
          </w:p>
        </w:tc>
        <w:tc>
          <w:tcPr>
            <w:tcW w:w="2409" w:type="dxa"/>
          </w:tcPr>
          <w:p w14:paraId="39574F13"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Paper/ telephone alternatives, accessible resources/material.</w:t>
            </w:r>
          </w:p>
        </w:tc>
        <w:tc>
          <w:tcPr>
            <w:tcW w:w="1418" w:type="dxa"/>
            <w:shd w:val="clear" w:color="auto" w:fill="92D050"/>
          </w:tcPr>
          <w:p w14:paraId="658151F5"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3385164A" w14:textId="77777777" w:rsidTr="00F332B8">
        <w:tc>
          <w:tcPr>
            <w:tcW w:w="1702" w:type="dxa"/>
          </w:tcPr>
          <w:p w14:paraId="76AF81EA"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Information Governance</w:t>
            </w:r>
          </w:p>
        </w:tc>
        <w:tc>
          <w:tcPr>
            <w:tcW w:w="2268" w:type="dxa"/>
          </w:tcPr>
          <w:p w14:paraId="4617F2C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Cybersecurity or data privacy breaches</w:t>
            </w:r>
          </w:p>
        </w:tc>
        <w:tc>
          <w:tcPr>
            <w:tcW w:w="1418" w:type="dxa"/>
            <w:shd w:val="clear" w:color="auto" w:fill="FFC000"/>
          </w:tcPr>
          <w:p w14:paraId="1FC9B767"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Medium</w:t>
            </w:r>
          </w:p>
        </w:tc>
        <w:tc>
          <w:tcPr>
            <w:tcW w:w="1701" w:type="dxa"/>
          </w:tcPr>
          <w:p w14:paraId="188DAE9B"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Data compromise, service disruption</w:t>
            </w:r>
          </w:p>
        </w:tc>
        <w:tc>
          <w:tcPr>
            <w:tcW w:w="2409" w:type="dxa"/>
          </w:tcPr>
          <w:p w14:paraId="0E702F07"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DPIA (data protection impact assessment), encrypted devices/data, </w:t>
            </w:r>
            <w:r>
              <w:rPr>
                <w:rFonts w:ascii="Arial" w:eastAsia="Times New Roman" w:hAnsi="Arial" w:cs="Arial"/>
                <w:sz w:val="24"/>
                <w:szCs w:val="24"/>
                <w:lang w:eastAsia="en-GB"/>
              </w:rPr>
              <w:lastRenderedPageBreak/>
              <w:t>Information Governance compliance.</w:t>
            </w:r>
          </w:p>
        </w:tc>
        <w:tc>
          <w:tcPr>
            <w:tcW w:w="1418" w:type="dxa"/>
            <w:shd w:val="clear" w:color="auto" w:fill="92D050"/>
          </w:tcPr>
          <w:p w14:paraId="00C8D44C"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lastRenderedPageBreak/>
              <w:t>Low</w:t>
            </w:r>
          </w:p>
        </w:tc>
      </w:tr>
      <w:tr w:rsidR="00F332B8" w14:paraId="14C0484B" w14:textId="77777777" w:rsidTr="00F332B8">
        <w:tc>
          <w:tcPr>
            <w:tcW w:w="1702" w:type="dxa"/>
          </w:tcPr>
          <w:p w14:paraId="13B4F4F2"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Stakeholder</w:t>
            </w:r>
          </w:p>
        </w:tc>
        <w:tc>
          <w:tcPr>
            <w:tcW w:w="2268" w:type="dxa"/>
          </w:tcPr>
          <w:p w14:paraId="2025A1A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Limited clinician engagement/resistance to change</w:t>
            </w:r>
          </w:p>
        </w:tc>
        <w:tc>
          <w:tcPr>
            <w:tcW w:w="1418" w:type="dxa"/>
            <w:shd w:val="clear" w:color="auto" w:fill="FF0000"/>
          </w:tcPr>
          <w:p w14:paraId="5EB72233"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High</w:t>
            </w:r>
          </w:p>
        </w:tc>
        <w:tc>
          <w:tcPr>
            <w:tcW w:w="1701" w:type="dxa"/>
          </w:tcPr>
          <w:p w14:paraId="32A7EC43"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Poor adoption of change, fragmented processes</w:t>
            </w:r>
          </w:p>
        </w:tc>
        <w:tc>
          <w:tcPr>
            <w:tcW w:w="2409" w:type="dxa"/>
          </w:tcPr>
          <w:p w14:paraId="6F1F8D85"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Co-design, stakeholder involvement, strategic alignment. </w:t>
            </w:r>
          </w:p>
        </w:tc>
        <w:tc>
          <w:tcPr>
            <w:tcW w:w="1418" w:type="dxa"/>
            <w:shd w:val="clear" w:color="auto" w:fill="92D050"/>
          </w:tcPr>
          <w:p w14:paraId="2885169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6B034629" w14:textId="77777777" w:rsidTr="00F332B8">
        <w:tc>
          <w:tcPr>
            <w:tcW w:w="1702" w:type="dxa"/>
          </w:tcPr>
          <w:p w14:paraId="2FA229E2"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Patient Experience</w:t>
            </w:r>
          </w:p>
        </w:tc>
        <w:tc>
          <w:tcPr>
            <w:tcW w:w="2268" w:type="dxa"/>
          </w:tcPr>
          <w:p w14:paraId="7B2D8543"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Anxiety using digital processes</w:t>
            </w:r>
          </w:p>
        </w:tc>
        <w:tc>
          <w:tcPr>
            <w:tcW w:w="1418" w:type="dxa"/>
            <w:shd w:val="clear" w:color="auto" w:fill="FFC000"/>
          </w:tcPr>
          <w:p w14:paraId="1C5E441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Medium</w:t>
            </w:r>
          </w:p>
        </w:tc>
        <w:tc>
          <w:tcPr>
            <w:tcW w:w="1701" w:type="dxa"/>
          </w:tcPr>
          <w:p w14:paraId="6766FDCB"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 completion rates, increased calls to department, incomplete assessments</w:t>
            </w:r>
          </w:p>
        </w:tc>
        <w:tc>
          <w:tcPr>
            <w:tcW w:w="2409" w:type="dxa"/>
          </w:tcPr>
          <w:p w14:paraId="752353F9"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Clear communication, patient tested materials, PREMs</w:t>
            </w:r>
          </w:p>
        </w:tc>
        <w:tc>
          <w:tcPr>
            <w:tcW w:w="1418" w:type="dxa"/>
            <w:shd w:val="clear" w:color="auto" w:fill="92D050"/>
          </w:tcPr>
          <w:p w14:paraId="675961A1"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555389A4" w14:textId="77777777" w:rsidTr="00F332B8">
        <w:tc>
          <w:tcPr>
            <w:tcW w:w="1702" w:type="dxa"/>
          </w:tcPr>
          <w:p w14:paraId="77A78994"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Strategic/ long-term</w:t>
            </w:r>
          </w:p>
        </w:tc>
        <w:tc>
          <w:tcPr>
            <w:tcW w:w="2268" w:type="dxa"/>
          </w:tcPr>
          <w:p w14:paraId="7155E82D"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Failure to scale digital tools</w:t>
            </w:r>
          </w:p>
        </w:tc>
        <w:tc>
          <w:tcPr>
            <w:tcW w:w="1418" w:type="dxa"/>
            <w:shd w:val="clear" w:color="auto" w:fill="FFC000"/>
          </w:tcPr>
          <w:p w14:paraId="07B8F87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Medium</w:t>
            </w:r>
          </w:p>
        </w:tc>
        <w:tc>
          <w:tcPr>
            <w:tcW w:w="1701" w:type="dxa"/>
          </w:tcPr>
          <w:p w14:paraId="5E20B948"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Lost benefits, inconsistencies in practice.</w:t>
            </w:r>
          </w:p>
        </w:tc>
        <w:tc>
          <w:tcPr>
            <w:tcW w:w="2409" w:type="dxa"/>
          </w:tcPr>
          <w:p w14:paraId="2870E702"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Expansion roadmap, alignment with policies.</w:t>
            </w:r>
          </w:p>
        </w:tc>
        <w:tc>
          <w:tcPr>
            <w:tcW w:w="1418" w:type="dxa"/>
            <w:shd w:val="clear" w:color="auto" w:fill="92D050"/>
          </w:tcPr>
          <w:p w14:paraId="0E5B0821"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r w:rsidR="00F332B8" w14:paraId="716EFD1C" w14:textId="77777777" w:rsidTr="00F332B8">
        <w:tc>
          <w:tcPr>
            <w:tcW w:w="1702" w:type="dxa"/>
          </w:tcPr>
          <w:p w14:paraId="00D44681"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AI/ Predictive analytics</w:t>
            </w:r>
          </w:p>
        </w:tc>
        <w:tc>
          <w:tcPr>
            <w:tcW w:w="2268" w:type="dxa"/>
          </w:tcPr>
          <w:p w14:paraId="6AA161E2"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Premature deployment without governance</w:t>
            </w:r>
          </w:p>
        </w:tc>
        <w:tc>
          <w:tcPr>
            <w:tcW w:w="1418" w:type="dxa"/>
            <w:shd w:val="clear" w:color="auto" w:fill="FF0000"/>
          </w:tcPr>
          <w:p w14:paraId="4C34FC96"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High</w:t>
            </w:r>
          </w:p>
        </w:tc>
        <w:tc>
          <w:tcPr>
            <w:tcW w:w="1701" w:type="dxa"/>
          </w:tcPr>
          <w:p w14:paraId="27CAD17F"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Misinterpretation, safety concerns</w:t>
            </w:r>
          </w:p>
        </w:tc>
        <w:tc>
          <w:tcPr>
            <w:tcW w:w="2409" w:type="dxa"/>
          </w:tcPr>
          <w:p w14:paraId="2AD3C829"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Controlled piloting, validation, phased rollout.</w:t>
            </w:r>
          </w:p>
        </w:tc>
        <w:tc>
          <w:tcPr>
            <w:tcW w:w="1418" w:type="dxa"/>
            <w:shd w:val="clear" w:color="auto" w:fill="92D050"/>
          </w:tcPr>
          <w:p w14:paraId="19B28A43" w14:textId="77777777" w:rsidR="00F332B8" w:rsidRDefault="00F332B8" w:rsidP="003E3839">
            <w:pPr>
              <w:spacing w:before="100" w:beforeAutospacing="1" w:after="100" w:afterAutospacing="1" w:line="300" w:lineRule="atLeast"/>
              <w:rPr>
                <w:rFonts w:ascii="Arial" w:eastAsia="Times New Roman" w:hAnsi="Arial" w:cs="Arial"/>
                <w:sz w:val="24"/>
                <w:szCs w:val="24"/>
                <w:lang w:eastAsia="en-GB"/>
              </w:rPr>
            </w:pPr>
            <w:r>
              <w:rPr>
                <w:rFonts w:ascii="Arial" w:eastAsia="Times New Roman" w:hAnsi="Arial" w:cs="Arial"/>
                <w:sz w:val="24"/>
                <w:szCs w:val="24"/>
                <w:lang w:eastAsia="en-GB"/>
              </w:rPr>
              <w:t>Low</w:t>
            </w:r>
          </w:p>
        </w:tc>
      </w:tr>
    </w:tbl>
    <w:p w14:paraId="36C1D50C" w14:textId="77777777" w:rsidR="007865FB" w:rsidRPr="007865FB" w:rsidRDefault="007865FB" w:rsidP="006D6060">
      <w:pPr>
        <w:pStyle w:val="ListParagraph"/>
        <w:spacing w:after="0" w:line="300" w:lineRule="atLeast"/>
        <w:rPr>
          <w:rFonts w:ascii="Arial" w:eastAsia="Times New Roman" w:hAnsi="Arial" w:cs="Arial"/>
          <w:sz w:val="24"/>
          <w:szCs w:val="24"/>
          <w:lang w:eastAsia="en-GB"/>
        </w:rPr>
      </w:pPr>
    </w:p>
    <w:p w14:paraId="74BC7CD5" w14:textId="1F14FA94" w:rsidR="003403D4" w:rsidRPr="0059221B" w:rsidRDefault="007865FB" w:rsidP="00F332B8">
      <w:pPr>
        <w:spacing w:before="100" w:beforeAutospacing="1" w:after="100" w:afterAutospacing="1" w:line="300" w:lineRule="atLeast"/>
        <w:rPr>
          <w:rFonts w:ascii="Segoe UI" w:hAnsi="Segoe UI" w:cs="Segoe UI"/>
          <w:sz w:val="21"/>
          <w:szCs w:val="21"/>
        </w:rPr>
      </w:pPr>
      <w:r w:rsidRPr="006D6060">
        <w:rPr>
          <w:rFonts w:ascii="Arial" w:eastAsia="Times New Roman" w:hAnsi="Arial" w:cs="Arial"/>
          <w:sz w:val="24"/>
          <w:szCs w:val="24"/>
          <w:lang w:eastAsia="en-GB"/>
        </w:rPr>
        <w:t>Table 1.</w:t>
      </w:r>
      <w:r w:rsidR="00F7139F">
        <w:rPr>
          <w:rFonts w:ascii="Arial" w:eastAsia="Times New Roman" w:hAnsi="Arial" w:cs="Arial"/>
          <w:sz w:val="24"/>
          <w:szCs w:val="24"/>
          <w:lang w:eastAsia="en-GB"/>
        </w:rPr>
        <w:t xml:space="preserve"> Risk </w:t>
      </w:r>
      <w:r w:rsidR="00EC684F">
        <w:rPr>
          <w:rFonts w:ascii="Arial" w:eastAsia="Times New Roman" w:hAnsi="Arial" w:cs="Arial"/>
          <w:sz w:val="24"/>
          <w:szCs w:val="24"/>
          <w:lang w:eastAsia="en-GB"/>
        </w:rPr>
        <w:t xml:space="preserve">assessment </w:t>
      </w:r>
      <w:r w:rsidR="00F7139F">
        <w:rPr>
          <w:rFonts w:ascii="Arial" w:eastAsia="Times New Roman" w:hAnsi="Arial" w:cs="Arial"/>
          <w:sz w:val="24"/>
          <w:szCs w:val="24"/>
          <w:lang w:eastAsia="en-GB"/>
        </w:rPr>
        <w:t>table.</w:t>
      </w:r>
    </w:p>
    <w:p w14:paraId="70C7052F" w14:textId="77777777" w:rsidR="00093815" w:rsidRPr="0059221B" w:rsidRDefault="003403D4" w:rsidP="0059221B">
      <w:pPr>
        <w:pStyle w:val="NormalWeb"/>
        <w:spacing w:line="480" w:lineRule="auto"/>
        <w:rPr>
          <w:rFonts w:ascii="Arial" w:hAnsi="Arial" w:cs="Arial"/>
        </w:rPr>
      </w:pPr>
      <w:r w:rsidRPr="0059221B">
        <w:rPr>
          <w:rFonts w:ascii="Arial" w:hAnsi="Arial" w:cs="Arial"/>
        </w:rPr>
        <w:t>The implementation of a digitally integrated sleep study pathway within Aneurin Bevan University Health Board (ABUHB) presents substantial opportunities for modernisation, yet it also introduces a range of technological, clinical, organisational, and patient</w:t>
      </w:r>
      <w:r w:rsidRPr="0059221B">
        <w:rPr>
          <w:rFonts w:ascii="Arial" w:hAnsi="Arial" w:cs="Arial"/>
        </w:rPr>
        <w:noBreakHyphen/>
        <w:t>related risks that require careful planning and management. A key technological challenge lies in ensuring interoperability between emerging home sleep apnoea test (HSAT) devices and existing Health Board systems. Recent analyses of advanced HSAT technologies, including systems such as the NOX</w:t>
      </w:r>
      <w:r w:rsidRPr="0059221B">
        <w:rPr>
          <w:rFonts w:ascii="Arial" w:hAnsi="Arial" w:cs="Arial"/>
        </w:rPr>
        <w:noBreakHyphen/>
        <w:t xml:space="preserve">T3s and the </w:t>
      </w:r>
      <w:proofErr w:type="spellStart"/>
      <w:r w:rsidRPr="0059221B">
        <w:rPr>
          <w:rFonts w:ascii="Arial" w:hAnsi="Arial" w:cs="Arial"/>
        </w:rPr>
        <w:t>Onera</w:t>
      </w:r>
      <w:proofErr w:type="spellEnd"/>
      <w:r w:rsidRPr="0059221B">
        <w:rPr>
          <w:rFonts w:ascii="Arial" w:hAnsi="Arial" w:cs="Arial"/>
        </w:rPr>
        <w:t xml:space="preserve"> patch</w:t>
      </w:r>
      <w:r w:rsidRPr="0059221B">
        <w:rPr>
          <w:rFonts w:ascii="Arial" w:hAnsi="Arial" w:cs="Arial"/>
        </w:rPr>
        <w:noBreakHyphen/>
        <w:t>based home polysomnography device, emphasise that these tools are increasingly reliant on wireless data transfer. While wireless data pathways can accelerate diagnostic processes, they also create vulnerabilities, such as incomplete uploads or data loss in the event of poor connectivity (</w:t>
      </w:r>
      <w:proofErr w:type="spellStart"/>
      <w:r w:rsidRPr="0059221B">
        <w:rPr>
          <w:rFonts w:ascii="Arial" w:hAnsi="Arial" w:cs="Arial"/>
        </w:rPr>
        <w:t>Taweesedt</w:t>
      </w:r>
      <w:proofErr w:type="spellEnd"/>
      <w:r w:rsidRPr="0059221B">
        <w:rPr>
          <w:rFonts w:ascii="Arial" w:hAnsi="Arial" w:cs="Arial"/>
        </w:rPr>
        <w:t xml:space="preserve">, 2025). </w:t>
      </w:r>
      <w:r w:rsidRPr="0059221B">
        <w:rPr>
          <w:rFonts w:ascii="Arial" w:hAnsi="Arial" w:cs="Arial"/>
        </w:rPr>
        <w:lastRenderedPageBreak/>
        <w:t>Ensuring robust integration and establishing fallback mechanisms</w:t>
      </w:r>
      <w:r w:rsidR="009511A6" w:rsidRPr="0059221B">
        <w:rPr>
          <w:rFonts w:ascii="Arial" w:hAnsi="Arial" w:cs="Arial"/>
        </w:rPr>
        <w:t xml:space="preserve"> </w:t>
      </w:r>
      <w:r w:rsidRPr="0059221B">
        <w:rPr>
          <w:rFonts w:ascii="Arial" w:hAnsi="Arial" w:cs="Arial"/>
        </w:rPr>
        <w:t>such as SD</w:t>
      </w:r>
      <w:r w:rsidRPr="0059221B">
        <w:rPr>
          <w:rFonts w:ascii="Arial" w:hAnsi="Arial" w:cs="Arial"/>
        </w:rPr>
        <w:noBreakHyphen/>
        <w:t>card or USB transfer options</w:t>
      </w:r>
      <w:r w:rsidR="009511A6" w:rsidRPr="0059221B">
        <w:rPr>
          <w:rFonts w:ascii="Arial" w:hAnsi="Arial" w:cs="Arial"/>
        </w:rPr>
        <w:t xml:space="preserve"> </w:t>
      </w:r>
      <w:r w:rsidRPr="0059221B">
        <w:rPr>
          <w:rFonts w:ascii="Arial" w:hAnsi="Arial" w:cs="Arial"/>
        </w:rPr>
        <w:t xml:space="preserve">will therefore be essential to maintain service continuity. </w:t>
      </w:r>
    </w:p>
    <w:p w14:paraId="778B712A" w14:textId="4A85241B" w:rsidR="003403D4" w:rsidRPr="0059221B" w:rsidRDefault="003403D4" w:rsidP="0059221B">
      <w:pPr>
        <w:pStyle w:val="NormalWeb"/>
        <w:spacing w:line="480" w:lineRule="auto"/>
        <w:rPr>
          <w:rFonts w:ascii="Arial" w:hAnsi="Arial" w:cs="Arial"/>
        </w:rPr>
      </w:pPr>
      <w:r w:rsidRPr="0059221B">
        <w:rPr>
          <w:rFonts w:ascii="Arial" w:hAnsi="Arial" w:cs="Arial"/>
        </w:rPr>
        <w:t>Another prominent technological risk concerns the use of algorithms for automated triage or screening. Systematic reviews have identified that machine</w:t>
      </w:r>
      <w:r w:rsidRPr="0059221B">
        <w:rPr>
          <w:rFonts w:ascii="Arial" w:hAnsi="Arial" w:cs="Arial"/>
        </w:rPr>
        <w:noBreakHyphen/>
        <w:t>learning models trained on narrow or unrepresentative datasets may demonstrate reduced accuracy for certain patient groups, highlighting a risk of algorithmic bias if models are not locally validated (Giorgi et al., 2025). For this reason, clinician oversight and periodic auditing of algorithm performance remain critical components of safe deployment.</w:t>
      </w:r>
    </w:p>
    <w:p w14:paraId="1F93D160" w14:textId="77777777" w:rsidR="00093815" w:rsidRPr="0059221B" w:rsidRDefault="003403D4" w:rsidP="0059221B">
      <w:pPr>
        <w:pStyle w:val="NormalWeb"/>
        <w:spacing w:line="480" w:lineRule="auto"/>
        <w:rPr>
          <w:rFonts w:ascii="Arial" w:hAnsi="Arial" w:cs="Arial"/>
        </w:rPr>
      </w:pPr>
      <w:r w:rsidRPr="0059221B">
        <w:rPr>
          <w:rFonts w:ascii="Arial" w:hAnsi="Arial" w:cs="Arial"/>
        </w:rPr>
        <w:t xml:space="preserve">Operational risks must also be considered. Introducing digital tools often temporarily disrupts established workflows and may increase workload while staff adapt to unfamiliar systems. Evidence from broader digital health literature indicates that staff may require several weeks or months to develop confidence in new technologies, and without adequate support, this period of transition can negatively affect morale. </w:t>
      </w:r>
    </w:p>
    <w:p w14:paraId="2FE5A820" w14:textId="507A2A5A" w:rsidR="00093815" w:rsidRPr="0059221B" w:rsidRDefault="003403D4" w:rsidP="0059221B">
      <w:pPr>
        <w:pStyle w:val="NormalWeb"/>
        <w:spacing w:line="480" w:lineRule="auto"/>
        <w:rPr>
          <w:rFonts w:ascii="Arial" w:hAnsi="Arial" w:cs="Arial"/>
        </w:rPr>
      </w:pPr>
      <w:r w:rsidRPr="0059221B">
        <w:rPr>
          <w:rFonts w:ascii="Arial" w:hAnsi="Arial" w:cs="Arial"/>
        </w:rPr>
        <w:t>Within the field of sleep diagnostics, practical issues also arise around patient use of home testing devices</w:t>
      </w:r>
      <w:r w:rsidR="00093815" w:rsidRPr="0059221B">
        <w:rPr>
          <w:rFonts w:ascii="Arial" w:hAnsi="Arial" w:cs="Arial"/>
        </w:rPr>
        <w:t>, the</w:t>
      </w:r>
      <w:r w:rsidRPr="0059221B">
        <w:rPr>
          <w:rFonts w:ascii="Arial" w:hAnsi="Arial" w:cs="Arial"/>
        </w:rPr>
        <w:t xml:space="preserve"> HSAT failure rates have historically been linked to difficulties in sensor placement and inadequate instruction. However, research into simplified wearable technologies suggests that improved design can mitigate these issues. Devices such as the </w:t>
      </w:r>
      <w:proofErr w:type="spellStart"/>
      <w:r w:rsidRPr="0059221B">
        <w:rPr>
          <w:rFonts w:ascii="Arial" w:hAnsi="Arial" w:cs="Arial"/>
        </w:rPr>
        <w:t>Onera</w:t>
      </w:r>
      <w:proofErr w:type="spellEnd"/>
      <w:r w:rsidRPr="0059221B">
        <w:rPr>
          <w:rFonts w:ascii="Arial" w:hAnsi="Arial" w:cs="Arial"/>
        </w:rPr>
        <w:t xml:space="preserve"> self</w:t>
      </w:r>
      <w:r w:rsidRPr="0059221B">
        <w:rPr>
          <w:rFonts w:ascii="Arial" w:hAnsi="Arial" w:cs="Arial"/>
        </w:rPr>
        <w:noBreakHyphen/>
        <w:t>adhesive PSG patch have demonstrated significantly reduced error rates and improved consistency of data capture due to streamlined application processes that are more intuitive for patients (</w:t>
      </w:r>
      <w:proofErr w:type="spellStart"/>
      <w:r w:rsidRPr="0059221B">
        <w:rPr>
          <w:rFonts w:ascii="Arial" w:hAnsi="Arial" w:cs="Arial"/>
        </w:rPr>
        <w:t>Osa</w:t>
      </w:r>
      <w:proofErr w:type="spellEnd"/>
      <w:r w:rsidRPr="0059221B">
        <w:rPr>
          <w:rFonts w:ascii="Arial" w:hAnsi="Arial" w:cs="Arial"/>
        </w:rPr>
        <w:noBreakHyphen/>
        <w:t>Sanchez et al., 2025). This evidence reinforces the importance of selecting technologies that balance diagnostic accuracy with usability. Nonetheless, even with these improvements, patient</w:t>
      </w:r>
      <w:r w:rsidRPr="0059221B">
        <w:rPr>
          <w:rFonts w:ascii="Arial" w:hAnsi="Arial" w:cs="Arial"/>
        </w:rPr>
        <w:noBreakHyphen/>
        <w:t xml:space="preserve">related risks remain. Digital exclusion is a prominent concern, </w:t>
      </w:r>
      <w:r w:rsidRPr="0059221B">
        <w:rPr>
          <w:rFonts w:ascii="Arial" w:hAnsi="Arial" w:cs="Arial"/>
        </w:rPr>
        <w:lastRenderedPageBreak/>
        <w:t xml:space="preserve">as not all patients possess the digital literacy or access required to complete online questionnaires or engage with </w:t>
      </w:r>
      <w:r w:rsidR="00093815" w:rsidRPr="0059221B">
        <w:rPr>
          <w:rFonts w:ascii="Arial" w:hAnsi="Arial" w:cs="Arial"/>
        </w:rPr>
        <w:t>video-based</w:t>
      </w:r>
      <w:r w:rsidRPr="0059221B">
        <w:rPr>
          <w:rFonts w:ascii="Arial" w:hAnsi="Arial" w:cs="Arial"/>
        </w:rPr>
        <w:t xml:space="preserve"> instructions.</w:t>
      </w:r>
    </w:p>
    <w:p w14:paraId="3B814EA5" w14:textId="489D6B9C" w:rsidR="003403D4" w:rsidRPr="0059221B" w:rsidRDefault="003403D4" w:rsidP="0059221B">
      <w:pPr>
        <w:pStyle w:val="NormalWeb"/>
        <w:spacing w:line="480" w:lineRule="auto"/>
        <w:rPr>
          <w:rFonts w:ascii="Arial" w:hAnsi="Arial" w:cs="Arial"/>
        </w:rPr>
      </w:pPr>
      <w:r w:rsidRPr="0059221B">
        <w:rPr>
          <w:rFonts w:ascii="Arial" w:hAnsi="Arial" w:cs="Arial"/>
        </w:rPr>
        <w:t>While emerging diagnostic methods</w:t>
      </w:r>
      <w:r w:rsidR="00093815" w:rsidRPr="0059221B">
        <w:rPr>
          <w:rFonts w:ascii="Arial" w:hAnsi="Arial" w:cs="Arial"/>
        </w:rPr>
        <w:t xml:space="preserve"> </w:t>
      </w:r>
      <w:r w:rsidRPr="0059221B">
        <w:rPr>
          <w:rFonts w:ascii="Arial" w:hAnsi="Arial" w:cs="Arial"/>
        </w:rPr>
        <w:t>such as smartphone</w:t>
      </w:r>
      <w:r w:rsidRPr="0059221B">
        <w:rPr>
          <w:rFonts w:ascii="Arial" w:hAnsi="Arial" w:cs="Arial"/>
        </w:rPr>
        <w:noBreakHyphen/>
        <w:t>based breath</w:t>
      </w:r>
      <w:r w:rsidR="00093815" w:rsidRPr="0059221B">
        <w:rPr>
          <w:rFonts w:ascii="Arial" w:hAnsi="Arial" w:cs="Arial"/>
        </w:rPr>
        <w:t>s</w:t>
      </w:r>
      <w:r w:rsidRPr="0059221B">
        <w:rPr>
          <w:rFonts w:ascii="Arial" w:hAnsi="Arial" w:cs="Arial"/>
        </w:rPr>
        <w:noBreakHyphen/>
        <w:t>sound analysis</w:t>
      </w:r>
      <w:r w:rsidR="00093815" w:rsidRPr="0059221B">
        <w:rPr>
          <w:rFonts w:ascii="Arial" w:hAnsi="Arial" w:cs="Arial"/>
        </w:rPr>
        <w:t xml:space="preserve"> </w:t>
      </w:r>
      <w:r w:rsidRPr="0059221B">
        <w:rPr>
          <w:rFonts w:ascii="Arial" w:hAnsi="Arial" w:cs="Arial"/>
        </w:rPr>
        <w:t>have shown excellent accuracy in predicting obstructive sleep apnoea in home environments, with sensitivity and specificity exceeding 90% (Han et al., 2024), these innovations rely on patients having compatible devices and adequate digital competence. To maintain equity, the service must therefore continue to provide alternative routes for engagement, such as telephone support or paper-based pathways.</w:t>
      </w:r>
    </w:p>
    <w:p w14:paraId="6AB2E97A" w14:textId="31EFC2EB" w:rsidR="003403D4" w:rsidRPr="0059221B" w:rsidRDefault="003403D4" w:rsidP="0059221B">
      <w:pPr>
        <w:pStyle w:val="NormalWeb"/>
        <w:spacing w:line="480" w:lineRule="auto"/>
        <w:rPr>
          <w:rFonts w:ascii="Arial" w:hAnsi="Arial" w:cs="Arial"/>
        </w:rPr>
      </w:pPr>
      <w:r w:rsidRPr="0059221B">
        <w:rPr>
          <w:rFonts w:ascii="Arial" w:hAnsi="Arial" w:cs="Arial"/>
        </w:rPr>
        <w:t>Stakeholder engagement plays a decisive role in determining the success of digital transformation, and meaningful involvement must span clinicians, patients, digital infrastructure teams, and executive leaders. Clinicians</w:t>
      </w:r>
      <w:r w:rsidR="007B5749" w:rsidRPr="0059221B">
        <w:rPr>
          <w:rFonts w:ascii="Arial" w:hAnsi="Arial" w:cs="Arial"/>
        </w:rPr>
        <w:t xml:space="preserve">, </w:t>
      </w:r>
      <w:r w:rsidRPr="0059221B">
        <w:rPr>
          <w:rFonts w:ascii="Arial" w:hAnsi="Arial" w:cs="Arial"/>
        </w:rPr>
        <w:t>particularly sleep physiologists and respiratory consultants</w:t>
      </w:r>
      <w:r w:rsidR="007B5749" w:rsidRPr="0059221B">
        <w:rPr>
          <w:rFonts w:ascii="Arial" w:hAnsi="Arial" w:cs="Arial"/>
        </w:rPr>
        <w:t xml:space="preserve"> </w:t>
      </w:r>
      <w:r w:rsidRPr="0059221B">
        <w:rPr>
          <w:rFonts w:ascii="Arial" w:hAnsi="Arial" w:cs="Arial"/>
        </w:rPr>
        <w:t>possess deep contextual knowledge of existing bottlenecks and potential risks and must therefore be involved in co</w:t>
      </w:r>
      <w:r w:rsidRPr="0059221B">
        <w:rPr>
          <w:rFonts w:ascii="Arial" w:hAnsi="Arial" w:cs="Arial"/>
        </w:rPr>
        <w:noBreakHyphen/>
        <w:t>designing digital processes, reporting templates, and triage logic. Evidence from other clinical digital implementations suggests that such co</w:t>
      </w:r>
      <w:r w:rsidRPr="0059221B">
        <w:rPr>
          <w:rFonts w:ascii="Arial" w:hAnsi="Arial" w:cs="Arial"/>
        </w:rPr>
        <w:noBreakHyphen/>
        <w:t>production reduces resistance, increases perceived ownership, and improves long</w:t>
      </w:r>
      <w:r w:rsidRPr="0059221B">
        <w:rPr>
          <w:rFonts w:ascii="Arial" w:hAnsi="Arial" w:cs="Arial"/>
        </w:rPr>
        <w:noBreakHyphen/>
        <w:t>term adoption. Patients also provide valuable insights, particularly regarding the clarity of educational materials and the usability of HSAT equipment. Studies of wearable devices have illustrated that involving patients in early usability testing enhances comprehension and reduces device failure rates, especially with simplified designs like patch</w:t>
      </w:r>
      <w:r w:rsidRPr="0059221B">
        <w:rPr>
          <w:rFonts w:ascii="Arial" w:hAnsi="Arial" w:cs="Arial"/>
        </w:rPr>
        <w:noBreakHyphen/>
        <w:t>based PSG (</w:t>
      </w:r>
      <w:proofErr w:type="spellStart"/>
      <w:r w:rsidRPr="0059221B">
        <w:rPr>
          <w:rFonts w:ascii="Arial" w:hAnsi="Arial" w:cs="Arial"/>
        </w:rPr>
        <w:t>Osa</w:t>
      </w:r>
      <w:proofErr w:type="spellEnd"/>
      <w:r w:rsidRPr="0059221B">
        <w:rPr>
          <w:rFonts w:ascii="Arial" w:hAnsi="Arial" w:cs="Arial"/>
        </w:rPr>
        <w:noBreakHyphen/>
        <w:t xml:space="preserve">Sanchez et al., 2025). Comprehensive stakeholder engagement should also include collaboration with Digital Health and Care Wales and ABUHB’s IT departments to ensure interoperability, cybersecurity, and </w:t>
      </w:r>
      <w:r w:rsidRPr="0059221B">
        <w:rPr>
          <w:rFonts w:ascii="Arial" w:hAnsi="Arial" w:cs="Arial"/>
        </w:rPr>
        <w:lastRenderedPageBreak/>
        <w:t>compliance with national data governance frameworks. Securing executive leadership buy</w:t>
      </w:r>
      <w:r w:rsidRPr="0059221B">
        <w:rPr>
          <w:rFonts w:ascii="Arial" w:hAnsi="Arial" w:cs="Arial"/>
        </w:rPr>
        <w:noBreakHyphen/>
        <w:t>in is equally vital</w:t>
      </w:r>
      <w:r w:rsidR="007B5749" w:rsidRPr="0059221B">
        <w:rPr>
          <w:rFonts w:ascii="Arial" w:hAnsi="Arial" w:cs="Arial"/>
        </w:rPr>
        <w:t>,</w:t>
      </w:r>
      <w:r w:rsidRPr="0059221B">
        <w:rPr>
          <w:rFonts w:ascii="Arial" w:hAnsi="Arial" w:cs="Arial"/>
        </w:rPr>
        <w:t xml:space="preserve"> aligning the initiative with national strategies such as </w:t>
      </w:r>
      <w:r w:rsidRPr="0059221B">
        <w:rPr>
          <w:rStyle w:val="Emphasis"/>
          <w:rFonts w:ascii="Arial" w:hAnsi="Arial" w:cs="Arial"/>
        </w:rPr>
        <w:t>A Healthier Wales</w:t>
      </w:r>
      <w:r w:rsidRPr="0059221B">
        <w:rPr>
          <w:rFonts w:ascii="Arial" w:hAnsi="Arial" w:cs="Arial"/>
        </w:rPr>
        <w:t xml:space="preserve"> reinforces its strategic value to the Health Board and supports resource allocation.</w:t>
      </w:r>
    </w:p>
    <w:p w14:paraId="16A7DFDD" w14:textId="40CBDC73" w:rsidR="007B5749" w:rsidRPr="0059221B" w:rsidRDefault="003403D4" w:rsidP="0059221B">
      <w:pPr>
        <w:pStyle w:val="NormalWeb"/>
        <w:spacing w:line="480" w:lineRule="auto"/>
        <w:rPr>
          <w:rFonts w:ascii="Arial" w:hAnsi="Arial" w:cs="Arial"/>
        </w:rPr>
      </w:pPr>
      <w:r w:rsidRPr="0059221B">
        <w:rPr>
          <w:rFonts w:ascii="Arial" w:hAnsi="Arial" w:cs="Arial"/>
        </w:rPr>
        <w:t>Beyond risk mitigation and stakeholder involvement, the initiative creates opportunities for future downstream improvements, particularly through the integration of predictive analytics. Predictive analytics, which applies machine learning and statistical modelling to large datasets, is increasingly recognised as a key enabler of population health improvement</w:t>
      </w:r>
      <w:r w:rsidR="00592377">
        <w:rPr>
          <w:rFonts w:ascii="Arial" w:hAnsi="Arial" w:cs="Arial"/>
        </w:rPr>
        <w:t xml:space="preserve"> </w:t>
      </w:r>
      <w:r w:rsidR="00592377" w:rsidRPr="00592377">
        <w:rPr>
          <w:rFonts w:ascii="Arial" w:hAnsi="Arial" w:cs="Arial"/>
        </w:rPr>
        <w:t>(Giorgi et al., 2025).</w:t>
      </w:r>
    </w:p>
    <w:p w14:paraId="6CB3EFD8" w14:textId="1259B600" w:rsidR="003403D4" w:rsidRPr="0059221B" w:rsidRDefault="003403D4" w:rsidP="0059221B">
      <w:pPr>
        <w:pStyle w:val="NormalWeb"/>
        <w:spacing w:line="480" w:lineRule="auto"/>
        <w:rPr>
          <w:rFonts w:ascii="Arial" w:hAnsi="Arial" w:cs="Arial"/>
        </w:rPr>
      </w:pPr>
      <w:r w:rsidRPr="0059221B">
        <w:rPr>
          <w:rFonts w:ascii="Arial" w:hAnsi="Arial" w:cs="Arial"/>
        </w:rPr>
        <w:t>In sleep medicine, predictive modelling has been shown to accurately identify individuals at heightened risk of undiagnosed sleep apnoea using demographic, anthropometric, and physiological data. Systematic reviews reveal that machine</w:t>
      </w:r>
      <w:r w:rsidRPr="0059221B">
        <w:rPr>
          <w:rFonts w:ascii="Arial" w:hAnsi="Arial" w:cs="Arial"/>
        </w:rPr>
        <w:noBreakHyphen/>
        <w:t>learning models analysing features such as oximetry, airflow patterns, and symptom clusters can predict OSA with high accuracy across large, diverse populations (Giorgi et al., 2025). Such tools could allow ABUHB to proactively target screening resources toward individuals or communities with elevated risk, improving early diagnosis and reducing the long</w:t>
      </w:r>
      <w:r w:rsidRPr="0059221B">
        <w:rPr>
          <w:rFonts w:ascii="Arial" w:hAnsi="Arial" w:cs="Arial"/>
        </w:rPr>
        <w:noBreakHyphen/>
        <w:t>term burden of untreated disease. Predictive analytics can also support strategic planning by forecasting demand for HSAT devices or sleep clinic follow</w:t>
      </w:r>
      <w:r w:rsidRPr="0059221B">
        <w:rPr>
          <w:rFonts w:ascii="Arial" w:hAnsi="Arial" w:cs="Arial"/>
        </w:rPr>
        <w:noBreakHyphen/>
        <w:t>up appointments, as evidenced in studies analysing datasets exceeding 100,000 patients. This forecasting capability allows services to prepare for fluctuations in demand and allocate resources efficiently.</w:t>
      </w:r>
    </w:p>
    <w:p w14:paraId="4E051B58" w14:textId="577FDB4C" w:rsidR="003403D4" w:rsidRPr="00773C68" w:rsidRDefault="003403D4" w:rsidP="00773C68">
      <w:pPr>
        <w:spacing w:line="480" w:lineRule="auto"/>
        <w:rPr>
          <w:rFonts w:ascii="Segoe UI" w:eastAsia="Times New Roman" w:hAnsi="Segoe UI" w:cs="Segoe UI"/>
          <w:sz w:val="21"/>
          <w:szCs w:val="21"/>
          <w:lang w:eastAsia="en-GB"/>
        </w:rPr>
      </w:pPr>
      <w:r w:rsidRPr="0059221B">
        <w:rPr>
          <w:rFonts w:ascii="Arial" w:hAnsi="Arial" w:cs="Arial"/>
          <w:sz w:val="24"/>
          <w:szCs w:val="24"/>
        </w:rPr>
        <w:t>Predictive analytics further supports proactive and personalised care. For example, longitudinal data collected through multi</w:t>
      </w:r>
      <w:r w:rsidRPr="0059221B">
        <w:rPr>
          <w:rFonts w:ascii="Arial" w:hAnsi="Arial" w:cs="Arial"/>
          <w:sz w:val="24"/>
          <w:szCs w:val="24"/>
        </w:rPr>
        <w:noBreakHyphen/>
        <w:t xml:space="preserve">night wearable sensors can identify fluctuations in sleep-disordered breathing severity, enabling clinicians to intervene </w:t>
      </w:r>
      <w:r w:rsidRPr="0059221B">
        <w:rPr>
          <w:rFonts w:ascii="Arial" w:hAnsi="Arial" w:cs="Arial"/>
          <w:sz w:val="24"/>
          <w:szCs w:val="24"/>
        </w:rPr>
        <w:lastRenderedPageBreak/>
        <w:t>earlier in cases where symptoms may worsen over time. Wearable sensor research demonstrates that multi</w:t>
      </w:r>
      <w:r w:rsidRPr="0059221B">
        <w:rPr>
          <w:rFonts w:ascii="Arial" w:hAnsi="Arial" w:cs="Arial"/>
          <w:sz w:val="24"/>
          <w:szCs w:val="24"/>
        </w:rPr>
        <w:noBreakHyphen/>
        <w:t>night home monitoring provides richer and more representative data than single-night studies, making it well-suited for long-term population health tracking (</w:t>
      </w:r>
      <w:proofErr w:type="spellStart"/>
      <w:r w:rsidRPr="0059221B">
        <w:rPr>
          <w:rFonts w:ascii="Arial" w:hAnsi="Arial" w:cs="Arial"/>
          <w:sz w:val="24"/>
          <w:szCs w:val="24"/>
        </w:rPr>
        <w:t>Osa</w:t>
      </w:r>
      <w:proofErr w:type="spellEnd"/>
      <w:r w:rsidRPr="0059221B">
        <w:rPr>
          <w:rFonts w:ascii="Arial" w:hAnsi="Arial" w:cs="Arial"/>
          <w:sz w:val="24"/>
          <w:szCs w:val="24"/>
        </w:rPr>
        <w:noBreakHyphen/>
        <w:t>Sanchez et al., 2025). Additionally, predictive tools can identify patterns associated with CPAP non</w:t>
      </w:r>
      <w:r w:rsidRPr="0059221B">
        <w:rPr>
          <w:rFonts w:ascii="Arial" w:hAnsi="Arial" w:cs="Arial"/>
          <w:sz w:val="24"/>
          <w:szCs w:val="24"/>
        </w:rPr>
        <w:noBreakHyphen/>
        <w:t xml:space="preserve">adherence, enabling targeted interventions for those most at risk of treatment failure. </w:t>
      </w:r>
      <w:r w:rsidRPr="007B254F">
        <w:rPr>
          <w:rFonts w:ascii="Arial" w:hAnsi="Arial" w:cs="Arial"/>
          <w:sz w:val="24"/>
          <w:szCs w:val="24"/>
        </w:rPr>
        <w:t>These applications align with the broader healthcare shift toward preventative, data</w:t>
      </w:r>
      <w:r w:rsidRPr="007B254F">
        <w:rPr>
          <w:rFonts w:ascii="Arial" w:hAnsi="Arial" w:cs="Arial"/>
          <w:sz w:val="24"/>
          <w:szCs w:val="24"/>
        </w:rPr>
        <w:noBreakHyphen/>
        <w:t xml:space="preserve">driven models of </w:t>
      </w:r>
      <w:r w:rsidRPr="00773C68">
        <w:rPr>
          <w:rFonts w:ascii="Arial" w:hAnsi="Arial" w:cs="Arial"/>
          <w:sz w:val="24"/>
          <w:szCs w:val="24"/>
        </w:rPr>
        <w:t>care</w:t>
      </w:r>
      <w:r w:rsidR="00773C68" w:rsidRPr="00773C68">
        <w:rPr>
          <w:rFonts w:ascii="Arial" w:hAnsi="Arial" w:cs="Arial"/>
          <w:sz w:val="24"/>
          <w:szCs w:val="24"/>
        </w:rPr>
        <w:t xml:space="preserve"> </w:t>
      </w:r>
      <w:r w:rsidR="00773C68" w:rsidRPr="00773C68">
        <w:rPr>
          <w:rFonts w:ascii="Arial" w:eastAsia="Times New Roman" w:hAnsi="Arial" w:cs="Arial"/>
          <w:sz w:val="24"/>
          <w:szCs w:val="24"/>
          <w:lang w:eastAsia="en-GB"/>
        </w:rPr>
        <w:t>(Bai, 2026)</w:t>
      </w:r>
      <w:r w:rsidR="00773C68">
        <w:rPr>
          <w:rFonts w:ascii="Arial" w:eastAsia="Times New Roman" w:hAnsi="Arial" w:cs="Arial"/>
          <w:sz w:val="24"/>
          <w:szCs w:val="24"/>
          <w:lang w:eastAsia="en-GB"/>
        </w:rPr>
        <w:t>.</w:t>
      </w:r>
    </w:p>
    <w:p w14:paraId="34F6CBC5" w14:textId="3C2CA8FD" w:rsidR="003403D4" w:rsidRPr="0059221B" w:rsidRDefault="003403D4" w:rsidP="0059221B">
      <w:pPr>
        <w:pStyle w:val="NormalWeb"/>
        <w:spacing w:line="480" w:lineRule="auto"/>
        <w:rPr>
          <w:rFonts w:ascii="Arial" w:hAnsi="Arial" w:cs="Arial"/>
        </w:rPr>
      </w:pPr>
      <w:r w:rsidRPr="0059221B">
        <w:rPr>
          <w:rFonts w:ascii="Arial" w:hAnsi="Arial" w:cs="Arial"/>
        </w:rPr>
        <w:t>Finally, a digitally integrated pathway lays the groundwork for AI-assisted sleep study interpretation. Evidence indicates that deep-learning algorithms can detect respiratory events, micro-arousals, and oximetry abnormalities with accuracy comparable to expert scorers, with potential to reduce manual scoring times and enhance consistency in reporting (Giorgi et al., 2025). With appropriate governance, these tools could be trialled within ABUHB once the digital infrastructure is fully established. Moreover, the principles underpinning this initiative</w:t>
      </w:r>
      <w:r w:rsidR="007B5749" w:rsidRPr="0059221B">
        <w:rPr>
          <w:rFonts w:ascii="Arial" w:hAnsi="Arial" w:cs="Arial"/>
        </w:rPr>
        <w:t xml:space="preserve"> </w:t>
      </w:r>
      <w:r w:rsidRPr="0059221B">
        <w:rPr>
          <w:rFonts w:ascii="Arial" w:hAnsi="Arial" w:cs="Arial"/>
        </w:rPr>
        <w:t>streamlined digital triage, integrated data capture, predictive analytics</w:t>
      </w:r>
      <w:r w:rsidR="007B5749" w:rsidRPr="0059221B">
        <w:rPr>
          <w:rFonts w:ascii="Arial" w:hAnsi="Arial" w:cs="Arial"/>
        </w:rPr>
        <w:t xml:space="preserve"> </w:t>
      </w:r>
      <w:r w:rsidRPr="0059221B">
        <w:rPr>
          <w:rFonts w:ascii="Arial" w:hAnsi="Arial" w:cs="Arial"/>
        </w:rPr>
        <w:t>are transferable across other physiology services, including ambulatory ECG analysis, respiratory function testing, and remote chronic disease monitoring. This highlights the broader strategic potential of the project to drive digital transformation beyond sleep medicine and contribute to a more efficient, patient</w:t>
      </w:r>
      <w:r w:rsidRPr="0059221B">
        <w:rPr>
          <w:rFonts w:ascii="Arial" w:hAnsi="Arial" w:cs="Arial"/>
        </w:rPr>
        <w:noBreakHyphen/>
        <w:t>centred, and data</w:t>
      </w:r>
      <w:r w:rsidRPr="0059221B">
        <w:rPr>
          <w:rFonts w:ascii="Arial" w:hAnsi="Arial" w:cs="Arial"/>
        </w:rPr>
        <w:noBreakHyphen/>
        <w:t>driven diagnostic service across the Health Board.</w:t>
      </w:r>
    </w:p>
    <w:p w14:paraId="4E9E2240" w14:textId="35AB0040" w:rsidR="003403D4" w:rsidRDefault="003403D4" w:rsidP="00FA1244">
      <w:pPr>
        <w:spacing w:line="480" w:lineRule="auto"/>
        <w:rPr>
          <w:rFonts w:ascii="Arial" w:hAnsi="Arial" w:cs="Arial"/>
          <w:b/>
          <w:bCs/>
          <w:sz w:val="28"/>
          <w:szCs w:val="28"/>
          <w:u w:val="single"/>
        </w:rPr>
      </w:pPr>
      <w:r w:rsidRPr="003403D4">
        <w:rPr>
          <w:rFonts w:ascii="Arial" w:hAnsi="Arial" w:cs="Arial"/>
          <w:b/>
          <w:bCs/>
          <w:sz w:val="28"/>
          <w:szCs w:val="28"/>
          <w:u w:val="single"/>
        </w:rPr>
        <w:t>References</w:t>
      </w:r>
    </w:p>
    <w:p w14:paraId="78BD64A1" w14:textId="0C9EABA6" w:rsidR="003403D4" w:rsidRDefault="003403D4" w:rsidP="00FA1244">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lastRenderedPageBreak/>
        <w:t xml:space="preserve">American Academy of Sleep Medicine (2023–2025) </w:t>
      </w:r>
      <w:r w:rsidRPr="003403D4">
        <w:rPr>
          <w:rFonts w:ascii="Arial" w:eastAsia="Times New Roman" w:hAnsi="Arial" w:cs="Arial"/>
          <w:i/>
          <w:iCs/>
          <w:sz w:val="24"/>
          <w:szCs w:val="24"/>
          <w:lang w:eastAsia="en-GB"/>
        </w:rPr>
        <w:t>Practice guidelines and clinical resources</w:t>
      </w:r>
      <w:r w:rsidRPr="003403D4">
        <w:rPr>
          <w:rFonts w:ascii="Arial" w:eastAsia="Times New Roman" w:hAnsi="Arial" w:cs="Arial"/>
          <w:sz w:val="24"/>
          <w:szCs w:val="24"/>
          <w:lang w:eastAsia="en-GB"/>
        </w:rPr>
        <w:t xml:space="preserve">. Available at: https://aasm.org/clinical-resources/practice-standards/practice-guidelines/ (Accessed </w:t>
      </w:r>
      <w:r>
        <w:rPr>
          <w:rFonts w:ascii="Arial" w:eastAsia="Times New Roman" w:hAnsi="Arial" w:cs="Arial"/>
          <w:sz w:val="24"/>
          <w:szCs w:val="24"/>
          <w:lang w:eastAsia="en-GB"/>
        </w:rPr>
        <w:t>1</w:t>
      </w:r>
      <w:r w:rsidRPr="003403D4">
        <w:rPr>
          <w:rFonts w:ascii="Arial" w:eastAsia="Times New Roman" w:hAnsi="Arial" w:cs="Arial"/>
          <w:sz w:val="24"/>
          <w:szCs w:val="24"/>
          <w:lang w:eastAsia="en-GB"/>
        </w:rPr>
        <w:t xml:space="preserve"> March 2026). </w:t>
      </w:r>
    </w:p>
    <w:p w14:paraId="10DF3BF7" w14:textId="77777777" w:rsidR="003403D4" w:rsidRPr="003403D4" w:rsidRDefault="003403D4" w:rsidP="00FA1244">
      <w:pPr>
        <w:spacing w:after="0" w:line="480" w:lineRule="auto"/>
        <w:rPr>
          <w:rFonts w:ascii="Arial" w:eastAsia="Times New Roman" w:hAnsi="Arial" w:cs="Arial"/>
          <w:sz w:val="24"/>
          <w:szCs w:val="24"/>
          <w:lang w:eastAsia="en-GB"/>
        </w:rPr>
      </w:pPr>
    </w:p>
    <w:p w14:paraId="14CA7B23" w14:textId="79FF8C74" w:rsidR="003403D4" w:rsidRDefault="003403D4" w:rsidP="00FA1244">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 xml:space="preserve">Aneurin Bevan University Health Board (n.d.) </w:t>
      </w:r>
      <w:r w:rsidRPr="003403D4">
        <w:rPr>
          <w:rFonts w:ascii="Arial" w:eastAsia="Times New Roman" w:hAnsi="Arial" w:cs="Arial"/>
          <w:i/>
          <w:iCs/>
          <w:sz w:val="24"/>
          <w:szCs w:val="24"/>
          <w:lang w:eastAsia="en-GB"/>
        </w:rPr>
        <w:t>Caring for you and your future: Clinical Futures</w:t>
      </w:r>
      <w:r w:rsidRPr="003403D4">
        <w:rPr>
          <w:rFonts w:ascii="Arial" w:eastAsia="Times New Roman" w:hAnsi="Arial" w:cs="Arial"/>
          <w:sz w:val="24"/>
          <w:szCs w:val="24"/>
          <w:lang w:eastAsia="en-GB"/>
        </w:rPr>
        <w:t xml:space="preserve">. Available at: https://abuhb.nhs.wales/clinical-futures/caring-for-you-and-your-future/ (Accessed </w:t>
      </w:r>
      <w:r>
        <w:rPr>
          <w:rFonts w:ascii="Arial" w:eastAsia="Times New Roman" w:hAnsi="Arial" w:cs="Arial"/>
          <w:sz w:val="24"/>
          <w:szCs w:val="24"/>
          <w:lang w:eastAsia="en-GB"/>
        </w:rPr>
        <w:t>1</w:t>
      </w:r>
      <w:r w:rsidRPr="003403D4">
        <w:rPr>
          <w:rFonts w:ascii="Arial" w:eastAsia="Times New Roman" w:hAnsi="Arial" w:cs="Arial"/>
          <w:sz w:val="24"/>
          <w:szCs w:val="24"/>
          <w:lang w:eastAsia="en-GB"/>
        </w:rPr>
        <w:t xml:space="preserve"> March 2026). </w:t>
      </w:r>
    </w:p>
    <w:p w14:paraId="68EE6CD2" w14:textId="77777777" w:rsidR="003403D4" w:rsidRDefault="003403D4" w:rsidP="00FA1244">
      <w:pPr>
        <w:spacing w:after="0" w:line="480" w:lineRule="auto"/>
        <w:rPr>
          <w:rFonts w:ascii="Arial" w:eastAsia="Times New Roman" w:hAnsi="Arial" w:cs="Arial"/>
          <w:sz w:val="24"/>
          <w:szCs w:val="24"/>
          <w:lang w:eastAsia="en-GB"/>
        </w:rPr>
      </w:pPr>
    </w:p>
    <w:p w14:paraId="36E2B0ED" w14:textId="0574B272" w:rsidR="003403D4" w:rsidRPr="003403D4" w:rsidRDefault="003403D4" w:rsidP="00FA1244">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 xml:space="preserve">Giorgi, L., Nardelli, D., </w:t>
      </w:r>
      <w:proofErr w:type="spellStart"/>
      <w:r w:rsidRPr="003403D4">
        <w:rPr>
          <w:rFonts w:ascii="Arial" w:eastAsia="Times New Roman" w:hAnsi="Arial" w:cs="Arial"/>
          <w:sz w:val="24"/>
          <w:szCs w:val="24"/>
          <w:lang w:eastAsia="en-GB"/>
        </w:rPr>
        <w:t>Moffa</w:t>
      </w:r>
      <w:proofErr w:type="spellEnd"/>
      <w:r w:rsidRPr="003403D4">
        <w:rPr>
          <w:rFonts w:ascii="Arial" w:eastAsia="Times New Roman" w:hAnsi="Arial" w:cs="Arial"/>
          <w:sz w:val="24"/>
          <w:szCs w:val="24"/>
          <w:lang w:eastAsia="en-GB"/>
        </w:rPr>
        <w:t xml:space="preserve">, A., </w:t>
      </w:r>
      <w:proofErr w:type="spellStart"/>
      <w:r w:rsidRPr="003403D4">
        <w:rPr>
          <w:rFonts w:ascii="Arial" w:eastAsia="Times New Roman" w:hAnsi="Arial" w:cs="Arial"/>
          <w:sz w:val="24"/>
          <w:szCs w:val="24"/>
          <w:lang w:eastAsia="en-GB"/>
        </w:rPr>
        <w:t>Iafrati</w:t>
      </w:r>
      <w:proofErr w:type="spellEnd"/>
      <w:r w:rsidRPr="003403D4">
        <w:rPr>
          <w:rFonts w:ascii="Arial" w:eastAsia="Times New Roman" w:hAnsi="Arial" w:cs="Arial"/>
          <w:sz w:val="24"/>
          <w:szCs w:val="24"/>
          <w:lang w:eastAsia="en-GB"/>
        </w:rPr>
        <w:t xml:space="preserve">, F., Di Giovanni, S., </w:t>
      </w:r>
      <w:proofErr w:type="spellStart"/>
      <w:r w:rsidRPr="003403D4">
        <w:rPr>
          <w:rFonts w:ascii="Arial" w:eastAsia="Times New Roman" w:hAnsi="Arial" w:cs="Arial"/>
          <w:sz w:val="24"/>
          <w:szCs w:val="24"/>
          <w:lang w:eastAsia="en-GB"/>
        </w:rPr>
        <w:t>Olszewska</w:t>
      </w:r>
      <w:proofErr w:type="spellEnd"/>
      <w:r w:rsidRPr="003403D4">
        <w:rPr>
          <w:rFonts w:ascii="Arial" w:eastAsia="Times New Roman" w:hAnsi="Arial" w:cs="Arial"/>
          <w:sz w:val="24"/>
          <w:szCs w:val="24"/>
          <w:lang w:eastAsia="en-GB"/>
        </w:rPr>
        <w:t xml:space="preserve">, E., Baptista, P., </w:t>
      </w:r>
      <w:proofErr w:type="spellStart"/>
      <w:r w:rsidRPr="003403D4">
        <w:rPr>
          <w:rFonts w:ascii="Arial" w:eastAsia="Times New Roman" w:hAnsi="Arial" w:cs="Arial"/>
          <w:sz w:val="24"/>
          <w:szCs w:val="24"/>
          <w:lang w:eastAsia="en-GB"/>
        </w:rPr>
        <w:t>Sabatino</w:t>
      </w:r>
      <w:proofErr w:type="spellEnd"/>
      <w:r w:rsidRPr="003403D4">
        <w:rPr>
          <w:rFonts w:ascii="Arial" w:eastAsia="Times New Roman" w:hAnsi="Arial" w:cs="Arial"/>
          <w:sz w:val="24"/>
          <w:szCs w:val="24"/>
          <w:lang w:eastAsia="en-GB"/>
        </w:rPr>
        <w:t xml:space="preserve">, L. and </w:t>
      </w:r>
      <w:proofErr w:type="spellStart"/>
      <w:r w:rsidRPr="003403D4">
        <w:rPr>
          <w:rFonts w:ascii="Arial" w:eastAsia="Times New Roman" w:hAnsi="Arial" w:cs="Arial"/>
          <w:sz w:val="24"/>
          <w:szCs w:val="24"/>
          <w:lang w:eastAsia="en-GB"/>
        </w:rPr>
        <w:t>Casale</w:t>
      </w:r>
      <w:proofErr w:type="spellEnd"/>
      <w:r w:rsidRPr="003403D4">
        <w:rPr>
          <w:rFonts w:ascii="Arial" w:eastAsia="Times New Roman" w:hAnsi="Arial" w:cs="Arial"/>
          <w:sz w:val="24"/>
          <w:szCs w:val="24"/>
          <w:lang w:eastAsia="en-GB"/>
        </w:rPr>
        <w:t xml:space="preserve">, M. (2025) ‘Advancements in obstructive sleep apnoea diagnosis and screening through artificial intelligence: a systematic review’, </w:t>
      </w:r>
      <w:r w:rsidRPr="003403D4">
        <w:rPr>
          <w:rFonts w:ascii="Arial" w:eastAsia="Times New Roman" w:hAnsi="Arial" w:cs="Arial"/>
          <w:i/>
          <w:iCs/>
          <w:sz w:val="24"/>
          <w:szCs w:val="24"/>
          <w:lang w:eastAsia="en-GB"/>
        </w:rPr>
        <w:t>Healthcare</w:t>
      </w:r>
      <w:r w:rsidRPr="003403D4">
        <w:rPr>
          <w:rFonts w:ascii="Arial" w:eastAsia="Times New Roman" w:hAnsi="Arial" w:cs="Arial"/>
          <w:sz w:val="24"/>
          <w:szCs w:val="24"/>
          <w:lang w:eastAsia="en-GB"/>
        </w:rPr>
        <w:t xml:space="preserve">, 13(2), 181. </w:t>
      </w:r>
    </w:p>
    <w:p w14:paraId="40FE3F56" w14:textId="77777777" w:rsidR="003403D4" w:rsidRDefault="003403D4" w:rsidP="00FA1244">
      <w:pPr>
        <w:spacing w:after="0" w:line="480" w:lineRule="auto"/>
        <w:rPr>
          <w:rFonts w:ascii="Arial" w:eastAsia="Times New Roman" w:hAnsi="Arial" w:cs="Arial"/>
          <w:sz w:val="24"/>
          <w:szCs w:val="24"/>
          <w:lang w:eastAsia="en-GB"/>
        </w:rPr>
      </w:pPr>
    </w:p>
    <w:p w14:paraId="2C841589" w14:textId="4F7B705A" w:rsidR="003403D4" w:rsidRDefault="003403D4" w:rsidP="00FA1244">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Han, S.C., Kim, D., Rhee, C</w:t>
      </w:r>
      <w:r w:rsidRPr="003403D4">
        <w:rPr>
          <w:rFonts w:ascii="Arial" w:eastAsia="Times New Roman" w:hAnsi="Arial" w:cs="Arial"/>
          <w:sz w:val="24"/>
          <w:szCs w:val="24"/>
          <w:lang w:eastAsia="en-GB"/>
        </w:rPr>
        <w:noBreakHyphen/>
        <w:t>S. et al. (2024) ‘In</w:t>
      </w:r>
      <w:r w:rsidRPr="003403D4">
        <w:rPr>
          <w:rFonts w:ascii="Arial" w:eastAsia="Times New Roman" w:hAnsi="Arial" w:cs="Arial"/>
          <w:sz w:val="24"/>
          <w:szCs w:val="24"/>
          <w:lang w:eastAsia="en-GB"/>
        </w:rPr>
        <w:noBreakHyphen/>
        <w:t>home smartphone</w:t>
      </w:r>
      <w:r w:rsidRPr="003403D4">
        <w:rPr>
          <w:rFonts w:ascii="Arial" w:eastAsia="Times New Roman" w:hAnsi="Arial" w:cs="Arial"/>
          <w:sz w:val="24"/>
          <w:szCs w:val="24"/>
          <w:lang w:eastAsia="en-GB"/>
        </w:rPr>
        <w:noBreakHyphen/>
        <w:t>based prediction of obstructive sleep apnoea in conjunction with level</w:t>
      </w:r>
      <w:r w:rsidRPr="003403D4">
        <w:rPr>
          <w:rFonts w:ascii="Arial" w:eastAsia="Times New Roman" w:hAnsi="Arial" w:cs="Arial"/>
          <w:sz w:val="24"/>
          <w:szCs w:val="24"/>
          <w:lang w:eastAsia="en-GB"/>
        </w:rPr>
        <w:noBreakHyphen/>
        <w:t xml:space="preserve">2 home polysomnography’, </w:t>
      </w:r>
      <w:r w:rsidRPr="003403D4">
        <w:rPr>
          <w:rFonts w:ascii="Arial" w:eastAsia="Times New Roman" w:hAnsi="Arial" w:cs="Arial"/>
          <w:i/>
          <w:iCs/>
          <w:sz w:val="24"/>
          <w:szCs w:val="24"/>
          <w:lang w:eastAsia="en-GB"/>
        </w:rPr>
        <w:t>JAMA Otolaryngology–Head &amp; Neck Surgery</w:t>
      </w:r>
      <w:r w:rsidRPr="003403D4">
        <w:rPr>
          <w:rFonts w:ascii="Arial" w:eastAsia="Times New Roman" w:hAnsi="Arial" w:cs="Arial"/>
          <w:sz w:val="24"/>
          <w:szCs w:val="24"/>
          <w:lang w:eastAsia="en-GB"/>
        </w:rPr>
        <w:t>, 150(1), pp. 22–29.</w:t>
      </w:r>
    </w:p>
    <w:p w14:paraId="0A8A073F" w14:textId="77777777" w:rsidR="003403D4" w:rsidRDefault="003403D4" w:rsidP="00FA1244">
      <w:pPr>
        <w:spacing w:after="0" w:line="480" w:lineRule="auto"/>
        <w:rPr>
          <w:rFonts w:ascii="Arial" w:eastAsia="Times New Roman" w:hAnsi="Arial" w:cs="Arial"/>
          <w:sz w:val="24"/>
          <w:szCs w:val="24"/>
          <w:lang w:eastAsia="en-GB"/>
        </w:rPr>
      </w:pPr>
    </w:p>
    <w:p w14:paraId="52857423" w14:textId="73C665D2" w:rsidR="003403D4" w:rsidRPr="003403D4" w:rsidRDefault="003403D4" w:rsidP="00FA1244">
      <w:pPr>
        <w:spacing w:after="0" w:line="480" w:lineRule="auto"/>
        <w:rPr>
          <w:rFonts w:ascii="Arial" w:eastAsia="Times New Roman" w:hAnsi="Arial" w:cs="Arial"/>
          <w:sz w:val="24"/>
          <w:szCs w:val="24"/>
          <w:lang w:eastAsia="en-GB"/>
        </w:rPr>
      </w:pPr>
      <w:proofErr w:type="spellStart"/>
      <w:r w:rsidRPr="003403D4">
        <w:rPr>
          <w:rFonts w:ascii="Arial" w:eastAsia="Times New Roman" w:hAnsi="Arial" w:cs="Arial"/>
          <w:sz w:val="24"/>
          <w:szCs w:val="24"/>
          <w:lang w:eastAsia="en-GB"/>
        </w:rPr>
        <w:t>Kholoane</w:t>
      </w:r>
      <w:proofErr w:type="spellEnd"/>
      <w:r w:rsidRPr="003403D4">
        <w:rPr>
          <w:rFonts w:ascii="Arial" w:eastAsia="Times New Roman" w:hAnsi="Arial" w:cs="Arial"/>
          <w:sz w:val="24"/>
          <w:szCs w:val="24"/>
          <w:lang w:eastAsia="en-GB"/>
        </w:rPr>
        <w:t xml:space="preserve">, L., Baran, C., Gandhi, Z.J. and Naik, S. (2023) ‘Home sleep apnoea testing: how far did we come with diagnosing and treating sleep apnoea at home?’, </w:t>
      </w:r>
      <w:r w:rsidRPr="003403D4">
        <w:rPr>
          <w:rFonts w:ascii="Arial" w:eastAsia="Times New Roman" w:hAnsi="Arial" w:cs="Arial"/>
          <w:i/>
          <w:iCs/>
          <w:sz w:val="24"/>
          <w:szCs w:val="24"/>
          <w:lang w:eastAsia="en-GB"/>
        </w:rPr>
        <w:t>CHEST</w:t>
      </w:r>
      <w:r w:rsidRPr="003403D4">
        <w:rPr>
          <w:rFonts w:ascii="Arial" w:eastAsia="Times New Roman" w:hAnsi="Arial" w:cs="Arial"/>
          <w:sz w:val="24"/>
          <w:szCs w:val="24"/>
          <w:lang w:eastAsia="en-GB"/>
        </w:rPr>
        <w:t>, 164(4), A6295.</w:t>
      </w:r>
    </w:p>
    <w:p w14:paraId="5FE4E980" w14:textId="77777777" w:rsidR="003403D4" w:rsidRDefault="003403D4" w:rsidP="00FA1244">
      <w:pPr>
        <w:spacing w:after="0" w:line="480" w:lineRule="auto"/>
        <w:rPr>
          <w:rFonts w:ascii="Arial" w:eastAsia="Times New Roman" w:hAnsi="Arial" w:cs="Arial"/>
          <w:sz w:val="24"/>
          <w:szCs w:val="24"/>
          <w:lang w:eastAsia="en-GB"/>
        </w:rPr>
      </w:pPr>
    </w:p>
    <w:p w14:paraId="64C54A57" w14:textId="026F8212" w:rsidR="003403D4" w:rsidRPr="003403D4" w:rsidRDefault="003403D4" w:rsidP="00FA1244">
      <w:pPr>
        <w:spacing w:after="0" w:line="480" w:lineRule="auto"/>
        <w:rPr>
          <w:rFonts w:ascii="Arial" w:eastAsia="Times New Roman" w:hAnsi="Arial" w:cs="Arial"/>
          <w:sz w:val="24"/>
          <w:szCs w:val="24"/>
          <w:lang w:eastAsia="en-GB"/>
        </w:rPr>
      </w:pPr>
      <w:proofErr w:type="spellStart"/>
      <w:r w:rsidRPr="003403D4">
        <w:rPr>
          <w:rFonts w:ascii="Arial" w:eastAsia="Times New Roman" w:hAnsi="Arial" w:cs="Arial"/>
          <w:sz w:val="24"/>
          <w:szCs w:val="24"/>
          <w:lang w:eastAsia="en-GB"/>
        </w:rPr>
        <w:t>Osa</w:t>
      </w:r>
      <w:proofErr w:type="spellEnd"/>
      <w:r w:rsidRPr="003403D4">
        <w:rPr>
          <w:rFonts w:ascii="Arial" w:eastAsia="Times New Roman" w:hAnsi="Arial" w:cs="Arial"/>
          <w:sz w:val="24"/>
          <w:szCs w:val="24"/>
          <w:lang w:eastAsia="en-GB"/>
        </w:rPr>
        <w:noBreakHyphen/>
        <w:t>Sanchez, A., Ramos</w:t>
      </w:r>
      <w:r w:rsidRPr="003403D4">
        <w:rPr>
          <w:rFonts w:ascii="Arial" w:eastAsia="Times New Roman" w:hAnsi="Arial" w:cs="Arial"/>
          <w:sz w:val="24"/>
          <w:szCs w:val="24"/>
          <w:lang w:eastAsia="en-GB"/>
        </w:rPr>
        <w:noBreakHyphen/>
        <w:t>Martinez</w:t>
      </w:r>
      <w:r w:rsidRPr="003403D4">
        <w:rPr>
          <w:rFonts w:ascii="Arial" w:eastAsia="Times New Roman" w:hAnsi="Arial" w:cs="Arial"/>
          <w:sz w:val="24"/>
          <w:szCs w:val="24"/>
          <w:lang w:eastAsia="en-GB"/>
        </w:rPr>
        <w:noBreakHyphen/>
        <w:t>de</w:t>
      </w:r>
      <w:r w:rsidRPr="003403D4">
        <w:rPr>
          <w:rFonts w:ascii="Arial" w:eastAsia="Times New Roman" w:hAnsi="Arial" w:cs="Arial"/>
          <w:sz w:val="24"/>
          <w:szCs w:val="24"/>
          <w:lang w:eastAsia="en-GB"/>
        </w:rPr>
        <w:noBreakHyphen/>
        <w:t>Soria, J., Mendez</w:t>
      </w:r>
      <w:r w:rsidRPr="003403D4">
        <w:rPr>
          <w:rFonts w:ascii="Arial" w:eastAsia="Times New Roman" w:hAnsi="Arial" w:cs="Arial"/>
          <w:sz w:val="24"/>
          <w:szCs w:val="24"/>
          <w:lang w:eastAsia="en-GB"/>
        </w:rPr>
        <w:noBreakHyphen/>
      </w:r>
      <w:proofErr w:type="spellStart"/>
      <w:r w:rsidRPr="003403D4">
        <w:rPr>
          <w:rFonts w:ascii="Arial" w:eastAsia="Times New Roman" w:hAnsi="Arial" w:cs="Arial"/>
          <w:sz w:val="24"/>
          <w:szCs w:val="24"/>
          <w:lang w:eastAsia="en-GB"/>
        </w:rPr>
        <w:t>Zorrilla</w:t>
      </w:r>
      <w:proofErr w:type="spellEnd"/>
      <w:r w:rsidRPr="003403D4">
        <w:rPr>
          <w:rFonts w:ascii="Arial" w:eastAsia="Times New Roman" w:hAnsi="Arial" w:cs="Arial"/>
          <w:sz w:val="24"/>
          <w:szCs w:val="24"/>
          <w:lang w:eastAsia="en-GB"/>
        </w:rPr>
        <w:t xml:space="preserve">, A., </w:t>
      </w:r>
      <w:proofErr w:type="spellStart"/>
      <w:r w:rsidRPr="003403D4">
        <w:rPr>
          <w:rFonts w:ascii="Arial" w:eastAsia="Times New Roman" w:hAnsi="Arial" w:cs="Arial"/>
          <w:sz w:val="24"/>
          <w:szCs w:val="24"/>
          <w:lang w:eastAsia="en-GB"/>
        </w:rPr>
        <w:t>Oleagordia</w:t>
      </w:r>
      <w:proofErr w:type="spellEnd"/>
      <w:r w:rsidRPr="003403D4">
        <w:rPr>
          <w:rFonts w:ascii="Arial" w:eastAsia="Times New Roman" w:hAnsi="Arial" w:cs="Arial"/>
          <w:sz w:val="24"/>
          <w:szCs w:val="24"/>
          <w:lang w:eastAsia="en-GB"/>
        </w:rPr>
        <w:t xml:space="preserve"> Ruiz, I. and Garcia</w:t>
      </w:r>
      <w:r w:rsidRPr="003403D4">
        <w:rPr>
          <w:rFonts w:ascii="Arial" w:eastAsia="Times New Roman" w:hAnsi="Arial" w:cs="Arial"/>
          <w:sz w:val="24"/>
          <w:szCs w:val="24"/>
          <w:lang w:eastAsia="en-GB"/>
        </w:rPr>
        <w:noBreakHyphen/>
      </w:r>
      <w:proofErr w:type="spellStart"/>
      <w:r w:rsidRPr="003403D4">
        <w:rPr>
          <w:rFonts w:ascii="Arial" w:eastAsia="Times New Roman" w:hAnsi="Arial" w:cs="Arial"/>
          <w:sz w:val="24"/>
          <w:szCs w:val="24"/>
          <w:lang w:eastAsia="en-GB"/>
        </w:rPr>
        <w:t>Zapirain</w:t>
      </w:r>
      <w:proofErr w:type="spellEnd"/>
      <w:r w:rsidRPr="003403D4">
        <w:rPr>
          <w:rFonts w:ascii="Arial" w:eastAsia="Times New Roman" w:hAnsi="Arial" w:cs="Arial"/>
          <w:sz w:val="24"/>
          <w:szCs w:val="24"/>
          <w:lang w:eastAsia="en-GB"/>
        </w:rPr>
        <w:t xml:space="preserve">, B. (2025) ‘Wearable sensors and artificial intelligence for sleep apnoea detection: a systematic review’, </w:t>
      </w:r>
      <w:r w:rsidRPr="003403D4">
        <w:rPr>
          <w:rFonts w:ascii="Arial" w:eastAsia="Times New Roman" w:hAnsi="Arial" w:cs="Arial"/>
          <w:i/>
          <w:iCs/>
          <w:sz w:val="24"/>
          <w:szCs w:val="24"/>
          <w:lang w:eastAsia="en-GB"/>
        </w:rPr>
        <w:t>Journal of Medical Systems</w:t>
      </w:r>
      <w:r w:rsidRPr="003403D4">
        <w:rPr>
          <w:rFonts w:ascii="Arial" w:eastAsia="Times New Roman" w:hAnsi="Arial" w:cs="Arial"/>
          <w:sz w:val="24"/>
          <w:szCs w:val="24"/>
          <w:lang w:eastAsia="en-GB"/>
        </w:rPr>
        <w:t>, 49, 66.</w:t>
      </w:r>
    </w:p>
    <w:p w14:paraId="668EE59B" w14:textId="77777777" w:rsidR="003403D4" w:rsidRDefault="003403D4" w:rsidP="00FA1244">
      <w:pPr>
        <w:spacing w:after="0" w:line="480" w:lineRule="auto"/>
        <w:rPr>
          <w:rFonts w:ascii="Arial" w:eastAsia="Times New Roman" w:hAnsi="Arial" w:cs="Arial"/>
          <w:sz w:val="24"/>
          <w:szCs w:val="24"/>
          <w:lang w:eastAsia="en-GB"/>
        </w:rPr>
      </w:pPr>
    </w:p>
    <w:p w14:paraId="7FC1CD75" w14:textId="764F6DBF" w:rsidR="003403D4" w:rsidRPr="003403D4" w:rsidRDefault="003403D4" w:rsidP="00FA1244">
      <w:pPr>
        <w:spacing w:after="0" w:line="480" w:lineRule="auto"/>
        <w:rPr>
          <w:rFonts w:ascii="Arial" w:eastAsia="Times New Roman" w:hAnsi="Arial" w:cs="Arial"/>
          <w:sz w:val="24"/>
          <w:szCs w:val="24"/>
          <w:lang w:eastAsia="en-GB"/>
        </w:rPr>
      </w:pPr>
      <w:proofErr w:type="spellStart"/>
      <w:r w:rsidRPr="003403D4">
        <w:rPr>
          <w:rFonts w:ascii="Arial" w:eastAsia="Times New Roman" w:hAnsi="Arial" w:cs="Arial"/>
          <w:sz w:val="24"/>
          <w:szCs w:val="24"/>
          <w:lang w:eastAsia="en-GB"/>
        </w:rPr>
        <w:t>Taweesedt</w:t>
      </w:r>
      <w:proofErr w:type="spellEnd"/>
      <w:r w:rsidRPr="003403D4">
        <w:rPr>
          <w:rFonts w:ascii="Arial" w:eastAsia="Times New Roman" w:hAnsi="Arial" w:cs="Arial"/>
          <w:sz w:val="24"/>
          <w:szCs w:val="24"/>
          <w:lang w:eastAsia="en-GB"/>
        </w:rPr>
        <w:t xml:space="preserve">, P.T. (2025) ‘Advancements in home sleep apnoea tests: bridging convenience and clinical effectiveness’, </w:t>
      </w:r>
      <w:r w:rsidRPr="003403D4">
        <w:rPr>
          <w:rFonts w:ascii="Arial" w:eastAsia="Times New Roman" w:hAnsi="Arial" w:cs="Arial"/>
          <w:i/>
          <w:iCs/>
          <w:sz w:val="24"/>
          <w:szCs w:val="24"/>
          <w:lang w:eastAsia="en-GB"/>
        </w:rPr>
        <w:t>American Academy of Sleep Medicine</w:t>
      </w:r>
      <w:r w:rsidRPr="003403D4">
        <w:rPr>
          <w:rFonts w:ascii="Arial" w:eastAsia="Times New Roman" w:hAnsi="Arial" w:cs="Arial"/>
          <w:sz w:val="24"/>
          <w:szCs w:val="24"/>
          <w:lang w:eastAsia="en-GB"/>
        </w:rPr>
        <w:t xml:space="preserve">. Available at: https://aasm.org/advancements-in-home-sleep-apnea-tests-bridging-convenience-and-clinical-effectiveness/ (Accessed </w:t>
      </w:r>
      <w:r>
        <w:rPr>
          <w:rFonts w:ascii="Arial" w:eastAsia="Times New Roman" w:hAnsi="Arial" w:cs="Arial"/>
          <w:sz w:val="24"/>
          <w:szCs w:val="24"/>
          <w:lang w:eastAsia="en-GB"/>
        </w:rPr>
        <w:t>1</w:t>
      </w:r>
      <w:r w:rsidRPr="003403D4">
        <w:rPr>
          <w:rFonts w:ascii="Arial" w:eastAsia="Times New Roman" w:hAnsi="Arial" w:cs="Arial"/>
          <w:sz w:val="24"/>
          <w:szCs w:val="24"/>
          <w:lang w:eastAsia="en-GB"/>
        </w:rPr>
        <w:t xml:space="preserve"> March 2026). </w:t>
      </w:r>
    </w:p>
    <w:p w14:paraId="4960F656" w14:textId="77777777" w:rsidR="003403D4" w:rsidRDefault="003403D4" w:rsidP="00FA1244">
      <w:pPr>
        <w:spacing w:after="0" w:line="480" w:lineRule="auto"/>
        <w:rPr>
          <w:rFonts w:ascii="Arial" w:eastAsia="Times New Roman" w:hAnsi="Arial" w:cs="Arial"/>
          <w:sz w:val="24"/>
          <w:szCs w:val="24"/>
          <w:lang w:eastAsia="en-GB"/>
        </w:rPr>
      </w:pPr>
    </w:p>
    <w:p w14:paraId="5539FFC2" w14:textId="37A8E16A" w:rsidR="003403D4" w:rsidRPr="003403D4" w:rsidRDefault="003403D4" w:rsidP="00FA1244">
      <w:pPr>
        <w:spacing w:after="0" w:line="480" w:lineRule="auto"/>
        <w:rPr>
          <w:rFonts w:ascii="Arial" w:eastAsia="Times New Roman" w:hAnsi="Arial" w:cs="Arial"/>
          <w:sz w:val="24"/>
          <w:szCs w:val="24"/>
          <w:lang w:eastAsia="en-GB"/>
        </w:rPr>
      </w:pPr>
      <w:r w:rsidRPr="003403D4">
        <w:rPr>
          <w:rFonts w:ascii="Arial" w:eastAsia="Times New Roman" w:hAnsi="Arial" w:cs="Arial"/>
          <w:sz w:val="24"/>
          <w:szCs w:val="24"/>
          <w:lang w:eastAsia="en-GB"/>
        </w:rPr>
        <w:t xml:space="preserve">Welsh Government (2018; updated 2025) </w:t>
      </w:r>
      <w:r w:rsidRPr="003403D4">
        <w:rPr>
          <w:rFonts w:ascii="Arial" w:eastAsia="Times New Roman" w:hAnsi="Arial" w:cs="Arial"/>
          <w:i/>
          <w:iCs/>
          <w:sz w:val="24"/>
          <w:szCs w:val="24"/>
          <w:lang w:eastAsia="en-GB"/>
        </w:rPr>
        <w:t>A Healthier Wales: long</w:t>
      </w:r>
      <w:r w:rsidRPr="003403D4">
        <w:rPr>
          <w:rFonts w:ascii="Arial" w:eastAsia="Times New Roman" w:hAnsi="Arial" w:cs="Arial"/>
          <w:i/>
          <w:iCs/>
          <w:sz w:val="24"/>
          <w:szCs w:val="24"/>
          <w:lang w:eastAsia="en-GB"/>
        </w:rPr>
        <w:noBreakHyphen/>
        <w:t>term plan for health and social care</w:t>
      </w:r>
      <w:r w:rsidRPr="003403D4">
        <w:rPr>
          <w:rFonts w:ascii="Arial" w:eastAsia="Times New Roman" w:hAnsi="Arial" w:cs="Arial"/>
          <w:sz w:val="24"/>
          <w:szCs w:val="24"/>
          <w:lang w:eastAsia="en-GB"/>
        </w:rPr>
        <w:t xml:space="preserve">. Available at: https://www.gov.wales/healthier-wales-long-term-plan-health-and-social-care (Accessed </w:t>
      </w:r>
      <w:r>
        <w:rPr>
          <w:rFonts w:ascii="Arial" w:eastAsia="Times New Roman" w:hAnsi="Arial" w:cs="Arial"/>
          <w:sz w:val="24"/>
          <w:szCs w:val="24"/>
          <w:lang w:eastAsia="en-GB"/>
        </w:rPr>
        <w:t xml:space="preserve">1 </w:t>
      </w:r>
      <w:r w:rsidRPr="003403D4">
        <w:rPr>
          <w:rFonts w:ascii="Arial" w:eastAsia="Times New Roman" w:hAnsi="Arial" w:cs="Arial"/>
          <w:sz w:val="24"/>
          <w:szCs w:val="24"/>
          <w:lang w:eastAsia="en-GB"/>
        </w:rPr>
        <w:t>March 2026).</w:t>
      </w:r>
    </w:p>
    <w:p w14:paraId="1F6AF594" w14:textId="4756CA49" w:rsidR="003403D4" w:rsidRDefault="003403D4" w:rsidP="00FA1244">
      <w:pPr>
        <w:spacing w:line="480" w:lineRule="auto"/>
        <w:rPr>
          <w:rFonts w:ascii="Arial" w:hAnsi="Arial" w:cs="Arial"/>
          <w:b/>
          <w:bCs/>
          <w:sz w:val="28"/>
          <w:szCs w:val="28"/>
          <w:u w:val="single"/>
        </w:rPr>
      </w:pPr>
    </w:p>
    <w:p w14:paraId="199FE95C" w14:textId="6739D938" w:rsidR="00497FC5" w:rsidRPr="00497FC5" w:rsidRDefault="00497FC5" w:rsidP="00FA1244">
      <w:pPr>
        <w:spacing w:after="0" w:line="480" w:lineRule="auto"/>
        <w:rPr>
          <w:rFonts w:ascii="Arial" w:eastAsia="Times New Roman" w:hAnsi="Arial" w:cs="Arial"/>
          <w:sz w:val="24"/>
          <w:szCs w:val="24"/>
          <w:lang w:eastAsia="en-GB"/>
        </w:rPr>
      </w:pPr>
      <w:r w:rsidRPr="00497FC5">
        <w:rPr>
          <w:rFonts w:ascii="Arial" w:eastAsia="Times New Roman" w:hAnsi="Arial" w:cs="Arial"/>
          <w:sz w:val="24"/>
          <w:szCs w:val="24"/>
          <w:lang w:eastAsia="en-GB"/>
        </w:rPr>
        <w:t xml:space="preserve">Institute for Healthcare Improvement (2023) </w:t>
      </w:r>
      <w:r w:rsidRPr="00497FC5">
        <w:rPr>
          <w:rFonts w:ascii="Arial" w:eastAsia="Times New Roman" w:hAnsi="Arial" w:cs="Arial"/>
          <w:i/>
          <w:iCs/>
          <w:sz w:val="24"/>
          <w:szCs w:val="24"/>
          <w:lang w:eastAsia="en-GB"/>
        </w:rPr>
        <w:t>Model for Improvement: Testing Changes</w:t>
      </w:r>
      <w:r w:rsidRPr="00497FC5">
        <w:rPr>
          <w:rFonts w:ascii="Arial" w:eastAsia="Times New Roman" w:hAnsi="Arial" w:cs="Arial"/>
          <w:sz w:val="24"/>
          <w:szCs w:val="24"/>
          <w:lang w:eastAsia="en-GB"/>
        </w:rPr>
        <w:t xml:space="preserve">; </w:t>
      </w:r>
      <w:r w:rsidRPr="00497FC5">
        <w:rPr>
          <w:rFonts w:ascii="Arial" w:eastAsia="Times New Roman" w:hAnsi="Arial" w:cs="Arial"/>
          <w:i/>
          <w:iCs/>
          <w:sz w:val="24"/>
          <w:szCs w:val="24"/>
          <w:lang w:eastAsia="en-GB"/>
        </w:rPr>
        <w:t>Implementing Changes</w:t>
      </w:r>
      <w:r w:rsidRPr="00497FC5">
        <w:rPr>
          <w:rFonts w:ascii="Arial" w:eastAsia="Times New Roman" w:hAnsi="Arial" w:cs="Arial"/>
          <w:sz w:val="24"/>
          <w:szCs w:val="24"/>
          <w:lang w:eastAsia="en-GB"/>
        </w:rPr>
        <w:t xml:space="preserve">. </w:t>
      </w:r>
    </w:p>
    <w:p w14:paraId="54E0C02F" w14:textId="77777777" w:rsidR="00497FC5" w:rsidRPr="00497FC5" w:rsidRDefault="00497FC5" w:rsidP="00FA1244">
      <w:pPr>
        <w:spacing w:after="0" w:line="480" w:lineRule="auto"/>
        <w:rPr>
          <w:rFonts w:ascii="Arial" w:eastAsia="Times New Roman" w:hAnsi="Arial" w:cs="Arial"/>
          <w:sz w:val="24"/>
          <w:szCs w:val="24"/>
          <w:lang w:eastAsia="en-GB"/>
        </w:rPr>
      </w:pPr>
    </w:p>
    <w:p w14:paraId="26C83DD9" w14:textId="2B65288E" w:rsidR="00497FC5" w:rsidRPr="00497FC5" w:rsidRDefault="00497FC5" w:rsidP="00FA1244">
      <w:pPr>
        <w:spacing w:after="0" w:line="480" w:lineRule="auto"/>
        <w:rPr>
          <w:rFonts w:ascii="Arial" w:eastAsia="Times New Roman" w:hAnsi="Arial" w:cs="Arial"/>
          <w:sz w:val="24"/>
          <w:szCs w:val="24"/>
          <w:lang w:eastAsia="en-GB"/>
        </w:rPr>
      </w:pPr>
      <w:r w:rsidRPr="00497FC5">
        <w:rPr>
          <w:rFonts w:ascii="Arial" w:eastAsia="Times New Roman" w:hAnsi="Arial" w:cs="Arial"/>
          <w:sz w:val="24"/>
          <w:szCs w:val="24"/>
          <w:lang w:eastAsia="en-GB"/>
        </w:rPr>
        <w:t xml:space="preserve">Public Health Wales – Improvement Cymru (2023) </w:t>
      </w:r>
      <w:r w:rsidRPr="00497FC5">
        <w:rPr>
          <w:rFonts w:ascii="Arial" w:eastAsia="Times New Roman" w:hAnsi="Arial" w:cs="Arial"/>
          <w:i/>
          <w:iCs/>
          <w:sz w:val="24"/>
          <w:szCs w:val="24"/>
          <w:lang w:eastAsia="en-GB"/>
        </w:rPr>
        <w:t>Model for Improvement toolkit</w:t>
      </w:r>
      <w:r w:rsidRPr="00497FC5">
        <w:rPr>
          <w:rFonts w:ascii="Arial" w:eastAsia="Times New Roman" w:hAnsi="Arial" w:cs="Arial"/>
          <w:sz w:val="24"/>
          <w:szCs w:val="24"/>
          <w:lang w:eastAsia="en-GB"/>
        </w:rPr>
        <w:t xml:space="preserve">; </w:t>
      </w:r>
      <w:r w:rsidRPr="00497FC5">
        <w:rPr>
          <w:rFonts w:ascii="Arial" w:eastAsia="Times New Roman" w:hAnsi="Arial" w:cs="Arial"/>
          <w:i/>
          <w:iCs/>
          <w:sz w:val="24"/>
          <w:szCs w:val="24"/>
          <w:lang w:eastAsia="en-GB"/>
        </w:rPr>
        <w:t>Testing Changes toolkit</w:t>
      </w:r>
      <w:r w:rsidRPr="00497FC5">
        <w:rPr>
          <w:rFonts w:ascii="Arial" w:eastAsia="Times New Roman" w:hAnsi="Arial" w:cs="Arial"/>
          <w:sz w:val="24"/>
          <w:szCs w:val="24"/>
          <w:lang w:eastAsia="en-GB"/>
        </w:rPr>
        <w:t>.</w:t>
      </w:r>
    </w:p>
    <w:p w14:paraId="62D1AC6C" w14:textId="77777777" w:rsidR="00497FC5" w:rsidRPr="00497FC5" w:rsidRDefault="00497FC5" w:rsidP="00FA1244">
      <w:pPr>
        <w:spacing w:after="0" w:line="480" w:lineRule="auto"/>
        <w:rPr>
          <w:rFonts w:ascii="Arial" w:eastAsia="Times New Roman" w:hAnsi="Arial" w:cs="Arial"/>
          <w:sz w:val="24"/>
          <w:szCs w:val="24"/>
          <w:lang w:eastAsia="en-GB"/>
        </w:rPr>
      </w:pPr>
    </w:p>
    <w:p w14:paraId="7ADB9814" w14:textId="6BFDE0AB" w:rsidR="00497FC5" w:rsidRDefault="00497FC5" w:rsidP="00FA1244">
      <w:pPr>
        <w:spacing w:after="0" w:line="480" w:lineRule="auto"/>
        <w:rPr>
          <w:rFonts w:ascii="Arial" w:eastAsia="Times New Roman" w:hAnsi="Arial" w:cs="Arial"/>
          <w:sz w:val="24"/>
          <w:szCs w:val="24"/>
          <w:lang w:eastAsia="en-GB"/>
        </w:rPr>
      </w:pPr>
      <w:r w:rsidRPr="00497FC5">
        <w:rPr>
          <w:rFonts w:ascii="Arial" w:eastAsia="Times New Roman" w:hAnsi="Arial" w:cs="Arial"/>
          <w:sz w:val="24"/>
          <w:szCs w:val="24"/>
          <w:lang w:eastAsia="en-GB"/>
        </w:rPr>
        <w:t xml:space="preserve">Taylor, M.J. et al. (2013) ‘Systematic review of the application of the PDSA method in healthcare’, </w:t>
      </w:r>
      <w:r w:rsidRPr="00497FC5">
        <w:rPr>
          <w:rFonts w:ascii="Arial" w:eastAsia="Times New Roman" w:hAnsi="Arial" w:cs="Arial"/>
          <w:i/>
          <w:iCs/>
          <w:sz w:val="24"/>
          <w:szCs w:val="24"/>
          <w:lang w:eastAsia="en-GB"/>
        </w:rPr>
        <w:t>BMJ Quality &amp; Safety</w:t>
      </w:r>
      <w:r w:rsidRPr="00497FC5">
        <w:rPr>
          <w:rFonts w:ascii="Arial" w:eastAsia="Times New Roman" w:hAnsi="Arial" w:cs="Arial"/>
          <w:sz w:val="24"/>
          <w:szCs w:val="24"/>
          <w:lang w:eastAsia="en-GB"/>
        </w:rPr>
        <w:t>.</w:t>
      </w:r>
    </w:p>
    <w:p w14:paraId="05A0F011" w14:textId="77777777" w:rsidR="007B254F" w:rsidRPr="00497FC5" w:rsidRDefault="007B254F" w:rsidP="00FA1244">
      <w:pPr>
        <w:spacing w:after="0" w:line="480" w:lineRule="auto"/>
        <w:rPr>
          <w:rFonts w:ascii="Arial" w:eastAsia="Times New Roman" w:hAnsi="Arial" w:cs="Arial"/>
          <w:sz w:val="24"/>
          <w:szCs w:val="24"/>
          <w:lang w:eastAsia="en-GB"/>
        </w:rPr>
      </w:pPr>
    </w:p>
    <w:p w14:paraId="35231389" w14:textId="68F29380" w:rsidR="007B254F" w:rsidRDefault="007B254F" w:rsidP="007B254F">
      <w:pPr>
        <w:spacing w:after="0" w:line="480" w:lineRule="auto"/>
        <w:rPr>
          <w:rFonts w:ascii="Arial" w:eastAsia="Times New Roman" w:hAnsi="Arial" w:cs="Arial"/>
          <w:sz w:val="24"/>
          <w:szCs w:val="24"/>
          <w:lang w:eastAsia="en-GB"/>
        </w:rPr>
      </w:pPr>
      <w:proofErr w:type="spellStart"/>
      <w:r w:rsidRPr="007B254F">
        <w:rPr>
          <w:rFonts w:ascii="Arial" w:eastAsia="Times New Roman" w:hAnsi="Arial" w:cs="Arial"/>
          <w:sz w:val="24"/>
          <w:szCs w:val="24"/>
          <w:lang w:eastAsia="en-GB"/>
        </w:rPr>
        <w:t>Shnaydman</w:t>
      </w:r>
      <w:proofErr w:type="spellEnd"/>
      <w:r w:rsidRPr="007B254F">
        <w:rPr>
          <w:rFonts w:ascii="Arial" w:eastAsia="Times New Roman" w:hAnsi="Arial" w:cs="Arial"/>
          <w:sz w:val="24"/>
          <w:szCs w:val="24"/>
          <w:lang w:eastAsia="en-GB"/>
        </w:rPr>
        <w:t xml:space="preserve">, V. (2023) ‘Efficient Risk Mitigation Planning for a Clinical Trial’, </w:t>
      </w:r>
      <w:r w:rsidRPr="007B254F">
        <w:rPr>
          <w:rFonts w:ascii="Arial" w:eastAsia="Times New Roman" w:hAnsi="Arial" w:cs="Arial"/>
          <w:i/>
          <w:iCs/>
          <w:sz w:val="24"/>
          <w:szCs w:val="24"/>
          <w:lang w:eastAsia="en-GB"/>
        </w:rPr>
        <w:t>Therapeutic Innovation &amp; Regulatory Science</w:t>
      </w:r>
      <w:r w:rsidRPr="007B254F">
        <w:rPr>
          <w:rFonts w:ascii="Arial" w:eastAsia="Times New Roman" w:hAnsi="Arial" w:cs="Arial"/>
          <w:sz w:val="24"/>
          <w:szCs w:val="24"/>
          <w:lang w:eastAsia="en-GB"/>
        </w:rPr>
        <w:t xml:space="preserve">, 57, pp. 717–727. </w:t>
      </w:r>
      <w:hyperlink r:id="rId8" w:history="1">
        <w:r w:rsidR="00270930" w:rsidRPr="007B254F">
          <w:rPr>
            <w:rStyle w:val="Hyperlink"/>
            <w:rFonts w:ascii="Arial" w:eastAsia="Times New Roman" w:hAnsi="Arial" w:cs="Arial"/>
            <w:color w:val="auto"/>
            <w:sz w:val="24"/>
            <w:szCs w:val="24"/>
            <w:lang w:eastAsia="en-GB"/>
          </w:rPr>
          <w:t>https://doi.org/10.1007/s43441-023-00521-5</w:t>
        </w:r>
      </w:hyperlink>
      <w:r w:rsidRPr="007B254F">
        <w:rPr>
          <w:rFonts w:ascii="Arial" w:eastAsia="Times New Roman" w:hAnsi="Arial" w:cs="Arial"/>
          <w:sz w:val="24"/>
          <w:szCs w:val="24"/>
          <w:lang w:eastAsia="en-GB"/>
        </w:rPr>
        <w:t>.</w:t>
      </w:r>
    </w:p>
    <w:p w14:paraId="2FD66220" w14:textId="2797576B" w:rsidR="00270930" w:rsidRDefault="00270930" w:rsidP="007B254F">
      <w:pPr>
        <w:spacing w:after="0" w:line="480" w:lineRule="auto"/>
        <w:rPr>
          <w:rFonts w:ascii="Arial" w:eastAsia="Times New Roman" w:hAnsi="Arial" w:cs="Arial"/>
          <w:sz w:val="24"/>
          <w:szCs w:val="24"/>
          <w:lang w:eastAsia="en-GB"/>
        </w:rPr>
      </w:pPr>
    </w:p>
    <w:p w14:paraId="05B08B6C" w14:textId="0125330D" w:rsidR="00270930" w:rsidRDefault="00270930" w:rsidP="00270930">
      <w:pPr>
        <w:spacing w:after="0" w:line="480" w:lineRule="auto"/>
        <w:rPr>
          <w:rFonts w:ascii="Arial" w:eastAsia="Times New Roman" w:hAnsi="Arial" w:cs="Arial"/>
          <w:sz w:val="24"/>
          <w:szCs w:val="24"/>
          <w:lang w:eastAsia="en-GB"/>
        </w:rPr>
      </w:pPr>
      <w:r w:rsidRPr="00270930">
        <w:rPr>
          <w:rFonts w:ascii="Arial" w:eastAsia="Times New Roman" w:hAnsi="Arial" w:cs="Arial"/>
          <w:sz w:val="24"/>
          <w:szCs w:val="24"/>
          <w:lang w:eastAsia="en-GB"/>
        </w:rPr>
        <w:lastRenderedPageBreak/>
        <w:t xml:space="preserve">Bai, N. (2026) ‘New AI model predicts disease risk while you sleep’, </w:t>
      </w:r>
      <w:r w:rsidRPr="00270930">
        <w:rPr>
          <w:rFonts w:ascii="Arial" w:eastAsia="Times New Roman" w:hAnsi="Arial" w:cs="Arial"/>
          <w:i/>
          <w:iCs/>
          <w:sz w:val="24"/>
          <w:szCs w:val="24"/>
          <w:lang w:eastAsia="en-GB"/>
        </w:rPr>
        <w:t xml:space="preserve">Stanford Medicine News </w:t>
      </w:r>
      <w:proofErr w:type="spellStart"/>
      <w:r w:rsidRPr="00270930">
        <w:rPr>
          <w:rFonts w:ascii="Arial" w:eastAsia="Times New Roman" w:hAnsi="Arial" w:cs="Arial"/>
          <w:i/>
          <w:iCs/>
          <w:sz w:val="24"/>
          <w:szCs w:val="24"/>
          <w:lang w:eastAsia="en-GB"/>
        </w:rPr>
        <w:t>Center</w:t>
      </w:r>
      <w:proofErr w:type="spellEnd"/>
      <w:r w:rsidRPr="00270930">
        <w:rPr>
          <w:rFonts w:ascii="Arial" w:eastAsia="Times New Roman" w:hAnsi="Arial" w:cs="Arial"/>
          <w:sz w:val="24"/>
          <w:szCs w:val="24"/>
          <w:lang w:eastAsia="en-GB"/>
        </w:rPr>
        <w:t xml:space="preserve">, 6 January. Available at: </w:t>
      </w:r>
      <w:hyperlink r:id="rId9" w:history="1">
        <w:r w:rsidRPr="00270930">
          <w:rPr>
            <w:rStyle w:val="Hyperlink"/>
            <w:rFonts w:ascii="Arial" w:eastAsia="Times New Roman" w:hAnsi="Arial" w:cs="Arial"/>
            <w:color w:val="auto"/>
            <w:sz w:val="24"/>
            <w:szCs w:val="24"/>
            <w:lang w:eastAsia="en-GB"/>
          </w:rPr>
          <w:t>https://med.stanford.edu/news/all-news/2026/01/ai-sleep-disease.html</w:t>
        </w:r>
      </w:hyperlink>
    </w:p>
    <w:p w14:paraId="679B1AD3" w14:textId="77777777" w:rsidR="00497FC5" w:rsidRPr="003403D4" w:rsidRDefault="00497FC5">
      <w:pPr>
        <w:rPr>
          <w:rFonts w:ascii="Arial" w:hAnsi="Arial" w:cs="Arial"/>
          <w:b/>
          <w:bCs/>
          <w:sz w:val="28"/>
          <w:szCs w:val="28"/>
          <w:u w:val="single"/>
        </w:rPr>
      </w:pPr>
    </w:p>
    <w:sectPr w:rsidR="00497FC5" w:rsidRPr="003403D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87447" w14:textId="77777777" w:rsidR="00B62EB3" w:rsidRDefault="00B62EB3" w:rsidP="0059221B">
      <w:pPr>
        <w:spacing w:after="0" w:line="240" w:lineRule="auto"/>
      </w:pPr>
      <w:r>
        <w:separator/>
      </w:r>
    </w:p>
  </w:endnote>
  <w:endnote w:type="continuationSeparator" w:id="0">
    <w:p w14:paraId="73DA4287" w14:textId="77777777" w:rsidR="00B62EB3" w:rsidRDefault="00B62EB3" w:rsidP="00592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6425336"/>
      <w:docPartObj>
        <w:docPartGallery w:val="Page Numbers (Bottom of Page)"/>
        <w:docPartUnique/>
      </w:docPartObj>
    </w:sdtPr>
    <w:sdtEndPr/>
    <w:sdtContent>
      <w:p w14:paraId="18849FC6" w14:textId="0FD0CDEE" w:rsidR="0059221B" w:rsidRDefault="0059221B">
        <w:pPr>
          <w:pStyle w:val="Footer"/>
          <w:jc w:val="right"/>
        </w:pPr>
        <w:r>
          <w:fldChar w:fldCharType="begin"/>
        </w:r>
        <w:r>
          <w:instrText>PAGE   \* MERGEFORMAT</w:instrText>
        </w:r>
        <w:r>
          <w:fldChar w:fldCharType="separate"/>
        </w:r>
        <w:r>
          <w:t>2</w:t>
        </w:r>
        <w:r>
          <w:fldChar w:fldCharType="end"/>
        </w:r>
      </w:p>
    </w:sdtContent>
  </w:sdt>
  <w:p w14:paraId="6673D348" w14:textId="77777777" w:rsidR="0059221B" w:rsidRDefault="00592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7F552" w14:textId="77777777" w:rsidR="00B62EB3" w:rsidRDefault="00B62EB3" w:rsidP="0059221B">
      <w:pPr>
        <w:spacing w:after="0" w:line="240" w:lineRule="auto"/>
      </w:pPr>
      <w:r>
        <w:separator/>
      </w:r>
    </w:p>
  </w:footnote>
  <w:footnote w:type="continuationSeparator" w:id="0">
    <w:p w14:paraId="66202014" w14:textId="77777777" w:rsidR="00B62EB3" w:rsidRDefault="00B62EB3" w:rsidP="00592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52E58" w14:textId="333F9FC6" w:rsidR="0059221B" w:rsidRDefault="0059221B">
    <w:pPr>
      <w:pStyle w:val="Header"/>
    </w:pPr>
    <w:r>
      <w:t xml:space="preserve">Jessica Kirkham-Jones 2512250 </w:t>
    </w:r>
  </w:p>
  <w:p w14:paraId="2F3B2ACC" w14:textId="77777777" w:rsidR="0059221B" w:rsidRDefault="00592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826E0"/>
    <w:multiLevelType w:val="hybridMultilevel"/>
    <w:tmpl w:val="1904EEB6"/>
    <w:lvl w:ilvl="0" w:tplc="48AE8DFE">
      <w:start w:val="1"/>
      <w:numFmt w:val="bullet"/>
      <w:lvlText w:val="•"/>
      <w:lvlJc w:val="left"/>
      <w:pPr>
        <w:tabs>
          <w:tab w:val="num" w:pos="720"/>
        </w:tabs>
        <w:ind w:left="720" w:hanging="360"/>
      </w:pPr>
      <w:rPr>
        <w:rFonts w:ascii="Arial" w:hAnsi="Arial" w:hint="default"/>
      </w:rPr>
    </w:lvl>
    <w:lvl w:ilvl="1" w:tplc="F2AC779A" w:tentative="1">
      <w:start w:val="1"/>
      <w:numFmt w:val="bullet"/>
      <w:lvlText w:val="•"/>
      <w:lvlJc w:val="left"/>
      <w:pPr>
        <w:tabs>
          <w:tab w:val="num" w:pos="1440"/>
        </w:tabs>
        <w:ind w:left="1440" w:hanging="360"/>
      </w:pPr>
      <w:rPr>
        <w:rFonts w:ascii="Arial" w:hAnsi="Arial" w:hint="default"/>
      </w:rPr>
    </w:lvl>
    <w:lvl w:ilvl="2" w:tplc="BD90CCEA" w:tentative="1">
      <w:start w:val="1"/>
      <w:numFmt w:val="bullet"/>
      <w:lvlText w:val="•"/>
      <w:lvlJc w:val="left"/>
      <w:pPr>
        <w:tabs>
          <w:tab w:val="num" w:pos="2160"/>
        </w:tabs>
        <w:ind w:left="2160" w:hanging="360"/>
      </w:pPr>
      <w:rPr>
        <w:rFonts w:ascii="Arial" w:hAnsi="Arial" w:hint="default"/>
      </w:rPr>
    </w:lvl>
    <w:lvl w:ilvl="3" w:tplc="AFC6AF66" w:tentative="1">
      <w:start w:val="1"/>
      <w:numFmt w:val="bullet"/>
      <w:lvlText w:val="•"/>
      <w:lvlJc w:val="left"/>
      <w:pPr>
        <w:tabs>
          <w:tab w:val="num" w:pos="2880"/>
        </w:tabs>
        <w:ind w:left="2880" w:hanging="360"/>
      </w:pPr>
      <w:rPr>
        <w:rFonts w:ascii="Arial" w:hAnsi="Arial" w:hint="default"/>
      </w:rPr>
    </w:lvl>
    <w:lvl w:ilvl="4" w:tplc="67242606" w:tentative="1">
      <w:start w:val="1"/>
      <w:numFmt w:val="bullet"/>
      <w:lvlText w:val="•"/>
      <w:lvlJc w:val="left"/>
      <w:pPr>
        <w:tabs>
          <w:tab w:val="num" w:pos="3600"/>
        </w:tabs>
        <w:ind w:left="3600" w:hanging="360"/>
      </w:pPr>
      <w:rPr>
        <w:rFonts w:ascii="Arial" w:hAnsi="Arial" w:hint="default"/>
      </w:rPr>
    </w:lvl>
    <w:lvl w:ilvl="5" w:tplc="FEF228D0" w:tentative="1">
      <w:start w:val="1"/>
      <w:numFmt w:val="bullet"/>
      <w:lvlText w:val="•"/>
      <w:lvlJc w:val="left"/>
      <w:pPr>
        <w:tabs>
          <w:tab w:val="num" w:pos="4320"/>
        </w:tabs>
        <w:ind w:left="4320" w:hanging="360"/>
      </w:pPr>
      <w:rPr>
        <w:rFonts w:ascii="Arial" w:hAnsi="Arial" w:hint="default"/>
      </w:rPr>
    </w:lvl>
    <w:lvl w:ilvl="6" w:tplc="0FDA714E" w:tentative="1">
      <w:start w:val="1"/>
      <w:numFmt w:val="bullet"/>
      <w:lvlText w:val="•"/>
      <w:lvlJc w:val="left"/>
      <w:pPr>
        <w:tabs>
          <w:tab w:val="num" w:pos="5040"/>
        </w:tabs>
        <w:ind w:left="5040" w:hanging="360"/>
      </w:pPr>
      <w:rPr>
        <w:rFonts w:ascii="Arial" w:hAnsi="Arial" w:hint="default"/>
      </w:rPr>
    </w:lvl>
    <w:lvl w:ilvl="7" w:tplc="56CC2386" w:tentative="1">
      <w:start w:val="1"/>
      <w:numFmt w:val="bullet"/>
      <w:lvlText w:val="•"/>
      <w:lvlJc w:val="left"/>
      <w:pPr>
        <w:tabs>
          <w:tab w:val="num" w:pos="5760"/>
        </w:tabs>
        <w:ind w:left="5760" w:hanging="360"/>
      </w:pPr>
      <w:rPr>
        <w:rFonts w:ascii="Arial" w:hAnsi="Arial" w:hint="default"/>
      </w:rPr>
    </w:lvl>
    <w:lvl w:ilvl="8" w:tplc="27C282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D253D8"/>
    <w:multiLevelType w:val="hybridMultilevel"/>
    <w:tmpl w:val="7AACBB10"/>
    <w:lvl w:ilvl="0" w:tplc="F4C85BCA">
      <w:start w:val="1"/>
      <w:numFmt w:val="bullet"/>
      <w:lvlText w:val="•"/>
      <w:lvlJc w:val="left"/>
      <w:pPr>
        <w:tabs>
          <w:tab w:val="num" w:pos="720"/>
        </w:tabs>
        <w:ind w:left="720" w:hanging="360"/>
      </w:pPr>
      <w:rPr>
        <w:rFonts w:ascii="Arial" w:hAnsi="Arial" w:hint="default"/>
      </w:rPr>
    </w:lvl>
    <w:lvl w:ilvl="1" w:tplc="E5FA4544" w:tentative="1">
      <w:start w:val="1"/>
      <w:numFmt w:val="bullet"/>
      <w:lvlText w:val="•"/>
      <w:lvlJc w:val="left"/>
      <w:pPr>
        <w:tabs>
          <w:tab w:val="num" w:pos="1440"/>
        </w:tabs>
        <w:ind w:left="1440" w:hanging="360"/>
      </w:pPr>
      <w:rPr>
        <w:rFonts w:ascii="Arial" w:hAnsi="Arial" w:hint="default"/>
      </w:rPr>
    </w:lvl>
    <w:lvl w:ilvl="2" w:tplc="97040FCA" w:tentative="1">
      <w:start w:val="1"/>
      <w:numFmt w:val="bullet"/>
      <w:lvlText w:val="•"/>
      <w:lvlJc w:val="left"/>
      <w:pPr>
        <w:tabs>
          <w:tab w:val="num" w:pos="2160"/>
        </w:tabs>
        <w:ind w:left="2160" w:hanging="360"/>
      </w:pPr>
      <w:rPr>
        <w:rFonts w:ascii="Arial" w:hAnsi="Arial" w:hint="default"/>
      </w:rPr>
    </w:lvl>
    <w:lvl w:ilvl="3" w:tplc="39FC026E" w:tentative="1">
      <w:start w:val="1"/>
      <w:numFmt w:val="bullet"/>
      <w:lvlText w:val="•"/>
      <w:lvlJc w:val="left"/>
      <w:pPr>
        <w:tabs>
          <w:tab w:val="num" w:pos="2880"/>
        </w:tabs>
        <w:ind w:left="2880" w:hanging="360"/>
      </w:pPr>
      <w:rPr>
        <w:rFonts w:ascii="Arial" w:hAnsi="Arial" w:hint="default"/>
      </w:rPr>
    </w:lvl>
    <w:lvl w:ilvl="4" w:tplc="8F4E091A" w:tentative="1">
      <w:start w:val="1"/>
      <w:numFmt w:val="bullet"/>
      <w:lvlText w:val="•"/>
      <w:lvlJc w:val="left"/>
      <w:pPr>
        <w:tabs>
          <w:tab w:val="num" w:pos="3600"/>
        </w:tabs>
        <w:ind w:left="3600" w:hanging="360"/>
      </w:pPr>
      <w:rPr>
        <w:rFonts w:ascii="Arial" w:hAnsi="Arial" w:hint="default"/>
      </w:rPr>
    </w:lvl>
    <w:lvl w:ilvl="5" w:tplc="665A28B6" w:tentative="1">
      <w:start w:val="1"/>
      <w:numFmt w:val="bullet"/>
      <w:lvlText w:val="•"/>
      <w:lvlJc w:val="left"/>
      <w:pPr>
        <w:tabs>
          <w:tab w:val="num" w:pos="4320"/>
        </w:tabs>
        <w:ind w:left="4320" w:hanging="360"/>
      </w:pPr>
      <w:rPr>
        <w:rFonts w:ascii="Arial" w:hAnsi="Arial" w:hint="default"/>
      </w:rPr>
    </w:lvl>
    <w:lvl w:ilvl="6" w:tplc="4FD63066" w:tentative="1">
      <w:start w:val="1"/>
      <w:numFmt w:val="bullet"/>
      <w:lvlText w:val="•"/>
      <w:lvlJc w:val="left"/>
      <w:pPr>
        <w:tabs>
          <w:tab w:val="num" w:pos="5040"/>
        </w:tabs>
        <w:ind w:left="5040" w:hanging="360"/>
      </w:pPr>
      <w:rPr>
        <w:rFonts w:ascii="Arial" w:hAnsi="Arial" w:hint="default"/>
      </w:rPr>
    </w:lvl>
    <w:lvl w:ilvl="7" w:tplc="0BE227D2" w:tentative="1">
      <w:start w:val="1"/>
      <w:numFmt w:val="bullet"/>
      <w:lvlText w:val="•"/>
      <w:lvlJc w:val="left"/>
      <w:pPr>
        <w:tabs>
          <w:tab w:val="num" w:pos="5760"/>
        </w:tabs>
        <w:ind w:left="5760" w:hanging="360"/>
      </w:pPr>
      <w:rPr>
        <w:rFonts w:ascii="Arial" w:hAnsi="Arial" w:hint="default"/>
      </w:rPr>
    </w:lvl>
    <w:lvl w:ilvl="8" w:tplc="EF9480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4D904F6"/>
    <w:multiLevelType w:val="hybridMultilevel"/>
    <w:tmpl w:val="2220A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9377D"/>
    <w:multiLevelType w:val="hybridMultilevel"/>
    <w:tmpl w:val="0444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A3FF0"/>
    <w:multiLevelType w:val="hybridMultilevel"/>
    <w:tmpl w:val="2724FF08"/>
    <w:lvl w:ilvl="0" w:tplc="60CCEC4A">
      <w:start w:val="1"/>
      <w:numFmt w:val="bullet"/>
      <w:lvlText w:val="•"/>
      <w:lvlJc w:val="left"/>
      <w:pPr>
        <w:tabs>
          <w:tab w:val="num" w:pos="720"/>
        </w:tabs>
        <w:ind w:left="720" w:hanging="360"/>
      </w:pPr>
      <w:rPr>
        <w:rFonts w:ascii="Arial" w:hAnsi="Arial" w:hint="default"/>
      </w:rPr>
    </w:lvl>
    <w:lvl w:ilvl="1" w:tplc="8DA21A1E" w:tentative="1">
      <w:start w:val="1"/>
      <w:numFmt w:val="bullet"/>
      <w:lvlText w:val="•"/>
      <w:lvlJc w:val="left"/>
      <w:pPr>
        <w:tabs>
          <w:tab w:val="num" w:pos="1440"/>
        </w:tabs>
        <w:ind w:left="1440" w:hanging="360"/>
      </w:pPr>
      <w:rPr>
        <w:rFonts w:ascii="Arial" w:hAnsi="Arial" w:hint="default"/>
      </w:rPr>
    </w:lvl>
    <w:lvl w:ilvl="2" w:tplc="3ED6FB26" w:tentative="1">
      <w:start w:val="1"/>
      <w:numFmt w:val="bullet"/>
      <w:lvlText w:val="•"/>
      <w:lvlJc w:val="left"/>
      <w:pPr>
        <w:tabs>
          <w:tab w:val="num" w:pos="2160"/>
        </w:tabs>
        <w:ind w:left="2160" w:hanging="360"/>
      </w:pPr>
      <w:rPr>
        <w:rFonts w:ascii="Arial" w:hAnsi="Arial" w:hint="default"/>
      </w:rPr>
    </w:lvl>
    <w:lvl w:ilvl="3" w:tplc="99DAB90E" w:tentative="1">
      <w:start w:val="1"/>
      <w:numFmt w:val="bullet"/>
      <w:lvlText w:val="•"/>
      <w:lvlJc w:val="left"/>
      <w:pPr>
        <w:tabs>
          <w:tab w:val="num" w:pos="2880"/>
        </w:tabs>
        <w:ind w:left="2880" w:hanging="360"/>
      </w:pPr>
      <w:rPr>
        <w:rFonts w:ascii="Arial" w:hAnsi="Arial" w:hint="default"/>
      </w:rPr>
    </w:lvl>
    <w:lvl w:ilvl="4" w:tplc="FD4849D2" w:tentative="1">
      <w:start w:val="1"/>
      <w:numFmt w:val="bullet"/>
      <w:lvlText w:val="•"/>
      <w:lvlJc w:val="left"/>
      <w:pPr>
        <w:tabs>
          <w:tab w:val="num" w:pos="3600"/>
        </w:tabs>
        <w:ind w:left="3600" w:hanging="360"/>
      </w:pPr>
      <w:rPr>
        <w:rFonts w:ascii="Arial" w:hAnsi="Arial" w:hint="default"/>
      </w:rPr>
    </w:lvl>
    <w:lvl w:ilvl="5" w:tplc="8AB4A5A2" w:tentative="1">
      <w:start w:val="1"/>
      <w:numFmt w:val="bullet"/>
      <w:lvlText w:val="•"/>
      <w:lvlJc w:val="left"/>
      <w:pPr>
        <w:tabs>
          <w:tab w:val="num" w:pos="4320"/>
        </w:tabs>
        <w:ind w:left="4320" w:hanging="360"/>
      </w:pPr>
      <w:rPr>
        <w:rFonts w:ascii="Arial" w:hAnsi="Arial" w:hint="default"/>
      </w:rPr>
    </w:lvl>
    <w:lvl w:ilvl="6" w:tplc="CD90AC50" w:tentative="1">
      <w:start w:val="1"/>
      <w:numFmt w:val="bullet"/>
      <w:lvlText w:val="•"/>
      <w:lvlJc w:val="left"/>
      <w:pPr>
        <w:tabs>
          <w:tab w:val="num" w:pos="5040"/>
        </w:tabs>
        <w:ind w:left="5040" w:hanging="360"/>
      </w:pPr>
      <w:rPr>
        <w:rFonts w:ascii="Arial" w:hAnsi="Arial" w:hint="default"/>
      </w:rPr>
    </w:lvl>
    <w:lvl w:ilvl="7" w:tplc="23F4B140" w:tentative="1">
      <w:start w:val="1"/>
      <w:numFmt w:val="bullet"/>
      <w:lvlText w:val="•"/>
      <w:lvlJc w:val="left"/>
      <w:pPr>
        <w:tabs>
          <w:tab w:val="num" w:pos="5760"/>
        </w:tabs>
        <w:ind w:left="5760" w:hanging="360"/>
      </w:pPr>
      <w:rPr>
        <w:rFonts w:ascii="Arial" w:hAnsi="Arial" w:hint="default"/>
      </w:rPr>
    </w:lvl>
    <w:lvl w:ilvl="8" w:tplc="7E16A88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3D4"/>
    <w:rsid w:val="000378DC"/>
    <w:rsid w:val="00093815"/>
    <w:rsid w:val="000C69A7"/>
    <w:rsid w:val="000E61CA"/>
    <w:rsid w:val="00124439"/>
    <w:rsid w:val="001C58CF"/>
    <w:rsid w:val="00206184"/>
    <w:rsid w:val="00212BEB"/>
    <w:rsid w:val="0025158B"/>
    <w:rsid w:val="00270930"/>
    <w:rsid w:val="00317164"/>
    <w:rsid w:val="00317E21"/>
    <w:rsid w:val="003403D4"/>
    <w:rsid w:val="003D65E7"/>
    <w:rsid w:val="00497FC5"/>
    <w:rsid w:val="004D387B"/>
    <w:rsid w:val="0059221B"/>
    <w:rsid w:val="00592377"/>
    <w:rsid w:val="005C374E"/>
    <w:rsid w:val="006D6060"/>
    <w:rsid w:val="007435F2"/>
    <w:rsid w:val="00773C68"/>
    <w:rsid w:val="007865FB"/>
    <w:rsid w:val="007B254F"/>
    <w:rsid w:val="007B5749"/>
    <w:rsid w:val="00800AF0"/>
    <w:rsid w:val="00810F20"/>
    <w:rsid w:val="008A01CA"/>
    <w:rsid w:val="009511A6"/>
    <w:rsid w:val="00A542E6"/>
    <w:rsid w:val="00B62EB3"/>
    <w:rsid w:val="00C70C71"/>
    <w:rsid w:val="00D04910"/>
    <w:rsid w:val="00D72543"/>
    <w:rsid w:val="00D95551"/>
    <w:rsid w:val="00DB009F"/>
    <w:rsid w:val="00E86757"/>
    <w:rsid w:val="00EC684F"/>
    <w:rsid w:val="00F332B8"/>
    <w:rsid w:val="00F7139F"/>
    <w:rsid w:val="00FA1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6E09B"/>
  <w15:chartTrackingRefBased/>
  <w15:docId w15:val="{8EFD6F2A-CDF5-4E5B-B6FF-8FB556769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443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03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403D4"/>
    <w:rPr>
      <w:i/>
      <w:iCs/>
    </w:rPr>
  </w:style>
  <w:style w:type="character" w:styleId="Hyperlink">
    <w:name w:val="Hyperlink"/>
    <w:basedOn w:val="DefaultParagraphFont"/>
    <w:uiPriority w:val="99"/>
    <w:unhideWhenUsed/>
    <w:rsid w:val="003403D4"/>
    <w:rPr>
      <w:strike w:val="0"/>
      <w:dstrike w:val="0"/>
      <w:color w:val="464FEB"/>
      <w:u w:val="none"/>
      <w:effect w:val="none"/>
    </w:rPr>
  </w:style>
  <w:style w:type="character" w:styleId="Strong">
    <w:name w:val="Strong"/>
    <w:basedOn w:val="DefaultParagraphFont"/>
    <w:uiPriority w:val="22"/>
    <w:qFormat/>
    <w:rsid w:val="003403D4"/>
    <w:rPr>
      <w:b/>
      <w:bCs/>
    </w:rPr>
  </w:style>
  <w:style w:type="paragraph" w:styleId="ListParagraph">
    <w:name w:val="List Paragraph"/>
    <w:basedOn w:val="Normal"/>
    <w:uiPriority w:val="34"/>
    <w:qFormat/>
    <w:rsid w:val="00D04910"/>
    <w:pPr>
      <w:ind w:left="720"/>
      <w:contextualSpacing/>
    </w:pPr>
  </w:style>
  <w:style w:type="table" w:styleId="TableGrid">
    <w:name w:val="Table Grid"/>
    <w:basedOn w:val="TableNormal"/>
    <w:uiPriority w:val="39"/>
    <w:rsid w:val="00206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9221B"/>
    <w:rPr>
      <w:sz w:val="16"/>
      <w:szCs w:val="16"/>
    </w:rPr>
  </w:style>
  <w:style w:type="paragraph" w:styleId="CommentText">
    <w:name w:val="annotation text"/>
    <w:basedOn w:val="Normal"/>
    <w:link w:val="CommentTextChar"/>
    <w:uiPriority w:val="99"/>
    <w:semiHidden/>
    <w:unhideWhenUsed/>
    <w:rsid w:val="0059221B"/>
    <w:pPr>
      <w:spacing w:line="240" w:lineRule="auto"/>
    </w:pPr>
    <w:rPr>
      <w:sz w:val="20"/>
      <w:szCs w:val="20"/>
    </w:rPr>
  </w:style>
  <w:style w:type="character" w:customStyle="1" w:styleId="CommentTextChar">
    <w:name w:val="Comment Text Char"/>
    <w:basedOn w:val="DefaultParagraphFont"/>
    <w:link w:val="CommentText"/>
    <w:uiPriority w:val="99"/>
    <w:semiHidden/>
    <w:rsid w:val="0059221B"/>
    <w:rPr>
      <w:sz w:val="20"/>
      <w:szCs w:val="20"/>
    </w:rPr>
  </w:style>
  <w:style w:type="paragraph" w:styleId="CommentSubject">
    <w:name w:val="annotation subject"/>
    <w:basedOn w:val="CommentText"/>
    <w:next w:val="CommentText"/>
    <w:link w:val="CommentSubjectChar"/>
    <w:uiPriority w:val="99"/>
    <w:semiHidden/>
    <w:unhideWhenUsed/>
    <w:rsid w:val="0059221B"/>
    <w:rPr>
      <w:b/>
      <w:bCs/>
    </w:rPr>
  </w:style>
  <w:style w:type="character" w:customStyle="1" w:styleId="CommentSubjectChar">
    <w:name w:val="Comment Subject Char"/>
    <w:basedOn w:val="CommentTextChar"/>
    <w:link w:val="CommentSubject"/>
    <w:uiPriority w:val="99"/>
    <w:semiHidden/>
    <w:rsid w:val="0059221B"/>
    <w:rPr>
      <w:b/>
      <w:bCs/>
      <w:sz w:val="20"/>
      <w:szCs w:val="20"/>
    </w:rPr>
  </w:style>
  <w:style w:type="paragraph" w:styleId="Header">
    <w:name w:val="header"/>
    <w:basedOn w:val="Normal"/>
    <w:link w:val="HeaderChar"/>
    <w:uiPriority w:val="99"/>
    <w:unhideWhenUsed/>
    <w:rsid w:val="00592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21B"/>
  </w:style>
  <w:style w:type="paragraph" w:styleId="Footer">
    <w:name w:val="footer"/>
    <w:basedOn w:val="Normal"/>
    <w:link w:val="FooterChar"/>
    <w:uiPriority w:val="99"/>
    <w:unhideWhenUsed/>
    <w:rsid w:val="00592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21B"/>
  </w:style>
  <w:style w:type="character" w:customStyle="1" w:styleId="Heading1Char">
    <w:name w:val="Heading 1 Char"/>
    <w:basedOn w:val="DefaultParagraphFont"/>
    <w:link w:val="Heading1"/>
    <w:uiPriority w:val="9"/>
    <w:rsid w:val="00124439"/>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2709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42068">
      <w:bodyDiv w:val="1"/>
      <w:marLeft w:val="0"/>
      <w:marRight w:val="0"/>
      <w:marTop w:val="0"/>
      <w:marBottom w:val="0"/>
      <w:divBdr>
        <w:top w:val="none" w:sz="0" w:space="0" w:color="auto"/>
        <w:left w:val="none" w:sz="0" w:space="0" w:color="auto"/>
        <w:bottom w:val="none" w:sz="0" w:space="0" w:color="auto"/>
        <w:right w:val="none" w:sz="0" w:space="0" w:color="auto"/>
      </w:divBdr>
      <w:divsChild>
        <w:div w:id="16734511">
          <w:marLeft w:val="0"/>
          <w:marRight w:val="0"/>
          <w:marTop w:val="0"/>
          <w:marBottom w:val="0"/>
          <w:divBdr>
            <w:top w:val="none" w:sz="0" w:space="0" w:color="auto"/>
            <w:left w:val="none" w:sz="0" w:space="0" w:color="auto"/>
            <w:bottom w:val="none" w:sz="0" w:space="0" w:color="auto"/>
            <w:right w:val="none" w:sz="0" w:space="0" w:color="auto"/>
          </w:divBdr>
        </w:div>
      </w:divsChild>
    </w:div>
    <w:div w:id="80487098">
      <w:bodyDiv w:val="1"/>
      <w:marLeft w:val="0"/>
      <w:marRight w:val="0"/>
      <w:marTop w:val="0"/>
      <w:marBottom w:val="0"/>
      <w:divBdr>
        <w:top w:val="none" w:sz="0" w:space="0" w:color="auto"/>
        <w:left w:val="none" w:sz="0" w:space="0" w:color="auto"/>
        <w:bottom w:val="none" w:sz="0" w:space="0" w:color="auto"/>
        <w:right w:val="none" w:sz="0" w:space="0" w:color="auto"/>
      </w:divBdr>
      <w:divsChild>
        <w:div w:id="698043197">
          <w:marLeft w:val="446"/>
          <w:marRight w:val="0"/>
          <w:marTop w:val="0"/>
          <w:marBottom w:val="0"/>
          <w:divBdr>
            <w:top w:val="none" w:sz="0" w:space="0" w:color="auto"/>
            <w:left w:val="none" w:sz="0" w:space="0" w:color="auto"/>
            <w:bottom w:val="none" w:sz="0" w:space="0" w:color="auto"/>
            <w:right w:val="none" w:sz="0" w:space="0" w:color="auto"/>
          </w:divBdr>
        </w:div>
      </w:divsChild>
    </w:div>
    <w:div w:id="198208627">
      <w:bodyDiv w:val="1"/>
      <w:marLeft w:val="0"/>
      <w:marRight w:val="0"/>
      <w:marTop w:val="0"/>
      <w:marBottom w:val="0"/>
      <w:divBdr>
        <w:top w:val="none" w:sz="0" w:space="0" w:color="auto"/>
        <w:left w:val="none" w:sz="0" w:space="0" w:color="auto"/>
        <w:bottom w:val="none" w:sz="0" w:space="0" w:color="auto"/>
        <w:right w:val="none" w:sz="0" w:space="0" w:color="auto"/>
      </w:divBdr>
      <w:divsChild>
        <w:div w:id="1284994820">
          <w:marLeft w:val="0"/>
          <w:marRight w:val="0"/>
          <w:marTop w:val="0"/>
          <w:marBottom w:val="0"/>
          <w:divBdr>
            <w:top w:val="none" w:sz="0" w:space="0" w:color="auto"/>
            <w:left w:val="none" w:sz="0" w:space="0" w:color="auto"/>
            <w:bottom w:val="none" w:sz="0" w:space="0" w:color="auto"/>
            <w:right w:val="none" w:sz="0" w:space="0" w:color="auto"/>
          </w:divBdr>
        </w:div>
      </w:divsChild>
    </w:div>
    <w:div w:id="296106204">
      <w:bodyDiv w:val="1"/>
      <w:marLeft w:val="0"/>
      <w:marRight w:val="0"/>
      <w:marTop w:val="0"/>
      <w:marBottom w:val="0"/>
      <w:divBdr>
        <w:top w:val="none" w:sz="0" w:space="0" w:color="auto"/>
        <w:left w:val="none" w:sz="0" w:space="0" w:color="auto"/>
        <w:bottom w:val="none" w:sz="0" w:space="0" w:color="auto"/>
        <w:right w:val="none" w:sz="0" w:space="0" w:color="auto"/>
      </w:divBdr>
      <w:divsChild>
        <w:div w:id="1928228695">
          <w:marLeft w:val="0"/>
          <w:marRight w:val="0"/>
          <w:marTop w:val="0"/>
          <w:marBottom w:val="0"/>
          <w:divBdr>
            <w:top w:val="none" w:sz="0" w:space="0" w:color="auto"/>
            <w:left w:val="none" w:sz="0" w:space="0" w:color="auto"/>
            <w:bottom w:val="none" w:sz="0" w:space="0" w:color="auto"/>
            <w:right w:val="none" w:sz="0" w:space="0" w:color="auto"/>
          </w:divBdr>
        </w:div>
      </w:divsChild>
    </w:div>
    <w:div w:id="373576809">
      <w:bodyDiv w:val="1"/>
      <w:marLeft w:val="0"/>
      <w:marRight w:val="0"/>
      <w:marTop w:val="0"/>
      <w:marBottom w:val="0"/>
      <w:divBdr>
        <w:top w:val="none" w:sz="0" w:space="0" w:color="auto"/>
        <w:left w:val="none" w:sz="0" w:space="0" w:color="auto"/>
        <w:bottom w:val="none" w:sz="0" w:space="0" w:color="auto"/>
        <w:right w:val="none" w:sz="0" w:space="0" w:color="auto"/>
      </w:divBdr>
      <w:divsChild>
        <w:div w:id="626280640">
          <w:marLeft w:val="0"/>
          <w:marRight w:val="0"/>
          <w:marTop w:val="0"/>
          <w:marBottom w:val="0"/>
          <w:divBdr>
            <w:top w:val="none" w:sz="0" w:space="0" w:color="auto"/>
            <w:left w:val="none" w:sz="0" w:space="0" w:color="auto"/>
            <w:bottom w:val="none" w:sz="0" w:space="0" w:color="auto"/>
            <w:right w:val="none" w:sz="0" w:space="0" w:color="auto"/>
          </w:divBdr>
        </w:div>
      </w:divsChild>
    </w:div>
    <w:div w:id="521091322">
      <w:bodyDiv w:val="1"/>
      <w:marLeft w:val="0"/>
      <w:marRight w:val="0"/>
      <w:marTop w:val="0"/>
      <w:marBottom w:val="0"/>
      <w:divBdr>
        <w:top w:val="none" w:sz="0" w:space="0" w:color="auto"/>
        <w:left w:val="none" w:sz="0" w:space="0" w:color="auto"/>
        <w:bottom w:val="none" w:sz="0" w:space="0" w:color="auto"/>
        <w:right w:val="none" w:sz="0" w:space="0" w:color="auto"/>
      </w:divBdr>
      <w:divsChild>
        <w:div w:id="1530294057">
          <w:marLeft w:val="0"/>
          <w:marRight w:val="0"/>
          <w:marTop w:val="0"/>
          <w:marBottom w:val="0"/>
          <w:divBdr>
            <w:top w:val="none" w:sz="0" w:space="0" w:color="auto"/>
            <w:left w:val="none" w:sz="0" w:space="0" w:color="auto"/>
            <w:bottom w:val="none" w:sz="0" w:space="0" w:color="auto"/>
            <w:right w:val="none" w:sz="0" w:space="0" w:color="auto"/>
          </w:divBdr>
        </w:div>
      </w:divsChild>
    </w:div>
    <w:div w:id="550121410">
      <w:bodyDiv w:val="1"/>
      <w:marLeft w:val="0"/>
      <w:marRight w:val="0"/>
      <w:marTop w:val="0"/>
      <w:marBottom w:val="0"/>
      <w:divBdr>
        <w:top w:val="none" w:sz="0" w:space="0" w:color="auto"/>
        <w:left w:val="none" w:sz="0" w:space="0" w:color="auto"/>
        <w:bottom w:val="none" w:sz="0" w:space="0" w:color="auto"/>
        <w:right w:val="none" w:sz="0" w:space="0" w:color="auto"/>
      </w:divBdr>
      <w:divsChild>
        <w:div w:id="32582830">
          <w:marLeft w:val="0"/>
          <w:marRight w:val="0"/>
          <w:marTop w:val="0"/>
          <w:marBottom w:val="0"/>
          <w:divBdr>
            <w:top w:val="none" w:sz="0" w:space="0" w:color="auto"/>
            <w:left w:val="none" w:sz="0" w:space="0" w:color="auto"/>
            <w:bottom w:val="none" w:sz="0" w:space="0" w:color="auto"/>
            <w:right w:val="none" w:sz="0" w:space="0" w:color="auto"/>
          </w:divBdr>
        </w:div>
      </w:divsChild>
    </w:div>
    <w:div w:id="1027219657">
      <w:bodyDiv w:val="1"/>
      <w:marLeft w:val="0"/>
      <w:marRight w:val="0"/>
      <w:marTop w:val="0"/>
      <w:marBottom w:val="0"/>
      <w:divBdr>
        <w:top w:val="none" w:sz="0" w:space="0" w:color="auto"/>
        <w:left w:val="none" w:sz="0" w:space="0" w:color="auto"/>
        <w:bottom w:val="none" w:sz="0" w:space="0" w:color="auto"/>
        <w:right w:val="none" w:sz="0" w:space="0" w:color="auto"/>
      </w:divBdr>
      <w:divsChild>
        <w:div w:id="1089077289">
          <w:marLeft w:val="0"/>
          <w:marRight w:val="0"/>
          <w:marTop w:val="0"/>
          <w:marBottom w:val="0"/>
          <w:divBdr>
            <w:top w:val="none" w:sz="0" w:space="0" w:color="auto"/>
            <w:left w:val="none" w:sz="0" w:space="0" w:color="auto"/>
            <w:bottom w:val="none" w:sz="0" w:space="0" w:color="auto"/>
            <w:right w:val="none" w:sz="0" w:space="0" w:color="auto"/>
          </w:divBdr>
        </w:div>
      </w:divsChild>
    </w:div>
    <w:div w:id="1177617469">
      <w:bodyDiv w:val="1"/>
      <w:marLeft w:val="0"/>
      <w:marRight w:val="0"/>
      <w:marTop w:val="0"/>
      <w:marBottom w:val="0"/>
      <w:divBdr>
        <w:top w:val="none" w:sz="0" w:space="0" w:color="auto"/>
        <w:left w:val="none" w:sz="0" w:space="0" w:color="auto"/>
        <w:bottom w:val="none" w:sz="0" w:space="0" w:color="auto"/>
        <w:right w:val="none" w:sz="0" w:space="0" w:color="auto"/>
      </w:divBdr>
      <w:divsChild>
        <w:div w:id="421266964">
          <w:marLeft w:val="0"/>
          <w:marRight w:val="0"/>
          <w:marTop w:val="0"/>
          <w:marBottom w:val="0"/>
          <w:divBdr>
            <w:top w:val="none" w:sz="0" w:space="0" w:color="auto"/>
            <w:left w:val="none" w:sz="0" w:space="0" w:color="auto"/>
            <w:bottom w:val="none" w:sz="0" w:space="0" w:color="auto"/>
            <w:right w:val="none" w:sz="0" w:space="0" w:color="auto"/>
          </w:divBdr>
        </w:div>
      </w:divsChild>
    </w:div>
    <w:div w:id="1521311649">
      <w:bodyDiv w:val="1"/>
      <w:marLeft w:val="0"/>
      <w:marRight w:val="0"/>
      <w:marTop w:val="0"/>
      <w:marBottom w:val="0"/>
      <w:divBdr>
        <w:top w:val="none" w:sz="0" w:space="0" w:color="auto"/>
        <w:left w:val="none" w:sz="0" w:space="0" w:color="auto"/>
        <w:bottom w:val="none" w:sz="0" w:space="0" w:color="auto"/>
        <w:right w:val="none" w:sz="0" w:space="0" w:color="auto"/>
      </w:divBdr>
      <w:divsChild>
        <w:div w:id="1218587980">
          <w:marLeft w:val="0"/>
          <w:marRight w:val="0"/>
          <w:marTop w:val="0"/>
          <w:marBottom w:val="0"/>
          <w:divBdr>
            <w:top w:val="none" w:sz="0" w:space="0" w:color="auto"/>
            <w:left w:val="none" w:sz="0" w:space="0" w:color="auto"/>
            <w:bottom w:val="none" w:sz="0" w:space="0" w:color="auto"/>
            <w:right w:val="none" w:sz="0" w:space="0" w:color="auto"/>
          </w:divBdr>
        </w:div>
      </w:divsChild>
    </w:div>
    <w:div w:id="1639217540">
      <w:bodyDiv w:val="1"/>
      <w:marLeft w:val="0"/>
      <w:marRight w:val="0"/>
      <w:marTop w:val="0"/>
      <w:marBottom w:val="0"/>
      <w:divBdr>
        <w:top w:val="none" w:sz="0" w:space="0" w:color="auto"/>
        <w:left w:val="none" w:sz="0" w:space="0" w:color="auto"/>
        <w:bottom w:val="none" w:sz="0" w:space="0" w:color="auto"/>
        <w:right w:val="none" w:sz="0" w:space="0" w:color="auto"/>
      </w:divBdr>
      <w:divsChild>
        <w:div w:id="2074353785">
          <w:marLeft w:val="446"/>
          <w:marRight w:val="0"/>
          <w:marTop w:val="0"/>
          <w:marBottom w:val="0"/>
          <w:divBdr>
            <w:top w:val="none" w:sz="0" w:space="0" w:color="auto"/>
            <w:left w:val="none" w:sz="0" w:space="0" w:color="auto"/>
            <w:bottom w:val="none" w:sz="0" w:space="0" w:color="auto"/>
            <w:right w:val="none" w:sz="0" w:space="0" w:color="auto"/>
          </w:divBdr>
        </w:div>
      </w:divsChild>
    </w:div>
    <w:div w:id="1639803055">
      <w:bodyDiv w:val="1"/>
      <w:marLeft w:val="0"/>
      <w:marRight w:val="0"/>
      <w:marTop w:val="0"/>
      <w:marBottom w:val="0"/>
      <w:divBdr>
        <w:top w:val="none" w:sz="0" w:space="0" w:color="auto"/>
        <w:left w:val="none" w:sz="0" w:space="0" w:color="auto"/>
        <w:bottom w:val="none" w:sz="0" w:space="0" w:color="auto"/>
        <w:right w:val="none" w:sz="0" w:space="0" w:color="auto"/>
      </w:divBdr>
      <w:divsChild>
        <w:div w:id="1379622254">
          <w:marLeft w:val="0"/>
          <w:marRight w:val="0"/>
          <w:marTop w:val="0"/>
          <w:marBottom w:val="0"/>
          <w:divBdr>
            <w:top w:val="none" w:sz="0" w:space="0" w:color="auto"/>
            <w:left w:val="none" w:sz="0" w:space="0" w:color="auto"/>
            <w:bottom w:val="none" w:sz="0" w:space="0" w:color="auto"/>
            <w:right w:val="none" w:sz="0" w:space="0" w:color="auto"/>
          </w:divBdr>
        </w:div>
      </w:divsChild>
    </w:div>
    <w:div w:id="1684627022">
      <w:bodyDiv w:val="1"/>
      <w:marLeft w:val="0"/>
      <w:marRight w:val="0"/>
      <w:marTop w:val="0"/>
      <w:marBottom w:val="0"/>
      <w:divBdr>
        <w:top w:val="none" w:sz="0" w:space="0" w:color="auto"/>
        <w:left w:val="none" w:sz="0" w:space="0" w:color="auto"/>
        <w:bottom w:val="none" w:sz="0" w:space="0" w:color="auto"/>
        <w:right w:val="none" w:sz="0" w:space="0" w:color="auto"/>
      </w:divBdr>
      <w:divsChild>
        <w:div w:id="413742987">
          <w:marLeft w:val="0"/>
          <w:marRight w:val="0"/>
          <w:marTop w:val="0"/>
          <w:marBottom w:val="0"/>
          <w:divBdr>
            <w:top w:val="none" w:sz="0" w:space="0" w:color="auto"/>
            <w:left w:val="none" w:sz="0" w:space="0" w:color="auto"/>
            <w:bottom w:val="none" w:sz="0" w:space="0" w:color="auto"/>
            <w:right w:val="none" w:sz="0" w:space="0" w:color="auto"/>
          </w:divBdr>
        </w:div>
      </w:divsChild>
    </w:div>
    <w:div w:id="1899393261">
      <w:bodyDiv w:val="1"/>
      <w:marLeft w:val="0"/>
      <w:marRight w:val="0"/>
      <w:marTop w:val="0"/>
      <w:marBottom w:val="0"/>
      <w:divBdr>
        <w:top w:val="none" w:sz="0" w:space="0" w:color="auto"/>
        <w:left w:val="none" w:sz="0" w:space="0" w:color="auto"/>
        <w:bottom w:val="none" w:sz="0" w:space="0" w:color="auto"/>
        <w:right w:val="none" w:sz="0" w:space="0" w:color="auto"/>
      </w:divBdr>
    </w:div>
    <w:div w:id="2082825203">
      <w:bodyDiv w:val="1"/>
      <w:marLeft w:val="0"/>
      <w:marRight w:val="0"/>
      <w:marTop w:val="0"/>
      <w:marBottom w:val="0"/>
      <w:divBdr>
        <w:top w:val="none" w:sz="0" w:space="0" w:color="auto"/>
        <w:left w:val="none" w:sz="0" w:space="0" w:color="auto"/>
        <w:bottom w:val="none" w:sz="0" w:space="0" w:color="auto"/>
        <w:right w:val="none" w:sz="0" w:space="0" w:color="auto"/>
      </w:divBdr>
      <w:divsChild>
        <w:div w:id="214538912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3441-023-00521-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ed.stanford.edu/news/all-news/2026/01/ai-sleep-diseas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00E0A-AE49-4F50-BE08-7B766E78A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16</Pages>
  <Words>3222</Words>
  <Characters>21847</Characters>
  <Application>Microsoft Office Word</Application>
  <DocSecurity>0</DocSecurity>
  <Lines>455</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Kirkham-jones (Aneurin Bevan UHB - Sleep Clinic)</dc:creator>
  <cp:keywords/>
  <dc:description/>
  <cp:lastModifiedBy>Jessica Kirkham-jones (Aneurin Bevan UHB - Sleep Clinic)</cp:lastModifiedBy>
  <cp:revision>3</cp:revision>
  <dcterms:created xsi:type="dcterms:W3CDTF">2026-03-06T19:13:00Z</dcterms:created>
  <dcterms:modified xsi:type="dcterms:W3CDTF">2026-03-06T19:37:00Z</dcterms:modified>
</cp:coreProperties>
</file>