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B3E4E0" w14:textId="77777777" w:rsidR="00E862B8" w:rsidRPr="0065248C" w:rsidRDefault="00E862B8" w:rsidP="0065248C">
      <w:pPr>
        <w:pStyle w:val="NoSpacing"/>
        <w:spacing w:line="360" w:lineRule="auto"/>
        <w:jc w:val="both"/>
        <w:rPr>
          <w:sz w:val="24"/>
          <w:szCs w:val="24"/>
          <w:lang w:val="en-GB"/>
        </w:rPr>
      </w:pPr>
    </w:p>
    <w:tbl>
      <w:tblPr>
        <w:tblStyle w:val="a"/>
        <w:tblW w:w="9360" w:type="dxa"/>
        <w:tblInd w:w="10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2410"/>
        <w:gridCol w:w="6950"/>
      </w:tblGrid>
      <w:tr w:rsidR="00A1615F" w:rsidRPr="0065248C" w14:paraId="47CA01FC" w14:textId="77777777" w:rsidTr="006B4601">
        <w:trPr>
          <w:trHeight w:val="525"/>
        </w:trPr>
        <w:tc>
          <w:tcPr>
            <w:tcW w:w="241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0B602957" w14:textId="5E7EBEA0" w:rsidR="00A1615F" w:rsidRPr="0065248C" w:rsidRDefault="00A1615F" w:rsidP="00A1615F">
            <w:pPr>
              <w:spacing w:before="120" w:after="120" w:line="360" w:lineRule="auto"/>
              <w:ind w:left="400"/>
              <w:jc w:val="both"/>
              <w:rPr>
                <w:b/>
                <w:sz w:val="24"/>
                <w:szCs w:val="24"/>
                <w:lang w:val="en-GB"/>
              </w:rPr>
            </w:pPr>
            <w:r>
              <w:rPr>
                <w:b/>
                <w:sz w:val="24"/>
                <w:szCs w:val="24"/>
                <w:lang w:val="en-GB"/>
              </w:rPr>
              <w:t xml:space="preserve">Name: </w:t>
            </w:r>
          </w:p>
        </w:tc>
        <w:tc>
          <w:tcPr>
            <w:tcW w:w="6950" w:type="dxa"/>
            <w:tcBorders>
              <w:top w:val="single" w:sz="8" w:space="0" w:color="000000"/>
              <w:bottom w:val="single" w:sz="8" w:space="0" w:color="000000"/>
              <w:right w:val="single" w:sz="8" w:space="0" w:color="000000"/>
            </w:tcBorders>
            <w:tcMar>
              <w:top w:w="0" w:type="dxa"/>
              <w:left w:w="100" w:type="dxa"/>
              <w:bottom w:w="0" w:type="dxa"/>
              <w:right w:w="100" w:type="dxa"/>
            </w:tcMar>
          </w:tcPr>
          <w:p w14:paraId="031E986B" w14:textId="3F63DBC3" w:rsidR="00A1615F" w:rsidRPr="0065248C" w:rsidRDefault="00A1615F" w:rsidP="00A1615F">
            <w:pPr>
              <w:spacing w:before="120" w:after="120" w:line="360" w:lineRule="auto"/>
              <w:ind w:left="400"/>
              <w:jc w:val="both"/>
              <w:rPr>
                <w:b/>
                <w:sz w:val="24"/>
                <w:szCs w:val="24"/>
                <w:lang w:val="en-GB"/>
              </w:rPr>
            </w:pPr>
            <w:r>
              <w:rPr>
                <w:b/>
                <w:sz w:val="24"/>
                <w:szCs w:val="24"/>
              </w:rPr>
              <w:t xml:space="preserve">Meet </w:t>
            </w:r>
            <w:proofErr w:type="spellStart"/>
            <w:r>
              <w:rPr>
                <w:b/>
                <w:sz w:val="24"/>
                <w:szCs w:val="24"/>
              </w:rPr>
              <w:t>Dineshbhai</w:t>
            </w:r>
            <w:proofErr w:type="spellEnd"/>
            <w:r>
              <w:rPr>
                <w:b/>
                <w:sz w:val="24"/>
                <w:szCs w:val="24"/>
              </w:rPr>
              <w:t xml:space="preserve"> Malani</w:t>
            </w:r>
          </w:p>
        </w:tc>
      </w:tr>
      <w:tr w:rsidR="00A1615F" w:rsidRPr="0065248C" w14:paraId="0537255A" w14:textId="77777777" w:rsidTr="006B4601">
        <w:trPr>
          <w:trHeight w:val="525"/>
        </w:trPr>
        <w:tc>
          <w:tcPr>
            <w:tcW w:w="241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3CE57508" w14:textId="3F94278B" w:rsidR="00A1615F" w:rsidRDefault="00A1615F" w:rsidP="00A1615F">
            <w:pPr>
              <w:spacing w:before="120" w:after="120" w:line="360" w:lineRule="auto"/>
              <w:ind w:left="400"/>
              <w:jc w:val="both"/>
              <w:rPr>
                <w:b/>
                <w:sz w:val="24"/>
                <w:szCs w:val="24"/>
                <w:lang w:val="en-GB"/>
              </w:rPr>
            </w:pPr>
            <w:r>
              <w:rPr>
                <w:b/>
                <w:sz w:val="24"/>
                <w:szCs w:val="24"/>
                <w:lang w:val="en-GB"/>
              </w:rPr>
              <w:t xml:space="preserve">Student ID: </w:t>
            </w:r>
          </w:p>
        </w:tc>
        <w:tc>
          <w:tcPr>
            <w:tcW w:w="6950" w:type="dxa"/>
            <w:tcBorders>
              <w:top w:val="single" w:sz="8" w:space="0" w:color="000000"/>
              <w:bottom w:val="single" w:sz="8" w:space="0" w:color="000000"/>
              <w:right w:val="single" w:sz="8" w:space="0" w:color="000000"/>
            </w:tcBorders>
            <w:tcMar>
              <w:top w:w="0" w:type="dxa"/>
              <w:left w:w="100" w:type="dxa"/>
              <w:bottom w:w="0" w:type="dxa"/>
              <w:right w:w="100" w:type="dxa"/>
            </w:tcMar>
          </w:tcPr>
          <w:p w14:paraId="49C77DEF" w14:textId="31BDE82C" w:rsidR="00A1615F" w:rsidRDefault="00A1615F" w:rsidP="00A1615F">
            <w:pPr>
              <w:spacing w:before="120" w:after="120" w:line="360" w:lineRule="auto"/>
              <w:ind w:left="400"/>
              <w:jc w:val="both"/>
              <w:rPr>
                <w:b/>
                <w:sz w:val="24"/>
                <w:szCs w:val="24"/>
                <w:lang w:val="en-GB"/>
              </w:rPr>
            </w:pPr>
            <w:r>
              <w:rPr>
                <w:b/>
                <w:sz w:val="24"/>
                <w:szCs w:val="24"/>
                <w:lang w:val="en-GB"/>
              </w:rPr>
              <w:t>2504764</w:t>
            </w:r>
          </w:p>
        </w:tc>
      </w:tr>
      <w:tr w:rsidR="00A1615F" w:rsidRPr="0065248C" w14:paraId="71130689" w14:textId="77777777" w:rsidTr="006B4601">
        <w:trPr>
          <w:trHeight w:val="525"/>
        </w:trPr>
        <w:tc>
          <w:tcPr>
            <w:tcW w:w="2410" w:type="dxa"/>
            <w:tcBorders>
              <w:left w:val="single" w:sz="8" w:space="0" w:color="000000"/>
              <w:bottom w:val="single" w:sz="8" w:space="0" w:color="000000"/>
              <w:right w:val="single" w:sz="8" w:space="0" w:color="000000"/>
            </w:tcBorders>
            <w:tcMar>
              <w:top w:w="0" w:type="dxa"/>
              <w:left w:w="100" w:type="dxa"/>
              <w:bottom w:w="0" w:type="dxa"/>
              <w:right w:w="100" w:type="dxa"/>
            </w:tcMar>
          </w:tcPr>
          <w:p w14:paraId="2BBAF478" w14:textId="77777777" w:rsidR="00A1615F" w:rsidRPr="0065248C" w:rsidRDefault="00A1615F" w:rsidP="00A1615F">
            <w:pPr>
              <w:spacing w:before="120" w:after="120" w:line="360" w:lineRule="auto"/>
              <w:ind w:left="400"/>
              <w:jc w:val="both"/>
              <w:rPr>
                <w:b/>
                <w:sz w:val="24"/>
                <w:szCs w:val="24"/>
                <w:lang w:val="en-GB"/>
              </w:rPr>
            </w:pPr>
            <w:r w:rsidRPr="0065248C">
              <w:rPr>
                <w:b/>
                <w:sz w:val="24"/>
                <w:szCs w:val="24"/>
                <w:lang w:val="en-GB"/>
              </w:rPr>
              <w:t>Module:</w:t>
            </w:r>
          </w:p>
        </w:tc>
        <w:tc>
          <w:tcPr>
            <w:tcW w:w="6950" w:type="dxa"/>
            <w:tcBorders>
              <w:bottom w:val="single" w:sz="8" w:space="0" w:color="000000"/>
              <w:right w:val="single" w:sz="8" w:space="0" w:color="000000"/>
            </w:tcBorders>
            <w:tcMar>
              <w:top w:w="0" w:type="dxa"/>
              <w:left w:w="100" w:type="dxa"/>
              <w:bottom w:w="0" w:type="dxa"/>
              <w:right w:w="100" w:type="dxa"/>
            </w:tcMar>
          </w:tcPr>
          <w:p w14:paraId="3E417ADB" w14:textId="77777777" w:rsidR="00A1615F" w:rsidRPr="0065248C" w:rsidRDefault="00A1615F" w:rsidP="00A1615F">
            <w:pPr>
              <w:spacing w:before="120" w:after="120" w:line="360" w:lineRule="auto"/>
              <w:ind w:left="400"/>
              <w:jc w:val="both"/>
              <w:rPr>
                <w:b/>
                <w:sz w:val="24"/>
                <w:szCs w:val="24"/>
                <w:lang w:val="en-GB"/>
              </w:rPr>
            </w:pPr>
            <w:r w:rsidRPr="0065248C">
              <w:rPr>
                <w:b/>
                <w:sz w:val="24"/>
                <w:szCs w:val="24"/>
                <w:lang w:val="en-GB"/>
              </w:rPr>
              <w:t>Marketing Management</w:t>
            </w:r>
          </w:p>
        </w:tc>
      </w:tr>
      <w:tr w:rsidR="00A1615F" w:rsidRPr="0065248C" w14:paraId="16F41756" w14:textId="77777777" w:rsidTr="006B4601">
        <w:trPr>
          <w:trHeight w:val="1110"/>
        </w:trPr>
        <w:tc>
          <w:tcPr>
            <w:tcW w:w="2410" w:type="dxa"/>
            <w:tcBorders>
              <w:left w:val="single" w:sz="8" w:space="0" w:color="000000"/>
              <w:bottom w:val="single" w:sz="8" w:space="0" w:color="000000"/>
              <w:right w:val="single" w:sz="8" w:space="0" w:color="000000"/>
            </w:tcBorders>
            <w:tcMar>
              <w:top w:w="0" w:type="dxa"/>
              <w:left w:w="100" w:type="dxa"/>
              <w:bottom w:w="0" w:type="dxa"/>
              <w:right w:w="100" w:type="dxa"/>
            </w:tcMar>
          </w:tcPr>
          <w:p w14:paraId="01EEB3F4" w14:textId="77777777" w:rsidR="00A1615F" w:rsidRPr="0065248C" w:rsidRDefault="00A1615F" w:rsidP="00A1615F">
            <w:pPr>
              <w:spacing w:before="120" w:after="120" w:line="360" w:lineRule="auto"/>
              <w:ind w:left="400"/>
              <w:jc w:val="both"/>
              <w:rPr>
                <w:b/>
                <w:sz w:val="24"/>
                <w:szCs w:val="24"/>
                <w:lang w:val="en-GB"/>
              </w:rPr>
            </w:pPr>
            <w:r w:rsidRPr="0065248C">
              <w:rPr>
                <w:b/>
                <w:sz w:val="24"/>
                <w:szCs w:val="24"/>
                <w:lang w:val="en-GB"/>
              </w:rPr>
              <w:t>Module code:</w:t>
            </w:r>
          </w:p>
        </w:tc>
        <w:tc>
          <w:tcPr>
            <w:tcW w:w="6950" w:type="dxa"/>
            <w:tcBorders>
              <w:bottom w:val="single" w:sz="8" w:space="0" w:color="000000"/>
              <w:right w:val="single" w:sz="8" w:space="0" w:color="000000"/>
            </w:tcBorders>
            <w:tcMar>
              <w:top w:w="0" w:type="dxa"/>
              <w:left w:w="100" w:type="dxa"/>
              <w:bottom w:w="0" w:type="dxa"/>
              <w:right w:w="100" w:type="dxa"/>
            </w:tcMar>
          </w:tcPr>
          <w:p w14:paraId="3D7A469F" w14:textId="77777777" w:rsidR="00A1615F" w:rsidRPr="0065248C" w:rsidRDefault="00A1615F" w:rsidP="00A1615F">
            <w:pPr>
              <w:spacing w:before="120" w:after="120" w:line="360" w:lineRule="auto"/>
              <w:ind w:left="400"/>
              <w:jc w:val="both"/>
              <w:rPr>
                <w:b/>
                <w:sz w:val="24"/>
                <w:szCs w:val="24"/>
                <w:lang w:val="en-GB"/>
              </w:rPr>
            </w:pPr>
            <w:r w:rsidRPr="0065248C">
              <w:rPr>
                <w:b/>
                <w:sz w:val="24"/>
                <w:szCs w:val="24"/>
                <w:lang w:val="en-GB"/>
              </w:rPr>
              <w:t>LCMB7024</w:t>
            </w:r>
          </w:p>
        </w:tc>
      </w:tr>
      <w:tr w:rsidR="00A1615F" w:rsidRPr="0065248C" w14:paraId="3FAE07A4" w14:textId="77777777" w:rsidTr="00A1615F">
        <w:trPr>
          <w:trHeight w:val="1290"/>
        </w:trPr>
        <w:tc>
          <w:tcPr>
            <w:tcW w:w="2410" w:type="dxa"/>
            <w:tcBorders>
              <w:left w:val="single" w:sz="8" w:space="0" w:color="000000"/>
              <w:right w:val="single" w:sz="8" w:space="0" w:color="000000"/>
            </w:tcBorders>
            <w:tcMar>
              <w:top w:w="0" w:type="dxa"/>
              <w:left w:w="100" w:type="dxa"/>
              <w:bottom w:w="0" w:type="dxa"/>
              <w:right w:w="100" w:type="dxa"/>
            </w:tcMar>
          </w:tcPr>
          <w:p w14:paraId="2D2FF2FE" w14:textId="77777777" w:rsidR="00A1615F" w:rsidRPr="0065248C" w:rsidRDefault="00A1615F" w:rsidP="00A1615F">
            <w:pPr>
              <w:spacing w:before="120" w:after="120" w:line="360" w:lineRule="auto"/>
              <w:ind w:left="400"/>
              <w:jc w:val="both"/>
              <w:rPr>
                <w:b/>
                <w:sz w:val="24"/>
                <w:szCs w:val="24"/>
                <w:lang w:val="en-GB"/>
              </w:rPr>
            </w:pPr>
            <w:r w:rsidRPr="0065248C">
              <w:rPr>
                <w:b/>
                <w:sz w:val="24"/>
                <w:szCs w:val="24"/>
                <w:lang w:val="en-GB"/>
              </w:rPr>
              <w:t>Assignment Title:</w:t>
            </w:r>
          </w:p>
        </w:tc>
        <w:tc>
          <w:tcPr>
            <w:tcW w:w="6950" w:type="dxa"/>
            <w:tcBorders>
              <w:right w:val="single" w:sz="8" w:space="0" w:color="000000"/>
            </w:tcBorders>
            <w:tcMar>
              <w:top w:w="0" w:type="dxa"/>
              <w:left w:w="100" w:type="dxa"/>
              <w:bottom w:w="0" w:type="dxa"/>
              <w:right w:w="100" w:type="dxa"/>
            </w:tcMar>
          </w:tcPr>
          <w:p w14:paraId="2389CF52" w14:textId="77777777" w:rsidR="00A1615F" w:rsidRPr="0065248C" w:rsidRDefault="00A1615F" w:rsidP="00A1615F">
            <w:pPr>
              <w:spacing w:before="120" w:after="120" w:line="360" w:lineRule="auto"/>
              <w:ind w:left="400"/>
              <w:jc w:val="both"/>
              <w:rPr>
                <w:b/>
                <w:sz w:val="24"/>
                <w:szCs w:val="24"/>
                <w:lang w:val="en-GB"/>
              </w:rPr>
            </w:pPr>
            <w:r w:rsidRPr="0065248C">
              <w:rPr>
                <w:b/>
                <w:sz w:val="24"/>
                <w:szCs w:val="24"/>
                <w:lang w:val="en-GB"/>
              </w:rPr>
              <w:t>Marketing Environment Analysis</w:t>
            </w:r>
          </w:p>
          <w:p w14:paraId="78E3367B" w14:textId="77777777" w:rsidR="00A1615F" w:rsidRPr="0065248C" w:rsidRDefault="00A1615F" w:rsidP="00A1615F">
            <w:pPr>
              <w:spacing w:before="120" w:after="120" w:line="360" w:lineRule="auto"/>
              <w:ind w:left="400"/>
              <w:jc w:val="both"/>
              <w:rPr>
                <w:b/>
                <w:sz w:val="24"/>
                <w:szCs w:val="24"/>
                <w:lang w:val="en-GB"/>
              </w:rPr>
            </w:pPr>
            <w:r w:rsidRPr="0065248C">
              <w:rPr>
                <w:b/>
                <w:sz w:val="24"/>
                <w:szCs w:val="24"/>
                <w:lang w:val="en-GB"/>
              </w:rPr>
              <w:t xml:space="preserve"> </w:t>
            </w:r>
          </w:p>
        </w:tc>
      </w:tr>
      <w:tr w:rsidR="00A1615F" w:rsidRPr="0065248C" w14:paraId="54F6FA8C" w14:textId="77777777" w:rsidTr="00A1615F">
        <w:trPr>
          <w:trHeight w:val="1290"/>
        </w:trPr>
        <w:tc>
          <w:tcPr>
            <w:tcW w:w="2410" w:type="dxa"/>
            <w:tcBorders>
              <w:left w:val="single" w:sz="8" w:space="0" w:color="000000"/>
              <w:right w:val="single" w:sz="8" w:space="0" w:color="000000"/>
            </w:tcBorders>
            <w:tcMar>
              <w:top w:w="0" w:type="dxa"/>
              <w:left w:w="100" w:type="dxa"/>
              <w:bottom w:w="0" w:type="dxa"/>
              <w:right w:w="100" w:type="dxa"/>
            </w:tcMar>
          </w:tcPr>
          <w:p w14:paraId="5F73C71A" w14:textId="11BF54FD" w:rsidR="00A1615F" w:rsidRPr="0065248C" w:rsidRDefault="00A1615F" w:rsidP="00A1615F">
            <w:pPr>
              <w:spacing w:before="120" w:after="120" w:line="360" w:lineRule="auto"/>
              <w:ind w:left="400"/>
              <w:jc w:val="both"/>
              <w:rPr>
                <w:b/>
                <w:sz w:val="24"/>
                <w:szCs w:val="24"/>
                <w:lang w:val="en-GB"/>
              </w:rPr>
            </w:pPr>
            <w:r w:rsidRPr="0065248C">
              <w:rPr>
                <w:b/>
                <w:sz w:val="24"/>
                <w:szCs w:val="24"/>
                <w:lang w:val="en-GB"/>
              </w:rPr>
              <w:t>Programme:</w:t>
            </w:r>
          </w:p>
        </w:tc>
        <w:tc>
          <w:tcPr>
            <w:tcW w:w="6950" w:type="dxa"/>
            <w:tcBorders>
              <w:right w:val="single" w:sz="8" w:space="0" w:color="000000"/>
            </w:tcBorders>
            <w:tcMar>
              <w:top w:w="0" w:type="dxa"/>
              <w:left w:w="100" w:type="dxa"/>
              <w:bottom w:w="0" w:type="dxa"/>
              <w:right w:w="100" w:type="dxa"/>
            </w:tcMar>
          </w:tcPr>
          <w:p w14:paraId="77AA2268" w14:textId="5D5435C3" w:rsidR="00A1615F" w:rsidRPr="0065248C" w:rsidRDefault="00A1615F" w:rsidP="00A1615F">
            <w:pPr>
              <w:spacing w:before="120" w:after="120" w:line="360" w:lineRule="auto"/>
              <w:ind w:left="400"/>
              <w:jc w:val="both"/>
              <w:rPr>
                <w:b/>
                <w:sz w:val="24"/>
                <w:szCs w:val="24"/>
                <w:lang w:val="en-GB"/>
              </w:rPr>
            </w:pPr>
            <w:r w:rsidRPr="0065248C">
              <w:rPr>
                <w:b/>
                <w:sz w:val="24"/>
                <w:szCs w:val="24"/>
                <w:lang w:val="en-GB"/>
              </w:rPr>
              <w:t>Master of Business Administration</w:t>
            </w:r>
          </w:p>
        </w:tc>
      </w:tr>
      <w:tr w:rsidR="00A1615F" w:rsidRPr="0065248C" w14:paraId="3B0C4786" w14:textId="77777777" w:rsidTr="006B4601">
        <w:trPr>
          <w:trHeight w:val="1290"/>
        </w:trPr>
        <w:tc>
          <w:tcPr>
            <w:tcW w:w="2410" w:type="dxa"/>
            <w:tcBorders>
              <w:left w:val="single" w:sz="8" w:space="0" w:color="000000"/>
              <w:bottom w:val="single" w:sz="8" w:space="0" w:color="000000"/>
              <w:right w:val="single" w:sz="8" w:space="0" w:color="000000"/>
            </w:tcBorders>
            <w:tcMar>
              <w:top w:w="0" w:type="dxa"/>
              <w:left w:w="100" w:type="dxa"/>
              <w:bottom w:w="0" w:type="dxa"/>
              <w:right w:w="100" w:type="dxa"/>
            </w:tcMar>
          </w:tcPr>
          <w:p w14:paraId="11446986" w14:textId="5A477B09" w:rsidR="00A1615F" w:rsidRDefault="00A1615F" w:rsidP="00A1615F">
            <w:pPr>
              <w:spacing w:before="120" w:after="120" w:line="360" w:lineRule="auto"/>
              <w:ind w:left="400"/>
              <w:jc w:val="both"/>
              <w:rPr>
                <w:b/>
                <w:sz w:val="24"/>
                <w:szCs w:val="24"/>
                <w:lang w:val="en-GB"/>
              </w:rPr>
            </w:pPr>
            <w:r>
              <w:rPr>
                <w:b/>
                <w:sz w:val="24"/>
                <w:szCs w:val="24"/>
                <w:lang w:val="en-GB"/>
              </w:rPr>
              <w:t>Lecturer:</w:t>
            </w:r>
          </w:p>
        </w:tc>
        <w:tc>
          <w:tcPr>
            <w:tcW w:w="6950" w:type="dxa"/>
            <w:tcBorders>
              <w:bottom w:val="single" w:sz="8" w:space="0" w:color="000000"/>
              <w:right w:val="single" w:sz="8" w:space="0" w:color="000000"/>
            </w:tcBorders>
            <w:tcMar>
              <w:top w:w="0" w:type="dxa"/>
              <w:left w:w="100" w:type="dxa"/>
              <w:bottom w:w="0" w:type="dxa"/>
              <w:right w:w="100" w:type="dxa"/>
            </w:tcMar>
          </w:tcPr>
          <w:p w14:paraId="0890EE22" w14:textId="2F5C486C" w:rsidR="00A1615F" w:rsidRDefault="00A1615F" w:rsidP="00A1615F">
            <w:pPr>
              <w:spacing w:before="120" w:after="120" w:line="360" w:lineRule="auto"/>
              <w:ind w:left="400"/>
              <w:jc w:val="both"/>
              <w:rPr>
                <w:b/>
                <w:sz w:val="24"/>
                <w:szCs w:val="24"/>
              </w:rPr>
            </w:pPr>
            <w:r w:rsidRPr="00A1615F">
              <w:rPr>
                <w:b/>
                <w:sz w:val="24"/>
                <w:szCs w:val="24"/>
              </w:rPr>
              <w:t>Dian Mayasari</w:t>
            </w:r>
          </w:p>
        </w:tc>
      </w:tr>
    </w:tbl>
    <w:p w14:paraId="1267FB44" w14:textId="77777777" w:rsidR="00E862B8" w:rsidRDefault="00BF0F2E" w:rsidP="0065248C">
      <w:pPr>
        <w:spacing w:line="360" w:lineRule="auto"/>
        <w:jc w:val="both"/>
        <w:rPr>
          <w:sz w:val="24"/>
          <w:szCs w:val="24"/>
          <w:lang w:val="en-GB"/>
        </w:rPr>
      </w:pPr>
      <w:r w:rsidRPr="0065248C">
        <w:rPr>
          <w:sz w:val="24"/>
          <w:szCs w:val="24"/>
          <w:lang w:val="en-GB"/>
        </w:rPr>
        <w:br w:type="page"/>
      </w:r>
    </w:p>
    <w:sdt>
      <w:sdtPr>
        <w:rPr>
          <w:rFonts w:ascii="Arial" w:eastAsia="Arial" w:hAnsi="Arial" w:cs="Arial"/>
          <w:b w:val="0"/>
          <w:bCs w:val="0"/>
          <w:color w:val="000000" w:themeColor="text1"/>
          <w:sz w:val="24"/>
          <w:szCs w:val="24"/>
          <w:lang w:val="en" w:eastAsia="en-IN"/>
        </w:rPr>
        <w:id w:val="-1540200120"/>
        <w:docPartObj>
          <w:docPartGallery w:val="Table of Contents"/>
          <w:docPartUnique/>
        </w:docPartObj>
      </w:sdtPr>
      <w:sdtEndPr>
        <w:rPr>
          <w:noProof/>
        </w:rPr>
      </w:sdtEndPr>
      <w:sdtContent>
        <w:p w14:paraId="3A1F2DA1" w14:textId="77777777" w:rsidR="00F3756B" w:rsidRPr="00F3756B" w:rsidRDefault="00F3756B" w:rsidP="00F3756B">
          <w:pPr>
            <w:pStyle w:val="TOCHeading"/>
            <w:spacing w:line="360" w:lineRule="auto"/>
            <w:jc w:val="center"/>
            <w:rPr>
              <w:rFonts w:ascii="Arial" w:hAnsi="Arial" w:cs="Arial"/>
              <w:color w:val="000000" w:themeColor="text1"/>
              <w:sz w:val="24"/>
              <w:szCs w:val="24"/>
            </w:rPr>
          </w:pPr>
          <w:r w:rsidRPr="00F3756B">
            <w:rPr>
              <w:rFonts w:ascii="Arial" w:hAnsi="Arial" w:cs="Arial"/>
              <w:color w:val="000000" w:themeColor="text1"/>
              <w:sz w:val="24"/>
              <w:szCs w:val="24"/>
            </w:rPr>
            <w:t>Table of Contents</w:t>
          </w:r>
        </w:p>
        <w:p w14:paraId="59264FBB" w14:textId="77777777" w:rsidR="00F3756B" w:rsidRPr="00F3756B" w:rsidRDefault="00F3756B" w:rsidP="00F3756B">
          <w:pPr>
            <w:pStyle w:val="TOC1"/>
            <w:tabs>
              <w:tab w:val="right" w:leader="dot" w:pos="9350"/>
            </w:tabs>
            <w:spacing w:line="360" w:lineRule="auto"/>
            <w:jc w:val="both"/>
            <w:rPr>
              <w:noProof/>
              <w:color w:val="000000" w:themeColor="text1"/>
              <w:sz w:val="24"/>
              <w:szCs w:val="24"/>
            </w:rPr>
          </w:pPr>
          <w:r w:rsidRPr="00F3756B">
            <w:rPr>
              <w:color w:val="000000" w:themeColor="text1"/>
              <w:sz w:val="24"/>
              <w:szCs w:val="24"/>
            </w:rPr>
            <w:fldChar w:fldCharType="begin"/>
          </w:r>
          <w:r w:rsidRPr="00F3756B">
            <w:rPr>
              <w:color w:val="000000" w:themeColor="text1"/>
              <w:sz w:val="24"/>
              <w:szCs w:val="24"/>
            </w:rPr>
            <w:instrText xml:space="preserve"> TOC \o "1-3" \h \z \u </w:instrText>
          </w:r>
          <w:r w:rsidRPr="00F3756B">
            <w:rPr>
              <w:color w:val="000000" w:themeColor="text1"/>
              <w:sz w:val="24"/>
              <w:szCs w:val="24"/>
            </w:rPr>
            <w:fldChar w:fldCharType="separate"/>
          </w:r>
          <w:hyperlink w:anchor="_Toc212077379" w:history="1">
            <w:r w:rsidRPr="00F3756B">
              <w:rPr>
                <w:rStyle w:val="Hyperlink"/>
                <w:noProof/>
                <w:color w:val="000000" w:themeColor="text1"/>
                <w:sz w:val="24"/>
                <w:szCs w:val="24"/>
                <w:lang w:val="en-GB"/>
              </w:rPr>
              <w:t>Introduction</w:t>
            </w:r>
            <w:r w:rsidRPr="00F3756B">
              <w:rPr>
                <w:noProof/>
                <w:webHidden/>
                <w:color w:val="000000" w:themeColor="text1"/>
                <w:sz w:val="24"/>
                <w:szCs w:val="24"/>
              </w:rPr>
              <w:tab/>
            </w:r>
            <w:r w:rsidRPr="00F3756B">
              <w:rPr>
                <w:noProof/>
                <w:webHidden/>
                <w:color w:val="000000" w:themeColor="text1"/>
                <w:sz w:val="24"/>
                <w:szCs w:val="24"/>
              </w:rPr>
              <w:fldChar w:fldCharType="begin"/>
            </w:r>
            <w:r w:rsidRPr="00F3756B">
              <w:rPr>
                <w:noProof/>
                <w:webHidden/>
                <w:color w:val="000000" w:themeColor="text1"/>
                <w:sz w:val="24"/>
                <w:szCs w:val="24"/>
              </w:rPr>
              <w:instrText xml:space="preserve"> PAGEREF _Toc212077379 \h </w:instrText>
            </w:r>
            <w:r w:rsidRPr="00F3756B">
              <w:rPr>
                <w:noProof/>
                <w:webHidden/>
                <w:color w:val="000000" w:themeColor="text1"/>
                <w:sz w:val="24"/>
                <w:szCs w:val="24"/>
              </w:rPr>
            </w:r>
            <w:r w:rsidRPr="00F3756B">
              <w:rPr>
                <w:noProof/>
                <w:webHidden/>
                <w:color w:val="000000" w:themeColor="text1"/>
                <w:sz w:val="24"/>
                <w:szCs w:val="24"/>
              </w:rPr>
              <w:fldChar w:fldCharType="separate"/>
            </w:r>
            <w:r w:rsidRPr="00F3756B">
              <w:rPr>
                <w:noProof/>
                <w:webHidden/>
                <w:color w:val="000000" w:themeColor="text1"/>
                <w:sz w:val="24"/>
                <w:szCs w:val="24"/>
              </w:rPr>
              <w:t>2</w:t>
            </w:r>
            <w:r w:rsidRPr="00F3756B">
              <w:rPr>
                <w:noProof/>
                <w:webHidden/>
                <w:color w:val="000000" w:themeColor="text1"/>
                <w:sz w:val="24"/>
                <w:szCs w:val="24"/>
              </w:rPr>
              <w:fldChar w:fldCharType="end"/>
            </w:r>
          </w:hyperlink>
        </w:p>
        <w:p w14:paraId="2DCD9566" w14:textId="77777777" w:rsidR="00F3756B" w:rsidRPr="00F3756B" w:rsidRDefault="00F3756B" w:rsidP="00F3756B">
          <w:pPr>
            <w:pStyle w:val="TOC1"/>
            <w:tabs>
              <w:tab w:val="right" w:leader="dot" w:pos="9350"/>
            </w:tabs>
            <w:spacing w:line="360" w:lineRule="auto"/>
            <w:jc w:val="both"/>
            <w:rPr>
              <w:noProof/>
              <w:color w:val="000000" w:themeColor="text1"/>
              <w:sz w:val="24"/>
              <w:szCs w:val="24"/>
            </w:rPr>
          </w:pPr>
          <w:hyperlink w:anchor="_Toc212077380" w:history="1">
            <w:r w:rsidRPr="00F3756B">
              <w:rPr>
                <w:rStyle w:val="Hyperlink"/>
                <w:noProof/>
                <w:color w:val="000000" w:themeColor="text1"/>
                <w:sz w:val="24"/>
                <w:szCs w:val="24"/>
                <w:lang w:val="en-GB"/>
              </w:rPr>
              <w:t>Task 1</w:t>
            </w:r>
            <w:r w:rsidRPr="00F3756B">
              <w:rPr>
                <w:noProof/>
                <w:webHidden/>
                <w:color w:val="000000" w:themeColor="text1"/>
                <w:sz w:val="24"/>
                <w:szCs w:val="24"/>
              </w:rPr>
              <w:tab/>
            </w:r>
            <w:r w:rsidRPr="00F3756B">
              <w:rPr>
                <w:noProof/>
                <w:webHidden/>
                <w:color w:val="000000" w:themeColor="text1"/>
                <w:sz w:val="24"/>
                <w:szCs w:val="24"/>
              </w:rPr>
              <w:fldChar w:fldCharType="begin"/>
            </w:r>
            <w:r w:rsidRPr="00F3756B">
              <w:rPr>
                <w:noProof/>
                <w:webHidden/>
                <w:color w:val="000000" w:themeColor="text1"/>
                <w:sz w:val="24"/>
                <w:szCs w:val="24"/>
              </w:rPr>
              <w:instrText xml:space="preserve"> PAGEREF _Toc212077380 \h </w:instrText>
            </w:r>
            <w:r w:rsidRPr="00F3756B">
              <w:rPr>
                <w:noProof/>
                <w:webHidden/>
                <w:color w:val="000000" w:themeColor="text1"/>
                <w:sz w:val="24"/>
                <w:szCs w:val="24"/>
              </w:rPr>
            </w:r>
            <w:r w:rsidRPr="00F3756B">
              <w:rPr>
                <w:noProof/>
                <w:webHidden/>
                <w:color w:val="000000" w:themeColor="text1"/>
                <w:sz w:val="24"/>
                <w:szCs w:val="24"/>
              </w:rPr>
              <w:fldChar w:fldCharType="separate"/>
            </w:r>
            <w:r w:rsidRPr="00F3756B">
              <w:rPr>
                <w:noProof/>
                <w:webHidden/>
                <w:color w:val="000000" w:themeColor="text1"/>
                <w:sz w:val="24"/>
                <w:szCs w:val="24"/>
              </w:rPr>
              <w:t>2</w:t>
            </w:r>
            <w:r w:rsidRPr="00F3756B">
              <w:rPr>
                <w:noProof/>
                <w:webHidden/>
                <w:color w:val="000000" w:themeColor="text1"/>
                <w:sz w:val="24"/>
                <w:szCs w:val="24"/>
              </w:rPr>
              <w:fldChar w:fldCharType="end"/>
            </w:r>
          </w:hyperlink>
        </w:p>
        <w:p w14:paraId="42E92313" w14:textId="77777777" w:rsidR="00F3756B" w:rsidRPr="00F3756B" w:rsidRDefault="00F3756B" w:rsidP="00F3756B">
          <w:pPr>
            <w:pStyle w:val="TOC1"/>
            <w:tabs>
              <w:tab w:val="right" w:leader="dot" w:pos="9350"/>
            </w:tabs>
            <w:spacing w:line="360" w:lineRule="auto"/>
            <w:jc w:val="both"/>
            <w:rPr>
              <w:noProof/>
              <w:color w:val="000000" w:themeColor="text1"/>
              <w:sz w:val="24"/>
              <w:szCs w:val="24"/>
            </w:rPr>
          </w:pPr>
          <w:hyperlink w:anchor="_Toc212077381" w:history="1">
            <w:r w:rsidRPr="00F3756B">
              <w:rPr>
                <w:rStyle w:val="Hyperlink"/>
                <w:noProof/>
                <w:color w:val="000000" w:themeColor="text1"/>
                <w:sz w:val="24"/>
                <w:szCs w:val="24"/>
                <w:lang w:val="en-GB"/>
              </w:rPr>
              <w:t>Task 2</w:t>
            </w:r>
            <w:r w:rsidRPr="00F3756B">
              <w:rPr>
                <w:noProof/>
                <w:webHidden/>
                <w:color w:val="000000" w:themeColor="text1"/>
                <w:sz w:val="24"/>
                <w:szCs w:val="24"/>
              </w:rPr>
              <w:tab/>
            </w:r>
            <w:r w:rsidRPr="00F3756B">
              <w:rPr>
                <w:noProof/>
                <w:webHidden/>
                <w:color w:val="000000" w:themeColor="text1"/>
                <w:sz w:val="24"/>
                <w:szCs w:val="24"/>
              </w:rPr>
              <w:fldChar w:fldCharType="begin"/>
            </w:r>
            <w:r w:rsidRPr="00F3756B">
              <w:rPr>
                <w:noProof/>
                <w:webHidden/>
                <w:color w:val="000000" w:themeColor="text1"/>
                <w:sz w:val="24"/>
                <w:szCs w:val="24"/>
              </w:rPr>
              <w:instrText xml:space="preserve"> PAGEREF _Toc212077381 \h </w:instrText>
            </w:r>
            <w:r w:rsidRPr="00F3756B">
              <w:rPr>
                <w:noProof/>
                <w:webHidden/>
                <w:color w:val="000000" w:themeColor="text1"/>
                <w:sz w:val="24"/>
                <w:szCs w:val="24"/>
              </w:rPr>
            </w:r>
            <w:r w:rsidRPr="00F3756B">
              <w:rPr>
                <w:noProof/>
                <w:webHidden/>
                <w:color w:val="000000" w:themeColor="text1"/>
                <w:sz w:val="24"/>
                <w:szCs w:val="24"/>
              </w:rPr>
              <w:fldChar w:fldCharType="separate"/>
            </w:r>
            <w:r w:rsidRPr="00F3756B">
              <w:rPr>
                <w:noProof/>
                <w:webHidden/>
                <w:color w:val="000000" w:themeColor="text1"/>
                <w:sz w:val="24"/>
                <w:szCs w:val="24"/>
              </w:rPr>
              <w:t>8</w:t>
            </w:r>
            <w:r w:rsidRPr="00F3756B">
              <w:rPr>
                <w:noProof/>
                <w:webHidden/>
                <w:color w:val="000000" w:themeColor="text1"/>
                <w:sz w:val="24"/>
                <w:szCs w:val="24"/>
              </w:rPr>
              <w:fldChar w:fldCharType="end"/>
            </w:r>
          </w:hyperlink>
        </w:p>
        <w:p w14:paraId="04F37283" w14:textId="77777777" w:rsidR="00F3756B" w:rsidRPr="00F3756B" w:rsidRDefault="00F3756B" w:rsidP="00F3756B">
          <w:pPr>
            <w:pStyle w:val="TOC1"/>
            <w:tabs>
              <w:tab w:val="right" w:leader="dot" w:pos="9350"/>
            </w:tabs>
            <w:spacing w:line="360" w:lineRule="auto"/>
            <w:jc w:val="both"/>
            <w:rPr>
              <w:noProof/>
              <w:color w:val="000000" w:themeColor="text1"/>
              <w:sz w:val="24"/>
              <w:szCs w:val="24"/>
            </w:rPr>
          </w:pPr>
          <w:hyperlink w:anchor="_Toc212077382" w:history="1">
            <w:r w:rsidRPr="00F3756B">
              <w:rPr>
                <w:rStyle w:val="Hyperlink"/>
                <w:noProof/>
                <w:color w:val="000000" w:themeColor="text1"/>
                <w:sz w:val="24"/>
                <w:szCs w:val="24"/>
                <w:lang w:val="en-GB"/>
              </w:rPr>
              <w:t>Conclusion</w:t>
            </w:r>
            <w:r w:rsidRPr="00F3756B">
              <w:rPr>
                <w:noProof/>
                <w:webHidden/>
                <w:color w:val="000000" w:themeColor="text1"/>
                <w:sz w:val="24"/>
                <w:szCs w:val="24"/>
              </w:rPr>
              <w:tab/>
            </w:r>
            <w:r w:rsidRPr="00F3756B">
              <w:rPr>
                <w:noProof/>
                <w:webHidden/>
                <w:color w:val="000000" w:themeColor="text1"/>
                <w:sz w:val="24"/>
                <w:szCs w:val="24"/>
              </w:rPr>
              <w:fldChar w:fldCharType="begin"/>
            </w:r>
            <w:r w:rsidRPr="00F3756B">
              <w:rPr>
                <w:noProof/>
                <w:webHidden/>
                <w:color w:val="000000" w:themeColor="text1"/>
                <w:sz w:val="24"/>
                <w:szCs w:val="24"/>
              </w:rPr>
              <w:instrText xml:space="preserve"> PAGEREF _Toc212077382 \h </w:instrText>
            </w:r>
            <w:r w:rsidRPr="00F3756B">
              <w:rPr>
                <w:noProof/>
                <w:webHidden/>
                <w:color w:val="000000" w:themeColor="text1"/>
                <w:sz w:val="24"/>
                <w:szCs w:val="24"/>
              </w:rPr>
            </w:r>
            <w:r w:rsidRPr="00F3756B">
              <w:rPr>
                <w:noProof/>
                <w:webHidden/>
                <w:color w:val="000000" w:themeColor="text1"/>
                <w:sz w:val="24"/>
                <w:szCs w:val="24"/>
              </w:rPr>
              <w:fldChar w:fldCharType="separate"/>
            </w:r>
            <w:r w:rsidRPr="00F3756B">
              <w:rPr>
                <w:noProof/>
                <w:webHidden/>
                <w:color w:val="000000" w:themeColor="text1"/>
                <w:sz w:val="24"/>
                <w:szCs w:val="24"/>
              </w:rPr>
              <w:t>11</w:t>
            </w:r>
            <w:r w:rsidRPr="00F3756B">
              <w:rPr>
                <w:noProof/>
                <w:webHidden/>
                <w:color w:val="000000" w:themeColor="text1"/>
                <w:sz w:val="24"/>
                <w:szCs w:val="24"/>
              </w:rPr>
              <w:fldChar w:fldCharType="end"/>
            </w:r>
          </w:hyperlink>
        </w:p>
        <w:p w14:paraId="0A7CC091" w14:textId="77777777" w:rsidR="00F3756B" w:rsidRPr="00F3756B" w:rsidRDefault="00F3756B" w:rsidP="00F3756B">
          <w:pPr>
            <w:pStyle w:val="TOC1"/>
            <w:tabs>
              <w:tab w:val="right" w:leader="dot" w:pos="9350"/>
            </w:tabs>
            <w:spacing w:line="360" w:lineRule="auto"/>
            <w:jc w:val="both"/>
            <w:rPr>
              <w:noProof/>
              <w:color w:val="000000" w:themeColor="text1"/>
              <w:sz w:val="24"/>
              <w:szCs w:val="24"/>
            </w:rPr>
          </w:pPr>
          <w:hyperlink w:anchor="_Toc212077383" w:history="1">
            <w:r w:rsidRPr="00F3756B">
              <w:rPr>
                <w:rStyle w:val="Hyperlink"/>
                <w:noProof/>
                <w:color w:val="000000" w:themeColor="text1"/>
                <w:sz w:val="24"/>
                <w:szCs w:val="24"/>
                <w:lang w:val="en-GB"/>
              </w:rPr>
              <w:t>Reference list</w:t>
            </w:r>
            <w:r w:rsidRPr="00F3756B">
              <w:rPr>
                <w:noProof/>
                <w:webHidden/>
                <w:color w:val="000000" w:themeColor="text1"/>
                <w:sz w:val="24"/>
                <w:szCs w:val="24"/>
              </w:rPr>
              <w:tab/>
            </w:r>
            <w:r w:rsidRPr="00F3756B">
              <w:rPr>
                <w:noProof/>
                <w:webHidden/>
                <w:color w:val="000000" w:themeColor="text1"/>
                <w:sz w:val="24"/>
                <w:szCs w:val="24"/>
              </w:rPr>
              <w:fldChar w:fldCharType="begin"/>
            </w:r>
            <w:r w:rsidRPr="00F3756B">
              <w:rPr>
                <w:noProof/>
                <w:webHidden/>
                <w:color w:val="000000" w:themeColor="text1"/>
                <w:sz w:val="24"/>
                <w:szCs w:val="24"/>
              </w:rPr>
              <w:instrText xml:space="preserve"> PAGEREF _Toc212077383 \h </w:instrText>
            </w:r>
            <w:r w:rsidRPr="00F3756B">
              <w:rPr>
                <w:noProof/>
                <w:webHidden/>
                <w:color w:val="000000" w:themeColor="text1"/>
                <w:sz w:val="24"/>
                <w:szCs w:val="24"/>
              </w:rPr>
            </w:r>
            <w:r w:rsidRPr="00F3756B">
              <w:rPr>
                <w:noProof/>
                <w:webHidden/>
                <w:color w:val="000000" w:themeColor="text1"/>
                <w:sz w:val="24"/>
                <w:szCs w:val="24"/>
              </w:rPr>
              <w:fldChar w:fldCharType="separate"/>
            </w:r>
            <w:r w:rsidRPr="00F3756B">
              <w:rPr>
                <w:noProof/>
                <w:webHidden/>
                <w:color w:val="000000" w:themeColor="text1"/>
                <w:sz w:val="24"/>
                <w:szCs w:val="24"/>
              </w:rPr>
              <w:t>13</w:t>
            </w:r>
            <w:r w:rsidRPr="00F3756B">
              <w:rPr>
                <w:noProof/>
                <w:webHidden/>
                <w:color w:val="000000" w:themeColor="text1"/>
                <w:sz w:val="24"/>
                <w:szCs w:val="24"/>
              </w:rPr>
              <w:fldChar w:fldCharType="end"/>
            </w:r>
          </w:hyperlink>
        </w:p>
        <w:p w14:paraId="6EF43E42" w14:textId="77777777" w:rsidR="00F3756B" w:rsidRPr="00F3756B" w:rsidRDefault="00F3756B" w:rsidP="00F3756B">
          <w:pPr>
            <w:spacing w:line="360" w:lineRule="auto"/>
            <w:jc w:val="both"/>
            <w:rPr>
              <w:color w:val="000000" w:themeColor="text1"/>
              <w:sz w:val="24"/>
              <w:szCs w:val="24"/>
            </w:rPr>
          </w:pPr>
          <w:r w:rsidRPr="00F3756B">
            <w:rPr>
              <w:b/>
              <w:bCs/>
              <w:noProof/>
              <w:color w:val="000000" w:themeColor="text1"/>
              <w:sz w:val="24"/>
              <w:szCs w:val="24"/>
            </w:rPr>
            <w:fldChar w:fldCharType="end"/>
          </w:r>
        </w:p>
      </w:sdtContent>
    </w:sdt>
    <w:p w14:paraId="2B056409" w14:textId="77777777" w:rsidR="00F3756B" w:rsidRDefault="00F3756B">
      <w:pPr>
        <w:rPr>
          <w:sz w:val="24"/>
          <w:szCs w:val="24"/>
          <w:lang w:val="en-GB"/>
        </w:rPr>
      </w:pPr>
      <w:r>
        <w:rPr>
          <w:sz w:val="24"/>
          <w:szCs w:val="24"/>
          <w:lang w:val="en-GB"/>
        </w:rPr>
        <w:br w:type="page"/>
      </w:r>
    </w:p>
    <w:p w14:paraId="08DB8311" w14:textId="77777777" w:rsidR="00E862B8" w:rsidRPr="0065248C" w:rsidRDefault="00BF0F2E" w:rsidP="006B4601">
      <w:pPr>
        <w:pStyle w:val="Heading1"/>
        <w:rPr>
          <w:lang w:val="en-GB"/>
        </w:rPr>
      </w:pPr>
      <w:bookmarkStart w:id="0" w:name="_Toc212077379"/>
      <w:r w:rsidRPr="0065248C">
        <w:rPr>
          <w:lang w:val="en-GB"/>
        </w:rPr>
        <w:lastRenderedPageBreak/>
        <w:t>Introduction</w:t>
      </w:r>
      <w:bookmarkEnd w:id="0"/>
    </w:p>
    <w:p w14:paraId="683FD5D3" w14:textId="77777777" w:rsidR="00E862B8" w:rsidRPr="0065248C" w:rsidRDefault="00BF0F2E" w:rsidP="0065248C">
      <w:pPr>
        <w:spacing w:line="360" w:lineRule="auto"/>
        <w:jc w:val="both"/>
        <w:rPr>
          <w:sz w:val="24"/>
          <w:szCs w:val="24"/>
          <w:lang w:val="en-GB"/>
        </w:rPr>
      </w:pPr>
      <w:r w:rsidRPr="0065248C">
        <w:rPr>
          <w:sz w:val="24"/>
          <w:szCs w:val="24"/>
          <w:lang w:val="en-GB"/>
        </w:rPr>
        <w:t xml:space="preserve">The marketing environment consists of macro and micro forces that define organisational strategy and competitiveness. Although the micro-environment involves direct stakeholders like customers, suppliers and competitors, the macro-environment involves larger external forces in the form of political, economic, social, technological, environmental and legal (PESTEL) forces that organisations cannot directly influence but which must be strategically managed. In this report, there is a critical analysis on the role of technological and social macro-environmental changes in presenting specific </w:t>
      </w:r>
      <w:r w:rsidR="006B4601" w:rsidRPr="0065248C">
        <w:rPr>
          <w:sz w:val="24"/>
          <w:szCs w:val="24"/>
          <w:lang w:val="en-GB"/>
        </w:rPr>
        <w:t>opportunities, challenges to pioneer,</w:t>
      </w:r>
      <w:r w:rsidRPr="0065248C">
        <w:rPr>
          <w:sz w:val="24"/>
          <w:szCs w:val="24"/>
          <w:lang w:val="en-GB"/>
        </w:rPr>
        <w:t xml:space="preserve"> and follower organisations in the retail sector of the UK. Marks and Spencer (M&amp;S), a pioneer developed in 1884, and Boohoo Group plc, a digital native follower company developed in 2006, demonstrate the different strategic responses to these macro-environment changes, and offer revealing insights into the ways of sustaining competitiveness.</w:t>
      </w:r>
    </w:p>
    <w:p w14:paraId="73FAF7C2" w14:textId="77777777" w:rsidR="00E862B8" w:rsidRPr="0065248C" w:rsidRDefault="00BF0F2E" w:rsidP="006B4601">
      <w:pPr>
        <w:pStyle w:val="Heading1"/>
        <w:rPr>
          <w:lang w:val="en-GB"/>
        </w:rPr>
      </w:pPr>
      <w:bookmarkStart w:id="1" w:name="_Toc212077380"/>
      <w:r w:rsidRPr="0065248C">
        <w:rPr>
          <w:lang w:val="en-GB"/>
        </w:rPr>
        <w:t>Task 1</w:t>
      </w:r>
      <w:bookmarkEnd w:id="1"/>
    </w:p>
    <w:p w14:paraId="7DFFD432" w14:textId="77777777" w:rsidR="00E862B8" w:rsidRPr="00A1615F" w:rsidRDefault="00BF0F2E" w:rsidP="0065248C">
      <w:pPr>
        <w:spacing w:line="360" w:lineRule="auto"/>
        <w:jc w:val="both"/>
        <w:rPr>
          <w:b/>
          <w:iCs/>
          <w:sz w:val="24"/>
          <w:szCs w:val="24"/>
          <w:lang w:val="en-GB"/>
        </w:rPr>
      </w:pPr>
      <w:r w:rsidRPr="00A1615F">
        <w:rPr>
          <w:b/>
          <w:iCs/>
          <w:sz w:val="24"/>
          <w:szCs w:val="24"/>
          <w:lang w:val="en-GB"/>
        </w:rPr>
        <w:t xml:space="preserve">1.2 Selection of industry </w:t>
      </w:r>
    </w:p>
    <w:p w14:paraId="5A7C72C8" w14:textId="77777777" w:rsidR="00E862B8" w:rsidRPr="0065248C" w:rsidRDefault="00BF0F2E" w:rsidP="006B4601">
      <w:pPr>
        <w:spacing w:line="360" w:lineRule="auto"/>
        <w:jc w:val="center"/>
        <w:rPr>
          <w:b/>
          <w:i/>
          <w:sz w:val="24"/>
          <w:szCs w:val="24"/>
          <w:lang w:val="en-GB"/>
        </w:rPr>
      </w:pPr>
      <w:r w:rsidRPr="0065248C">
        <w:rPr>
          <w:b/>
          <w:i/>
          <w:noProof/>
          <w:sz w:val="24"/>
          <w:szCs w:val="24"/>
          <w:lang w:val="en-GB"/>
        </w:rPr>
        <w:drawing>
          <wp:inline distT="114300" distB="114300" distL="114300" distR="114300" wp14:anchorId="0E75A63A" wp14:editId="5276AEF3">
            <wp:extent cx="5943600" cy="3327400"/>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943600" cy="3327400"/>
                    </a:xfrm>
                    <a:prstGeom prst="rect">
                      <a:avLst/>
                    </a:prstGeom>
                    <a:ln w="12700">
                      <a:solidFill>
                        <a:srgbClr val="000000"/>
                      </a:solidFill>
                      <a:prstDash val="solid"/>
                    </a:ln>
                  </pic:spPr>
                </pic:pic>
              </a:graphicData>
            </a:graphic>
          </wp:inline>
        </w:drawing>
      </w:r>
    </w:p>
    <w:p w14:paraId="734C3CCB" w14:textId="77777777" w:rsidR="00E862B8" w:rsidRPr="0065248C" w:rsidRDefault="00BF0F2E" w:rsidP="006B4601">
      <w:pPr>
        <w:spacing w:line="360" w:lineRule="auto"/>
        <w:jc w:val="center"/>
        <w:rPr>
          <w:b/>
          <w:sz w:val="24"/>
          <w:szCs w:val="24"/>
          <w:lang w:val="en-GB"/>
        </w:rPr>
      </w:pPr>
      <w:r w:rsidRPr="0065248C">
        <w:rPr>
          <w:b/>
          <w:sz w:val="24"/>
          <w:szCs w:val="24"/>
          <w:lang w:val="en-GB"/>
        </w:rPr>
        <w:t>Figure 1: UK retail sector volume</w:t>
      </w:r>
    </w:p>
    <w:p w14:paraId="4EC5254A" w14:textId="77777777" w:rsidR="00E862B8" w:rsidRPr="0065248C" w:rsidRDefault="00BF0F2E" w:rsidP="006B4601">
      <w:pPr>
        <w:spacing w:line="360" w:lineRule="auto"/>
        <w:jc w:val="center"/>
        <w:rPr>
          <w:i/>
          <w:sz w:val="24"/>
          <w:szCs w:val="24"/>
          <w:lang w:val="en-GB"/>
        </w:rPr>
      </w:pPr>
      <w:r w:rsidRPr="0065248C">
        <w:rPr>
          <w:sz w:val="24"/>
          <w:szCs w:val="24"/>
          <w:lang w:val="en-GB"/>
        </w:rPr>
        <w:lastRenderedPageBreak/>
        <w:t>(Source: ons.gov.uk, 2025)</w:t>
      </w:r>
    </w:p>
    <w:p w14:paraId="7C34774C" w14:textId="77777777" w:rsidR="00E862B8" w:rsidRPr="0065248C" w:rsidRDefault="00BF0F2E" w:rsidP="0065248C">
      <w:pPr>
        <w:spacing w:line="360" w:lineRule="auto"/>
        <w:jc w:val="both"/>
        <w:rPr>
          <w:sz w:val="24"/>
          <w:szCs w:val="24"/>
          <w:lang w:val="en-GB"/>
        </w:rPr>
      </w:pPr>
      <w:r w:rsidRPr="0065248C">
        <w:rPr>
          <w:sz w:val="24"/>
          <w:szCs w:val="24"/>
          <w:lang w:val="en-GB"/>
        </w:rPr>
        <w:t>The UK retail sector is a very dynamic and competitive industry therefore it becomes a good environment to study pioneer and follower organisations strategies. The industry represents a heterogenous combination of physical shops and digitally native e-commerce organizations, which can be used to gain a good idea of how various business models react to macro-environmental shifts. The British Retail Consortium has estimated that the retail sector contributes more than 400 billion pounds to the UK economy each year and the sector has a workforce of about 3 million people (brc.org.uk, 2023). This makes the sector one of the largest employers in the private sector. Digitalisation, the need to be sustainable based on the changing consumer preferences after the COVID-19 pandemic have resulted in major transformation of the sector that has occurred since 2020 (ons.gov.uk, 2025).</w:t>
      </w:r>
    </w:p>
    <w:p w14:paraId="03D1A2A3" w14:textId="3FC2490C" w:rsidR="00E862B8" w:rsidRPr="0065248C" w:rsidRDefault="00BF0F2E" w:rsidP="0065248C">
      <w:pPr>
        <w:spacing w:line="360" w:lineRule="auto"/>
        <w:jc w:val="both"/>
        <w:rPr>
          <w:sz w:val="24"/>
          <w:szCs w:val="24"/>
          <w:lang w:val="en-GB"/>
        </w:rPr>
      </w:pPr>
      <w:r w:rsidRPr="0065248C">
        <w:rPr>
          <w:sz w:val="24"/>
          <w:szCs w:val="24"/>
          <w:lang w:val="en-GB"/>
        </w:rPr>
        <w:t>In the UK retail market, the situation offers an evident comparison between the pioneer and follower companies in regards to their adaptability to the market and the strategic dynamism. As an example, Marks and Spencer (M&amp;S) is a pioneer in the UK retail industry since it was founded in 1884. It has always been on the forefront of product quality innovation, private label</w:t>
      </w:r>
      <w:r w:rsidR="00A1615F">
        <w:rPr>
          <w:sz w:val="24"/>
          <w:szCs w:val="24"/>
          <w:lang w:val="en-GB"/>
        </w:rPr>
        <w:t>l</w:t>
      </w:r>
      <w:r w:rsidRPr="0065248C">
        <w:rPr>
          <w:sz w:val="24"/>
          <w:szCs w:val="24"/>
          <w:lang w:val="en-GB"/>
        </w:rPr>
        <w:t>ing and customer experience. Over the last few years, M&amp;S has taken up an omnichannel retail strategy, combining online and in-store business, and critical efforts to sustainable fashion efforts including its environmental programme Plan A (</w:t>
      </w:r>
      <w:proofErr w:type="spellStart"/>
      <w:proofErr w:type="gramStart"/>
      <w:r w:rsidRPr="0065248C">
        <w:rPr>
          <w:sz w:val="24"/>
          <w:szCs w:val="24"/>
          <w:lang w:val="en-GB"/>
        </w:rPr>
        <w:t>corporate.marksandspencer</w:t>
      </w:r>
      <w:proofErr w:type="spellEnd"/>
      <w:proofErr w:type="gramEnd"/>
      <w:r w:rsidRPr="0065248C">
        <w:rPr>
          <w:sz w:val="24"/>
          <w:szCs w:val="24"/>
          <w:lang w:val="en-GB"/>
        </w:rPr>
        <w:t>, 2023).</w:t>
      </w:r>
    </w:p>
    <w:p w14:paraId="1C58FCCB" w14:textId="77777777" w:rsidR="00E862B8" w:rsidRPr="0065248C" w:rsidRDefault="00BF0F2E" w:rsidP="0065248C">
      <w:pPr>
        <w:spacing w:line="360" w:lineRule="auto"/>
        <w:jc w:val="both"/>
        <w:rPr>
          <w:sz w:val="24"/>
          <w:szCs w:val="24"/>
          <w:lang w:val="en-GB"/>
        </w:rPr>
      </w:pPr>
      <w:r w:rsidRPr="0065248C">
        <w:rPr>
          <w:sz w:val="24"/>
          <w:szCs w:val="24"/>
          <w:lang w:val="en-GB"/>
        </w:rPr>
        <w:t>Conversely, Boohoo Group plc is a follower firm, which was established in 2006 has taken advantage of the growth in technological changes and high-fashion trends to gain market share quickly. The digital-first Boohoo business model is directly related to the changing customer needs of cheap and fast (Nassar, Goddard and Freeman, 2023). Although M&amp;S has been forced to re-invent its legacy systems to remain relevant, Boohoo has been able to take advantage of the digital economy to create a consumer-focused engagement using social media marketing and influencer relationships as well as data analytics (</w:t>
      </w:r>
      <w:proofErr w:type="spellStart"/>
      <w:r w:rsidRPr="0065248C">
        <w:rPr>
          <w:sz w:val="24"/>
          <w:szCs w:val="24"/>
          <w:lang w:val="en-GB"/>
        </w:rPr>
        <w:t>pwc</w:t>
      </w:r>
      <w:proofErr w:type="spellEnd"/>
      <w:r w:rsidRPr="0065248C">
        <w:rPr>
          <w:sz w:val="24"/>
          <w:szCs w:val="24"/>
          <w:lang w:val="en-GB"/>
        </w:rPr>
        <w:t>, 2025).</w:t>
      </w:r>
    </w:p>
    <w:p w14:paraId="1CE6A65B" w14:textId="77777777" w:rsidR="00E862B8" w:rsidRPr="00A1615F" w:rsidRDefault="00BF0F2E" w:rsidP="0065248C">
      <w:pPr>
        <w:spacing w:line="360" w:lineRule="auto"/>
        <w:jc w:val="both"/>
        <w:rPr>
          <w:b/>
          <w:iCs/>
          <w:sz w:val="24"/>
          <w:szCs w:val="24"/>
          <w:lang w:val="en-GB"/>
        </w:rPr>
      </w:pPr>
      <w:r w:rsidRPr="00A1615F">
        <w:rPr>
          <w:b/>
          <w:iCs/>
          <w:sz w:val="24"/>
          <w:szCs w:val="24"/>
          <w:lang w:val="en-GB"/>
        </w:rPr>
        <w:t>1.3 Analysing external macro environmental actors</w:t>
      </w:r>
    </w:p>
    <w:p w14:paraId="5788A3C9" w14:textId="77777777" w:rsidR="00E862B8" w:rsidRPr="0065248C" w:rsidRDefault="00BF0F2E" w:rsidP="0065248C">
      <w:pPr>
        <w:spacing w:line="360" w:lineRule="auto"/>
        <w:jc w:val="both"/>
        <w:rPr>
          <w:sz w:val="24"/>
          <w:szCs w:val="24"/>
          <w:lang w:val="en-GB"/>
        </w:rPr>
      </w:pPr>
      <w:r w:rsidRPr="0065248C">
        <w:rPr>
          <w:sz w:val="24"/>
          <w:szCs w:val="24"/>
          <w:lang w:val="en-GB"/>
        </w:rPr>
        <w:t xml:space="preserve">In order to critically assess the opportunities and threats brought about by external macro-environmental changes to pioneer and follower organisations within the UK retail </w:t>
      </w:r>
      <w:r w:rsidRPr="0065248C">
        <w:rPr>
          <w:sz w:val="24"/>
          <w:szCs w:val="24"/>
          <w:lang w:val="en-GB"/>
        </w:rPr>
        <w:lastRenderedPageBreak/>
        <w:t>sector, this section focuses on the analysis of two PESTLE factors (Technological and Social) since they have been the most transformative since 2020. It focuses on Marks and Spencer (M&amp;S) as the leader and the Boohoo Group plc as the follower, which provides a comparative perspective on the strategic implications.</w:t>
      </w:r>
    </w:p>
    <w:p w14:paraId="30002EBC" w14:textId="77777777" w:rsidR="00E862B8" w:rsidRPr="00A1615F" w:rsidRDefault="00BF0F2E" w:rsidP="0065248C">
      <w:pPr>
        <w:spacing w:line="360" w:lineRule="auto"/>
        <w:jc w:val="both"/>
        <w:rPr>
          <w:b/>
          <w:iCs/>
          <w:sz w:val="24"/>
          <w:szCs w:val="24"/>
          <w:lang w:val="en-GB"/>
        </w:rPr>
      </w:pPr>
      <w:r w:rsidRPr="00A1615F">
        <w:rPr>
          <w:b/>
          <w:iCs/>
          <w:sz w:val="24"/>
          <w:szCs w:val="24"/>
          <w:lang w:val="en-GB"/>
        </w:rPr>
        <w:t>Technological Factors</w:t>
      </w:r>
    </w:p>
    <w:p w14:paraId="120DBE89" w14:textId="77777777" w:rsidR="00E862B8" w:rsidRPr="0065248C" w:rsidRDefault="00BF0F2E" w:rsidP="0065248C">
      <w:pPr>
        <w:spacing w:line="360" w:lineRule="auto"/>
        <w:jc w:val="both"/>
        <w:rPr>
          <w:sz w:val="24"/>
          <w:szCs w:val="24"/>
          <w:lang w:val="en-GB"/>
        </w:rPr>
      </w:pPr>
      <w:r w:rsidRPr="0065248C">
        <w:rPr>
          <w:sz w:val="24"/>
          <w:szCs w:val="24"/>
          <w:lang w:val="en-GB"/>
        </w:rPr>
        <w:t>The fast-paced digitalisation of the UK retail environment has been an influencing factor since 2020, especially after online shopping increased in pace in the wake of the COVID-19 pandemic. Data shows that in 2022 online retail sales made 26.6% of all retail sales, whereas in 2019 it was only 19.2% and it indicates that a permanent shift to digital consumption has taken place (ons.gov.uk, 2025).</w:t>
      </w:r>
    </w:p>
    <w:p w14:paraId="34535840" w14:textId="77777777" w:rsidR="00E862B8" w:rsidRPr="0065248C" w:rsidRDefault="00BF0F2E" w:rsidP="006B4601">
      <w:pPr>
        <w:spacing w:line="360" w:lineRule="auto"/>
        <w:jc w:val="center"/>
        <w:rPr>
          <w:sz w:val="24"/>
          <w:szCs w:val="24"/>
          <w:lang w:val="en-GB"/>
        </w:rPr>
      </w:pPr>
      <w:r w:rsidRPr="0065248C">
        <w:rPr>
          <w:noProof/>
          <w:sz w:val="24"/>
          <w:szCs w:val="24"/>
          <w:lang w:val="en-GB"/>
        </w:rPr>
        <w:drawing>
          <wp:inline distT="114300" distB="114300" distL="114300" distR="114300" wp14:anchorId="2E227CBE" wp14:editId="7C183E0A">
            <wp:extent cx="5943600" cy="4508500"/>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4508500"/>
                    </a:xfrm>
                    <a:prstGeom prst="rect">
                      <a:avLst/>
                    </a:prstGeom>
                    <a:ln w="12700">
                      <a:solidFill>
                        <a:srgbClr val="000000"/>
                      </a:solidFill>
                      <a:prstDash val="solid"/>
                    </a:ln>
                  </pic:spPr>
                </pic:pic>
              </a:graphicData>
            </a:graphic>
          </wp:inline>
        </w:drawing>
      </w:r>
    </w:p>
    <w:p w14:paraId="7C6D57DA" w14:textId="77777777" w:rsidR="00E862B8" w:rsidRPr="0065248C" w:rsidRDefault="00BF0F2E" w:rsidP="006B4601">
      <w:pPr>
        <w:spacing w:line="360" w:lineRule="auto"/>
        <w:jc w:val="center"/>
        <w:rPr>
          <w:b/>
          <w:sz w:val="24"/>
          <w:szCs w:val="24"/>
          <w:lang w:val="en-GB"/>
        </w:rPr>
      </w:pPr>
      <w:r w:rsidRPr="0065248C">
        <w:rPr>
          <w:b/>
          <w:sz w:val="24"/>
          <w:szCs w:val="24"/>
          <w:lang w:val="en-GB"/>
        </w:rPr>
        <w:t>Figure 2: Sales in the retail sector UK</w:t>
      </w:r>
    </w:p>
    <w:p w14:paraId="09D046C7" w14:textId="77777777" w:rsidR="00E862B8" w:rsidRPr="0065248C" w:rsidRDefault="00BF0F2E" w:rsidP="006B4601">
      <w:pPr>
        <w:spacing w:line="360" w:lineRule="auto"/>
        <w:jc w:val="center"/>
        <w:rPr>
          <w:sz w:val="24"/>
          <w:szCs w:val="24"/>
          <w:lang w:val="en-GB"/>
        </w:rPr>
      </w:pPr>
      <w:r w:rsidRPr="0065248C">
        <w:rPr>
          <w:sz w:val="24"/>
          <w:szCs w:val="24"/>
          <w:lang w:val="en-GB"/>
        </w:rPr>
        <w:t>(Source: ons.gov.uk, 2025)</w:t>
      </w:r>
    </w:p>
    <w:p w14:paraId="1637E815" w14:textId="77777777" w:rsidR="00E862B8" w:rsidRPr="0065248C" w:rsidRDefault="00BF0F2E" w:rsidP="0065248C">
      <w:pPr>
        <w:spacing w:line="360" w:lineRule="auto"/>
        <w:jc w:val="both"/>
        <w:rPr>
          <w:sz w:val="24"/>
          <w:szCs w:val="24"/>
          <w:lang w:val="en-GB"/>
        </w:rPr>
      </w:pPr>
      <w:r w:rsidRPr="0065248C">
        <w:rPr>
          <w:sz w:val="24"/>
          <w:szCs w:val="24"/>
          <w:lang w:val="en-GB"/>
        </w:rPr>
        <w:t xml:space="preserve">In the case of innovative companies like M&amp;S, technological progress has offered great opportunities. To rebrand its conventional retail concept, the company has been </w:t>
      </w:r>
      <w:r w:rsidRPr="0065248C">
        <w:rPr>
          <w:sz w:val="24"/>
          <w:szCs w:val="24"/>
          <w:lang w:val="en-GB"/>
        </w:rPr>
        <w:lastRenderedPageBreak/>
        <w:t>strategic in the use of digital innovation to transform its classic retail model by integrating the omnichannel and creating AI-based customer analytics. M&amp;S collaboration with Ocado to deliver online groceries and the launch of the loyalty application called ‘Sparks’ have contributed to the customer customisation and retention (</w:t>
      </w:r>
      <w:proofErr w:type="spellStart"/>
      <w:r w:rsidRPr="0065248C">
        <w:rPr>
          <w:sz w:val="24"/>
          <w:szCs w:val="24"/>
          <w:lang w:val="en-GB"/>
        </w:rPr>
        <w:t>corporate.marksandspencer</w:t>
      </w:r>
      <w:proofErr w:type="spellEnd"/>
      <w:r w:rsidRPr="0065248C">
        <w:rPr>
          <w:sz w:val="24"/>
          <w:szCs w:val="24"/>
          <w:lang w:val="en-GB"/>
        </w:rPr>
        <w:t>, 2023a). Such projects show that the tech flexibility can help rejuvenate the old brands, enabling the first-mover to stay afloat in the digitally inclined marketplace. This reinforces technological capability and increases market resilience of established firms because it provides a means of process innovation and data-driven decision-making.</w:t>
      </w:r>
    </w:p>
    <w:p w14:paraId="79CF3269" w14:textId="77777777" w:rsidR="00E862B8" w:rsidRPr="0065248C" w:rsidRDefault="00BF0F2E" w:rsidP="0065248C">
      <w:pPr>
        <w:spacing w:line="360" w:lineRule="auto"/>
        <w:jc w:val="both"/>
        <w:rPr>
          <w:sz w:val="24"/>
          <w:szCs w:val="24"/>
          <w:lang w:val="en-GB"/>
        </w:rPr>
      </w:pPr>
      <w:r w:rsidRPr="0065248C">
        <w:rPr>
          <w:sz w:val="24"/>
          <w:szCs w:val="24"/>
          <w:lang w:val="en-GB"/>
        </w:rPr>
        <w:t>Conversely, the Boohoo develops opportunities in the context of technological advancements. Although Boohoo was originally advantaged by its status as a digital native firm with a lean e-commerce operation, the market is growing in technological complexity, which has created impediments to differentiation. Competitive pressure has increased because of the growth of AI-based recommendation systems and augmented reality (AR)-fitting tools adopted by industry competitors like ASOS and H&amp;M (</w:t>
      </w:r>
      <w:proofErr w:type="spellStart"/>
      <w:r w:rsidRPr="0065248C">
        <w:rPr>
          <w:sz w:val="24"/>
          <w:szCs w:val="24"/>
          <w:lang w:val="en-GB"/>
        </w:rPr>
        <w:t>theguardian</w:t>
      </w:r>
      <w:proofErr w:type="spellEnd"/>
      <w:r w:rsidRPr="0065248C">
        <w:rPr>
          <w:sz w:val="24"/>
          <w:szCs w:val="24"/>
          <w:lang w:val="en-GB"/>
        </w:rPr>
        <w:t>, 2021).</w:t>
      </w:r>
      <w:r w:rsidR="006B4601">
        <w:rPr>
          <w:sz w:val="24"/>
          <w:szCs w:val="24"/>
          <w:lang w:val="en-GB"/>
        </w:rPr>
        <w:t xml:space="preserve"> </w:t>
      </w:r>
      <w:r w:rsidRPr="0065248C">
        <w:rPr>
          <w:sz w:val="24"/>
          <w:szCs w:val="24"/>
          <w:lang w:val="en-GB"/>
        </w:rPr>
        <w:t xml:space="preserve">Moreover, the increasing demand of supply-chain transparency and digital traceability, which is intensified by the UK legislation on modern slavery and ethical sourcing, puts pressure on the </w:t>
      </w:r>
      <w:r w:rsidR="006B4601" w:rsidRPr="0065248C">
        <w:rPr>
          <w:sz w:val="24"/>
          <w:szCs w:val="24"/>
          <w:lang w:val="en-GB"/>
        </w:rPr>
        <w:t>bottom line</w:t>
      </w:r>
      <w:r w:rsidRPr="0065248C">
        <w:rPr>
          <w:sz w:val="24"/>
          <w:szCs w:val="24"/>
          <w:lang w:val="en-GB"/>
        </w:rPr>
        <w:t xml:space="preserve"> of Boohoo, particularly following its 2020 labour scandal.</w:t>
      </w:r>
    </w:p>
    <w:p w14:paraId="1CCDDC9C" w14:textId="77777777" w:rsidR="00E862B8" w:rsidRPr="0065248C" w:rsidRDefault="00BF0F2E" w:rsidP="0065248C">
      <w:pPr>
        <w:spacing w:line="360" w:lineRule="auto"/>
        <w:jc w:val="both"/>
        <w:rPr>
          <w:sz w:val="24"/>
          <w:szCs w:val="24"/>
          <w:lang w:val="en-GB"/>
        </w:rPr>
      </w:pPr>
      <w:r w:rsidRPr="0065248C">
        <w:rPr>
          <w:sz w:val="24"/>
          <w:szCs w:val="24"/>
          <w:lang w:val="en-GB"/>
        </w:rPr>
        <w:t>Comparing and contrasting both critically, the technological development of M&amp;S is a strategic adaptation, and the dependence on the speed of digitalization without strong governance of Boohoo is a strategic weakness. It is thus inferred that technological innovations provide a chance to pioneers in modernising their legacy system and threat to followers that need to implement innovation and compliance concurrently to remain relevant in the market.</w:t>
      </w:r>
    </w:p>
    <w:p w14:paraId="209506E5" w14:textId="77777777" w:rsidR="00E862B8" w:rsidRPr="00A1615F" w:rsidRDefault="00BF0F2E" w:rsidP="0065248C">
      <w:pPr>
        <w:spacing w:line="360" w:lineRule="auto"/>
        <w:jc w:val="both"/>
        <w:rPr>
          <w:b/>
          <w:iCs/>
          <w:sz w:val="24"/>
          <w:szCs w:val="24"/>
          <w:lang w:val="en-GB"/>
        </w:rPr>
      </w:pPr>
      <w:r w:rsidRPr="00A1615F">
        <w:rPr>
          <w:b/>
          <w:iCs/>
          <w:sz w:val="24"/>
          <w:szCs w:val="24"/>
          <w:lang w:val="en-GB"/>
        </w:rPr>
        <w:t>Social Factors</w:t>
      </w:r>
    </w:p>
    <w:p w14:paraId="103637D7" w14:textId="77777777" w:rsidR="00E862B8" w:rsidRPr="0065248C" w:rsidRDefault="00BF0F2E" w:rsidP="0065248C">
      <w:pPr>
        <w:spacing w:line="360" w:lineRule="auto"/>
        <w:jc w:val="both"/>
        <w:rPr>
          <w:sz w:val="24"/>
          <w:szCs w:val="24"/>
          <w:lang w:val="en-GB"/>
        </w:rPr>
      </w:pPr>
      <w:r w:rsidRPr="0065248C">
        <w:rPr>
          <w:sz w:val="24"/>
          <w:szCs w:val="24"/>
          <w:lang w:val="en-GB"/>
        </w:rPr>
        <w:t xml:space="preserve">The UK has experienced social changes, which have impacted retail strategies significantly since the year 2020, especially the changing consumer values on the aspects of sustainability, diversity and ethical consumption. Sustainable Consumer Report notes shows 63% of consumers in the UK, </w:t>
      </w:r>
      <w:proofErr w:type="spellStart"/>
      <w:r w:rsidRPr="0065248C">
        <w:rPr>
          <w:sz w:val="24"/>
          <w:szCs w:val="24"/>
          <w:lang w:val="en-GB"/>
        </w:rPr>
        <w:t>favor</w:t>
      </w:r>
      <w:proofErr w:type="spellEnd"/>
      <w:r w:rsidRPr="0065248C">
        <w:rPr>
          <w:sz w:val="24"/>
          <w:szCs w:val="24"/>
          <w:lang w:val="en-GB"/>
        </w:rPr>
        <w:t xml:space="preserve"> a brand with clear sustainability </w:t>
      </w:r>
      <w:r w:rsidRPr="0065248C">
        <w:rPr>
          <w:sz w:val="24"/>
          <w:szCs w:val="24"/>
          <w:lang w:val="en-GB"/>
        </w:rPr>
        <w:lastRenderedPageBreak/>
        <w:t>processes, which is a change away from consumers being price-driven to purpose-driven in their consumption behaviour (Deloitte, 2023).</w:t>
      </w:r>
    </w:p>
    <w:p w14:paraId="0B08F2DF" w14:textId="77777777" w:rsidR="00E862B8" w:rsidRPr="0065248C" w:rsidRDefault="00BF0F2E" w:rsidP="0065248C">
      <w:pPr>
        <w:spacing w:line="360" w:lineRule="auto"/>
        <w:jc w:val="both"/>
        <w:rPr>
          <w:sz w:val="24"/>
          <w:szCs w:val="24"/>
          <w:lang w:val="en-GB"/>
        </w:rPr>
      </w:pPr>
      <w:r w:rsidRPr="0065248C">
        <w:rPr>
          <w:sz w:val="24"/>
          <w:szCs w:val="24"/>
          <w:lang w:val="en-GB"/>
        </w:rPr>
        <w:t>To the social innovator, M&amp;S, this social change has led to the opportunity to build brand loyalty and rebrand itself as a socially responsible retailer. Its sustainability policy, Plan A, which it has been operating since 2007 and continually revised, is in line with the present-day social expectations. The application of sustainable materials, recycling, and gender-neutral marketing efforts have improved brand equity in M&amp;S (</w:t>
      </w:r>
      <w:proofErr w:type="spellStart"/>
      <w:r w:rsidRPr="0065248C">
        <w:rPr>
          <w:sz w:val="24"/>
          <w:szCs w:val="24"/>
          <w:lang w:val="en-GB"/>
        </w:rPr>
        <w:t>corporate.marksandspencer</w:t>
      </w:r>
      <w:proofErr w:type="spellEnd"/>
      <w:r w:rsidRPr="0065248C">
        <w:rPr>
          <w:sz w:val="24"/>
          <w:szCs w:val="24"/>
          <w:lang w:val="en-GB"/>
        </w:rPr>
        <w:t xml:space="preserve">, 2023b). It illustrates how </w:t>
      </w:r>
      <w:r w:rsidR="006B4601" w:rsidRPr="0065248C">
        <w:rPr>
          <w:sz w:val="24"/>
          <w:szCs w:val="24"/>
          <w:lang w:val="en-GB"/>
        </w:rPr>
        <w:t>pioneers to address the emerging societal values can use heritage and trust</w:t>
      </w:r>
      <w:r w:rsidRPr="0065248C">
        <w:rPr>
          <w:sz w:val="24"/>
          <w:szCs w:val="24"/>
          <w:lang w:val="en-GB"/>
        </w:rPr>
        <w:t>. In this regard, Kotler and Keller (2021) are right that inceptive brands can re-establish their relationship with the consumers by balancing social responsibility and marketing communication.</w:t>
      </w:r>
    </w:p>
    <w:p w14:paraId="715A1E97" w14:textId="77777777" w:rsidR="00E862B8" w:rsidRPr="0065248C" w:rsidRDefault="00BF0F2E" w:rsidP="0065248C">
      <w:pPr>
        <w:spacing w:line="360" w:lineRule="auto"/>
        <w:jc w:val="both"/>
        <w:rPr>
          <w:sz w:val="24"/>
          <w:szCs w:val="24"/>
          <w:lang w:val="en-GB"/>
        </w:rPr>
      </w:pPr>
      <w:r w:rsidRPr="0065248C">
        <w:rPr>
          <w:sz w:val="24"/>
          <w:szCs w:val="24"/>
          <w:lang w:val="en-GB"/>
        </w:rPr>
        <w:t xml:space="preserve">Although, follower firms such as Boohoo are like a </w:t>
      </w:r>
      <w:r w:rsidR="006B4601" w:rsidRPr="0065248C">
        <w:rPr>
          <w:sz w:val="24"/>
          <w:szCs w:val="24"/>
          <w:lang w:val="en-GB"/>
        </w:rPr>
        <w:t>two-sided</w:t>
      </w:r>
      <w:r w:rsidRPr="0065248C">
        <w:rPr>
          <w:sz w:val="24"/>
          <w:szCs w:val="24"/>
          <w:lang w:val="en-GB"/>
        </w:rPr>
        <w:t xml:space="preserve"> sword in terms of social change. The emergence of the sustainability-aware consumer threatens the fast-fashion paradigm according to which affordability and rapidity are prioritized above longevity. The former scandals about unethical labour practices and environmental waste by Boohoo have damaged consumer confidence and brought the attention of the government. Even though Boohoo has reacted by launching its own sustainable line, the Ready for the Future, critics have pointed out that the move is an act of greenwashing and not a process of change (Morton, 2022). As a result, the social trends pose reputational and operational risks to the follower </w:t>
      </w:r>
      <w:r w:rsidR="006B4601" w:rsidRPr="0065248C">
        <w:rPr>
          <w:sz w:val="24"/>
          <w:szCs w:val="24"/>
          <w:lang w:val="en-GB"/>
        </w:rPr>
        <w:t>firms, which</w:t>
      </w:r>
      <w:r w:rsidRPr="0065248C">
        <w:rPr>
          <w:sz w:val="24"/>
          <w:szCs w:val="24"/>
          <w:lang w:val="en-GB"/>
        </w:rPr>
        <w:t xml:space="preserve"> depend on sales driven by volume and on a short-term basis.</w:t>
      </w:r>
    </w:p>
    <w:p w14:paraId="29546EEF" w14:textId="1B793A90" w:rsidR="00E862B8" w:rsidRPr="0065248C" w:rsidRDefault="00BF0F2E" w:rsidP="0065248C">
      <w:pPr>
        <w:spacing w:line="360" w:lineRule="auto"/>
        <w:jc w:val="both"/>
        <w:rPr>
          <w:sz w:val="24"/>
          <w:szCs w:val="24"/>
          <w:lang w:val="en-GB"/>
        </w:rPr>
      </w:pPr>
      <w:r w:rsidRPr="0065248C">
        <w:rPr>
          <w:sz w:val="24"/>
          <w:szCs w:val="24"/>
          <w:lang w:val="en-GB"/>
        </w:rPr>
        <w:t>Comparing the two companies critically, the social values embedded in M&amp;S allow the company to be competitive in the long-term, whereas the reactive stance of Boohoo indicates the limitations that followers have when their societal norms change at a faster rate than the organisation. Thus, the social evolution in the UK retail environment gives opportunities to the innovators to strengthen consumer confidence with the help of responsible branding. Whereas</w:t>
      </w:r>
      <w:r w:rsidR="006B4601">
        <w:rPr>
          <w:sz w:val="24"/>
          <w:szCs w:val="24"/>
          <w:lang w:val="en-GB"/>
        </w:rPr>
        <w:t>,</w:t>
      </w:r>
      <w:r w:rsidRPr="0065248C">
        <w:rPr>
          <w:sz w:val="24"/>
          <w:szCs w:val="24"/>
          <w:lang w:val="en-GB"/>
        </w:rPr>
        <w:t xml:space="preserve"> it also threatens the followers, whose economic-based approaches clash with the increasing ethical standards.</w:t>
      </w:r>
    </w:p>
    <w:p w14:paraId="273085D7" w14:textId="77777777" w:rsidR="00E862B8" w:rsidRPr="0065248C" w:rsidRDefault="00BF0F2E" w:rsidP="0065248C">
      <w:pPr>
        <w:spacing w:line="360" w:lineRule="auto"/>
        <w:jc w:val="both"/>
        <w:rPr>
          <w:b/>
          <w:sz w:val="24"/>
          <w:szCs w:val="24"/>
          <w:lang w:val="en-GB"/>
        </w:rPr>
      </w:pPr>
      <w:r w:rsidRPr="0065248C">
        <w:rPr>
          <w:b/>
          <w:sz w:val="24"/>
          <w:szCs w:val="24"/>
          <w:lang w:val="en-GB"/>
        </w:rPr>
        <w:t>1.3 Critical Inference</w:t>
      </w:r>
    </w:p>
    <w:p w14:paraId="0B8B59BB" w14:textId="77777777" w:rsidR="00E862B8" w:rsidRPr="0065248C" w:rsidRDefault="00BF0F2E" w:rsidP="0065248C">
      <w:pPr>
        <w:spacing w:line="360" w:lineRule="auto"/>
        <w:jc w:val="both"/>
        <w:rPr>
          <w:sz w:val="24"/>
          <w:szCs w:val="24"/>
          <w:lang w:val="en-GB"/>
        </w:rPr>
      </w:pPr>
      <w:r w:rsidRPr="0065248C">
        <w:rPr>
          <w:sz w:val="24"/>
          <w:szCs w:val="24"/>
          <w:lang w:val="en-GB"/>
        </w:rPr>
        <w:t xml:space="preserve">Technological and social aspects have redefined the UK retail competitive environment. The technology is </w:t>
      </w:r>
      <w:r w:rsidR="006B4601" w:rsidRPr="0065248C">
        <w:rPr>
          <w:sz w:val="24"/>
          <w:szCs w:val="24"/>
          <w:lang w:val="en-GB"/>
        </w:rPr>
        <w:t>favouring</w:t>
      </w:r>
      <w:r w:rsidRPr="0065248C">
        <w:rPr>
          <w:sz w:val="24"/>
          <w:szCs w:val="24"/>
          <w:lang w:val="en-GB"/>
        </w:rPr>
        <w:t xml:space="preserve"> those who are innovative and who can use innovation to </w:t>
      </w:r>
      <w:r w:rsidRPr="0065248C">
        <w:rPr>
          <w:sz w:val="24"/>
          <w:szCs w:val="24"/>
          <w:lang w:val="en-GB"/>
        </w:rPr>
        <w:lastRenderedPageBreak/>
        <w:t xml:space="preserve">transform the system at the expense of those who are followers and are limited to changes by a lack of scalability and ability to comply. Likewise, social change gives the leaders with </w:t>
      </w:r>
      <w:r w:rsidR="006B4601" w:rsidRPr="0065248C">
        <w:rPr>
          <w:sz w:val="24"/>
          <w:szCs w:val="24"/>
          <w:lang w:val="en-GB"/>
        </w:rPr>
        <w:t>heritage-based</w:t>
      </w:r>
      <w:r w:rsidRPr="0065248C">
        <w:rPr>
          <w:sz w:val="24"/>
          <w:szCs w:val="24"/>
          <w:lang w:val="en-GB"/>
        </w:rPr>
        <w:t xml:space="preserve"> credibility the power to be in line with the ethical consumption trend, and follow-up risks being left behind, should they not adapt in an authentic way. Therefore, M&amp;S and Boohoo are two opposite paths, which are influenced by the same macro-environmental forces, strategic foresight and corporate responsibility make sustainable leaders and weak followers.</w:t>
      </w:r>
    </w:p>
    <w:p w14:paraId="7BFE1F7D" w14:textId="77777777" w:rsidR="00E862B8" w:rsidRPr="0065248C" w:rsidRDefault="00BF0F2E" w:rsidP="0065248C">
      <w:pPr>
        <w:spacing w:line="360" w:lineRule="auto"/>
        <w:jc w:val="both"/>
        <w:rPr>
          <w:sz w:val="24"/>
          <w:szCs w:val="24"/>
          <w:lang w:val="en-GB"/>
        </w:rPr>
      </w:pPr>
      <w:r w:rsidRPr="0065248C">
        <w:rPr>
          <w:sz w:val="24"/>
          <w:szCs w:val="24"/>
          <w:lang w:val="en-GB"/>
        </w:rPr>
        <w:br w:type="page"/>
      </w:r>
    </w:p>
    <w:p w14:paraId="5F0B0654" w14:textId="77777777" w:rsidR="00E862B8" w:rsidRPr="0065248C" w:rsidRDefault="00BF0F2E" w:rsidP="006B4601">
      <w:pPr>
        <w:pStyle w:val="Heading1"/>
        <w:rPr>
          <w:lang w:val="en-GB"/>
        </w:rPr>
      </w:pPr>
      <w:bookmarkStart w:id="2" w:name="_Toc212077381"/>
      <w:r w:rsidRPr="0065248C">
        <w:rPr>
          <w:lang w:val="en-GB"/>
        </w:rPr>
        <w:lastRenderedPageBreak/>
        <w:t>Task 2</w:t>
      </w:r>
      <w:bookmarkEnd w:id="2"/>
    </w:p>
    <w:p w14:paraId="44FEB189" w14:textId="77777777" w:rsidR="00E862B8" w:rsidRPr="0065248C" w:rsidRDefault="00BF0F2E" w:rsidP="0065248C">
      <w:pPr>
        <w:spacing w:line="360" w:lineRule="auto"/>
        <w:jc w:val="both"/>
        <w:rPr>
          <w:b/>
          <w:sz w:val="24"/>
          <w:szCs w:val="24"/>
          <w:lang w:val="en-GB"/>
        </w:rPr>
      </w:pPr>
      <w:r w:rsidRPr="0065248C">
        <w:rPr>
          <w:b/>
          <w:sz w:val="24"/>
          <w:szCs w:val="24"/>
          <w:lang w:val="en-GB"/>
        </w:rPr>
        <w:t>2.1 Strategic response of the pioneer firm</w:t>
      </w:r>
    </w:p>
    <w:p w14:paraId="79EDB99F" w14:textId="77777777" w:rsidR="00E862B8" w:rsidRPr="0065248C" w:rsidRDefault="00BF0F2E" w:rsidP="0065248C">
      <w:pPr>
        <w:spacing w:line="360" w:lineRule="auto"/>
        <w:jc w:val="both"/>
        <w:rPr>
          <w:sz w:val="24"/>
          <w:szCs w:val="24"/>
          <w:lang w:val="en-GB"/>
        </w:rPr>
      </w:pPr>
      <w:r w:rsidRPr="0065248C">
        <w:rPr>
          <w:sz w:val="24"/>
          <w:szCs w:val="24"/>
          <w:lang w:val="en-GB"/>
        </w:rPr>
        <w:t>The strategic reaction of Marks and Spencer to the technological and social macro-environmental factors demonstrates the evolution of the traditional model of the retailing company by means of innovations and diversification, which closely correspond to the Ansoff Matrix framework. Ansoff Matrix provides four growth strategies, such as market penetration, product development, market development, and diversification, all of which are intended to preserve the competitive advantage during the changes in the environment (Ansoff, 1957). M&amp;S is an adept product development and diversification in responding to technological disruption and social change in the UK retail industry.</w:t>
      </w:r>
    </w:p>
    <w:p w14:paraId="2FF6F556" w14:textId="77777777" w:rsidR="00E862B8" w:rsidRPr="0065248C" w:rsidRDefault="00BF0F2E" w:rsidP="006B4601">
      <w:pPr>
        <w:spacing w:line="360" w:lineRule="auto"/>
        <w:jc w:val="center"/>
        <w:rPr>
          <w:sz w:val="24"/>
          <w:szCs w:val="24"/>
          <w:lang w:val="en-GB"/>
        </w:rPr>
      </w:pPr>
      <w:r w:rsidRPr="0065248C">
        <w:rPr>
          <w:noProof/>
          <w:sz w:val="24"/>
          <w:szCs w:val="24"/>
          <w:lang w:val="en-GB"/>
        </w:rPr>
        <w:drawing>
          <wp:inline distT="114300" distB="114300" distL="114300" distR="114300" wp14:anchorId="49110E9A" wp14:editId="2E6A0549">
            <wp:extent cx="5448300" cy="41148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448300" cy="4114800"/>
                    </a:xfrm>
                    <a:prstGeom prst="rect">
                      <a:avLst/>
                    </a:prstGeom>
                    <a:ln/>
                  </pic:spPr>
                </pic:pic>
              </a:graphicData>
            </a:graphic>
          </wp:inline>
        </w:drawing>
      </w:r>
    </w:p>
    <w:p w14:paraId="302E9F5D" w14:textId="77777777" w:rsidR="00E862B8" w:rsidRPr="0065248C" w:rsidRDefault="00BF0F2E" w:rsidP="006B4601">
      <w:pPr>
        <w:spacing w:line="360" w:lineRule="auto"/>
        <w:jc w:val="center"/>
        <w:rPr>
          <w:sz w:val="24"/>
          <w:szCs w:val="24"/>
          <w:lang w:val="en-GB"/>
        </w:rPr>
      </w:pPr>
      <w:r w:rsidRPr="0065248C">
        <w:rPr>
          <w:b/>
          <w:sz w:val="24"/>
          <w:szCs w:val="24"/>
          <w:lang w:val="en-GB"/>
        </w:rPr>
        <w:t>Figure 3: Ansoff matrix for UK retail pioneer</w:t>
      </w:r>
    </w:p>
    <w:p w14:paraId="07A47254" w14:textId="77777777" w:rsidR="00E862B8" w:rsidRPr="0065248C" w:rsidRDefault="00BF0F2E" w:rsidP="0065248C">
      <w:pPr>
        <w:spacing w:line="360" w:lineRule="auto"/>
        <w:jc w:val="both"/>
        <w:rPr>
          <w:sz w:val="24"/>
          <w:szCs w:val="24"/>
          <w:lang w:val="en-GB"/>
        </w:rPr>
      </w:pPr>
      <w:r w:rsidRPr="0065248C">
        <w:rPr>
          <w:sz w:val="24"/>
          <w:szCs w:val="24"/>
          <w:lang w:val="en-GB"/>
        </w:rPr>
        <w:t xml:space="preserve">M&amp;S has also been adopting a strong strategy of digital transformation and data analytics in response to the impact of technological change, to improve customer interaction and performance. Its introduction of a loyalty app (Sparks), which offers personalised promotions based on AI-generated insights on customers, is a type of </w:t>
      </w:r>
      <w:r w:rsidRPr="0065248C">
        <w:rPr>
          <w:sz w:val="24"/>
          <w:szCs w:val="24"/>
          <w:lang w:val="en-GB"/>
        </w:rPr>
        <w:lastRenderedPageBreak/>
        <w:t>technological product evolution that enhances customer retention. In addition to this, the online grocery delivery strategic alliance with Ocado has diversified the distribution channels of M&amp;S hence being able to reach out to the rising e-commerce market. This strategy is an example of the diversification quadrant of Ansoff since it considers both digital innovation and market expansion.</w:t>
      </w:r>
    </w:p>
    <w:p w14:paraId="4AC2B531" w14:textId="77777777" w:rsidR="00E862B8" w:rsidRPr="0065248C" w:rsidRDefault="00BF0F2E" w:rsidP="0065248C">
      <w:pPr>
        <w:spacing w:line="360" w:lineRule="auto"/>
        <w:jc w:val="both"/>
        <w:rPr>
          <w:sz w:val="24"/>
          <w:szCs w:val="24"/>
          <w:lang w:val="en-GB"/>
        </w:rPr>
      </w:pPr>
      <w:r w:rsidRPr="0065248C">
        <w:rPr>
          <w:sz w:val="24"/>
          <w:szCs w:val="24"/>
          <w:lang w:val="en-GB"/>
        </w:rPr>
        <w:t>Speaking of social factors, the plan A sustainability programme of M&amp;S proves its active response to the requirements of the consumers in the area of ethical sourcing and environmental responsibility. Making circular fashion efforts and creating gender-neutral branding, M&amp;S can not only react to social values but also stand out due to responsible innovation. This strengthens the brand leadership and authenticity of M&amp;S, something that Boohoo followers can hardly copy.</w:t>
      </w:r>
    </w:p>
    <w:p w14:paraId="2AADE6E1" w14:textId="77777777" w:rsidR="00E862B8" w:rsidRPr="0065248C" w:rsidRDefault="00BF0F2E" w:rsidP="0065248C">
      <w:pPr>
        <w:spacing w:line="360" w:lineRule="auto"/>
        <w:jc w:val="both"/>
        <w:rPr>
          <w:sz w:val="24"/>
          <w:szCs w:val="24"/>
          <w:lang w:val="en-GB"/>
        </w:rPr>
      </w:pPr>
      <w:r w:rsidRPr="0065248C">
        <w:rPr>
          <w:sz w:val="24"/>
          <w:szCs w:val="24"/>
          <w:lang w:val="en-GB"/>
        </w:rPr>
        <w:t>The strategic response of M&amp;S, which rests on the Ansoff Matrix, demonstrates the ability of pioneers to remain competitive with the help of innovation-based diversification with references to digital technologies and social responsibility to strengthen brand equity and seize the new opportunities of the changing UK retail environment.</w:t>
      </w:r>
    </w:p>
    <w:p w14:paraId="6C7F038D" w14:textId="77777777" w:rsidR="00E862B8" w:rsidRPr="0065248C" w:rsidRDefault="00BF0F2E" w:rsidP="0065248C">
      <w:pPr>
        <w:spacing w:line="360" w:lineRule="auto"/>
        <w:jc w:val="both"/>
        <w:rPr>
          <w:b/>
          <w:sz w:val="24"/>
          <w:szCs w:val="24"/>
          <w:lang w:val="en-GB"/>
        </w:rPr>
      </w:pPr>
      <w:r w:rsidRPr="0065248C">
        <w:rPr>
          <w:b/>
          <w:sz w:val="24"/>
          <w:szCs w:val="24"/>
          <w:lang w:val="en-GB"/>
        </w:rPr>
        <w:t>2..2 Strategic response of follower firm</w:t>
      </w:r>
    </w:p>
    <w:p w14:paraId="5FB832CE" w14:textId="77777777" w:rsidR="00E862B8" w:rsidRPr="0065248C" w:rsidRDefault="00BF0F2E" w:rsidP="0065248C">
      <w:pPr>
        <w:spacing w:line="360" w:lineRule="auto"/>
        <w:jc w:val="both"/>
        <w:rPr>
          <w:sz w:val="24"/>
          <w:szCs w:val="24"/>
          <w:lang w:val="en-GB"/>
        </w:rPr>
      </w:pPr>
      <w:r w:rsidRPr="0065248C">
        <w:rPr>
          <w:sz w:val="24"/>
          <w:szCs w:val="24"/>
          <w:lang w:val="en-GB"/>
        </w:rPr>
        <w:t xml:space="preserve">The Porter's Five Forces framework which evaluates the competitive pressures based on the rivalry, buyer power, supplier power, threat of substitutes and the new entry can be used to critically analyse Boohoo strategic responses to technological and social macro-environmental factors in the UK retail sector (Porter, 1980). This framework especially applies to Boohoo as a follower that is in a highly saturated and competitive fast-fashion market led by digital actors such as ASOS, SHEIN, and </w:t>
      </w:r>
      <w:proofErr w:type="spellStart"/>
      <w:r w:rsidRPr="0065248C">
        <w:rPr>
          <w:sz w:val="24"/>
          <w:szCs w:val="24"/>
          <w:lang w:val="en-GB"/>
        </w:rPr>
        <w:t>PrettyLittleThing</w:t>
      </w:r>
      <w:proofErr w:type="spellEnd"/>
      <w:r w:rsidRPr="0065248C">
        <w:rPr>
          <w:sz w:val="24"/>
          <w:szCs w:val="24"/>
          <w:lang w:val="en-GB"/>
        </w:rPr>
        <w:t>.</w:t>
      </w:r>
    </w:p>
    <w:p w14:paraId="3881E8F8" w14:textId="654BEA80" w:rsidR="00E862B8" w:rsidRPr="0065248C" w:rsidRDefault="00BF0F2E" w:rsidP="0065248C">
      <w:pPr>
        <w:spacing w:line="360" w:lineRule="auto"/>
        <w:jc w:val="both"/>
        <w:rPr>
          <w:sz w:val="24"/>
          <w:szCs w:val="24"/>
          <w:lang w:val="en-GB"/>
        </w:rPr>
      </w:pPr>
      <w:r w:rsidRPr="0065248C">
        <w:rPr>
          <w:sz w:val="24"/>
          <w:szCs w:val="24"/>
          <w:lang w:val="en-GB"/>
        </w:rPr>
        <w:t>Boohoo has also responded to technological shifts by upgrading its digital operational capabilities and using the data analytics to replicate the successful online engagement models. The application of AI in marketing campaigns, actual sales monitoring, and collaboration with influencers is reflected in the strategies of industry leaders, which contributes to remaining agile and being able to reach the customers (financial-news.co, 2024). The limitation of this approach based on imitation is that it restrains its long-term differentiation, with competitors rapidly following the same digital practices. In addition, the reliance on third-party logistics puts Boohoo at the risk of supplier power as well as technological risks,</w:t>
      </w:r>
      <w:r w:rsidR="00A1615F">
        <w:rPr>
          <w:sz w:val="24"/>
          <w:szCs w:val="24"/>
          <w:lang w:val="en-GB"/>
        </w:rPr>
        <w:t xml:space="preserve"> </w:t>
      </w:r>
      <w:r w:rsidRPr="0065248C">
        <w:rPr>
          <w:sz w:val="24"/>
          <w:szCs w:val="24"/>
          <w:lang w:val="en-GB"/>
        </w:rPr>
        <w:t xml:space="preserve">especially with the increased transparency and traceability </w:t>
      </w:r>
      <w:r w:rsidRPr="0065248C">
        <w:rPr>
          <w:sz w:val="24"/>
          <w:szCs w:val="24"/>
          <w:lang w:val="en-GB"/>
        </w:rPr>
        <w:lastRenderedPageBreak/>
        <w:t>provisions under the legal requirements of ethical conduct in the UK (UK Parliament, 2022).</w:t>
      </w:r>
    </w:p>
    <w:p w14:paraId="6AD34DA7" w14:textId="77777777" w:rsidR="00E862B8" w:rsidRPr="0065248C" w:rsidRDefault="00BF0F2E" w:rsidP="0065248C">
      <w:pPr>
        <w:spacing w:line="360" w:lineRule="auto"/>
        <w:jc w:val="both"/>
        <w:rPr>
          <w:sz w:val="24"/>
          <w:szCs w:val="24"/>
          <w:lang w:val="en-GB"/>
        </w:rPr>
      </w:pPr>
      <w:r w:rsidRPr="0065248C">
        <w:rPr>
          <w:sz w:val="24"/>
          <w:szCs w:val="24"/>
          <w:lang w:val="en-GB"/>
        </w:rPr>
        <w:t xml:space="preserve">Socially, Boohoo is under increasing pressure to fit in the trend of sustainability and ethical consumption. Its collection known as Ready for the Future was launched in 2022 and seeks to make a smaller impact on the environment using sustainable materials and the principles of circular design. However, greenwashing is criticized to point to the conflict between cost leadership and ethical responsibility. Although they are trying to </w:t>
      </w:r>
      <w:r w:rsidR="006B4601" w:rsidRPr="0065248C">
        <w:rPr>
          <w:sz w:val="24"/>
          <w:szCs w:val="24"/>
          <w:lang w:val="en-GB"/>
        </w:rPr>
        <w:t>fulfil</w:t>
      </w:r>
      <w:r w:rsidRPr="0065248C">
        <w:rPr>
          <w:sz w:val="24"/>
          <w:szCs w:val="24"/>
          <w:lang w:val="en-GB"/>
        </w:rPr>
        <w:t xml:space="preserve"> the changing consumer expectations, they are still reactive and not transformational.</w:t>
      </w:r>
    </w:p>
    <w:p w14:paraId="4756FE85" w14:textId="77777777" w:rsidR="00E862B8" w:rsidRPr="0065248C" w:rsidRDefault="00BF0F2E" w:rsidP="0065248C">
      <w:pPr>
        <w:spacing w:line="360" w:lineRule="auto"/>
        <w:jc w:val="both"/>
        <w:rPr>
          <w:sz w:val="24"/>
          <w:szCs w:val="24"/>
          <w:lang w:val="en-GB"/>
        </w:rPr>
      </w:pPr>
      <w:r w:rsidRPr="0065248C">
        <w:rPr>
          <w:sz w:val="24"/>
          <w:szCs w:val="24"/>
          <w:lang w:val="en-GB"/>
        </w:rPr>
        <w:t xml:space="preserve">M&amp;S focuses on diversification </w:t>
      </w:r>
      <w:r w:rsidR="006B4601" w:rsidRPr="0065248C">
        <w:rPr>
          <w:sz w:val="24"/>
          <w:szCs w:val="24"/>
          <w:lang w:val="en-GB"/>
        </w:rPr>
        <w:t>strategies, which strengthen corporate social responsibility and brand equity,</w:t>
      </w:r>
      <w:r w:rsidRPr="0065248C">
        <w:rPr>
          <w:sz w:val="24"/>
          <w:szCs w:val="24"/>
          <w:lang w:val="en-GB"/>
        </w:rPr>
        <w:t xml:space="preserve"> however it increases costs of base. Boohoo has focused on speed and focus on cost leadership that creates advantage on easy to scale and has a short-term growth, however disadvantage reflects low differentiation and lack of credibility to sustain. The long-term competitiveness rewarding firms that combine technology with trust, and transparent supply chains (M&amp;S), and punishes those that follow (Boohoo) due to the long-term adoption of online retail (UK, sustained since c. mid-2020s, c. 2527% of sales) intensifying online competition but rewarding firms that can combine technology with authentic sustainability (M&amp;S), and enforce regulation, reputational and market erosion (Boohoo) on those that follow.</w:t>
      </w:r>
    </w:p>
    <w:p w14:paraId="6F6F2215" w14:textId="77777777" w:rsidR="00E862B8" w:rsidRPr="0065248C" w:rsidRDefault="00BF0F2E" w:rsidP="0065248C">
      <w:pPr>
        <w:spacing w:line="360" w:lineRule="auto"/>
        <w:jc w:val="both"/>
        <w:rPr>
          <w:sz w:val="24"/>
          <w:szCs w:val="24"/>
          <w:lang w:val="en-GB"/>
        </w:rPr>
      </w:pPr>
      <w:r w:rsidRPr="0065248C">
        <w:rPr>
          <w:sz w:val="24"/>
          <w:szCs w:val="24"/>
          <w:lang w:val="en-GB"/>
        </w:rPr>
        <w:t>Overall, Boohoo has a competitive edge that consists of technological flexibility and low-cost online presence. However, it has weaknesses because of its poor differentiation, supply-chain scrutiny, and incomplete adjustment to social sustainability trends which inhibit its capacity to compete with industry leaders with greater ethical and brand capital.</w:t>
      </w:r>
    </w:p>
    <w:p w14:paraId="157B83CE" w14:textId="77777777" w:rsidR="00E862B8" w:rsidRPr="0065248C" w:rsidRDefault="00BF0F2E" w:rsidP="0065248C">
      <w:pPr>
        <w:spacing w:line="360" w:lineRule="auto"/>
        <w:jc w:val="both"/>
        <w:rPr>
          <w:b/>
          <w:sz w:val="24"/>
          <w:szCs w:val="24"/>
          <w:lang w:val="en-GB"/>
        </w:rPr>
      </w:pPr>
      <w:r w:rsidRPr="0065248C">
        <w:rPr>
          <w:b/>
          <w:sz w:val="24"/>
          <w:szCs w:val="24"/>
          <w:lang w:val="en-GB"/>
        </w:rPr>
        <w:t>2.3 Critical comparison between the firms</w:t>
      </w:r>
    </w:p>
    <w:p w14:paraId="3E7C3932" w14:textId="1994D191" w:rsidR="00E862B8" w:rsidRPr="0065248C" w:rsidRDefault="00BF0F2E" w:rsidP="0065248C">
      <w:pPr>
        <w:spacing w:line="360" w:lineRule="auto"/>
        <w:jc w:val="both"/>
        <w:rPr>
          <w:sz w:val="24"/>
          <w:szCs w:val="24"/>
          <w:lang w:val="en-GB"/>
        </w:rPr>
      </w:pPr>
      <w:r w:rsidRPr="0065248C">
        <w:rPr>
          <w:sz w:val="24"/>
          <w:szCs w:val="24"/>
          <w:lang w:val="en-GB"/>
        </w:rPr>
        <w:t xml:space="preserve">M&amp;S has pursued deliberate, long-term adaptation to technological and social shifts: substantial omnichannel investment (including its Ocado joint venture), AI-enabled loyalty/personalisation, and an embedded sustainability programme (“Plan A”) with SBTi-aligned targets actions that rebuild competitive resilience and stakeholder trust. </w:t>
      </w:r>
    </w:p>
    <w:p w14:paraId="3EAB1851" w14:textId="77777777" w:rsidR="00E862B8" w:rsidRPr="0065248C" w:rsidRDefault="00E862B8" w:rsidP="0065248C">
      <w:pPr>
        <w:spacing w:line="360" w:lineRule="auto"/>
        <w:jc w:val="both"/>
        <w:rPr>
          <w:sz w:val="24"/>
          <w:szCs w:val="24"/>
          <w:lang w:val="en-GB"/>
        </w:rPr>
      </w:pPr>
    </w:p>
    <w:p w14:paraId="44D0BD82" w14:textId="3A041931" w:rsidR="00E862B8" w:rsidRPr="0065248C" w:rsidRDefault="00BF0F2E" w:rsidP="0065248C">
      <w:pPr>
        <w:spacing w:line="360" w:lineRule="auto"/>
        <w:jc w:val="both"/>
        <w:rPr>
          <w:sz w:val="24"/>
          <w:szCs w:val="24"/>
          <w:lang w:val="en-GB"/>
        </w:rPr>
      </w:pPr>
      <w:r w:rsidRPr="0065248C">
        <w:rPr>
          <w:sz w:val="24"/>
          <w:szCs w:val="24"/>
          <w:lang w:val="en-GB"/>
        </w:rPr>
        <w:lastRenderedPageBreak/>
        <w:t>By contrast, Boohoo’s</w:t>
      </w:r>
      <w:r w:rsidR="00A1615F">
        <w:rPr>
          <w:sz w:val="24"/>
          <w:szCs w:val="24"/>
          <w:lang w:val="en-GB"/>
        </w:rPr>
        <w:t xml:space="preserve"> </w:t>
      </w:r>
      <w:r w:rsidRPr="0065248C">
        <w:rPr>
          <w:sz w:val="24"/>
          <w:szCs w:val="24"/>
          <w:lang w:val="en-GB"/>
        </w:rPr>
        <w:t>early digital advantage was undermined by supply-chain governance failures exposed in</w:t>
      </w:r>
      <w:r w:rsidR="006B4601">
        <w:rPr>
          <w:sz w:val="24"/>
          <w:szCs w:val="24"/>
          <w:lang w:val="en-GB"/>
        </w:rPr>
        <w:t xml:space="preserve"> 2020 and subsequent scrutiny. I</w:t>
      </w:r>
      <w:r w:rsidRPr="0065248C">
        <w:rPr>
          <w:sz w:val="24"/>
          <w:szCs w:val="24"/>
          <w:lang w:val="en-GB"/>
        </w:rPr>
        <w:t xml:space="preserve">ts post-scandal sustainability responses have been largely reactive and perceived as incremental rather than transformational. These weaknesses weaken brand legitimacy and increase regulatory and reputational risk in a UK market where ethical sourcing now influences purchase decisions. </w:t>
      </w:r>
    </w:p>
    <w:p w14:paraId="1702F527" w14:textId="77777777" w:rsidR="00E862B8" w:rsidRPr="0065248C" w:rsidRDefault="00BF0F2E" w:rsidP="0065248C">
      <w:pPr>
        <w:spacing w:line="360" w:lineRule="auto"/>
        <w:jc w:val="both"/>
        <w:rPr>
          <w:sz w:val="24"/>
          <w:szCs w:val="24"/>
          <w:lang w:val="en-GB"/>
        </w:rPr>
      </w:pPr>
      <w:r w:rsidRPr="0065248C">
        <w:rPr>
          <w:sz w:val="24"/>
          <w:szCs w:val="24"/>
          <w:lang w:val="en-GB"/>
        </w:rPr>
        <w:t xml:space="preserve">Implications for long-term competitiveness: M&amp;S’s integrated approach combining technology to improve customer lifetime value with credible sustainability commitment supports sustainable differentiation and lower risk of obsolescence. Boohoo’s model, built on low cost and speed, delivers short-term share gains but is vulnerable to tightening social regulation, activist scrutiny, and the diminishing returns of imitation in digital marketing. </w:t>
      </w:r>
    </w:p>
    <w:p w14:paraId="6783933C" w14:textId="2D33FED1" w:rsidR="00E862B8" w:rsidRPr="0065248C" w:rsidRDefault="00BF0F2E" w:rsidP="0065248C">
      <w:pPr>
        <w:spacing w:line="360" w:lineRule="auto"/>
        <w:jc w:val="both"/>
        <w:rPr>
          <w:sz w:val="24"/>
          <w:szCs w:val="24"/>
          <w:lang w:val="en-GB"/>
        </w:rPr>
      </w:pPr>
      <w:r w:rsidRPr="0065248C">
        <w:rPr>
          <w:sz w:val="24"/>
          <w:szCs w:val="24"/>
          <w:lang w:val="en-GB"/>
        </w:rPr>
        <w:t>pioneers that couple digital capability with authentic ESG leadership (M&amp;S) are better positioned for sustained competitiveness in the UK retail landscape (2020</w:t>
      </w:r>
      <w:r w:rsidR="00A1615F">
        <w:rPr>
          <w:sz w:val="24"/>
          <w:szCs w:val="24"/>
          <w:lang w:val="en-GB"/>
        </w:rPr>
        <w:t>-</w:t>
      </w:r>
      <w:r w:rsidRPr="0065248C">
        <w:rPr>
          <w:sz w:val="24"/>
          <w:szCs w:val="24"/>
          <w:lang w:val="en-GB"/>
        </w:rPr>
        <w:t xml:space="preserve">2025). Followers relying on fast-fashion scale must move from reactive fixes to structural supply-chain transformation to remain viable. </w:t>
      </w:r>
    </w:p>
    <w:p w14:paraId="3DB45C3C" w14:textId="77777777" w:rsidR="00E862B8" w:rsidRPr="0065248C" w:rsidRDefault="00BF0F2E" w:rsidP="006B4601">
      <w:pPr>
        <w:pStyle w:val="Heading1"/>
        <w:rPr>
          <w:lang w:val="en-GB"/>
        </w:rPr>
      </w:pPr>
      <w:bookmarkStart w:id="3" w:name="_Toc212077382"/>
      <w:r w:rsidRPr="0065248C">
        <w:rPr>
          <w:lang w:val="en-GB"/>
        </w:rPr>
        <w:t>Conclusion</w:t>
      </w:r>
      <w:bookmarkEnd w:id="3"/>
      <w:r w:rsidRPr="0065248C">
        <w:rPr>
          <w:lang w:val="en-GB"/>
        </w:rPr>
        <w:t xml:space="preserve"> </w:t>
      </w:r>
    </w:p>
    <w:p w14:paraId="4B4331CD" w14:textId="3EC3725D" w:rsidR="00E862B8" w:rsidRPr="0065248C" w:rsidRDefault="00BF0F2E" w:rsidP="0065248C">
      <w:pPr>
        <w:spacing w:line="360" w:lineRule="auto"/>
        <w:jc w:val="both"/>
        <w:rPr>
          <w:sz w:val="24"/>
          <w:szCs w:val="24"/>
          <w:lang w:val="en-GB"/>
        </w:rPr>
      </w:pPr>
      <w:r w:rsidRPr="0065248C">
        <w:rPr>
          <w:sz w:val="24"/>
          <w:szCs w:val="24"/>
          <w:lang w:val="en-GB"/>
        </w:rPr>
        <w:t xml:space="preserve">Trends of digitalisation and social </w:t>
      </w:r>
      <w:r w:rsidR="006B4601" w:rsidRPr="0065248C">
        <w:rPr>
          <w:sz w:val="24"/>
          <w:szCs w:val="24"/>
          <w:lang w:val="en-GB"/>
        </w:rPr>
        <w:t>sustainability</w:t>
      </w:r>
      <w:r w:rsidRPr="0065248C">
        <w:rPr>
          <w:sz w:val="24"/>
          <w:szCs w:val="24"/>
          <w:lang w:val="en-GB"/>
        </w:rPr>
        <w:t xml:space="preserve"> redefine the competing environment in the UK retail sector by producing dissimilar results to initiator and associated organisations. As identified in Task 1, modernisation avenues of established pioneers such as M&amp;S such as those enabled by technology integration in the form of omnichannel and AI-enabled personalisation exist. However so do threats to the followers such as Boohoo due to increased competition and the pressure to comply. Social changes in favo</w:t>
      </w:r>
      <w:r w:rsidR="00A1615F">
        <w:rPr>
          <w:sz w:val="24"/>
          <w:szCs w:val="24"/>
          <w:lang w:val="en-GB"/>
        </w:rPr>
        <w:t>u</w:t>
      </w:r>
      <w:r w:rsidRPr="0065248C">
        <w:rPr>
          <w:sz w:val="24"/>
          <w:szCs w:val="24"/>
          <w:lang w:val="en-GB"/>
        </w:rPr>
        <w:t xml:space="preserve">r of ethical consumption allow heritage brands to capitalize on trust and </w:t>
      </w:r>
      <w:r w:rsidR="006B4601" w:rsidRPr="0065248C">
        <w:rPr>
          <w:sz w:val="24"/>
          <w:szCs w:val="24"/>
          <w:lang w:val="en-GB"/>
        </w:rPr>
        <w:t>credibility,</w:t>
      </w:r>
      <w:r w:rsidRPr="0065248C">
        <w:rPr>
          <w:sz w:val="24"/>
          <w:szCs w:val="24"/>
          <w:lang w:val="en-GB"/>
        </w:rPr>
        <w:t xml:space="preserve"> as cost-oriented followers have to do with reputational weakness and Greenwashing charges.</w:t>
      </w:r>
    </w:p>
    <w:p w14:paraId="6BDA74AA" w14:textId="77777777" w:rsidR="0065248C" w:rsidRPr="0065248C" w:rsidRDefault="00BF0F2E" w:rsidP="0065248C">
      <w:pPr>
        <w:spacing w:line="360" w:lineRule="auto"/>
        <w:jc w:val="both"/>
        <w:rPr>
          <w:sz w:val="24"/>
          <w:szCs w:val="24"/>
          <w:lang w:val="en-GB"/>
        </w:rPr>
      </w:pPr>
      <w:r w:rsidRPr="0065248C">
        <w:rPr>
          <w:sz w:val="24"/>
          <w:szCs w:val="24"/>
          <w:lang w:val="en-GB"/>
        </w:rPr>
        <w:t xml:space="preserve">Task 2 has shown that strategic responses can vary greatly. M&amp;S applies diversification and product development (Ansoff Matrix) that integrates digital transformation and embedded sustainability, creating resilience in the </w:t>
      </w:r>
      <w:r w:rsidR="006B4601" w:rsidRPr="0065248C">
        <w:rPr>
          <w:sz w:val="24"/>
          <w:szCs w:val="24"/>
          <w:lang w:val="en-GB"/>
        </w:rPr>
        <w:t>end</w:t>
      </w:r>
      <w:r w:rsidRPr="0065248C">
        <w:rPr>
          <w:sz w:val="24"/>
          <w:szCs w:val="24"/>
          <w:lang w:val="en-GB"/>
        </w:rPr>
        <w:t xml:space="preserve">. On the other hand, the reactive and imitation oriented strategy of Boohoo (Porter's Five Forces) provides quickness in </w:t>
      </w:r>
      <w:r w:rsidRPr="0065248C">
        <w:rPr>
          <w:sz w:val="24"/>
          <w:szCs w:val="24"/>
          <w:lang w:val="en-GB"/>
        </w:rPr>
        <w:lastRenderedPageBreak/>
        <w:t xml:space="preserve">response, but the inability of the structure to withstand differentiation and governance reveal structural weaknesses. Finally, macro-environmental forces reward innovators whose technological capability is genuinely combined with ESG leadership, and penalise followers who are incapable of moving beyond scale as a cost driver to transformational sustainability, dictating long-term competitiveness in an ever more digitised, </w:t>
      </w:r>
      <w:r w:rsidR="006B4601" w:rsidRPr="0065248C">
        <w:rPr>
          <w:sz w:val="24"/>
          <w:szCs w:val="24"/>
          <w:lang w:val="en-GB"/>
        </w:rPr>
        <w:t>ethically conscious</w:t>
      </w:r>
      <w:r w:rsidRPr="0065248C">
        <w:rPr>
          <w:sz w:val="24"/>
          <w:szCs w:val="24"/>
          <w:lang w:val="en-GB"/>
        </w:rPr>
        <w:t xml:space="preserve"> UK retail environment.</w:t>
      </w:r>
    </w:p>
    <w:p w14:paraId="36BA8CE1" w14:textId="77777777" w:rsidR="0065248C" w:rsidRPr="0065248C" w:rsidRDefault="0065248C" w:rsidP="0065248C">
      <w:pPr>
        <w:spacing w:line="360" w:lineRule="auto"/>
        <w:jc w:val="both"/>
        <w:rPr>
          <w:sz w:val="24"/>
          <w:szCs w:val="24"/>
          <w:lang w:val="en-GB"/>
        </w:rPr>
      </w:pPr>
      <w:r w:rsidRPr="0065248C">
        <w:rPr>
          <w:sz w:val="24"/>
          <w:szCs w:val="24"/>
          <w:lang w:val="en-GB"/>
        </w:rPr>
        <w:br w:type="page"/>
      </w:r>
    </w:p>
    <w:p w14:paraId="2DBB559A" w14:textId="77777777" w:rsidR="0065248C" w:rsidRPr="00CB0BD1" w:rsidRDefault="0065248C" w:rsidP="006B4601">
      <w:pPr>
        <w:pStyle w:val="Heading1"/>
        <w:rPr>
          <w:lang w:val="en-GB"/>
        </w:rPr>
      </w:pPr>
      <w:bookmarkStart w:id="4" w:name="_Toc212077383"/>
      <w:r w:rsidRPr="00CB0BD1">
        <w:rPr>
          <w:lang w:val="en-GB"/>
        </w:rPr>
        <w:lastRenderedPageBreak/>
        <w:t>Reference list</w:t>
      </w:r>
      <w:bookmarkEnd w:id="4"/>
    </w:p>
    <w:p w14:paraId="06CFC1D3" w14:textId="77777777" w:rsidR="00B41878" w:rsidRPr="00CB0BD1" w:rsidRDefault="00B41878" w:rsidP="0065248C">
      <w:pPr>
        <w:spacing w:after="240" w:line="360" w:lineRule="auto"/>
        <w:jc w:val="both"/>
        <w:rPr>
          <w:rFonts w:eastAsia="Times New Roman"/>
          <w:sz w:val="24"/>
          <w:szCs w:val="24"/>
          <w:lang w:val="en-GB"/>
        </w:rPr>
      </w:pPr>
      <w:r w:rsidRPr="00CB0BD1">
        <w:rPr>
          <w:rFonts w:eastAsia="Times New Roman"/>
          <w:sz w:val="24"/>
          <w:szCs w:val="24"/>
          <w:lang w:val="en-GB"/>
        </w:rPr>
        <w:t xml:space="preserve">Ansoff H. Igor (1957). </w:t>
      </w:r>
      <w:r w:rsidRPr="00CB0BD1">
        <w:rPr>
          <w:rFonts w:eastAsia="Times New Roman"/>
          <w:i/>
          <w:iCs/>
          <w:sz w:val="24"/>
          <w:szCs w:val="24"/>
          <w:lang w:val="en-GB"/>
        </w:rPr>
        <w:t>Strategies for Diversification</w:t>
      </w:r>
      <w:r w:rsidRPr="00CB0BD1">
        <w:rPr>
          <w:rFonts w:eastAsia="Times New Roman"/>
          <w:sz w:val="24"/>
          <w:szCs w:val="24"/>
          <w:lang w:val="en-GB"/>
        </w:rPr>
        <w:t>. Harvard business review.</w:t>
      </w:r>
    </w:p>
    <w:p w14:paraId="6B4B7D10" w14:textId="77777777" w:rsidR="00B41878" w:rsidRPr="00CB0BD1" w:rsidRDefault="00B41878" w:rsidP="0065248C">
      <w:pPr>
        <w:spacing w:after="240" w:line="360" w:lineRule="auto"/>
        <w:jc w:val="both"/>
        <w:rPr>
          <w:rFonts w:eastAsia="Times New Roman"/>
          <w:sz w:val="24"/>
          <w:szCs w:val="24"/>
          <w:lang w:val="en-GB"/>
        </w:rPr>
      </w:pPr>
      <w:r w:rsidRPr="00CB0BD1">
        <w:rPr>
          <w:rFonts w:eastAsia="Times New Roman"/>
          <w:sz w:val="24"/>
          <w:szCs w:val="24"/>
          <w:lang w:val="en-GB"/>
        </w:rPr>
        <w:t xml:space="preserve">brc.org.uk (2023). </w:t>
      </w:r>
      <w:r w:rsidRPr="00CB0BD1">
        <w:rPr>
          <w:rFonts w:eastAsia="Times New Roman"/>
          <w:i/>
          <w:iCs/>
          <w:sz w:val="24"/>
          <w:szCs w:val="24"/>
          <w:lang w:val="en-GB"/>
        </w:rPr>
        <w:t>BRC forecast low sales growth for 2023</w:t>
      </w:r>
      <w:r w:rsidRPr="00CB0BD1">
        <w:rPr>
          <w:rFonts w:eastAsia="Times New Roman"/>
          <w:sz w:val="24"/>
          <w:szCs w:val="24"/>
          <w:lang w:val="en-GB"/>
        </w:rPr>
        <w:t xml:space="preserve">. [online] Brc.org.uk. Available at: </w:t>
      </w:r>
      <w:hyperlink r:id="rId10" w:history="1">
        <w:r w:rsidRPr="0065248C">
          <w:rPr>
            <w:rStyle w:val="Hyperlink"/>
            <w:rFonts w:eastAsia="Times New Roman"/>
            <w:sz w:val="24"/>
            <w:szCs w:val="24"/>
            <w:lang w:val="en-GB"/>
          </w:rPr>
          <w:t>https://brc.org.uk/news-and-events/news/corporate-affairs/2024/brc-forecast-low-sales-growth-for-2023/</w:t>
        </w:r>
      </w:hyperlink>
      <w:r w:rsidRPr="00CB0BD1">
        <w:rPr>
          <w:rFonts w:eastAsia="Times New Roman"/>
          <w:sz w:val="24"/>
          <w:szCs w:val="24"/>
          <w:lang w:val="en-GB"/>
        </w:rPr>
        <w:t>.</w:t>
      </w:r>
      <w:r w:rsidRPr="0065248C">
        <w:rPr>
          <w:rFonts w:eastAsia="Times New Roman"/>
          <w:b/>
          <w:sz w:val="24"/>
          <w:szCs w:val="24"/>
          <w:lang w:val="en-GB"/>
        </w:rPr>
        <w:t xml:space="preserve"> </w:t>
      </w:r>
      <w:r w:rsidRPr="00CB0BD1">
        <w:rPr>
          <w:rFonts w:eastAsia="Times New Roman"/>
          <w:sz w:val="24"/>
          <w:szCs w:val="24"/>
          <w:lang w:val="en-GB"/>
        </w:rPr>
        <w:t>[Accessed 22 Oct. 2025].</w:t>
      </w:r>
    </w:p>
    <w:p w14:paraId="4A09BE9B" w14:textId="77777777" w:rsidR="00B41878" w:rsidRPr="00CB0BD1" w:rsidRDefault="00B41878" w:rsidP="0065248C">
      <w:pPr>
        <w:spacing w:after="240" w:line="360" w:lineRule="auto"/>
        <w:jc w:val="both"/>
        <w:rPr>
          <w:rFonts w:eastAsia="Times New Roman"/>
          <w:sz w:val="24"/>
          <w:szCs w:val="24"/>
          <w:lang w:val="en-GB"/>
        </w:rPr>
      </w:pPr>
      <w:proofErr w:type="spellStart"/>
      <w:proofErr w:type="gramStart"/>
      <w:r w:rsidRPr="00CB0BD1">
        <w:rPr>
          <w:rFonts w:eastAsia="Times New Roman"/>
          <w:sz w:val="24"/>
          <w:szCs w:val="24"/>
          <w:lang w:val="en-GB"/>
        </w:rPr>
        <w:t>corporate.marksandspencer</w:t>
      </w:r>
      <w:proofErr w:type="spellEnd"/>
      <w:proofErr w:type="gramEnd"/>
      <w:r w:rsidRPr="00CB0BD1">
        <w:rPr>
          <w:rFonts w:eastAsia="Times New Roman"/>
          <w:sz w:val="24"/>
          <w:szCs w:val="24"/>
          <w:lang w:val="en-GB"/>
        </w:rPr>
        <w:t xml:space="preserve"> (2023a). </w:t>
      </w:r>
      <w:r w:rsidRPr="00CB0BD1">
        <w:rPr>
          <w:rFonts w:eastAsia="Times New Roman"/>
          <w:i/>
          <w:iCs/>
          <w:sz w:val="24"/>
          <w:szCs w:val="24"/>
          <w:lang w:val="en-GB"/>
        </w:rPr>
        <w:t>Marks and Spencer Group plc Annual Report &amp; Financial Statements 2023</w:t>
      </w:r>
      <w:r w:rsidRPr="00CB0BD1">
        <w:rPr>
          <w:rFonts w:eastAsia="Times New Roman"/>
          <w:sz w:val="24"/>
          <w:szCs w:val="24"/>
          <w:lang w:val="en-GB"/>
        </w:rPr>
        <w:t xml:space="preserve">. [online] Available at: </w:t>
      </w:r>
      <w:hyperlink r:id="rId11" w:history="1">
        <w:r w:rsidRPr="0065248C">
          <w:rPr>
            <w:rStyle w:val="Hyperlink"/>
            <w:rFonts w:eastAsia="Times New Roman"/>
            <w:sz w:val="24"/>
            <w:szCs w:val="24"/>
            <w:lang w:val="en-GB"/>
          </w:rPr>
          <w:t>https://corporate.marksandspencer.com/sites/marksandspencer/files/2023-06/M-and-S-2023-Annual-Report.pdf</w:t>
        </w:r>
      </w:hyperlink>
      <w:r w:rsidRPr="00CB0BD1">
        <w:rPr>
          <w:rFonts w:eastAsia="Times New Roman"/>
          <w:sz w:val="24"/>
          <w:szCs w:val="24"/>
          <w:lang w:val="en-GB"/>
        </w:rPr>
        <w:t>.</w:t>
      </w:r>
      <w:r w:rsidRPr="0065248C">
        <w:rPr>
          <w:rFonts w:eastAsia="Times New Roman"/>
          <w:b/>
          <w:sz w:val="24"/>
          <w:szCs w:val="24"/>
          <w:lang w:val="en-GB"/>
        </w:rPr>
        <w:t xml:space="preserve"> </w:t>
      </w:r>
      <w:r w:rsidRPr="00CB0BD1">
        <w:rPr>
          <w:rFonts w:eastAsia="Times New Roman"/>
          <w:sz w:val="24"/>
          <w:szCs w:val="24"/>
          <w:lang w:val="en-GB"/>
        </w:rPr>
        <w:t>[Accessed 22 Oct. 2025].</w:t>
      </w:r>
    </w:p>
    <w:p w14:paraId="72E21A72" w14:textId="77777777" w:rsidR="00B41878" w:rsidRPr="00CB0BD1" w:rsidRDefault="00B41878" w:rsidP="0065248C">
      <w:pPr>
        <w:spacing w:after="240" w:line="360" w:lineRule="auto"/>
        <w:jc w:val="both"/>
        <w:rPr>
          <w:rFonts w:eastAsia="Times New Roman"/>
          <w:sz w:val="24"/>
          <w:szCs w:val="24"/>
          <w:lang w:val="en-GB"/>
        </w:rPr>
      </w:pPr>
      <w:proofErr w:type="spellStart"/>
      <w:proofErr w:type="gramStart"/>
      <w:r w:rsidRPr="00CB0BD1">
        <w:rPr>
          <w:rFonts w:eastAsia="Times New Roman"/>
          <w:sz w:val="24"/>
          <w:szCs w:val="24"/>
          <w:lang w:val="en-GB"/>
        </w:rPr>
        <w:t>corporate.marksandspencer</w:t>
      </w:r>
      <w:proofErr w:type="spellEnd"/>
      <w:proofErr w:type="gramEnd"/>
      <w:r w:rsidRPr="00CB0BD1">
        <w:rPr>
          <w:rFonts w:eastAsia="Times New Roman"/>
          <w:sz w:val="24"/>
          <w:szCs w:val="24"/>
          <w:lang w:val="en-GB"/>
        </w:rPr>
        <w:t xml:space="preserve"> (2023b). </w:t>
      </w:r>
      <w:r w:rsidRPr="00CB0BD1">
        <w:rPr>
          <w:rFonts w:eastAsia="Times New Roman"/>
          <w:i/>
          <w:iCs/>
          <w:sz w:val="24"/>
          <w:szCs w:val="24"/>
          <w:lang w:val="en-GB"/>
        </w:rPr>
        <w:t>Marks and Spencer Group plc Sustainability Report 2023</w:t>
      </w:r>
      <w:r w:rsidRPr="00CB0BD1">
        <w:rPr>
          <w:rFonts w:eastAsia="Times New Roman"/>
          <w:sz w:val="24"/>
          <w:szCs w:val="24"/>
          <w:lang w:val="en-GB"/>
        </w:rPr>
        <w:t xml:space="preserve">. [online] Available at: </w:t>
      </w:r>
      <w:hyperlink r:id="rId12" w:history="1">
        <w:r w:rsidRPr="0065248C">
          <w:rPr>
            <w:rStyle w:val="Hyperlink"/>
            <w:rFonts w:eastAsia="Times New Roman"/>
            <w:sz w:val="24"/>
            <w:szCs w:val="24"/>
            <w:lang w:val="en-GB"/>
          </w:rPr>
          <w:t>https://corporate.marksandspencer.com/sites/marksandspencer/files/sustainability-report-2023.pdf</w:t>
        </w:r>
      </w:hyperlink>
      <w:r w:rsidRPr="00CB0BD1">
        <w:rPr>
          <w:rFonts w:eastAsia="Times New Roman"/>
          <w:sz w:val="24"/>
          <w:szCs w:val="24"/>
          <w:lang w:val="en-GB"/>
        </w:rPr>
        <w:t>.</w:t>
      </w:r>
      <w:r w:rsidRPr="0065248C">
        <w:rPr>
          <w:rFonts w:eastAsia="Times New Roman"/>
          <w:b/>
          <w:sz w:val="24"/>
          <w:szCs w:val="24"/>
          <w:lang w:val="en-GB"/>
        </w:rPr>
        <w:t xml:space="preserve"> </w:t>
      </w:r>
      <w:r w:rsidRPr="00CB0BD1">
        <w:rPr>
          <w:rFonts w:eastAsia="Times New Roman"/>
          <w:sz w:val="24"/>
          <w:szCs w:val="24"/>
          <w:lang w:val="en-GB"/>
        </w:rPr>
        <w:t>[Accessed 22 Oct. 2025].</w:t>
      </w:r>
    </w:p>
    <w:p w14:paraId="671D74F5" w14:textId="77777777" w:rsidR="00B41878" w:rsidRPr="00CB0BD1" w:rsidRDefault="00B41878" w:rsidP="0065248C">
      <w:pPr>
        <w:spacing w:after="240" w:line="360" w:lineRule="auto"/>
        <w:jc w:val="both"/>
        <w:rPr>
          <w:rFonts w:eastAsia="Times New Roman"/>
          <w:sz w:val="24"/>
          <w:szCs w:val="24"/>
          <w:lang w:val="en-GB"/>
        </w:rPr>
      </w:pPr>
      <w:r w:rsidRPr="00CB0BD1">
        <w:rPr>
          <w:rFonts w:eastAsia="Times New Roman"/>
          <w:sz w:val="24"/>
          <w:szCs w:val="24"/>
          <w:lang w:val="en-GB"/>
        </w:rPr>
        <w:t xml:space="preserve">Deloitte (2023). </w:t>
      </w:r>
      <w:r w:rsidRPr="00CB0BD1">
        <w:rPr>
          <w:rFonts w:eastAsia="Times New Roman"/>
          <w:i/>
          <w:iCs/>
          <w:sz w:val="24"/>
          <w:szCs w:val="24"/>
          <w:lang w:val="en-GB"/>
        </w:rPr>
        <w:t>Consumer Sustainability Report</w:t>
      </w:r>
      <w:r w:rsidRPr="00CB0BD1">
        <w:rPr>
          <w:rFonts w:eastAsia="Times New Roman"/>
          <w:sz w:val="24"/>
          <w:szCs w:val="24"/>
          <w:lang w:val="en-GB"/>
        </w:rPr>
        <w:t xml:space="preserve">. [online] www.deloitte.com. Available at: </w:t>
      </w:r>
      <w:hyperlink r:id="rId13" w:history="1">
        <w:r w:rsidRPr="0065248C">
          <w:rPr>
            <w:rStyle w:val="Hyperlink"/>
            <w:rFonts w:eastAsia="Times New Roman"/>
            <w:sz w:val="24"/>
            <w:szCs w:val="24"/>
            <w:lang w:val="en-GB"/>
          </w:rPr>
          <w:t>https://www.deloitte.com/global/en/Industries/consumer/research/consumer-sustainability-report.html</w:t>
        </w:r>
      </w:hyperlink>
      <w:r w:rsidRPr="00CB0BD1">
        <w:rPr>
          <w:rFonts w:eastAsia="Times New Roman"/>
          <w:sz w:val="24"/>
          <w:szCs w:val="24"/>
          <w:lang w:val="en-GB"/>
        </w:rPr>
        <w:t>.</w:t>
      </w:r>
      <w:r w:rsidRPr="0065248C">
        <w:rPr>
          <w:rFonts w:eastAsia="Times New Roman"/>
          <w:b/>
          <w:sz w:val="24"/>
          <w:szCs w:val="24"/>
          <w:lang w:val="en-GB"/>
        </w:rPr>
        <w:t xml:space="preserve"> </w:t>
      </w:r>
      <w:r w:rsidRPr="00CB0BD1">
        <w:rPr>
          <w:rFonts w:eastAsia="Times New Roman"/>
          <w:sz w:val="24"/>
          <w:szCs w:val="24"/>
          <w:lang w:val="en-GB"/>
        </w:rPr>
        <w:t>[Accessed 22 Oct. 2025].</w:t>
      </w:r>
    </w:p>
    <w:p w14:paraId="701CCA6B" w14:textId="77777777" w:rsidR="00B41878" w:rsidRPr="00CB0BD1" w:rsidRDefault="00B41878" w:rsidP="0065248C">
      <w:pPr>
        <w:spacing w:after="240" w:line="360" w:lineRule="auto"/>
        <w:jc w:val="both"/>
        <w:rPr>
          <w:rFonts w:eastAsia="Times New Roman"/>
          <w:sz w:val="24"/>
          <w:szCs w:val="24"/>
          <w:lang w:val="en-GB"/>
        </w:rPr>
      </w:pPr>
      <w:r w:rsidRPr="00CB0BD1">
        <w:rPr>
          <w:rFonts w:eastAsia="Times New Roman"/>
          <w:sz w:val="24"/>
          <w:szCs w:val="24"/>
          <w:lang w:val="en-GB"/>
        </w:rPr>
        <w:t xml:space="preserve">financial-news.co (2024). </w:t>
      </w:r>
      <w:r w:rsidRPr="00CB0BD1">
        <w:rPr>
          <w:rFonts w:eastAsia="Times New Roman"/>
          <w:i/>
          <w:iCs/>
          <w:sz w:val="24"/>
          <w:szCs w:val="24"/>
          <w:lang w:val="en-GB"/>
        </w:rPr>
        <w:t>Leveraging AI Boohoo’s Strategy for Capturing Fashion Trends</w:t>
      </w:r>
      <w:r w:rsidRPr="00CB0BD1">
        <w:rPr>
          <w:rFonts w:eastAsia="Times New Roman"/>
          <w:sz w:val="24"/>
          <w:szCs w:val="24"/>
          <w:lang w:val="en-GB"/>
        </w:rPr>
        <w:t xml:space="preserve">. [online] Financial News. Available at: </w:t>
      </w:r>
      <w:hyperlink r:id="rId14" w:history="1">
        <w:r w:rsidRPr="0065248C">
          <w:rPr>
            <w:rStyle w:val="Hyperlink"/>
            <w:rFonts w:eastAsia="Times New Roman"/>
            <w:sz w:val="24"/>
            <w:szCs w:val="24"/>
            <w:lang w:val="en-GB"/>
          </w:rPr>
          <w:t>https://www.financial-news.co.uk/leveraging-ai-boohoos-strategy-for-capturing-fashion-trends/</w:t>
        </w:r>
      </w:hyperlink>
      <w:r w:rsidRPr="00CB0BD1">
        <w:rPr>
          <w:rFonts w:eastAsia="Times New Roman"/>
          <w:sz w:val="24"/>
          <w:szCs w:val="24"/>
          <w:lang w:val="en-GB"/>
        </w:rPr>
        <w:t>.</w:t>
      </w:r>
      <w:r w:rsidRPr="0065248C">
        <w:rPr>
          <w:rFonts w:eastAsia="Times New Roman"/>
          <w:b/>
          <w:sz w:val="24"/>
          <w:szCs w:val="24"/>
          <w:lang w:val="en-GB"/>
        </w:rPr>
        <w:t xml:space="preserve"> </w:t>
      </w:r>
      <w:r w:rsidRPr="00CB0BD1">
        <w:rPr>
          <w:rFonts w:eastAsia="Times New Roman"/>
          <w:sz w:val="24"/>
          <w:szCs w:val="24"/>
          <w:lang w:val="en-GB"/>
        </w:rPr>
        <w:t>[Accessed 22 Oct. 2025].</w:t>
      </w:r>
    </w:p>
    <w:p w14:paraId="1B8E6EE6" w14:textId="77777777" w:rsidR="00B41878" w:rsidRPr="00CB0BD1" w:rsidRDefault="00B41878" w:rsidP="0065248C">
      <w:pPr>
        <w:spacing w:after="240" w:line="360" w:lineRule="auto"/>
        <w:jc w:val="both"/>
        <w:rPr>
          <w:rFonts w:eastAsia="Times New Roman"/>
          <w:sz w:val="24"/>
          <w:szCs w:val="24"/>
          <w:lang w:val="en-GB"/>
        </w:rPr>
      </w:pPr>
      <w:r w:rsidRPr="00CB0BD1">
        <w:rPr>
          <w:rFonts w:eastAsia="Times New Roman"/>
          <w:sz w:val="24"/>
          <w:szCs w:val="24"/>
          <w:lang w:val="en-GB"/>
        </w:rPr>
        <w:t xml:space="preserve">Kotler, P. and Keller, K.L. (2021). </w:t>
      </w:r>
      <w:r w:rsidRPr="00CB0BD1">
        <w:rPr>
          <w:rFonts w:eastAsia="Times New Roman"/>
          <w:i/>
          <w:iCs/>
          <w:sz w:val="24"/>
          <w:szCs w:val="24"/>
          <w:lang w:val="en-GB"/>
        </w:rPr>
        <w:t xml:space="preserve">Marketing Management, </w:t>
      </w:r>
      <w:proofErr w:type="spellStart"/>
      <w:r w:rsidRPr="00CB0BD1">
        <w:rPr>
          <w:rFonts w:eastAsia="Times New Roman"/>
          <w:i/>
          <w:iCs/>
          <w:sz w:val="24"/>
          <w:szCs w:val="24"/>
          <w:lang w:val="en-GB"/>
        </w:rPr>
        <w:t>Ebook</w:t>
      </w:r>
      <w:proofErr w:type="spellEnd"/>
      <w:r w:rsidRPr="00CB0BD1">
        <w:rPr>
          <w:rFonts w:eastAsia="Times New Roman"/>
          <w:i/>
          <w:iCs/>
          <w:sz w:val="24"/>
          <w:szCs w:val="24"/>
          <w:lang w:val="en-GB"/>
        </w:rPr>
        <w:t>, Global Edition</w:t>
      </w:r>
      <w:r w:rsidRPr="00CB0BD1">
        <w:rPr>
          <w:rFonts w:eastAsia="Times New Roman"/>
          <w:sz w:val="24"/>
          <w:szCs w:val="24"/>
          <w:lang w:val="en-GB"/>
        </w:rPr>
        <w:t xml:space="preserve">. 16th ed. S.L.: Pearson Education, </w:t>
      </w:r>
      <w:proofErr w:type="spellStart"/>
      <w:r w:rsidRPr="00CB0BD1">
        <w:rPr>
          <w:rFonts w:eastAsia="Times New Roman"/>
          <w:sz w:val="24"/>
          <w:szCs w:val="24"/>
          <w:lang w:val="en-GB"/>
        </w:rPr>
        <w:t>Limite</w:t>
      </w:r>
      <w:proofErr w:type="spellEnd"/>
      <w:r w:rsidRPr="00CB0BD1">
        <w:rPr>
          <w:rFonts w:eastAsia="Times New Roman"/>
          <w:sz w:val="24"/>
          <w:szCs w:val="24"/>
          <w:lang w:val="en-GB"/>
        </w:rPr>
        <w:t>.</w:t>
      </w:r>
    </w:p>
    <w:p w14:paraId="42412321" w14:textId="77777777" w:rsidR="00B41878" w:rsidRPr="00CB0BD1" w:rsidRDefault="00B41878" w:rsidP="0065248C">
      <w:pPr>
        <w:spacing w:after="240" w:line="360" w:lineRule="auto"/>
        <w:jc w:val="both"/>
        <w:rPr>
          <w:rFonts w:eastAsia="Times New Roman"/>
          <w:sz w:val="24"/>
          <w:szCs w:val="24"/>
          <w:lang w:val="en-GB"/>
        </w:rPr>
      </w:pPr>
      <w:r w:rsidRPr="00CB0BD1">
        <w:rPr>
          <w:rFonts w:eastAsia="Times New Roman"/>
          <w:sz w:val="24"/>
          <w:szCs w:val="24"/>
          <w:lang w:val="en-GB"/>
        </w:rPr>
        <w:t xml:space="preserve">Morton, B. (2022). Asos, Boohoo and Asda investigated over green claims. </w:t>
      </w:r>
      <w:r w:rsidRPr="00CB0BD1">
        <w:rPr>
          <w:rFonts w:eastAsia="Times New Roman"/>
          <w:i/>
          <w:iCs/>
          <w:sz w:val="24"/>
          <w:szCs w:val="24"/>
          <w:lang w:val="en-GB"/>
        </w:rPr>
        <w:t>BBC News</w:t>
      </w:r>
      <w:r w:rsidRPr="00CB0BD1">
        <w:rPr>
          <w:rFonts w:eastAsia="Times New Roman"/>
          <w:sz w:val="24"/>
          <w:szCs w:val="24"/>
          <w:lang w:val="en-GB"/>
        </w:rPr>
        <w:t xml:space="preserve">. [online] 29 Jul. Available at: </w:t>
      </w:r>
      <w:hyperlink r:id="rId15" w:history="1">
        <w:r w:rsidRPr="0065248C">
          <w:rPr>
            <w:rStyle w:val="Hyperlink"/>
            <w:rFonts w:eastAsia="Times New Roman"/>
            <w:sz w:val="24"/>
            <w:szCs w:val="24"/>
            <w:lang w:val="en-GB"/>
          </w:rPr>
          <w:t>https://www.bbc.com/news/business-62344564</w:t>
        </w:r>
      </w:hyperlink>
      <w:r w:rsidRPr="00CB0BD1">
        <w:rPr>
          <w:rFonts w:eastAsia="Times New Roman"/>
          <w:sz w:val="24"/>
          <w:szCs w:val="24"/>
          <w:lang w:val="en-GB"/>
        </w:rPr>
        <w:t>.</w:t>
      </w:r>
      <w:r w:rsidRPr="0065248C">
        <w:rPr>
          <w:rFonts w:eastAsia="Times New Roman"/>
          <w:b/>
          <w:sz w:val="24"/>
          <w:szCs w:val="24"/>
          <w:lang w:val="en-GB"/>
        </w:rPr>
        <w:t xml:space="preserve">  </w:t>
      </w:r>
      <w:r w:rsidRPr="00CB0BD1">
        <w:rPr>
          <w:rFonts w:eastAsia="Times New Roman"/>
          <w:sz w:val="24"/>
          <w:szCs w:val="24"/>
          <w:lang w:val="en-GB"/>
        </w:rPr>
        <w:t>[Accessed 22 Oct. 2025].</w:t>
      </w:r>
    </w:p>
    <w:p w14:paraId="57ED7DF5" w14:textId="77777777" w:rsidR="00B41878" w:rsidRPr="00CB0BD1" w:rsidRDefault="00B41878" w:rsidP="0065248C">
      <w:pPr>
        <w:spacing w:after="240" w:line="360" w:lineRule="auto"/>
        <w:jc w:val="both"/>
        <w:rPr>
          <w:rFonts w:eastAsia="Times New Roman"/>
          <w:sz w:val="24"/>
          <w:szCs w:val="24"/>
          <w:lang w:val="en-GB"/>
        </w:rPr>
      </w:pPr>
      <w:r w:rsidRPr="00CB0BD1">
        <w:rPr>
          <w:rFonts w:eastAsia="Times New Roman"/>
          <w:sz w:val="24"/>
          <w:szCs w:val="24"/>
          <w:lang w:val="en-GB"/>
        </w:rPr>
        <w:lastRenderedPageBreak/>
        <w:t xml:space="preserve">Nassar, M., Goddard, T. and Freeman, R. (2023). Walk the talk: the Boohoo case study. </w:t>
      </w:r>
      <w:r w:rsidRPr="00CB0BD1">
        <w:rPr>
          <w:rFonts w:eastAsia="Times New Roman"/>
          <w:i/>
          <w:iCs/>
          <w:sz w:val="24"/>
          <w:szCs w:val="24"/>
          <w:lang w:val="en-GB"/>
        </w:rPr>
        <w:t xml:space="preserve">Journal of </w:t>
      </w:r>
      <w:proofErr w:type="spellStart"/>
      <w:r w:rsidRPr="00CB0BD1">
        <w:rPr>
          <w:rFonts w:eastAsia="Times New Roman"/>
          <w:i/>
          <w:iCs/>
          <w:sz w:val="24"/>
          <w:szCs w:val="24"/>
          <w:lang w:val="en-GB"/>
        </w:rPr>
        <w:t>Macromarketing</w:t>
      </w:r>
      <w:proofErr w:type="spellEnd"/>
      <w:r w:rsidRPr="00CB0BD1">
        <w:rPr>
          <w:rFonts w:eastAsia="Times New Roman"/>
          <w:sz w:val="24"/>
          <w:szCs w:val="24"/>
          <w:lang w:val="en-GB"/>
        </w:rPr>
        <w:t>, 43(2), pp.274–282.</w:t>
      </w:r>
    </w:p>
    <w:p w14:paraId="4D05F918" w14:textId="77777777" w:rsidR="00B41878" w:rsidRPr="00CB0BD1" w:rsidRDefault="00B41878" w:rsidP="0065248C">
      <w:pPr>
        <w:spacing w:after="240" w:line="360" w:lineRule="auto"/>
        <w:jc w:val="both"/>
        <w:rPr>
          <w:rFonts w:eastAsia="Times New Roman"/>
          <w:sz w:val="24"/>
          <w:szCs w:val="24"/>
          <w:lang w:val="en-GB"/>
        </w:rPr>
      </w:pPr>
      <w:r w:rsidRPr="00CB0BD1">
        <w:rPr>
          <w:rFonts w:eastAsia="Times New Roman"/>
          <w:sz w:val="24"/>
          <w:szCs w:val="24"/>
          <w:lang w:val="en-GB"/>
        </w:rPr>
        <w:t xml:space="preserve">ons.gov.uk (2025). </w:t>
      </w:r>
      <w:r w:rsidRPr="00CB0BD1">
        <w:rPr>
          <w:rFonts w:eastAsia="Times New Roman"/>
          <w:i/>
          <w:iCs/>
          <w:sz w:val="24"/>
          <w:szCs w:val="24"/>
          <w:lang w:val="en-GB"/>
        </w:rPr>
        <w:t>Retail sales, Great Britain</w:t>
      </w:r>
      <w:r w:rsidRPr="00CB0BD1">
        <w:rPr>
          <w:rFonts w:eastAsia="Times New Roman"/>
          <w:sz w:val="24"/>
          <w:szCs w:val="24"/>
          <w:lang w:val="en-GB"/>
        </w:rPr>
        <w:t xml:space="preserve">. [online] Ons.gov.uk. Available at: </w:t>
      </w:r>
      <w:hyperlink r:id="rId16" w:history="1">
        <w:r w:rsidRPr="0065248C">
          <w:rPr>
            <w:rStyle w:val="Hyperlink"/>
            <w:rFonts w:eastAsia="Times New Roman"/>
            <w:sz w:val="24"/>
            <w:szCs w:val="24"/>
            <w:lang w:val="en-GB"/>
          </w:rPr>
          <w:t>https://www.ons.gov.uk/businessindustryandtrade/retailindustry/bulletins/retailsales/august2025</w:t>
        </w:r>
      </w:hyperlink>
      <w:r w:rsidRPr="00CB0BD1">
        <w:rPr>
          <w:rFonts w:eastAsia="Times New Roman"/>
          <w:sz w:val="24"/>
          <w:szCs w:val="24"/>
          <w:lang w:val="en-GB"/>
        </w:rPr>
        <w:t>.</w:t>
      </w:r>
      <w:r w:rsidRPr="0065248C">
        <w:rPr>
          <w:rFonts w:eastAsia="Times New Roman"/>
          <w:b/>
          <w:sz w:val="24"/>
          <w:szCs w:val="24"/>
          <w:lang w:val="en-GB"/>
        </w:rPr>
        <w:t xml:space="preserve">  </w:t>
      </w:r>
      <w:r w:rsidRPr="00CB0BD1">
        <w:rPr>
          <w:rFonts w:eastAsia="Times New Roman"/>
          <w:sz w:val="24"/>
          <w:szCs w:val="24"/>
          <w:lang w:val="en-GB"/>
        </w:rPr>
        <w:t>[Accessed 22 Oct. 2025].</w:t>
      </w:r>
    </w:p>
    <w:p w14:paraId="7931E66E" w14:textId="77777777" w:rsidR="00B41878" w:rsidRPr="0065248C" w:rsidRDefault="00B41878" w:rsidP="0065248C">
      <w:pPr>
        <w:spacing w:line="360" w:lineRule="auto"/>
        <w:jc w:val="both"/>
        <w:rPr>
          <w:sz w:val="24"/>
          <w:szCs w:val="24"/>
          <w:lang w:val="en-GB"/>
        </w:rPr>
      </w:pPr>
      <w:r w:rsidRPr="0065248C">
        <w:rPr>
          <w:sz w:val="24"/>
          <w:szCs w:val="24"/>
          <w:lang w:val="en-GB"/>
        </w:rPr>
        <w:t xml:space="preserve">Porter, M.E. and Strategy, C., (1980). Techniques for </w:t>
      </w:r>
      <w:proofErr w:type="spellStart"/>
      <w:r w:rsidRPr="0065248C">
        <w:rPr>
          <w:sz w:val="24"/>
          <w:szCs w:val="24"/>
          <w:lang w:val="en-GB"/>
        </w:rPr>
        <w:t>analyzing</w:t>
      </w:r>
      <w:proofErr w:type="spellEnd"/>
      <w:r w:rsidRPr="0065248C">
        <w:rPr>
          <w:sz w:val="24"/>
          <w:szCs w:val="24"/>
          <w:lang w:val="en-GB"/>
        </w:rPr>
        <w:t xml:space="preserve"> industries and competitors. </w:t>
      </w:r>
      <w:r w:rsidRPr="0065248C">
        <w:rPr>
          <w:i/>
          <w:iCs/>
          <w:sz w:val="24"/>
          <w:szCs w:val="24"/>
          <w:lang w:val="en-GB"/>
        </w:rPr>
        <w:t>Competitive Strategy. New York: Free</w:t>
      </w:r>
      <w:r w:rsidRPr="0065248C">
        <w:rPr>
          <w:sz w:val="24"/>
          <w:szCs w:val="24"/>
          <w:lang w:val="en-GB"/>
        </w:rPr>
        <w:t xml:space="preserve">, </w:t>
      </w:r>
      <w:r w:rsidRPr="0065248C">
        <w:rPr>
          <w:i/>
          <w:iCs/>
          <w:sz w:val="24"/>
          <w:szCs w:val="24"/>
          <w:lang w:val="en-GB"/>
        </w:rPr>
        <w:t>1</w:t>
      </w:r>
      <w:r w:rsidRPr="0065248C">
        <w:rPr>
          <w:sz w:val="24"/>
          <w:szCs w:val="24"/>
          <w:lang w:val="en-GB"/>
        </w:rPr>
        <w:t>.</w:t>
      </w:r>
    </w:p>
    <w:p w14:paraId="0A620C91" w14:textId="77777777" w:rsidR="00B41878" w:rsidRPr="00CB0BD1" w:rsidRDefault="00B41878" w:rsidP="0065248C">
      <w:pPr>
        <w:spacing w:after="240" w:line="360" w:lineRule="auto"/>
        <w:jc w:val="both"/>
        <w:rPr>
          <w:rFonts w:eastAsia="Times New Roman"/>
          <w:sz w:val="24"/>
          <w:szCs w:val="24"/>
          <w:lang w:val="en-GB"/>
        </w:rPr>
      </w:pPr>
      <w:proofErr w:type="spellStart"/>
      <w:r w:rsidRPr="00CB0BD1">
        <w:rPr>
          <w:rFonts w:eastAsia="Times New Roman"/>
          <w:sz w:val="24"/>
          <w:szCs w:val="24"/>
          <w:lang w:val="en-GB"/>
        </w:rPr>
        <w:t>pwc</w:t>
      </w:r>
      <w:proofErr w:type="spellEnd"/>
      <w:r w:rsidRPr="00CB0BD1">
        <w:rPr>
          <w:rFonts w:eastAsia="Times New Roman"/>
          <w:sz w:val="24"/>
          <w:szCs w:val="24"/>
          <w:lang w:val="en-GB"/>
        </w:rPr>
        <w:t xml:space="preserve"> (2025). </w:t>
      </w:r>
      <w:r w:rsidRPr="00CB0BD1">
        <w:rPr>
          <w:rFonts w:eastAsia="Times New Roman"/>
          <w:i/>
          <w:iCs/>
          <w:sz w:val="24"/>
          <w:szCs w:val="24"/>
          <w:lang w:val="en-GB"/>
        </w:rPr>
        <w:t>Artificial intelligence | PwC</w:t>
      </w:r>
      <w:r w:rsidRPr="00CB0BD1">
        <w:rPr>
          <w:rFonts w:eastAsia="Times New Roman"/>
          <w:sz w:val="24"/>
          <w:szCs w:val="24"/>
          <w:lang w:val="en-GB"/>
        </w:rPr>
        <w:t xml:space="preserve">. [online] PwC. Available at: </w:t>
      </w:r>
      <w:hyperlink r:id="rId17" w:history="1">
        <w:r w:rsidRPr="0065248C">
          <w:rPr>
            <w:rStyle w:val="Hyperlink"/>
            <w:rFonts w:eastAsia="Times New Roman"/>
            <w:sz w:val="24"/>
            <w:szCs w:val="24"/>
            <w:lang w:val="en-GB"/>
          </w:rPr>
          <w:t>https://www.pwc.com/gx/en/so-you-can/ai.html?WT.mc_id=GMO-BRN-BMR-FY25-BRN-SYCEXT-T91-CI-XLOS-WBP-GMOCSA000143-EN-PSEGL-T2&amp;gad_source=1&amp;gad_campaignid=23095378943&amp;gclid=CjwKCAjwgeLHBhBuEiwAL5gNEQ5KpJ1qUkhYfASvGMAAVSZIqFQhVEdSimSexHkDBTsmZL3a-yyDPhoCBYUQAvD_BwE</w:t>
        </w:r>
      </w:hyperlink>
      <w:r w:rsidRPr="0065248C">
        <w:rPr>
          <w:rFonts w:eastAsia="Times New Roman"/>
          <w:b/>
          <w:sz w:val="24"/>
          <w:szCs w:val="24"/>
          <w:lang w:val="en-GB"/>
        </w:rPr>
        <w:t xml:space="preserve">, </w:t>
      </w:r>
      <w:r w:rsidRPr="00CB0BD1">
        <w:rPr>
          <w:rFonts w:eastAsia="Times New Roman"/>
          <w:sz w:val="24"/>
          <w:szCs w:val="24"/>
          <w:lang w:val="en-GB"/>
        </w:rPr>
        <w:t xml:space="preserve"> [Accessed 22 Oct. 2025].</w:t>
      </w:r>
    </w:p>
    <w:p w14:paraId="6E88BADD" w14:textId="77777777" w:rsidR="00B41878" w:rsidRPr="0065248C" w:rsidRDefault="00B41878" w:rsidP="0065248C">
      <w:pPr>
        <w:spacing w:after="240" w:line="360" w:lineRule="auto"/>
        <w:jc w:val="both"/>
        <w:rPr>
          <w:rFonts w:eastAsia="Times New Roman"/>
          <w:b/>
          <w:sz w:val="24"/>
          <w:szCs w:val="24"/>
          <w:lang w:val="en-GB"/>
        </w:rPr>
      </w:pPr>
      <w:proofErr w:type="spellStart"/>
      <w:r w:rsidRPr="00CB0BD1">
        <w:rPr>
          <w:rFonts w:eastAsia="Times New Roman"/>
          <w:sz w:val="24"/>
          <w:szCs w:val="24"/>
          <w:lang w:val="en-GB"/>
        </w:rPr>
        <w:t>theguardian</w:t>
      </w:r>
      <w:proofErr w:type="spellEnd"/>
      <w:r w:rsidRPr="00CB0BD1">
        <w:rPr>
          <w:rFonts w:eastAsia="Times New Roman"/>
          <w:sz w:val="24"/>
          <w:szCs w:val="24"/>
          <w:lang w:val="en-GB"/>
        </w:rPr>
        <w:t xml:space="preserve"> (2021). [online] Google.com. Available at: </w:t>
      </w:r>
      <w:hyperlink r:id="rId18" w:history="1">
        <w:r w:rsidRPr="0065248C">
          <w:rPr>
            <w:rStyle w:val="Hyperlink"/>
            <w:rFonts w:eastAsia="Times New Roman"/>
            <w:sz w:val="24"/>
            <w:szCs w:val="24"/>
            <w:lang w:val="en-GB"/>
          </w:rPr>
          <w:t>https://www.theguardian.com/business/2020/jul/06/boohoo-leicester-factory-conditions-covid-19</w:t>
        </w:r>
      </w:hyperlink>
      <w:r w:rsidRPr="0065248C">
        <w:rPr>
          <w:rFonts w:eastAsia="Times New Roman"/>
          <w:b/>
          <w:sz w:val="24"/>
          <w:szCs w:val="24"/>
          <w:lang w:val="en-GB"/>
        </w:rPr>
        <w:t xml:space="preserve">, </w:t>
      </w:r>
      <w:r w:rsidRPr="00CB0BD1">
        <w:rPr>
          <w:rFonts w:eastAsia="Times New Roman"/>
          <w:sz w:val="24"/>
          <w:szCs w:val="24"/>
          <w:lang w:val="en-GB"/>
        </w:rPr>
        <w:t>[Accessed 22 Oct. 2025].</w:t>
      </w:r>
    </w:p>
    <w:sectPr w:rsidR="00B41878" w:rsidRPr="0065248C">
      <w:footerReference w:type="default" r:id="rId1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E999BC" w14:textId="77777777" w:rsidR="00692D9D" w:rsidRDefault="00692D9D">
      <w:pPr>
        <w:spacing w:line="240" w:lineRule="auto"/>
      </w:pPr>
      <w:r>
        <w:separator/>
      </w:r>
    </w:p>
  </w:endnote>
  <w:endnote w:type="continuationSeparator" w:id="0">
    <w:p w14:paraId="337FD9E7" w14:textId="77777777" w:rsidR="00692D9D" w:rsidRDefault="00692D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DE79B" w14:textId="77777777" w:rsidR="00E862B8" w:rsidRDefault="00BF0F2E">
    <w:pPr>
      <w:jc w:val="right"/>
      <w:rPr>
        <w:sz w:val="20"/>
        <w:szCs w:val="20"/>
      </w:rPr>
    </w:pPr>
    <w:r>
      <w:rPr>
        <w:sz w:val="20"/>
        <w:szCs w:val="20"/>
      </w:rPr>
      <w:fldChar w:fldCharType="begin"/>
    </w:r>
    <w:r>
      <w:rPr>
        <w:sz w:val="20"/>
        <w:szCs w:val="20"/>
      </w:rPr>
      <w:instrText>PAGE</w:instrText>
    </w:r>
    <w:r>
      <w:rPr>
        <w:sz w:val="20"/>
        <w:szCs w:val="20"/>
      </w:rPr>
      <w:fldChar w:fldCharType="separate"/>
    </w:r>
    <w:r w:rsidR="00F3756B">
      <w:rPr>
        <w:noProof/>
        <w:sz w:val="20"/>
        <w:szCs w:val="20"/>
      </w:rPr>
      <w:t>2</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6F2A53" w14:textId="77777777" w:rsidR="00692D9D" w:rsidRDefault="00692D9D">
      <w:pPr>
        <w:spacing w:line="240" w:lineRule="auto"/>
      </w:pPr>
      <w:r>
        <w:separator/>
      </w:r>
    </w:p>
  </w:footnote>
  <w:footnote w:type="continuationSeparator" w:id="0">
    <w:p w14:paraId="7D6C6709" w14:textId="77777777" w:rsidR="00692D9D" w:rsidRDefault="00692D9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2B8"/>
    <w:rsid w:val="001A7D3F"/>
    <w:rsid w:val="0065248C"/>
    <w:rsid w:val="00692D9D"/>
    <w:rsid w:val="006B4601"/>
    <w:rsid w:val="00A1615F"/>
    <w:rsid w:val="00B41878"/>
    <w:rsid w:val="00BF0F2E"/>
    <w:rsid w:val="00D448B2"/>
    <w:rsid w:val="00E862B8"/>
    <w:rsid w:val="00F3756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453D6"/>
  <w15:docId w15:val="{FD548552-8D30-4467-8ACC-02F218467B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autoRedefine/>
    <w:rsid w:val="006B4601"/>
    <w:pPr>
      <w:keepNext/>
      <w:keepLines/>
      <w:spacing w:before="400" w:after="120" w:line="360" w:lineRule="auto"/>
      <w:outlineLvl w:val="0"/>
    </w:pPr>
    <w:rPr>
      <w:b/>
      <w:color w:val="000000" w:themeColor="text1"/>
      <w:sz w:val="26"/>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NoSpacing">
    <w:name w:val="No Spacing"/>
    <w:uiPriority w:val="1"/>
    <w:qFormat/>
    <w:rsid w:val="0065248C"/>
    <w:pPr>
      <w:spacing w:line="240" w:lineRule="auto"/>
    </w:pPr>
  </w:style>
  <w:style w:type="paragraph" w:styleId="BalloonText">
    <w:name w:val="Balloon Text"/>
    <w:basedOn w:val="Normal"/>
    <w:link w:val="BalloonTextChar"/>
    <w:uiPriority w:val="99"/>
    <w:semiHidden/>
    <w:unhideWhenUsed/>
    <w:rsid w:val="0065248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248C"/>
    <w:rPr>
      <w:rFonts w:ascii="Tahoma" w:hAnsi="Tahoma" w:cs="Tahoma"/>
      <w:sz w:val="16"/>
      <w:szCs w:val="16"/>
    </w:rPr>
  </w:style>
  <w:style w:type="character" w:styleId="Hyperlink">
    <w:name w:val="Hyperlink"/>
    <w:basedOn w:val="DefaultParagraphFont"/>
    <w:uiPriority w:val="99"/>
    <w:unhideWhenUsed/>
    <w:rsid w:val="0065248C"/>
    <w:rPr>
      <w:color w:val="0000FF" w:themeColor="hyperlink"/>
      <w:u w:val="single"/>
    </w:rPr>
  </w:style>
  <w:style w:type="paragraph" w:styleId="TOCHeading">
    <w:name w:val="TOC Heading"/>
    <w:basedOn w:val="Heading1"/>
    <w:next w:val="Normal"/>
    <w:uiPriority w:val="39"/>
    <w:semiHidden/>
    <w:unhideWhenUsed/>
    <w:qFormat/>
    <w:rsid w:val="00F3756B"/>
    <w:pPr>
      <w:spacing w:before="480" w:after="0" w:line="276" w:lineRule="auto"/>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F3756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deloitte.com/global/en/Industries/consumer/research/consumer-sustainability-report.html" TargetMode="External"/><Relationship Id="rId18" Type="http://schemas.openxmlformats.org/officeDocument/2006/relationships/hyperlink" Target="https://www.theguardian.com/business/2020/jul/06/boohoo-leicester-factory-conditions-covid-19"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corporate.marksandspencer.com/sites/marksandspencer/files/sustainability-report-2023.pdf" TargetMode="External"/><Relationship Id="rId17" Type="http://schemas.openxmlformats.org/officeDocument/2006/relationships/hyperlink" Target="https://www.pwc.com/gx/en/so-you-can/ai.html?WT.mc_id=GMO-BRN-BMR-FY25-BRN-SYCEXT-T91-CI-XLOS-WBP-GMOCSA000143-EN-PSEGL-T2&amp;gad_source=1&amp;gad_campaignid=23095378943&amp;gclid=CjwKCAjwgeLHBhBuEiwAL5gNEQ5KpJ1qUkhYfASvGMAAVSZIqFQhVEdSimSexHkDBTsmZL3a-yyDPhoCBYUQAvD_BwE" TargetMode="External"/><Relationship Id="rId2" Type="http://schemas.openxmlformats.org/officeDocument/2006/relationships/styles" Target="styles.xml"/><Relationship Id="rId16" Type="http://schemas.openxmlformats.org/officeDocument/2006/relationships/hyperlink" Target="https://www.ons.gov.uk/businessindustryandtrade/retailindustry/bulletins/retailsales/august2025"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orporate.marksandspencer.com/sites/marksandspencer/files/2023-06/M-and-S-2023-Annual-Report.pdf" TargetMode="External"/><Relationship Id="rId5" Type="http://schemas.openxmlformats.org/officeDocument/2006/relationships/footnotes" Target="footnotes.xml"/><Relationship Id="rId15" Type="http://schemas.openxmlformats.org/officeDocument/2006/relationships/hyperlink" Target="https://www.bbc.com/news/business-62344564" TargetMode="External"/><Relationship Id="rId10" Type="http://schemas.openxmlformats.org/officeDocument/2006/relationships/hyperlink" Target="https://brc.org.uk/news-and-events/news/corporate-affairs/2024/brc-forecast-low-sales-growth-for-2023/"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financial-news.co.uk/leveraging-ai-boohoos-strategy-for-capturing-fashion-tre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54F1F16E-5446-4C83-A9EC-DC57404D88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3377</Words>
  <Characters>19253</Characters>
  <Application>Microsoft Office Word</Application>
  <DocSecurity>0</DocSecurity>
  <Lines>160</Lines>
  <Paragraphs>45</Paragraphs>
  <ScaleCrop>false</ScaleCrop>
  <Company/>
  <LinksUpToDate>false</LinksUpToDate>
  <CharactersWithSpaces>22585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LUKHI MIT</dc:creator>
  <cp:lastModifiedBy>LUKHI MIT</cp:lastModifiedBy>
  <cp:revision>2</cp:revision>
  <dcterms:created xsi:type="dcterms:W3CDTF">2025-10-23T23:33:00Z</dcterms:created>
  <dcterms:modified xsi:type="dcterms:W3CDTF">2025-10-23T23:33:00Z</dcterms:modified>
</cp:coreProperties>
</file>