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0B0463" w14:textId="77777777" w:rsidR="0039698B" w:rsidRPr="00D63556" w:rsidRDefault="00597C3F">
      <w:pPr>
        <w:rPr>
          <w:sz w:val="24"/>
          <w:szCs w:val="24"/>
          <w:u w:val="single"/>
        </w:rPr>
      </w:pPr>
      <w:r w:rsidRPr="00D63556">
        <w:rPr>
          <w:sz w:val="24"/>
          <w:szCs w:val="24"/>
          <w:u w:val="single"/>
        </w:rPr>
        <w:t xml:space="preserve">Character Dossier </w:t>
      </w:r>
    </w:p>
    <w:p w14:paraId="63B40E26" w14:textId="77777777" w:rsidR="00597C3F" w:rsidRDefault="00597C3F"/>
    <w:p w14:paraId="0D8FACE3" w14:textId="1840EED8" w:rsidR="004218EC" w:rsidRDefault="00D63556" w:rsidP="00D63556">
      <w:pPr>
        <w:spacing w:line="480" w:lineRule="auto"/>
        <w:rPr>
          <w:sz w:val="24"/>
          <w:szCs w:val="24"/>
        </w:rPr>
      </w:pPr>
      <w:r w:rsidRPr="00D63556">
        <w:rPr>
          <w:sz w:val="24"/>
          <w:szCs w:val="24"/>
        </w:rPr>
        <w:t>My character will be of local Mesopotamian decent, and will act as an adviser for the Satrap of Mesopotamia</w:t>
      </w:r>
      <w:r>
        <w:rPr>
          <w:sz w:val="24"/>
          <w:szCs w:val="24"/>
        </w:rPr>
        <w:t xml:space="preserve">.  The primary responsibilities of my character will be to oversee local, inter-regional and long-distance trading. By being of local decent my character will already be very familiar with the workings of local trade, and the use of the many </w:t>
      </w:r>
      <w:r w:rsidR="004218EC">
        <w:rPr>
          <w:sz w:val="24"/>
          <w:szCs w:val="24"/>
        </w:rPr>
        <w:t>Mesopotamian</w:t>
      </w:r>
      <w:r>
        <w:rPr>
          <w:sz w:val="24"/>
          <w:szCs w:val="24"/>
        </w:rPr>
        <w:t xml:space="preserve"> waterways as transports</w:t>
      </w:r>
      <w:r>
        <w:rPr>
          <w:rStyle w:val="FootnoteReference"/>
          <w:sz w:val="24"/>
          <w:szCs w:val="24"/>
        </w:rPr>
        <w:footnoteReference w:id="1"/>
      </w:r>
      <w:r w:rsidR="004218EC">
        <w:rPr>
          <w:sz w:val="24"/>
          <w:szCs w:val="24"/>
        </w:rPr>
        <w:t>.</w:t>
      </w:r>
      <w:bookmarkStart w:id="0" w:name="_GoBack"/>
      <w:bookmarkEnd w:id="0"/>
    </w:p>
    <w:p w14:paraId="19B9B17C" w14:textId="37D9AAC0" w:rsidR="0006464F" w:rsidRDefault="004218EC" w:rsidP="00D63556">
      <w:pPr>
        <w:spacing w:line="480" w:lineRule="auto"/>
        <w:rPr>
          <w:sz w:val="24"/>
          <w:szCs w:val="24"/>
        </w:rPr>
      </w:pPr>
      <w:r>
        <w:rPr>
          <w:sz w:val="24"/>
          <w:szCs w:val="24"/>
        </w:rPr>
        <w:t>I visualise my character as a middle-aged man whose face is well weathered and his hair and beard starting to grey. His face would be well weather because of his background as a sea trading merchant from Antioch-on-the-Erythaean Sea in the Persian Gulf</w:t>
      </w:r>
      <w:r w:rsidR="00F23387">
        <w:rPr>
          <w:rStyle w:val="FootnoteReference"/>
          <w:sz w:val="24"/>
          <w:szCs w:val="24"/>
        </w:rPr>
        <w:footnoteReference w:id="2"/>
      </w:r>
      <w:r>
        <w:rPr>
          <w:sz w:val="24"/>
          <w:szCs w:val="24"/>
        </w:rPr>
        <w:t xml:space="preserve">. This would also give him knowledge of trade within the Persian Gulf, because of his </w:t>
      </w:r>
      <w:r w:rsidR="00DE2432">
        <w:rPr>
          <w:sz w:val="24"/>
          <w:szCs w:val="24"/>
        </w:rPr>
        <w:t>family’s</w:t>
      </w:r>
      <w:r>
        <w:rPr>
          <w:sz w:val="24"/>
          <w:szCs w:val="24"/>
        </w:rPr>
        <w:t xml:space="preserve"> long success at trade he has become very wealthy</w:t>
      </w:r>
      <w:r w:rsidR="0006464F">
        <w:rPr>
          <w:sz w:val="24"/>
          <w:szCs w:val="24"/>
        </w:rPr>
        <w:t>, knowledgeable and prestigious and would own many trading ships himself.</w:t>
      </w:r>
      <w:r>
        <w:rPr>
          <w:sz w:val="24"/>
          <w:szCs w:val="24"/>
        </w:rPr>
        <w:t xml:space="preserve"> </w:t>
      </w:r>
      <w:r w:rsidR="0006464F">
        <w:rPr>
          <w:sz w:val="24"/>
          <w:szCs w:val="24"/>
        </w:rPr>
        <w:t xml:space="preserve">Because of his </w:t>
      </w:r>
      <w:r w:rsidR="00DE2432">
        <w:rPr>
          <w:sz w:val="24"/>
          <w:szCs w:val="24"/>
        </w:rPr>
        <w:t>family’s</w:t>
      </w:r>
      <w:r w:rsidR="0006464F">
        <w:rPr>
          <w:sz w:val="24"/>
          <w:szCs w:val="24"/>
        </w:rPr>
        <w:t xml:space="preserve"> expertise in trading and wealth, this would put him in the upper classes of society, making him well educated and meaning he would be appointed a position in the court. </w:t>
      </w:r>
      <w:r w:rsidR="007F5607">
        <w:rPr>
          <w:sz w:val="24"/>
          <w:szCs w:val="24"/>
        </w:rPr>
        <w:t xml:space="preserve">My character’s name shall be Antimenes. This has historical </w:t>
      </w:r>
      <w:r w:rsidR="00C07FA0">
        <w:rPr>
          <w:sz w:val="24"/>
          <w:szCs w:val="24"/>
        </w:rPr>
        <w:t>basis as it was the name of Alexander the Great’s financial officer at Babylon</w:t>
      </w:r>
      <w:r w:rsidR="00174E34">
        <w:rPr>
          <w:rStyle w:val="FootnoteReference"/>
          <w:sz w:val="24"/>
          <w:szCs w:val="24"/>
        </w:rPr>
        <w:footnoteReference w:id="3"/>
      </w:r>
      <w:r w:rsidR="00C07FA0">
        <w:rPr>
          <w:sz w:val="24"/>
          <w:szCs w:val="24"/>
        </w:rPr>
        <w:t xml:space="preserve">. </w:t>
      </w:r>
      <w:r w:rsidR="00174E34">
        <w:rPr>
          <w:sz w:val="24"/>
          <w:szCs w:val="24"/>
        </w:rPr>
        <w:t>Although this is a little out of the time period is eligible to believe that this would be an acceptable name.</w:t>
      </w:r>
    </w:p>
    <w:p w14:paraId="764E5405" w14:textId="00E8122A" w:rsidR="00D63556" w:rsidRDefault="004218EC" w:rsidP="00D63556">
      <w:pPr>
        <w:spacing w:line="480" w:lineRule="auto"/>
        <w:rPr>
          <w:sz w:val="24"/>
          <w:szCs w:val="24"/>
        </w:rPr>
      </w:pPr>
      <w:r>
        <w:rPr>
          <w:sz w:val="24"/>
          <w:szCs w:val="24"/>
        </w:rPr>
        <w:t xml:space="preserve"> The overseeing of taxation will also be an important part of my characters responsibilities.</w:t>
      </w:r>
      <w:r w:rsidR="00F23387">
        <w:rPr>
          <w:sz w:val="24"/>
          <w:szCs w:val="24"/>
        </w:rPr>
        <w:t xml:space="preserve"> With much of local trade being done through the large rivers running through </w:t>
      </w:r>
      <w:r w:rsidR="004E2744">
        <w:rPr>
          <w:sz w:val="24"/>
          <w:szCs w:val="24"/>
        </w:rPr>
        <w:t>Mesopotamia</w:t>
      </w:r>
      <w:r w:rsidR="00F23387">
        <w:rPr>
          <w:sz w:val="24"/>
          <w:szCs w:val="24"/>
        </w:rPr>
        <w:t>; most notably the Euphrates and Tigris</w:t>
      </w:r>
      <w:r w:rsidR="00F23387">
        <w:rPr>
          <w:rStyle w:val="FootnoteReference"/>
          <w:sz w:val="24"/>
          <w:szCs w:val="24"/>
        </w:rPr>
        <w:footnoteReference w:id="4"/>
      </w:r>
      <w:r w:rsidR="004E2744">
        <w:rPr>
          <w:sz w:val="24"/>
          <w:szCs w:val="24"/>
        </w:rPr>
        <w:t xml:space="preserve"> and the use of these rivers for </w:t>
      </w:r>
      <w:r w:rsidR="004E2744">
        <w:rPr>
          <w:sz w:val="24"/>
          <w:szCs w:val="24"/>
        </w:rPr>
        <w:lastRenderedPageBreak/>
        <w:t>irrigation for crops</w:t>
      </w:r>
      <w:r w:rsidR="004E2744">
        <w:rPr>
          <w:rStyle w:val="FootnoteReference"/>
          <w:sz w:val="24"/>
          <w:szCs w:val="24"/>
        </w:rPr>
        <w:footnoteReference w:id="5"/>
      </w:r>
      <w:r w:rsidR="004E2744">
        <w:rPr>
          <w:sz w:val="24"/>
          <w:szCs w:val="24"/>
        </w:rPr>
        <w:t>, the will be taxation on the use of the rivers. There is historical basis for the taxation of transporting along rivers, and all the rivers can be said to belong to Royalty so a small tax to use the royal waters for irrigation is no</w:t>
      </w:r>
      <w:r w:rsidR="00AE3CB2">
        <w:rPr>
          <w:sz w:val="24"/>
          <w:szCs w:val="24"/>
        </w:rPr>
        <w:t>t unlikely</w:t>
      </w:r>
      <w:r w:rsidR="00AE3CB2">
        <w:rPr>
          <w:rStyle w:val="FootnoteReference"/>
          <w:sz w:val="24"/>
          <w:szCs w:val="24"/>
        </w:rPr>
        <w:footnoteReference w:id="6"/>
      </w:r>
      <w:r w:rsidR="00AE3CB2">
        <w:rPr>
          <w:sz w:val="24"/>
          <w:szCs w:val="24"/>
        </w:rPr>
        <w:t>.</w:t>
      </w:r>
    </w:p>
    <w:p w14:paraId="620D94CC" w14:textId="13E20119" w:rsidR="006566B8" w:rsidRDefault="00714101" w:rsidP="00D63556">
      <w:pPr>
        <w:spacing w:line="480" w:lineRule="auto"/>
        <w:rPr>
          <w:sz w:val="24"/>
          <w:szCs w:val="24"/>
        </w:rPr>
      </w:pPr>
      <w:r>
        <w:rPr>
          <w:sz w:val="24"/>
          <w:szCs w:val="24"/>
        </w:rPr>
        <w:t>There are many records of trade routes and prices from Mesopotamia that I wish for my character to use efficiently. Among these trade routes I would like to utilise trade from India both via the land routes through Bactria and, more importantly via sea routes in the Persian Gulf</w:t>
      </w:r>
      <w:r>
        <w:rPr>
          <w:rStyle w:val="FootnoteReference"/>
          <w:sz w:val="24"/>
          <w:szCs w:val="24"/>
        </w:rPr>
        <w:footnoteReference w:id="7"/>
      </w:r>
      <w:r>
        <w:rPr>
          <w:sz w:val="24"/>
          <w:szCs w:val="24"/>
        </w:rPr>
        <w:t>. If possible I would like for my satrap, or king to retain friendly relations with Bactria as otherwise this will alter the income of trade from both Bactria and India, which will be detriment to the overall income of the region</w:t>
      </w:r>
      <w:r>
        <w:rPr>
          <w:rStyle w:val="FootnoteReference"/>
          <w:sz w:val="24"/>
          <w:szCs w:val="24"/>
        </w:rPr>
        <w:footnoteReference w:id="8"/>
      </w:r>
      <w:r>
        <w:rPr>
          <w:sz w:val="24"/>
          <w:szCs w:val="24"/>
        </w:rPr>
        <w:t xml:space="preserve">. </w:t>
      </w:r>
    </w:p>
    <w:p w14:paraId="01B3A8ED" w14:textId="69717B15" w:rsidR="003E2924" w:rsidRDefault="003E2924" w:rsidP="00D63556">
      <w:pPr>
        <w:spacing w:line="480" w:lineRule="auto"/>
        <w:rPr>
          <w:sz w:val="24"/>
          <w:szCs w:val="24"/>
        </w:rPr>
      </w:pPr>
      <w:r>
        <w:rPr>
          <w:sz w:val="24"/>
          <w:szCs w:val="24"/>
        </w:rPr>
        <w:t>As overseeing taxation and trade will be a large part of my characters business, I will also be in charge of storing any surplus gained from trade and taxing in the royal treasury</w:t>
      </w:r>
      <w:r>
        <w:rPr>
          <w:rStyle w:val="FootnoteReference"/>
          <w:sz w:val="24"/>
          <w:szCs w:val="24"/>
        </w:rPr>
        <w:footnoteReference w:id="9"/>
      </w:r>
      <w:r>
        <w:rPr>
          <w:sz w:val="24"/>
          <w:szCs w:val="24"/>
        </w:rPr>
        <w:t>. As well as this my character will also be helping with minting coins. There are records of coin mints being in Babylon and Antioch-on-the-Erythaean Sea that will be under my responsibility</w:t>
      </w:r>
      <w:r>
        <w:rPr>
          <w:rStyle w:val="FootnoteReference"/>
          <w:sz w:val="24"/>
          <w:szCs w:val="24"/>
        </w:rPr>
        <w:footnoteReference w:id="10"/>
      </w:r>
      <w:r>
        <w:rPr>
          <w:sz w:val="24"/>
          <w:szCs w:val="24"/>
        </w:rPr>
        <w:t>.</w:t>
      </w:r>
      <w:r w:rsidR="00355949">
        <w:rPr>
          <w:sz w:val="24"/>
          <w:szCs w:val="24"/>
        </w:rPr>
        <w:t xml:space="preserve"> The opening of a mint in Antioch-on-the-Erythaean Sea should be</w:t>
      </w:r>
      <w:r w:rsidR="00D43C30">
        <w:rPr>
          <w:sz w:val="24"/>
          <w:szCs w:val="24"/>
        </w:rPr>
        <w:t xml:space="preserve"> able to help trade in the east</w:t>
      </w:r>
      <w:r w:rsidR="00355949">
        <w:rPr>
          <w:rStyle w:val="FootnoteReference"/>
          <w:sz w:val="24"/>
          <w:szCs w:val="24"/>
        </w:rPr>
        <w:footnoteReference w:id="11"/>
      </w:r>
      <w:r w:rsidR="00D43C30">
        <w:rPr>
          <w:sz w:val="24"/>
          <w:szCs w:val="24"/>
        </w:rPr>
        <w:t>. To further this my character will also have to be aware of the prices in the markets and be aware of any change that may happen due to such circumstances like poor harvest or war. An over taxation will increase the likeliness of rioting, which is to be avoided if possible.</w:t>
      </w:r>
    </w:p>
    <w:p w14:paraId="19408281" w14:textId="64FF192E" w:rsidR="00D43C30" w:rsidRDefault="000A42A2" w:rsidP="00D63556">
      <w:pPr>
        <w:spacing w:line="480" w:lineRule="auto"/>
        <w:rPr>
          <w:sz w:val="24"/>
          <w:szCs w:val="24"/>
        </w:rPr>
      </w:pPr>
      <w:r>
        <w:rPr>
          <w:sz w:val="24"/>
          <w:szCs w:val="24"/>
        </w:rPr>
        <w:lastRenderedPageBreak/>
        <w:t xml:space="preserve">Trading with India will be an important task that my character will wish to undertake. The sea route along the coasts of the Persian </w:t>
      </w:r>
      <w:r w:rsidR="0031520B">
        <w:rPr>
          <w:sz w:val="24"/>
          <w:szCs w:val="24"/>
        </w:rPr>
        <w:t>Gulf to India had long been established since Seleucus</w:t>
      </w:r>
      <w:r w:rsidR="009A342C">
        <w:rPr>
          <w:sz w:val="24"/>
          <w:szCs w:val="24"/>
        </w:rPr>
        <w:t xml:space="preserve"> I</w:t>
      </w:r>
      <w:r w:rsidR="0031520B">
        <w:rPr>
          <w:sz w:val="24"/>
          <w:szCs w:val="24"/>
        </w:rPr>
        <w:t xml:space="preserve"> and would have been in the hands of the Arab traders from Gerrha</w:t>
      </w:r>
      <w:r w:rsidR="0031520B">
        <w:rPr>
          <w:rStyle w:val="FootnoteReference"/>
          <w:sz w:val="24"/>
          <w:szCs w:val="24"/>
        </w:rPr>
        <w:footnoteReference w:id="12"/>
      </w:r>
      <w:r w:rsidR="0031520B">
        <w:rPr>
          <w:sz w:val="24"/>
          <w:szCs w:val="24"/>
        </w:rPr>
        <w:t>.</w:t>
      </w:r>
      <w:r w:rsidR="009A342C">
        <w:rPr>
          <w:sz w:val="24"/>
          <w:szCs w:val="24"/>
        </w:rPr>
        <w:t xml:space="preserve"> Seleucid traders wi</w:t>
      </w:r>
      <w:r w:rsidR="002F0BEB">
        <w:rPr>
          <w:sz w:val="24"/>
          <w:szCs w:val="24"/>
        </w:rPr>
        <w:t>ll be able to trade in barley, d</w:t>
      </w:r>
      <w:r w:rsidR="009A342C">
        <w:rPr>
          <w:sz w:val="24"/>
          <w:szCs w:val="24"/>
        </w:rPr>
        <w:t>ates</w:t>
      </w:r>
      <w:r w:rsidR="003E2924">
        <w:rPr>
          <w:rStyle w:val="FootnoteReference"/>
          <w:sz w:val="24"/>
          <w:szCs w:val="24"/>
        </w:rPr>
        <w:footnoteReference w:id="13"/>
      </w:r>
      <w:r w:rsidR="009A342C">
        <w:rPr>
          <w:sz w:val="24"/>
          <w:szCs w:val="24"/>
        </w:rPr>
        <w:t xml:space="preserve"> and Salt</w:t>
      </w:r>
      <w:r w:rsidR="009A342C">
        <w:rPr>
          <w:rStyle w:val="FootnoteReference"/>
          <w:sz w:val="24"/>
          <w:szCs w:val="24"/>
        </w:rPr>
        <w:footnoteReference w:id="14"/>
      </w:r>
      <w:r w:rsidR="003E2924">
        <w:rPr>
          <w:sz w:val="24"/>
          <w:szCs w:val="24"/>
        </w:rPr>
        <w:t>.</w:t>
      </w:r>
      <w:r w:rsidR="0031520B">
        <w:rPr>
          <w:sz w:val="24"/>
          <w:szCs w:val="24"/>
        </w:rPr>
        <w:t xml:space="preserve"> </w:t>
      </w:r>
      <w:r w:rsidR="003E2924">
        <w:rPr>
          <w:sz w:val="24"/>
          <w:szCs w:val="24"/>
        </w:rPr>
        <w:t>One</w:t>
      </w:r>
      <w:r w:rsidR="0031520B">
        <w:rPr>
          <w:sz w:val="24"/>
          <w:szCs w:val="24"/>
        </w:rPr>
        <w:t xml:space="preserve"> of my characters aims will be to try and make this control of the trade a Seleucid one, and divert trade up to Antioch-on-the-Erythaean Sea. From here trade goods can be taken either upriver to Babylon or Seleucia-on-Tigris, or by land caravans to the same cities</w:t>
      </w:r>
      <w:r w:rsidR="0031520B">
        <w:rPr>
          <w:rStyle w:val="FootnoteReference"/>
          <w:sz w:val="24"/>
          <w:szCs w:val="24"/>
        </w:rPr>
        <w:footnoteReference w:id="15"/>
      </w:r>
      <w:r w:rsidR="0031520B">
        <w:rPr>
          <w:sz w:val="24"/>
          <w:szCs w:val="24"/>
        </w:rPr>
        <w:t>. I plan to make Seleucia-on-Tigris the trade gateway from the east to the west</w:t>
      </w:r>
      <w:r w:rsidR="0031520B">
        <w:rPr>
          <w:rStyle w:val="FootnoteReference"/>
          <w:sz w:val="24"/>
          <w:szCs w:val="24"/>
        </w:rPr>
        <w:footnoteReference w:id="16"/>
      </w:r>
      <w:r w:rsidR="0031520B">
        <w:rPr>
          <w:sz w:val="24"/>
          <w:szCs w:val="24"/>
        </w:rPr>
        <w:t>.</w:t>
      </w:r>
      <w:r w:rsidR="009A342C">
        <w:rPr>
          <w:sz w:val="24"/>
          <w:szCs w:val="24"/>
        </w:rPr>
        <w:t xml:space="preserve"> </w:t>
      </w:r>
      <w:r w:rsidR="001C1718">
        <w:rPr>
          <w:sz w:val="24"/>
          <w:szCs w:val="24"/>
        </w:rPr>
        <w:t>There is basis of the seen in the re-enactment of the treaty of Seleucus I and Chandragupta in the Treaty with Sophagasenus and Antiochus the III</w:t>
      </w:r>
      <w:r w:rsidR="001C1718">
        <w:rPr>
          <w:rStyle w:val="FootnoteReference"/>
          <w:sz w:val="24"/>
          <w:szCs w:val="24"/>
        </w:rPr>
        <w:footnoteReference w:id="17"/>
      </w:r>
      <w:r w:rsidR="009A342C">
        <w:rPr>
          <w:sz w:val="24"/>
          <w:szCs w:val="24"/>
        </w:rPr>
        <w:t>.</w:t>
      </w:r>
    </w:p>
    <w:p w14:paraId="02B8FAC7" w14:textId="0618C685" w:rsidR="00714101" w:rsidRDefault="0031520B" w:rsidP="00D63556">
      <w:pPr>
        <w:spacing w:line="480" w:lineRule="auto"/>
        <w:rPr>
          <w:sz w:val="24"/>
          <w:szCs w:val="24"/>
        </w:rPr>
      </w:pPr>
      <w:r>
        <w:rPr>
          <w:sz w:val="24"/>
          <w:szCs w:val="24"/>
        </w:rPr>
        <w:t>To help achieve this plan, my character will likely make an appeal to either the Satrap of Mesopotamia, or</w:t>
      </w:r>
      <w:r w:rsidR="00F32118">
        <w:rPr>
          <w:sz w:val="24"/>
          <w:szCs w:val="24"/>
        </w:rPr>
        <w:t xml:space="preserve"> </w:t>
      </w:r>
      <w:r>
        <w:rPr>
          <w:sz w:val="24"/>
          <w:szCs w:val="24"/>
        </w:rPr>
        <w:t>the king himself</w:t>
      </w:r>
      <w:r w:rsidR="00A56A5C">
        <w:rPr>
          <w:sz w:val="24"/>
          <w:szCs w:val="24"/>
        </w:rPr>
        <w:t xml:space="preserve"> depending on circumstances, for a fleet to be built in the Persian Gulf. This fleet will be able to act as a royal escort to traders, and will help insure the arrival and departure of traders. The fleet will also be able to warn of any potential piracy.</w:t>
      </w:r>
      <w:r w:rsidR="00355949">
        <w:rPr>
          <w:sz w:val="24"/>
          <w:szCs w:val="24"/>
        </w:rPr>
        <w:t xml:space="preserve"> Historically, the Seleucids were largely unchallenged in the Persian Gulf military wise so the fleet will not have to be practically large</w:t>
      </w:r>
      <w:r w:rsidR="00355949">
        <w:rPr>
          <w:rStyle w:val="FootnoteReference"/>
          <w:sz w:val="24"/>
          <w:szCs w:val="24"/>
        </w:rPr>
        <w:footnoteReference w:id="18"/>
      </w:r>
      <w:r w:rsidR="00355949">
        <w:rPr>
          <w:sz w:val="24"/>
          <w:szCs w:val="24"/>
        </w:rPr>
        <w:t>.</w:t>
      </w:r>
    </w:p>
    <w:p w14:paraId="40CB32D9" w14:textId="537DFCA8" w:rsidR="001C1718" w:rsidRDefault="005F3F39" w:rsidP="00D63556">
      <w:pPr>
        <w:spacing w:line="480" w:lineRule="auto"/>
        <w:rPr>
          <w:sz w:val="24"/>
          <w:szCs w:val="24"/>
        </w:rPr>
      </w:pPr>
      <w:r>
        <w:rPr>
          <w:sz w:val="24"/>
          <w:szCs w:val="24"/>
        </w:rPr>
        <w:t xml:space="preserve">Because my character has such control over the finance and trade within the region, his task (and as such, mine within the group) will be to work closely with the other court members and to agree or disagree with their requests both financially and militarily. This will include </w:t>
      </w:r>
      <w:r>
        <w:rPr>
          <w:sz w:val="24"/>
          <w:szCs w:val="24"/>
        </w:rPr>
        <w:lastRenderedPageBreak/>
        <w:t>generals having enough money to raise and arm troops if needed, and for my Satrap to maintain friendly relations with the king and other regions of the empire.</w:t>
      </w:r>
      <w:r w:rsidR="00D43C30">
        <w:rPr>
          <w:sz w:val="24"/>
          <w:szCs w:val="24"/>
        </w:rPr>
        <w:t xml:space="preserve"> </w:t>
      </w:r>
      <w:r w:rsidR="001C1718">
        <w:rPr>
          <w:sz w:val="24"/>
          <w:szCs w:val="24"/>
        </w:rPr>
        <w:t xml:space="preserve">As my character is part of the court </w:t>
      </w:r>
      <w:r w:rsidR="003E2924">
        <w:rPr>
          <w:sz w:val="24"/>
          <w:szCs w:val="24"/>
        </w:rPr>
        <w:t>he will have availability to the Satrap and will be able to appeal to the king should he visit court, and petition the court as a whole.</w:t>
      </w:r>
    </w:p>
    <w:p w14:paraId="23529FB0" w14:textId="7DBFE10F" w:rsidR="005E4EFC" w:rsidRDefault="005E4EFC" w:rsidP="00D63556">
      <w:pPr>
        <w:spacing w:line="480" w:lineRule="auto"/>
        <w:rPr>
          <w:sz w:val="24"/>
          <w:szCs w:val="24"/>
        </w:rPr>
      </w:pPr>
    </w:p>
    <w:p w14:paraId="4529FA1B" w14:textId="2E9279B2" w:rsidR="005E4EFC" w:rsidRDefault="005E4EFC" w:rsidP="00D63556">
      <w:pPr>
        <w:spacing w:line="480" w:lineRule="auto"/>
        <w:rPr>
          <w:sz w:val="24"/>
          <w:szCs w:val="24"/>
        </w:rPr>
      </w:pPr>
    </w:p>
    <w:p w14:paraId="44537429" w14:textId="68E06AAC" w:rsidR="005E4EFC" w:rsidRDefault="005E4EFC" w:rsidP="00D63556">
      <w:pPr>
        <w:spacing w:line="480" w:lineRule="auto"/>
        <w:rPr>
          <w:sz w:val="24"/>
          <w:szCs w:val="24"/>
        </w:rPr>
      </w:pPr>
    </w:p>
    <w:p w14:paraId="04693895" w14:textId="0DF34F10" w:rsidR="005E4EFC" w:rsidRDefault="005E4EFC" w:rsidP="00D63556">
      <w:pPr>
        <w:spacing w:line="480" w:lineRule="auto"/>
        <w:rPr>
          <w:sz w:val="24"/>
          <w:szCs w:val="24"/>
        </w:rPr>
      </w:pPr>
    </w:p>
    <w:p w14:paraId="4A2CC04D" w14:textId="533D9C7B" w:rsidR="005E4EFC" w:rsidRDefault="005E4EFC" w:rsidP="00D63556">
      <w:pPr>
        <w:spacing w:line="480" w:lineRule="auto"/>
        <w:rPr>
          <w:sz w:val="24"/>
          <w:szCs w:val="24"/>
        </w:rPr>
      </w:pPr>
    </w:p>
    <w:p w14:paraId="7DA902C1" w14:textId="3B526549" w:rsidR="005E4EFC" w:rsidRDefault="005E4EFC" w:rsidP="00D63556">
      <w:pPr>
        <w:spacing w:line="480" w:lineRule="auto"/>
        <w:rPr>
          <w:sz w:val="24"/>
          <w:szCs w:val="24"/>
        </w:rPr>
      </w:pPr>
    </w:p>
    <w:p w14:paraId="630466AD" w14:textId="6F824E74" w:rsidR="005E4EFC" w:rsidRDefault="005E4EFC" w:rsidP="00D63556">
      <w:pPr>
        <w:spacing w:line="480" w:lineRule="auto"/>
        <w:rPr>
          <w:sz w:val="24"/>
          <w:szCs w:val="24"/>
        </w:rPr>
      </w:pPr>
    </w:p>
    <w:p w14:paraId="7508A648" w14:textId="29E840F7" w:rsidR="005E4EFC" w:rsidRDefault="005E4EFC" w:rsidP="00D63556">
      <w:pPr>
        <w:spacing w:line="480" w:lineRule="auto"/>
        <w:rPr>
          <w:sz w:val="24"/>
          <w:szCs w:val="24"/>
        </w:rPr>
      </w:pPr>
    </w:p>
    <w:p w14:paraId="4E1100CC" w14:textId="35099AFD" w:rsidR="005E4EFC" w:rsidRDefault="005E4EFC" w:rsidP="00D63556">
      <w:pPr>
        <w:spacing w:line="480" w:lineRule="auto"/>
        <w:rPr>
          <w:sz w:val="24"/>
          <w:szCs w:val="24"/>
        </w:rPr>
      </w:pPr>
    </w:p>
    <w:p w14:paraId="4C8BAC02" w14:textId="58C3FDA8" w:rsidR="005E4EFC" w:rsidRDefault="005E4EFC" w:rsidP="00D63556">
      <w:pPr>
        <w:spacing w:line="480" w:lineRule="auto"/>
        <w:rPr>
          <w:sz w:val="24"/>
          <w:szCs w:val="24"/>
        </w:rPr>
      </w:pPr>
    </w:p>
    <w:p w14:paraId="71E707B2" w14:textId="7FE8E6B3" w:rsidR="005E4EFC" w:rsidRDefault="005E4EFC" w:rsidP="00D63556">
      <w:pPr>
        <w:spacing w:line="480" w:lineRule="auto"/>
        <w:rPr>
          <w:sz w:val="24"/>
          <w:szCs w:val="24"/>
        </w:rPr>
      </w:pPr>
    </w:p>
    <w:p w14:paraId="24E75624" w14:textId="2F9475D8" w:rsidR="005E4EFC" w:rsidRDefault="005E4EFC" w:rsidP="00D63556">
      <w:pPr>
        <w:spacing w:line="480" w:lineRule="auto"/>
        <w:rPr>
          <w:sz w:val="24"/>
          <w:szCs w:val="24"/>
        </w:rPr>
      </w:pPr>
    </w:p>
    <w:p w14:paraId="6D79A30D" w14:textId="10C3A206" w:rsidR="005E4EFC" w:rsidRDefault="005E4EFC" w:rsidP="00D63556">
      <w:pPr>
        <w:spacing w:line="480" w:lineRule="auto"/>
        <w:rPr>
          <w:sz w:val="24"/>
          <w:szCs w:val="24"/>
        </w:rPr>
      </w:pPr>
    </w:p>
    <w:p w14:paraId="3C2B8ABC" w14:textId="4804509C" w:rsidR="005E4EFC" w:rsidRDefault="005E4EFC" w:rsidP="00D63556">
      <w:pPr>
        <w:spacing w:line="480" w:lineRule="auto"/>
        <w:rPr>
          <w:sz w:val="24"/>
          <w:szCs w:val="24"/>
        </w:rPr>
      </w:pPr>
    </w:p>
    <w:p w14:paraId="6895536D" w14:textId="61DD3E26" w:rsidR="005E4EFC" w:rsidRDefault="005E4EFC" w:rsidP="00D63556">
      <w:pPr>
        <w:spacing w:line="480" w:lineRule="auto"/>
        <w:rPr>
          <w:sz w:val="24"/>
          <w:szCs w:val="24"/>
        </w:rPr>
      </w:pPr>
    </w:p>
    <w:p w14:paraId="26BF7BEA" w14:textId="7CAF1933" w:rsidR="005E4EFC" w:rsidRPr="00443A40" w:rsidRDefault="005E4EFC" w:rsidP="005E4EFC">
      <w:pPr>
        <w:tabs>
          <w:tab w:val="left" w:pos="2160"/>
        </w:tabs>
        <w:spacing w:line="480" w:lineRule="auto"/>
        <w:rPr>
          <w:rFonts w:cstheme="minorHAnsi"/>
          <w:sz w:val="24"/>
          <w:szCs w:val="24"/>
          <w:u w:val="single"/>
        </w:rPr>
      </w:pPr>
      <w:r w:rsidRPr="00443A40">
        <w:rPr>
          <w:rFonts w:cstheme="minorHAnsi"/>
          <w:sz w:val="24"/>
          <w:szCs w:val="24"/>
          <w:u w:val="single"/>
        </w:rPr>
        <w:lastRenderedPageBreak/>
        <w:t>Bibliography</w:t>
      </w:r>
    </w:p>
    <w:p w14:paraId="6466A379" w14:textId="38A3B372" w:rsidR="005E4EFC" w:rsidRPr="00443A40" w:rsidRDefault="005E4EFC" w:rsidP="005E4EFC">
      <w:pPr>
        <w:tabs>
          <w:tab w:val="left" w:pos="2160"/>
        </w:tabs>
        <w:spacing w:line="480" w:lineRule="auto"/>
        <w:rPr>
          <w:rFonts w:cstheme="minorHAnsi"/>
          <w:sz w:val="24"/>
          <w:szCs w:val="24"/>
        </w:rPr>
      </w:pPr>
      <w:r w:rsidRPr="00443A40">
        <w:rPr>
          <w:rFonts w:cstheme="minorHAnsi"/>
          <w:sz w:val="24"/>
          <w:szCs w:val="24"/>
          <w:shd w:val="clear" w:color="auto" w:fill="FFFFFF"/>
        </w:rPr>
        <w:t>Aperghis, G. (2015). </w:t>
      </w:r>
      <w:r w:rsidRPr="00443A40">
        <w:rPr>
          <w:rFonts w:cstheme="minorHAnsi"/>
          <w:i/>
          <w:iCs/>
          <w:sz w:val="24"/>
          <w:szCs w:val="24"/>
          <w:shd w:val="clear" w:color="auto" w:fill="FFFFFF"/>
        </w:rPr>
        <w:t>The Seleukid royal economy</w:t>
      </w:r>
      <w:r w:rsidRPr="00443A40">
        <w:rPr>
          <w:rFonts w:cstheme="minorHAnsi"/>
          <w:sz w:val="24"/>
          <w:szCs w:val="24"/>
          <w:shd w:val="clear" w:color="auto" w:fill="FFFFFF"/>
        </w:rPr>
        <w:t>. Cambridge: Cambridge University Press.</w:t>
      </w:r>
    </w:p>
    <w:p w14:paraId="68C4F79A" w14:textId="75675AD1" w:rsidR="005E4EFC" w:rsidRPr="00443A40" w:rsidRDefault="005E4EFC" w:rsidP="00D63556">
      <w:pPr>
        <w:spacing w:line="480" w:lineRule="auto"/>
        <w:rPr>
          <w:rFonts w:cstheme="minorHAnsi"/>
          <w:sz w:val="24"/>
          <w:szCs w:val="24"/>
          <w:shd w:val="clear" w:color="auto" w:fill="FFFFFF"/>
        </w:rPr>
      </w:pPr>
      <w:r w:rsidRPr="00443A40">
        <w:rPr>
          <w:rFonts w:cstheme="minorHAnsi"/>
          <w:sz w:val="24"/>
          <w:szCs w:val="24"/>
          <w:shd w:val="clear" w:color="auto" w:fill="FFFFFF"/>
        </w:rPr>
        <w:t>Errington, R. (2008). </w:t>
      </w:r>
      <w:r w:rsidRPr="00443A40">
        <w:rPr>
          <w:rFonts w:cstheme="minorHAnsi"/>
          <w:i/>
          <w:iCs/>
          <w:sz w:val="24"/>
          <w:szCs w:val="24"/>
          <w:shd w:val="clear" w:color="auto" w:fill="FFFFFF"/>
        </w:rPr>
        <w:t>A history of the Hellenistic world</w:t>
      </w:r>
      <w:r w:rsidRPr="00443A40">
        <w:rPr>
          <w:rFonts w:cstheme="minorHAnsi"/>
          <w:sz w:val="24"/>
          <w:szCs w:val="24"/>
          <w:shd w:val="clear" w:color="auto" w:fill="FFFFFF"/>
        </w:rPr>
        <w:t>. Malden, Mass.: Blackwell Pub. Ltd.</w:t>
      </w:r>
    </w:p>
    <w:p w14:paraId="1913F299" w14:textId="6D73237D" w:rsidR="005E4EFC" w:rsidRPr="00443A40" w:rsidRDefault="005E4EFC" w:rsidP="00D63556">
      <w:pPr>
        <w:spacing w:line="480" w:lineRule="auto"/>
        <w:rPr>
          <w:rFonts w:cstheme="minorHAnsi"/>
          <w:sz w:val="24"/>
          <w:szCs w:val="24"/>
        </w:rPr>
      </w:pPr>
      <w:r w:rsidRPr="00443A40">
        <w:rPr>
          <w:rFonts w:cstheme="minorHAnsi"/>
          <w:sz w:val="24"/>
          <w:szCs w:val="24"/>
          <w:shd w:val="clear" w:color="auto" w:fill="FFFFFF"/>
        </w:rPr>
        <w:t>Kosmin, P. (2014). </w:t>
      </w:r>
      <w:r w:rsidRPr="00443A40">
        <w:rPr>
          <w:rFonts w:cstheme="minorHAnsi"/>
          <w:i/>
          <w:iCs/>
          <w:sz w:val="24"/>
          <w:szCs w:val="24"/>
          <w:shd w:val="clear" w:color="auto" w:fill="FFFFFF"/>
        </w:rPr>
        <w:t>The land of the elephant kings</w:t>
      </w:r>
      <w:r w:rsidRPr="00443A40">
        <w:rPr>
          <w:rFonts w:cstheme="minorHAnsi"/>
          <w:sz w:val="24"/>
          <w:szCs w:val="24"/>
          <w:shd w:val="clear" w:color="auto" w:fill="FFFFFF"/>
        </w:rPr>
        <w:t>.</w:t>
      </w:r>
    </w:p>
    <w:p w14:paraId="35FA4A3D" w14:textId="77777777" w:rsidR="004218EC" w:rsidRPr="005E4EFC" w:rsidRDefault="004218EC" w:rsidP="00D63556">
      <w:pPr>
        <w:spacing w:line="480" w:lineRule="auto"/>
        <w:rPr>
          <w:rFonts w:cstheme="minorHAnsi"/>
          <w:sz w:val="24"/>
          <w:szCs w:val="24"/>
        </w:rPr>
      </w:pPr>
    </w:p>
    <w:p w14:paraId="5DFEDAE7" w14:textId="77777777" w:rsidR="00D63556" w:rsidRPr="005E4EFC" w:rsidRDefault="00D63556" w:rsidP="00D63556">
      <w:pPr>
        <w:spacing w:line="480" w:lineRule="auto"/>
        <w:rPr>
          <w:rFonts w:cstheme="minorHAnsi"/>
          <w:sz w:val="24"/>
          <w:szCs w:val="24"/>
        </w:rPr>
      </w:pPr>
      <w:r w:rsidRPr="005E4EFC">
        <w:rPr>
          <w:rFonts w:cstheme="minorHAnsi"/>
          <w:sz w:val="24"/>
          <w:szCs w:val="24"/>
        </w:rPr>
        <w:t xml:space="preserve"> </w:t>
      </w:r>
    </w:p>
    <w:sectPr w:rsidR="00D63556" w:rsidRPr="005E4EFC">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1FB5BC" w14:textId="77777777" w:rsidR="00D63556" w:rsidRDefault="00D63556" w:rsidP="00D63556">
      <w:pPr>
        <w:spacing w:after="0" w:line="240" w:lineRule="auto"/>
      </w:pPr>
      <w:r>
        <w:separator/>
      </w:r>
    </w:p>
  </w:endnote>
  <w:endnote w:type="continuationSeparator" w:id="0">
    <w:p w14:paraId="011799B1" w14:textId="77777777" w:rsidR="00D63556" w:rsidRDefault="00D63556" w:rsidP="00D635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43D50" w14:textId="77777777" w:rsidR="00DE2432" w:rsidRDefault="00DE24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1A2A0" w14:textId="77777777" w:rsidR="00DE2432" w:rsidRDefault="00DE24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001975" w14:textId="77777777" w:rsidR="00DE2432" w:rsidRDefault="00DE24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828F1D" w14:textId="77777777" w:rsidR="00D63556" w:rsidRDefault="00D63556" w:rsidP="00D63556">
      <w:pPr>
        <w:spacing w:after="0" w:line="240" w:lineRule="auto"/>
      </w:pPr>
      <w:r>
        <w:separator/>
      </w:r>
    </w:p>
  </w:footnote>
  <w:footnote w:type="continuationSeparator" w:id="0">
    <w:p w14:paraId="4A5C7D32" w14:textId="77777777" w:rsidR="00D63556" w:rsidRDefault="00D63556" w:rsidP="00D63556">
      <w:pPr>
        <w:spacing w:after="0" w:line="240" w:lineRule="auto"/>
      </w:pPr>
      <w:r>
        <w:continuationSeparator/>
      </w:r>
    </w:p>
  </w:footnote>
  <w:footnote w:id="1">
    <w:p w14:paraId="5A9C6238" w14:textId="28223F3F" w:rsidR="00D63556" w:rsidRDefault="00D63556">
      <w:pPr>
        <w:pStyle w:val="FootnoteText"/>
      </w:pPr>
      <w:r>
        <w:rPr>
          <w:rStyle w:val="FootnoteReference"/>
        </w:rPr>
        <w:footnoteRef/>
      </w:r>
      <w:r w:rsidR="005D1F93">
        <w:t xml:space="preserve"> </w:t>
      </w:r>
      <w:r>
        <w:t>Aperghis</w:t>
      </w:r>
      <w:r w:rsidR="004218EC">
        <w:t>,</w:t>
      </w:r>
      <w:r w:rsidR="005D1F93">
        <w:t xml:space="preserve"> 2015:</w:t>
      </w:r>
      <w:r>
        <w:t xml:space="preserve"> 77 </w:t>
      </w:r>
    </w:p>
  </w:footnote>
  <w:footnote w:id="2">
    <w:p w14:paraId="3C70EE10" w14:textId="7E1C8B8B" w:rsidR="00F23387" w:rsidRDefault="00F23387" w:rsidP="005D1F93">
      <w:pPr>
        <w:pStyle w:val="FootnoteText"/>
      </w:pPr>
      <w:r>
        <w:rPr>
          <w:rStyle w:val="FootnoteReference"/>
        </w:rPr>
        <w:footnoteRef/>
      </w:r>
      <w:r w:rsidR="005D1F93">
        <w:t xml:space="preserve"> Aperghis, 2015: 77</w:t>
      </w:r>
    </w:p>
  </w:footnote>
  <w:footnote w:id="3">
    <w:p w14:paraId="0480A5E0" w14:textId="7E4FA767" w:rsidR="00174E34" w:rsidRDefault="00174E34">
      <w:pPr>
        <w:pStyle w:val="FootnoteText"/>
      </w:pPr>
      <w:r>
        <w:rPr>
          <w:rStyle w:val="FootnoteReference"/>
        </w:rPr>
        <w:footnoteRef/>
      </w:r>
      <w:r w:rsidR="005D1F93">
        <w:t xml:space="preserve"> Aperghis, 2015: 161</w:t>
      </w:r>
    </w:p>
  </w:footnote>
  <w:footnote w:id="4">
    <w:p w14:paraId="5369AEFB" w14:textId="2D98F9C6" w:rsidR="00F23387" w:rsidRDefault="00F23387">
      <w:pPr>
        <w:pStyle w:val="FootnoteText"/>
      </w:pPr>
      <w:r>
        <w:rPr>
          <w:rStyle w:val="FootnoteReference"/>
        </w:rPr>
        <w:footnoteRef/>
      </w:r>
      <w:r>
        <w:t xml:space="preserve"> </w:t>
      </w:r>
      <w:r w:rsidR="005D1F93">
        <w:t>Aperghis, 2015: 68</w:t>
      </w:r>
    </w:p>
  </w:footnote>
  <w:footnote w:id="5">
    <w:p w14:paraId="3ACAFC35" w14:textId="51EC47C5" w:rsidR="004E2744" w:rsidRDefault="004E2744">
      <w:pPr>
        <w:pStyle w:val="FootnoteText"/>
      </w:pPr>
      <w:r>
        <w:rPr>
          <w:rStyle w:val="FootnoteReference"/>
        </w:rPr>
        <w:footnoteRef/>
      </w:r>
      <w:r>
        <w:t xml:space="preserve"> </w:t>
      </w:r>
      <w:r w:rsidR="005D1F93">
        <w:t xml:space="preserve">Aperghis, 2015: </w:t>
      </w:r>
      <w:r>
        <w:t>73</w:t>
      </w:r>
    </w:p>
  </w:footnote>
  <w:footnote w:id="6">
    <w:p w14:paraId="4E320476" w14:textId="1D83EC48" w:rsidR="00AE3CB2" w:rsidRDefault="00AE3CB2">
      <w:pPr>
        <w:pStyle w:val="FootnoteText"/>
      </w:pPr>
      <w:r>
        <w:rPr>
          <w:rStyle w:val="FootnoteReference"/>
        </w:rPr>
        <w:footnoteRef/>
      </w:r>
      <w:r>
        <w:t xml:space="preserve"> </w:t>
      </w:r>
      <w:r w:rsidR="005D1F93">
        <w:t xml:space="preserve">Aperghis, 2015: </w:t>
      </w:r>
      <w:r>
        <w:t>68</w:t>
      </w:r>
    </w:p>
  </w:footnote>
  <w:footnote w:id="7">
    <w:p w14:paraId="5C2276AF" w14:textId="6152DA8A" w:rsidR="00714101" w:rsidRDefault="00714101">
      <w:pPr>
        <w:pStyle w:val="FootnoteText"/>
      </w:pPr>
      <w:r>
        <w:rPr>
          <w:rStyle w:val="FootnoteReference"/>
        </w:rPr>
        <w:footnoteRef/>
      </w:r>
      <w:r>
        <w:t xml:space="preserve"> </w:t>
      </w:r>
      <w:r w:rsidR="005D1F93">
        <w:t>Aperghis, 2015: 77</w:t>
      </w:r>
    </w:p>
  </w:footnote>
  <w:footnote w:id="8">
    <w:p w14:paraId="3C29675E" w14:textId="1325CD79" w:rsidR="00714101" w:rsidRDefault="00714101">
      <w:pPr>
        <w:pStyle w:val="FootnoteText"/>
      </w:pPr>
      <w:r>
        <w:rPr>
          <w:rStyle w:val="FootnoteReference"/>
        </w:rPr>
        <w:footnoteRef/>
      </w:r>
      <w:r w:rsidR="00164247">
        <w:t xml:space="preserve"> E</w:t>
      </w:r>
      <w:r>
        <w:t>rrington</w:t>
      </w:r>
      <w:r w:rsidR="00164247">
        <w:t>, 2008: 171</w:t>
      </w:r>
      <w:r>
        <w:t xml:space="preserve"> </w:t>
      </w:r>
    </w:p>
  </w:footnote>
  <w:footnote w:id="9">
    <w:p w14:paraId="150DE106" w14:textId="486E850F" w:rsidR="003E2924" w:rsidRDefault="003E2924">
      <w:pPr>
        <w:pStyle w:val="FootnoteText"/>
      </w:pPr>
      <w:r>
        <w:rPr>
          <w:rStyle w:val="FootnoteReference"/>
        </w:rPr>
        <w:footnoteRef/>
      </w:r>
      <w:r>
        <w:t xml:space="preserve"> </w:t>
      </w:r>
      <w:r w:rsidR="005D1F93">
        <w:t>Aperghis, 2015: 7</w:t>
      </w:r>
      <w:r>
        <w:t>1</w:t>
      </w:r>
    </w:p>
  </w:footnote>
  <w:footnote w:id="10">
    <w:p w14:paraId="3D5A1437" w14:textId="3D61DBDA" w:rsidR="003E2924" w:rsidRDefault="003E2924">
      <w:pPr>
        <w:pStyle w:val="FootnoteText"/>
      </w:pPr>
      <w:r>
        <w:rPr>
          <w:rStyle w:val="FootnoteReference"/>
        </w:rPr>
        <w:footnoteRef/>
      </w:r>
      <w:r>
        <w:t xml:space="preserve"> </w:t>
      </w:r>
      <w:r w:rsidR="005D1F93">
        <w:t xml:space="preserve">Aperghis, 2015: </w:t>
      </w:r>
      <w:r>
        <w:t>214</w:t>
      </w:r>
    </w:p>
  </w:footnote>
  <w:footnote w:id="11">
    <w:p w14:paraId="1C498119" w14:textId="4EE1F472" w:rsidR="00355949" w:rsidRDefault="00355949">
      <w:pPr>
        <w:pStyle w:val="FootnoteText"/>
      </w:pPr>
      <w:r>
        <w:rPr>
          <w:rStyle w:val="FootnoteReference"/>
        </w:rPr>
        <w:footnoteRef/>
      </w:r>
      <w:r w:rsidR="005D1F93">
        <w:t xml:space="preserve"> Aperghis, 2015: 78</w:t>
      </w:r>
    </w:p>
  </w:footnote>
  <w:footnote w:id="12">
    <w:p w14:paraId="631F3850" w14:textId="1FD7BA7A" w:rsidR="0031520B" w:rsidRDefault="0031520B">
      <w:pPr>
        <w:pStyle w:val="FootnoteText"/>
      </w:pPr>
      <w:r>
        <w:rPr>
          <w:rStyle w:val="FootnoteReference"/>
        </w:rPr>
        <w:footnoteRef/>
      </w:r>
      <w:r w:rsidR="009C67DA">
        <w:t xml:space="preserve"> Aperghis, 2015: 76</w:t>
      </w:r>
    </w:p>
  </w:footnote>
  <w:footnote w:id="13">
    <w:p w14:paraId="259DE863" w14:textId="1D1FDD74" w:rsidR="003E2924" w:rsidRDefault="003E2924">
      <w:pPr>
        <w:pStyle w:val="FootnoteText"/>
      </w:pPr>
      <w:r>
        <w:rPr>
          <w:rStyle w:val="FootnoteReference"/>
        </w:rPr>
        <w:footnoteRef/>
      </w:r>
      <w:r>
        <w:t xml:space="preserve"> </w:t>
      </w:r>
      <w:r w:rsidR="009C67DA">
        <w:t xml:space="preserve">Aperghis, 2015: </w:t>
      </w:r>
      <w:r>
        <w:t>61</w:t>
      </w:r>
    </w:p>
  </w:footnote>
  <w:footnote w:id="14">
    <w:p w14:paraId="204F9D1B" w14:textId="34D621EC" w:rsidR="009A342C" w:rsidRDefault="009A342C">
      <w:pPr>
        <w:pStyle w:val="FootnoteText"/>
      </w:pPr>
      <w:r>
        <w:rPr>
          <w:rStyle w:val="FootnoteReference"/>
        </w:rPr>
        <w:footnoteRef/>
      </w:r>
      <w:r>
        <w:t xml:space="preserve"> </w:t>
      </w:r>
      <w:r w:rsidR="009C67DA">
        <w:t xml:space="preserve">Aperghis, 2015: </w:t>
      </w:r>
      <w:r w:rsidR="003E2924">
        <w:t>67</w:t>
      </w:r>
    </w:p>
  </w:footnote>
  <w:footnote w:id="15">
    <w:p w14:paraId="1F256AA3" w14:textId="0E13B126" w:rsidR="0031520B" w:rsidRDefault="0031520B">
      <w:pPr>
        <w:pStyle w:val="FootnoteText"/>
      </w:pPr>
      <w:r>
        <w:rPr>
          <w:rStyle w:val="FootnoteReference"/>
        </w:rPr>
        <w:footnoteRef/>
      </w:r>
      <w:r>
        <w:t xml:space="preserve"> </w:t>
      </w:r>
      <w:r w:rsidR="009C67DA">
        <w:t xml:space="preserve">Aperghis, 2015: </w:t>
      </w:r>
      <w:r>
        <w:t>76</w:t>
      </w:r>
    </w:p>
  </w:footnote>
  <w:footnote w:id="16">
    <w:p w14:paraId="171A49EC" w14:textId="2D3CC801" w:rsidR="0031520B" w:rsidRDefault="0031520B">
      <w:pPr>
        <w:pStyle w:val="FootnoteText"/>
      </w:pPr>
      <w:r>
        <w:rPr>
          <w:rStyle w:val="FootnoteReference"/>
        </w:rPr>
        <w:footnoteRef/>
      </w:r>
      <w:r>
        <w:t xml:space="preserve"> </w:t>
      </w:r>
      <w:r w:rsidR="009C67DA">
        <w:t xml:space="preserve">Aperghis, 2015: </w:t>
      </w:r>
      <w:r>
        <w:t>77</w:t>
      </w:r>
    </w:p>
  </w:footnote>
  <w:footnote w:id="17">
    <w:p w14:paraId="14BD8EF3" w14:textId="01E54468" w:rsidR="001C1718" w:rsidRDefault="001C1718">
      <w:pPr>
        <w:pStyle w:val="FootnoteText"/>
      </w:pPr>
      <w:r>
        <w:rPr>
          <w:rStyle w:val="FootnoteReference"/>
        </w:rPr>
        <w:footnoteRef/>
      </w:r>
      <w:r w:rsidR="005E4EFC">
        <w:t xml:space="preserve"> K</w:t>
      </w:r>
      <w:r>
        <w:t>osmi</w:t>
      </w:r>
      <w:r w:rsidR="005E4EFC">
        <w:t>n, 2014: 35</w:t>
      </w:r>
    </w:p>
  </w:footnote>
  <w:footnote w:id="18">
    <w:p w14:paraId="31478154" w14:textId="19AB45A7" w:rsidR="00355949" w:rsidRDefault="00355949">
      <w:pPr>
        <w:pStyle w:val="FootnoteText"/>
      </w:pPr>
      <w:r>
        <w:rPr>
          <w:rStyle w:val="FootnoteReference"/>
        </w:rPr>
        <w:footnoteRef/>
      </w:r>
      <w:r>
        <w:t xml:space="preserve"> </w:t>
      </w:r>
      <w:r w:rsidR="009C67DA">
        <w:t xml:space="preserve">Aperghis, 2015: </w:t>
      </w:r>
      <w:r>
        <w:t>198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023E39" w14:textId="77777777" w:rsidR="00DE2432" w:rsidRDefault="00DE24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FC641" w14:textId="24CC87F5" w:rsidR="00DE2432" w:rsidRDefault="00DE2432">
    <w:pPr>
      <w:pStyle w:val="Header"/>
    </w:pPr>
    <w:r>
      <w:t>Joe Harvey</w:t>
    </w:r>
  </w:p>
  <w:p w14:paraId="55888D75" w14:textId="451BC442" w:rsidR="00DE2432" w:rsidRDefault="00DE2432">
    <w:pPr>
      <w:pStyle w:val="Header"/>
    </w:pPr>
    <w:r>
      <w:t>1501402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5CD9F8" w14:textId="77777777" w:rsidR="00DE2432" w:rsidRDefault="00DE24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C3F"/>
    <w:rsid w:val="0006464F"/>
    <w:rsid w:val="000A42A2"/>
    <w:rsid w:val="00164247"/>
    <w:rsid w:val="00174E34"/>
    <w:rsid w:val="001C1718"/>
    <w:rsid w:val="002F0BEB"/>
    <w:rsid w:val="0031520B"/>
    <w:rsid w:val="00355949"/>
    <w:rsid w:val="003E2924"/>
    <w:rsid w:val="004218EC"/>
    <w:rsid w:val="00443A40"/>
    <w:rsid w:val="0046070F"/>
    <w:rsid w:val="004E2744"/>
    <w:rsid w:val="00597C3F"/>
    <w:rsid w:val="005D1F93"/>
    <w:rsid w:val="005E4EFC"/>
    <w:rsid w:val="005F3F39"/>
    <w:rsid w:val="006566B8"/>
    <w:rsid w:val="00714101"/>
    <w:rsid w:val="007B1892"/>
    <w:rsid w:val="007F5607"/>
    <w:rsid w:val="009A342C"/>
    <w:rsid w:val="009C67DA"/>
    <w:rsid w:val="00A56A5C"/>
    <w:rsid w:val="00AE3CB2"/>
    <w:rsid w:val="00C07FA0"/>
    <w:rsid w:val="00D43C30"/>
    <w:rsid w:val="00D63556"/>
    <w:rsid w:val="00DE2432"/>
    <w:rsid w:val="00E02931"/>
    <w:rsid w:val="00F23387"/>
    <w:rsid w:val="00F32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55DD0"/>
  <w15:chartTrackingRefBased/>
  <w15:docId w15:val="{9BB23085-2F38-4083-97F1-5C193EE05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6355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3556"/>
    <w:rPr>
      <w:sz w:val="20"/>
      <w:szCs w:val="20"/>
    </w:rPr>
  </w:style>
  <w:style w:type="character" w:styleId="FootnoteReference">
    <w:name w:val="footnote reference"/>
    <w:basedOn w:val="DefaultParagraphFont"/>
    <w:uiPriority w:val="99"/>
    <w:semiHidden/>
    <w:unhideWhenUsed/>
    <w:rsid w:val="00D63556"/>
    <w:rPr>
      <w:vertAlign w:val="superscript"/>
    </w:rPr>
  </w:style>
  <w:style w:type="paragraph" w:styleId="Header">
    <w:name w:val="header"/>
    <w:basedOn w:val="Normal"/>
    <w:link w:val="HeaderChar"/>
    <w:uiPriority w:val="99"/>
    <w:unhideWhenUsed/>
    <w:rsid w:val="00DE24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2432"/>
  </w:style>
  <w:style w:type="paragraph" w:styleId="Footer">
    <w:name w:val="footer"/>
    <w:basedOn w:val="Normal"/>
    <w:link w:val="FooterChar"/>
    <w:uiPriority w:val="99"/>
    <w:unhideWhenUsed/>
    <w:rsid w:val="00DE24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24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794</Words>
  <Characters>4526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Harvey (1501402)</dc:creator>
  <cp:keywords/>
  <dc:description/>
  <cp:lastModifiedBy>Joseph Harvey (1501402)</cp:lastModifiedBy>
  <cp:revision>2</cp:revision>
  <dcterms:created xsi:type="dcterms:W3CDTF">2018-02-13T17:04:00Z</dcterms:created>
  <dcterms:modified xsi:type="dcterms:W3CDTF">2018-02-13T17:04:00Z</dcterms:modified>
</cp:coreProperties>
</file>