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ADDEB8C" w14:textId="7BF049C5" w:rsidR="00D10D08" w:rsidRPr="007A0D05" w:rsidRDefault="00D10D08" w:rsidP="005E06EE">
      <w:pPr>
        <w:jc w:val="center"/>
        <w:rPr>
          <w:rFonts w:ascii="Arial" w:hAnsi="Arial" w:cs="Arial"/>
          <w:b/>
          <w:sz w:val="36"/>
          <w:u w:val="single"/>
        </w:rPr>
      </w:pPr>
      <w:r w:rsidRPr="007A0D05">
        <w:rPr>
          <w:rFonts w:ascii="Arial" w:hAnsi="Arial" w:cs="Arial"/>
          <w:b/>
          <w:sz w:val="36"/>
          <w:u w:val="single"/>
        </w:rPr>
        <w:t>AHMS5002 Medieval Britain from Edward the Confessor to Richard II (1042 – 1399)</w:t>
      </w:r>
    </w:p>
    <w:p w14:paraId="0DB4F7B4" w14:textId="6720A81A" w:rsidR="00963C7E" w:rsidRPr="007A0D05" w:rsidRDefault="005E06EE" w:rsidP="005E06EE">
      <w:pPr>
        <w:jc w:val="center"/>
        <w:rPr>
          <w:rFonts w:ascii="Arial" w:hAnsi="Arial" w:cs="Arial"/>
          <w:b/>
          <w:sz w:val="36"/>
          <w:u w:val="single"/>
        </w:rPr>
      </w:pPr>
      <w:r w:rsidRPr="007A0D05">
        <w:rPr>
          <w:rFonts w:ascii="Arial" w:hAnsi="Arial" w:cs="Arial"/>
          <w:b/>
          <w:sz w:val="36"/>
          <w:u w:val="single"/>
        </w:rPr>
        <w:t>To what extent was the reign of Henry I a turning point in English history?</w:t>
      </w:r>
    </w:p>
    <w:p w14:paraId="728F732E" w14:textId="77777777" w:rsidR="00FC4877" w:rsidRPr="007A0D05" w:rsidRDefault="00FC4877" w:rsidP="005E06EE">
      <w:pPr>
        <w:rPr>
          <w:rFonts w:ascii="Arial" w:hAnsi="Arial" w:cs="Arial"/>
          <w:sz w:val="28"/>
        </w:rPr>
      </w:pPr>
    </w:p>
    <w:p w14:paraId="084675BF" w14:textId="5CCABF91" w:rsidR="00EB738D" w:rsidRDefault="00F33631">
      <w:pPr>
        <w:rPr>
          <w:rFonts w:ascii="Arial" w:hAnsi="Arial" w:cs="Arial"/>
          <w:sz w:val="28"/>
        </w:rPr>
      </w:pPr>
      <w:r>
        <w:rPr>
          <w:rFonts w:ascii="Arial" w:hAnsi="Arial" w:cs="Arial"/>
          <w:sz w:val="28"/>
        </w:rPr>
        <w:t xml:space="preserve">Henry I of England ruled between 1100 and 1135, he succeeded his brother William II also known as William Rufus upon him death in a hunting accident, while his older brother Robert Curthose was on </w:t>
      </w:r>
      <w:r w:rsidR="00EA245C">
        <w:rPr>
          <w:rFonts w:ascii="Arial" w:hAnsi="Arial" w:cs="Arial"/>
          <w:sz w:val="28"/>
        </w:rPr>
        <w:t>crusade</w:t>
      </w:r>
      <w:r w:rsidR="003C0EDC">
        <w:rPr>
          <w:rStyle w:val="FootnoteReference"/>
          <w:rFonts w:ascii="Arial" w:hAnsi="Arial" w:cs="Arial"/>
          <w:sz w:val="28"/>
        </w:rPr>
        <w:footnoteReference w:id="1"/>
      </w:r>
      <w:r w:rsidR="00EA245C">
        <w:rPr>
          <w:rFonts w:ascii="Arial" w:hAnsi="Arial" w:cs="Arial"/>
          <w:sz w:val="28"/>
        </w:rPr>
        <w:t xml:space="preserve">. Unlike other kings, </w:t>
      </w:r>
      <w:r w:rsidR="003C0EDC">
        <w:rPr>
          <w:rFonts w:ascii="Arial" w:hAnsi="Arial" w:cs="Arial"/>
          <w:sz w:val="28"/>
        </w:rPr>
        <w:t>Henry had scholarly interests and preferred diplomacy over war, he caused tension between his older brothers during William’s reign.</w:t>
      </w:r>
      <w:r w:rsidR="003C0EDC">
        <w:rPr>
          <w:rStyle w:val="FootnoteReference"/>
          <w:rFonts w:ascii="Arial" w:hAnsi="Arial" w:cs="Arial"/>
          <w:sz w:val="28"/>
        </w:rPr>
        <w:footnoteReference w:id="2"/>
      </w:r>
      <w:r w:rsidR="003C0EDC">
        <w:rPr>
          <w:rFonts w:ascii="Arial" w:hAnsi="Arial" w:cs="Arial"/>
          <w:sz w:val="28"/>
        </w:rPr>
        <w:t xml:space="preserve"> Because of this scholarly interest he was given the nickname Beauclerc.</w:t>
      </w:r>
      <w:r w:rsidR="003C0EDC">
        <w:rPr>
          <w:rStyle w:val="FootnoteReference"/>
          <w:rFonts w:ascii="Arial" w:hAnsi="Arial" w:cs="Arial"/>
          <w:sz w:val="28"/>
        </w:rPr>
        <w:footnoteReference w:id="3"/>
      </w:r>
      <w:r w:rsidR="003C0EDC">
        <w:rPr>
          <w:rFonts w:ascii="Arial" w:hAnsi="Arial" w:cs="Arial"/>
          <w:sz w:val="28"/>
        </w:rPr>
        <w:t xml:space="preserve"> Within this essay, it will be addressed whether Henry’s reign of thirty five years left a lasting impression upon English history. While he created a bureaucracy to control England</w:t>
      </w:r>
      <w:r w:rsidR="003C0EDC">
        <w:rPr>
          <w:rStyle w:val="FootnoteReference"/>
          <w:rFonts w:ascii="Arial" w:hAnsi="Arial" w:cs="Arial"/>
          <w:sz w:val="28"/>
        </w:rPr>
        <w:footnoteReference w:id="4"/>
      </w:r>
      <w:r w:rsidR="003C0EDC">
        <w:rPr>
          <w:rFonts w:ascii="Arial" w:hAnsi="Arial" w:cs="Arial"/>
          <w:sz w:val="28"/>
        </w:rPr>
        <w:t xml:space="preserve"> while he was in Normandy it can be argued against due to him using Anglo Saxon practices rather create his own.</w:t>
      </w:r>
    </w:p>
    <w:p w14:paraId="0163EFEA" w14:textId="3E96B7A7" w:rsidR="003C0EDC" w:rsidRDefault="003C0EDC">
      <w:pPr>
        <w:rPr>
          <w:rFonts w:ascii="Arial" w:hAnsi="Arial" w:cs="Arial"/>
          <w:sz w:val="28"/>
        </w:rPr>
      </w:pPr>
    </w:p>
    <w:p w14:paraId="6C17DF8C" w14:textId="2E1ABF1F" w:rsidR="00EB738D" w:rsidRPr="007A0D05" w:rsidRDefault="003C0EDC">
      <w:pPr>
        <w:rPr>
          <w:rFonts w:ascii="Arial" w:hAnsi="Arial" w:cs="Arial"/>
          <w:sz w:val="28"/>
        </w:rPr>
      </w:pPr>
      <w:r>
        <w:rPr>
          <w:rFonts w:ascii="Arial" w:hAnsi="Arial" w:cs="Arial"/>
          <w:sz w:val="28"/>
        </w:rPr>
        <w:t xml:space="preserve">A way in which Henry’s reign was not a turning point in English history is that he </w:t>
      </w:r>
      <w:r w:rsidR="005B4955" w:rsidRPr="007A0D05">
        <w:rPr>
          <w:rFonts w:ascii="Arial" w:hAnsi="Arial" w:cs="Arial"/>
          <w:sz w:val="28"/>
        </w:rPr>
        <w:t xml:space="preserve">used the Anglo-Saxon systems of sheriffs, shires, shire courts, </w:t>
      </w:r>
      <w:r w:rsidR="00FA644C" w:rsidRPr="007A0D05">
        <w:rPr>
          <w:rFonts w:ascii="Arial" w:hAnsi="Arial" w:cs="Arial"/>
          <w:sz w:val="28"/>
        </w:rPr>
        <w:t xml:space="preserve">hundreds and hundred </w:t>
      </w:r>
      <w:r w:rsidR="005B4955" w:rsidRPr="007A0D05">
        <w:rPr>
          <w:rFonts w:ascii="Arial" w:hAnsi="Arial" w:cs="Arial"/>
          <w:sz w:val="28"/>
        </w:rPr>
        <w:t>courts, carucates, hides boroughs and markets as well as the institution of the monarchy itself</w:t>
      </w:r>
      <w:r w:rsidR="005B4955" w:rsidRPr="007A0D05">
        <w:rPr>
          <w:rStyle w:val="FootnoteReference"/>
          <w:rFonts w:ascii="Arial" w:hAnsi="Arial" w:cs="Arial"/>
          <w:sz w:val="28"/>
        </w:rPr>
        <w:footnoteReference w:id="5"/>
      </w:r>
      <w:r w:rsidR="005B4955" w:rsidRPr="007A0D05">
        <w:rPr>
          <w:rFonts w:ascii="Arial" w:hAnsi="Arial" w:cs="Arial"/>
          <w:sz w:val="28"/>
        </w:rPr>
        <w:t>.</w:t>
      </w:r>
      <w:r>
        <w:rPr>
          <w:rFonts w:ascii="Arial" w:hAnsi="Arial" w:cs="Arial"/>
          <w:sz w:val="28"/>
        </w:rPr>
        <w:t xml:space="preserve"> Using these Anglo Saxon practices, it allowed less opposition towards his reign due to drastic changes that would have met opposition.</w:t>
      </w:r>
      <w:r w:rsidR="00FA644C" w:rsidRPr="007A0D05">
        <w:rPr>
          <w:rFonts w:ascii="Arial" w:hAnsi="Arial" w:cs="Arial"/>
          <w:sz w:val="28"/>
        </w:rPr>
        <w:t xml:space="preserve"> Early in </w:t>
      </w:r>
      <w:r>
        <w:rPr>
          <w:rFonts w:ascii="Arial" w:hAnsi="Arial" w:cs="Arial"/>
          <w:sz w:val="28"/>
        </w:rPr>
        <w:t>H</w:t>
      </w:r>
      <w:r w:rsidR="00FA644C" w:rsidRPr="007A0D05">
        <w:rPr>
          <w:rFonts w:ascii="Arial" w:hAnsi="Arial" w:cs="Arial"/>
          <w:sz w:val="28"/>
        </w:rPr>
        <w:t>enry’s reign, the hundred courts and shire were held in the same terms and places as they were during Edward the Confessor.</w:t>
      </w:r>
      <w:r w:rsidR="00FA644C" w:rsidRPr="007A0D05">
        <w:rPr>
          <w:rStyle w:val="FootnoteReference"/>
          <w:rFonts w:ascii="Arial" w:hAnsi="Arial" w:cs="Arial"/>
          <w:sz w:val="28"/>
        </w:rPr>
        <w:footnoteReference w:id="6"/>
      </w:r>
      <w:r w:rsidR="00FA644C" w:rsidRPr="007A0D05">
        <w:rPr>
          <w:rFonts w:ascii="Arial" w:hAnsi="Arial" w:cs="Arial"/>
          <w:sz w:val="28"/>
        </w:rPr>
        <w:t xml:space="preserve"> </w:t>
      </w:r>
      <w:r>
        <w:rPr>
          <w:rFonts w:ascii="Arial" w:hAnsi="Arial" w:cs="Arial"/>
          <w:sz w:val="28"/>
        </w:rPr>
        <w:t>This would have allowed the Anglo Saxons of England to believe that they were not completely being replaced by the Normans and that their practices were still valued.</w:t>
      </w:r>
      <w:r w:rsidR="00FA644C" w:rsidRPr="007A0D05">
        <w:rPr>
          <w:rFonts w:ascii="Arial" w:hAnsi="Arial" w:cs="Arial"/>
          <w:sz w:val="28"/>
        </w:rPr>
        <w:t xml:space="preserve"> An Anglo-Saxon ordo was more than likely used at Henry’s coronation.</w:t>
      </w:r>
      <w:r w:rsidR="00FA644C" w:rsidRPr="007A0D05">
        <w:rPr>
          <w:rStyle w:val="FootnoteReference"/>
          <w:rFonts w:ascii="Arial" w:hAnsi="Arial" w:cs="Arial"/>
          <w:sz w:val="28"/>
        </w:rPr>
        <w:footnoteReference w:id="7"/>
      </w:r>
      <w:r w:rsidR="00FA644C" w:rsidRPr="007A0D05">
        <w:rPr>
          <w:rFonts w:ascii="Arial" w:hAnsi="Arial" w:cs="Arial"/>
          <w:sz w:val="28"/>
        </w:rPr>
        <w:t xml:space="preserve"> </w:t>
      </w:r>
      <w:r w:rsidR="006F1BEA">
        <w:rPr>
          <w:rFonts w:ascii="Arial" w:hAnsi="Arial" w:cs="Arial"/>
          <w:sz w:val="28"/>
        </w:rPr>
        <w:lastRenderedPageBreak/>
        <w:t xml:space="preserve">This would have also improved Henry’s image. </w:t>
      </w:r>
      <w:r w:rsidR="00FA644C" w:rsidRPr="007A0D05">
        <w:rPr>
          <w:rFonts w:ascii="Arial" w:hAnsi="Arial" w:cs="Arial"/>
          <w:sz w:val="28"/>
        </w:rPr>
        <w:t>Henry used the same taxation of danegeld that had le</w:t>
      </w:r>
      <w:r w:rsidR="0007625F" w:rsidRPr="007A0D05">
        <w:rPr>
          <w:rFonts w:ascii="Arial" w:hAnsi="Arial" w:cs="Arial"/>
          <w:sz w:val="28"/>
        </w:rPr>
        <w:t>vie</w:t>
      </w:r>
      <w:r w:rsidR="00FA644C" w:rsidRPr="007A0D05">
        <w:rPr>
          <w:rFonts w:ascii="Arial" w:hAnsi="Arial" w:cs="Arial"/>
          <w:sz w:val="28"/>
        </w:rPr>
        <w:t xml:space="preserve">d from the reign of </w:t>
      </w:r>
      <w:r w:rsidR="0007625F" w:rsidRPr="007A0D05">
        <w:rPr>
          <w:rFonts w:ascii="Arial" w:hAnsi="Arial" w:cs="Arial"/>
          <w:sz w:val="28"/>
        </w:rPr>
        <w:t>Ethelred the Unready</w:t>
      </w:r>
      <w:r w:rsidR="0007625F" w:rsidRPr="007A0D05">
        <w:rPr>
          <w:rStyle w:val="FootnoteReference"/>
          <w:rFonts w:ascii="Arial" w:hAnsi="Arial" w:cs="Arial"/>
          <w:sz w:val="28"/>
        </w:rPr>
        <w:footnoteReference w:id="8"/>
      </w:r>
      <w:r w:rsidR="0007625F" w:rsidRPr="007A0D05">
        <w:rPr>
          <w:rFonts w:ascii="Arial" w:hAnsi="Arial" w:cs="Arial"/>
          <w:sz w:val="28"/>
        </w:rPr>
        <w:t xml:space="preserve">. Henry also used the same coinage system that dates to reign of Edgar the Peaceable around 973, the coins changed types but still used the highly complex system, there is </w:t>
      </w:r>
      <w:r w:rsidR="0037638C" w:rsidRPr="007A0D05">
        <w:rPr>
          <w:rFonts w:ascii="Arial" w:hAnsi="Arial" w:cs="Arial"/>
          <w:sz w:val="28"/>
        </w:rPr>
        <w:t>fifteen</w:t>
      </w:r>
      <w:r w:rsidR="0007625F" w:rsidRPr="007A0D05">
        <w:rPr>
          <w:rFonts w:ascii="Arial" w:hAnsi="Arial" w:cs="Arial"/>
          <w:sz w:val="28"/>
        </w:rPr>
        <w:t xml:space="preserve"> coin types attributed to Henry’s reign due to debasement and forgery causing conflict between Henry and his minters</w:t>
      </w:r>
      <w:r w:rsidR="0007625F" w:rsidRPr="007A0D05">
        <w:rPr>
          <w:rStyle w:val="FootnoteReference"/>
          <w:rFonts w:ascii="Arial" w:hAnsi="Arial" w:cs="Arial"/>
          <w:sz w:val="28"/>
        </w:rPr>
        <w:footnoteReference w:id="9"/>
      </w:r>
      <w:r w:rsidR="0007625F" w:rsidRPr="007A0D05">
        <w:rPr>
          <w:rFonts w:ascii="Arial" w:hAnsi="Arial" w:cs="Arial"/>
          <w:sz w:val="28"/>
        </w:rPr>
        <w:t>.</w:t>
      </w:r>
      <w:r w:rsidR="006F1BEA">
        <w:rPr>
          <w:rFonts w:ascii="Arial" w:hAnsi="Arial" w:cs="Arial"/>
          <w:sz w:val="28"/>
        </w:rPr>
        <w:t xml:space="preserve"> While using the same system he also improved it by removing forgeries from circulation.</w:t>
      </w:r>
      <w:r w:rsidR="0007625F" w:rsidRPr="007A0D05">
        <w:rPr>
          <w:rFonts w:ascii="Arial" w:hAnsi="Arial" w:cs="Arial"/>
          <w:sz w:val="28"/>
        </w:rPr>
        <w:t xml:space="preserve"> Sally Harvey and James Campbell both agree that </w:t>
      </w:r>
      <w:r w:rsidR="002B7A67" w:rsidRPr="007A0D05">
        <w:rPr>
          <w:rFonts w:ascii="Arial" w:hAnsi="Arial" w:cs="Arial"/>
          <w:sz w:val="28"/>
        </w:rPr>
        <w:t>the Anglo-Norman Kings profited from the developed Anglo-Saxon government system.</w:t>
      </w:r>
      <w:r w:rsidR="002B7A67" w:rsidRPr="007A0D05">
        <w:rPr>
          <w:rStyle w:val="FootnoteReference"/>
          <w:rFonts w:ascii="Arial" w:hAnsi="Arial" w:cs="Arial"/>
          <w:sz w:val="28"/>
        </w:rPr>
        <w:footnoteReference w:id="10"/>
      </w:r>
      <w:r w:rsidR="00164B3F">
        <w:rPr>
          <w:rFonts w:ascii="Arial" w:hAnsi="Arial" w:cs="Arial"/>
          <w:sz w:val="28"/>
        </w:rPr>
        <w:t xml:space="preserve"> </w:t>
      </w:r>
      <w:r w:rsidR="00B27B9A">
        <w:rPr>
          <w:rFonts w:ascii="Arial" w:hAnsi="Arial" w:cs="Arial"/>
          <w:sz w:val="28"/>
        </w:rPr>
        <w:t>Therefore, Henry’s reign was not a turning point in English history due to that they only developed upon a system that was already in place.</w:t>
      </w:r>
    </w:p>
    <w:p w14:paraId="367A1826" w14:textId="77777777" w:rsidR="00A14DD4" w:rsidRDefault="00A14DD4">
      <w:pPr>
        <w:rPr>
          <w:rFonts w:ascii="Arial" w:hAnsi="Arial" w:cs="Arial"/>
          <w:sz w:val="28"/>
        </w:rPr>
      </w:pPr>
    </w:p>
    <w:p w14:paraId="5E6CBBC4" w14:textId="47C3B814" w:rsidR="00254EA1" w:rsidRPr="007A0D05" w:rsidRDefault="00A14DD4">
      <w:pPr>
        <w:rPr>
          <w:rFonts w:ascii="Arial" w:hAnsi="Arial" w:cs="Arial"/>
          <w:sz w:val="28"/>
        </w:rPr>
      </w:pPr>
      <w:r>
        <w:rPr>
          <w:rFonts w:ascii="Arial" w:hAnsi="Arial" w:cs="Arial"/>
          <w:sz w:val="28"/>
        </w:rPr>
        <w:t xml:space="preserve">A way in which Henry’s reign was a turning point within English history is his creation of the Royal Exchequer and the creation of a bureaucracy. </w:t>
      </w:r>
      <w:r w:rsidR="00251718" w:rsidRPr="007A0D05">
        <w:rPr>
          <w:rFonts w:ascii="Arial" w:hAnsi="Arial" w:cs="Arial"/>
          <w:sz w:val="28"/>
        </w:rPr>
        <w:t>Warren Hollister states that</w:t>
      </w:r>
      <w:r w:rsidR="00FA644C" w:rsidRPr="007A0D05">
        <w:rPr>
          <w:rFonts w:ascii="Arial" w:hAnsi="Arial" w:cs="Arial"/>
          <w:sz w:val="28"/>
        </w:rPr>
        <w:t xml:space="preserve"> </w:t>
      </w:r>
      <w:r w:rsidR="00251718" w:rsidRPr="007A0D05">
        <w:rPr>
          <w:rFonts w:ascii="Arial" w:hAnsi="Arial" w:cs="Arial"/>
          <w:sz w:val="28"/>
        </w:rPr>
        <w:t>even though kings after Henry used the same system of administration, they however had a lower rate of success compared to Henry, possibly due to the fact henry had the ability to enforce peace where they did not</w:t>
      </w:r>
      <w:r w:rsidR="00251718" w:rsidRPr="007A0D05">
        <w:rPr>
          <w:rStyle w:val="FootnoteReference"/>
          <w:rFonts w:ascii="Arial" w:hAnsi="Arial" w:cs="Arial"/>
          <w:sz w:val="28"/>
        </w:rPr>
        <w:footnoteReference w:id="11"/>
      </w:r>
      <w:r w:rsidR="00251718" w:rsidRPr="007A0D05">
        <w:rPr>
          <w:rFonts w:ascii="Arial" w:hAnsi="Arial" w:cs="Arial"/>
          <w:sz w:val="28"/>
        </w:rPr>
        <w:t>.</w:t>
      </w:r>
      <w:r w:rsidR="00D7061C" w:rsidRPr="007A0D05">
        <w:rPr>
          <w:rFonts w:ascii="Arial" w:hAnsi="Arial" w:cs="Arial"/>
          <w:sz w:val="28"/>
        </w:rPr>
        <w:t xml:space="preserve"> Henry eliminated private warfare and also reformed and reorganised the royal justice</w:t>
      </w:r>
      <w:r w:rsidR="00D7061C" w:rsidRPr="007A0D05">
        <w:rPr>
          <w:rStyle w:val="FootnoteReference"/>
          <w:rFonts w:ascii="Arial" w:hAnsi="Arial" w:cs="Arial"/>
          <w:sz w:val="28"/>
        </w:rPr>
        <w:footnoteReference w:id="12"/>
      </w:r>
      <w:r w:rsidR="00D7061C" w:rsidRPr="007A0D05">
        <w:rPr>
          <w:rFonts w:ascii="Arial" w:hAnsi="Arial" w:cs="Arial"/>
          <w:sz w:val="28"/>
        </w:rPr>
        <w:t>. In doing this henry was able to ensure peace and prosperity within his reign.  Historians believe that the reforms within Henry’s government allowed the state of England to change from a Carolingian state to a 12</w:t>
      </w:r>
      <w:r w:rsidR="00D7061C" w:rsidRPr="007A0D05">
        <w:rPr>
          <w:rFonts w:ascii="Arial" w:hAnsi="Arial" w:cs="Arial"/>
          <w:sz w:val="28"/>
          <w:vertAlign w:val="superscript"/>
        </w:rPr>
        <w:t>th</w:t>
      </w:r>
      <w:r w:rsidR="00D7061C" w:rsidRPr="007A0D05">
        <w:rPr>
          <w:rFonts w:ascii="Arial" w:hAnsi="Arial" w:cs="Arial"/>
          <w:sz w:val="28"/>
        </w:rPr>
        <w:t xml:space="preserve"> century one</w:t>
      </w:r>
      <w:r w:rsidR="005B4955" w:rsidRPr="007A0D05">
        <w:rPr>
          <w:rStyle w:val="FootnoteReference"/>
          <w:rFonts w:ascii="Arial" w:hAnsi="Arial" w:cs="Arial"/>
          <w:sz w:val="28"/>
        </w:rPr>
        <w:footnoteReference w:id="13"/>
      </w:r>
      <w:r w:rsidR="00D7061C" w:rsidRPr="007A0D05">
        <w:rPr>
          <w:rFonts w:ascii="Arial" w:hAnsi="Arial" w:cs="Arial"/>
          <w:sz w:val="28"/>
        </w:rPr>
        <w:t xml:space="preserve"> showing that Henry’s change in government of the English state allowed the </w:t>
      </w:r>
      <w:r w:rsidR="005B4955" w:rsidRPr="007A0D05">
        <w:rPr>
          <w:rFonts w:ascii="Arial" w:hAnsi="Arial" w:cs="Arial"/>
          <w:sz w:val="28"/>
        </w:rPr>
        <w:t>state to evolve and at the time to be seen as more modern. Thus, enabling the government of Henry’s England to become the foundations of future development.</w:t>
      </w:r>
      <w:r w:rsidR="00FB3BB3" w:rsidRPr="007A0D05">
        <w:rPr>
          <w:rFonts w:ascii="Arial" w:hAnsi="Arial" w:cs="Arial"/>
          <w:sz w:val="28"/>
        </w:rPr>
        <w:t xml:space="preserve"> </w:t>
      </w:r>
      <w:r w:rsidR="00254EA1" w:rsidRPr="007A0D05">
        <w:rPr>
          <w:rFonts w:ascii="Arial" w:hAnsi="Arial" w:cs="Arial"/>
          <w:sz w:val="28"/>
        </w:rPr>
        <w:t>The main known part of the evolution of Henry’s administration was exchequer, the first known being Roger of Salisbury who improved and modernised the position</w:t>
      </w:r>
      <w:r w:rsidR="00254EA1" w:rsidRPr="007A0D05">
        <w:rPr>
          <w:rStyle w:val="FootnoteReference"/>
          <w:rFonts w:ascii="Arial" w:hAnsi="Arial" w:cs="Arial"/>
          <w:sz w:val="28"/>
        </w:rPr>
        <w:footnoteReference w:id="14"/>
      </w:r>
      <w:r w:rsidR="00236E04">
        <w:rPr>
          <w:rFonts w:ascii="Arial" w:hAnsi="Arial" w:cs="Arial"/>
          <w:sz w:val="28"/>
        </w:rPr>
        <w:t>. Henry would have all the money from his sheriffs brought to him to be counted and fraudulent coinage to be removed from the economy, twice a year</w:t>
      </w:r>
      <w:r w:rsidR="00236E04">
        <w:rPr>
          <w:rStyle w:val="FootnoteReference"/>
          <w:rFonts w:ascii="Arial" w:hAnsi="Arial" w:cs="Arial"/>
          <w:sz w:val="28"/>
        </w:rPr>
        <w:footnoteReference w:id="15"/>
      </w:r>
      <w:r w:rsidR="00236E04">
        <w:rPr>
          <w:rFonts w:ascii="Arial" w:hAnsi="Arial" w:cs="Arial"/>
          <w:sz w:val="28"/>
        </w:rPr>
        <w:t xml:space="preserve"> allowing for economic growth. The exchequer was used to create a </w:t>
      </w:r>
      <w:r w:rsidR="00236E04">
        <w:rPr>
          <w:rFonts w:ascii="Arial" w:hAnsi="Arial" w:cs="Arial"/>
          <w:sz w:val="28"/>
        </w:rPr>
        <w:lastRenderedPageBreak/>
        <w:t xml:space="preserve">central </w:t>
      </w:r>
      <w:r w:rsidR="007D120D">
        <w:rPr>
          <w:rFonts w:ascii="Arial" w:hAnsi="Arial" w:cs="Arial"/>
          <w:sz w:val="28"/>
        </w:rPr>
        <w:t>institution for the collection and disbursement of royal revenue</w:t>
      </w:r>
      <w:r w:rsidR="007D120D">
        <w:rPr>
          <w:rStyle w:val="FootnoteReference"/>
          <w:rFonts w:ascii="Arial" w:hAnsi="Arial" w:cs="Arial"/>
          <w:sz w:val="28"/>
        </w:rPr>
        <w:footnoteReference w:id="16"/>
      </w:r>
      <w:r w:rsidR="007D120D">
        <w:rPr>
          <w:rFonts w:ascii="Arial" w:hAnsi="Arial" w:cs="Arial"/>
          <w:sz w:val="28"/>
        </w:rPr>
        <w:t>. It also allowed for local administration to be enforced, allowing for the system to gradually develop and become refined</w:t>
      </w:r>
      <w:r w:rsidR="007D120D">
        <w:rPr>
          <w:rStyle w:val="FootnoteReference"/>
          <w:rFonts w:ascii="Arial" w:hAnsi="Arial" w:cs="Arial"/>
          <w:sz w:val="28"/>
        </w:rPr>
        <w:footnoteReference w:id="17"/>
      </w:r>
      <w:r w:rsidR="007D120D">
        <w:rPr>
          <w:rFonts w:ascii="Arial" w:hAnsi="Arial" w:cs="Arial"/>
          <w:sz w:val="28"/>
        </w:rPr>
        <w:t xml:space="preserve">. </w:t>
      </w:r>
      <w:r w:rsidR="00BC7DA9">
        <w:rPr>
          <w:rFonts w:ascii="Arial" w:hAnsi="Arial" w:cs="Arial"/>
          <w:sz w:val="28"/>
        </w:rPr>
        <w:t>Therefore,</w:t>
      </w:r>
      <w:r w:rsidR="007D120D">
        <w:rPr>
          <w:rFonts w:ascii="Arial" w:hAnsi="Arial" w:cs="Arial"/>
          <w:sz w:val="28"/>
        </w:rPr>
        <w:t xml:space="preserve"> the creation of the exchequer was a turning point in English history as the exchequer is still a position within the government today, thus showing the true impact of Henry’s reign. </w:t>
      </w:r>
    </w:p>
    <w:p w14:paraId="0C6C36BB" w14:textId="77777777" w:rsidR="00EB738D" w:rsidRPr="007A0D05" w:rsidRDefault="00EB738D">
      <w:pPr>
        <w:rPr>
          <w:rFonts w:ascii="Arial" w:hAnsi="Arial" w:cs="Arial"/>
          <w:sz w:val="28"/>
        </w:rPr>
      </w:pPr>
    </w:p>
    <w:p w14:paraId="2E7C6652" w14:textId="2F9D3BAB" w:rsidR="00EB738D" w:rsidRPr="007A0D05" w:rsidRDefault="00A14DD4">
      <w:pPr>
        <w:rPr>
          <w:rFonts w:ascii="Arial" w:hAnsi="Arial" w:cs="Arial"/>
          <w:sz w:val="28"/>
        </w:rPr>
      </w:pPr>
      <w:r>
        <w:rPr>
          <w:rFonts w:ascii="Arial" w:hAnsi="Arial" w:cs="Arial"/>
          <w:sz w:val="28"/>
        </w:rPr>
        <w:t>Another way in which Henry’s reign was a turning point in English history is he allowed people of non-noble birth to climb up the ranks within his government.</w:t>
      </w:r>
      <w:r w:rsidR="00BC7DA9">
        <w:rPr>
          <w:rFonts w:ascii="Arial" w:hAnsi="Arial" w:cs="Arial"/>
          <w:sz w:val="28"/>
        </w:rPr>
        <w:t xml:space="preserve"> Roger of Salisbury was an example of this. He was </w:t>
      </w:r>
      <w:r w:rsidR="00034BFC">
        <w:rPr>
          <w:rFonts w:ascii="Arial" w:hAnsi="Arial" w:cs="Arial"/>
          <w:sz w:val="28"/>
        </w:rPr>
        <w:t>a poor, illiterate priest serving at a church near Caen, he impressed Henry with his taking of Mass, while Henry was fighting in Normandy</w:t>
      </w:r>
      <w:r w:rsidR="00302AFA">
        <w:rPr>
          <w:rStyle w:val="FootnoteReference"/>
          <w:rFonts w:ascii="Arial" w:hAnsi="Arial" w:cs="Arial"/>
          <w:sz w:val="28"/>
        </w:rPr>
        <w:footnoteReference w:id="18"/>
      </w:r>
      <w:r w:rsidR="00034BFC">
        <w:rPr>
          <w:rFonts w:ascii="Arial" w:hAnsi="Arial" w:cs="Arial"/>
          <w:sz w:val="28"/>
        </w:rPr>
        <w:t>. Henry quickly placed him into a position of power when he took the throne. He became one of Henry’s closest and most trusted of his ministers, he was even given the custody of Robert Curthose after Henry took him prisoner in 1106</w:t>
      </w:r>
      <w:r w:rsidR="00302AFA">
        <w:rPr>
          <w:rStyle w:val="FootnoteReference"/>
          <w:rFonts w:ascii="Arial" w:hAnsi="Arial" w:cs="Arial"/>
          <w:sz w:val="28"/>
        </w:rPr>
        <w:footnoteReference w:id="19"/>
      </w:r>
      <w:r w:rsidR="00034BFC">
        <w:rPr>
          <w:rFonts w:ascii="Arial" w:hAnsi="Arial" w:cs="Arial"/>
          <w:sz w:val="28"/>
        </w:rPr>
        <w:t>. Roger was entrusted with running England administratively for Henry. When Henry was in Normandy, Roger was second only to Queen Matilda until her death in 1118, then Prince William till he left for Normandy and never returned</w:t>
      </w:r>
      <w:r w:rsidR="00302AFA">
        <w:rPr>
          <w:rStyle w:val="FootnoteReference"/>
          <w:rFonts w:ascii="Arial" w:hAnsi="Arial" w:cs="Arial"/>
          <w:sz w:val="28"/>
        </w:rPr>
        <w:footnoteReference w:id="20"/>
      </w:r>
      <w:r w:rsidR="00034BFC">
        <w:rPr>
          <w:rFonts w:ascii="Arial" w:hAnsi="Arial" w:cs="Arial"/>
          <w:sz w:val="28"/>
        </w:rPr>
        <w:t>. He was given regency of England between 1123 and 1126 when Henry was absent from England</w:t>
      </w:r>
      <w:r w:rsidR="00302AFA">
        <w:rPr>
          <w:rStyle w:val="FootnoteReference"/>
          <w:rFonts w:ascii="Arial" w:hAnsi="Arial" w:cs="Arial"/>
          <w:sz w:val="28"/>
        </w:rPr>
        <w:footnoteReference w:id="21"/>
      </w:r>
      <w:r w:rsidR="00034BFC">
        <w:rPr>
          <w:rFonts w:ascii="Arial" w:hAnsi="Arial" w:cs="Arial"/>
          <w:sz w:val="28"/>
        </w:rPr>
        <w:t>. Therefore, Henry’s reign was a turning point in English history by giving men of obscure ranks or men not born into nobility the opportunity to become part of the English government.</w:t>
      </w:r>
    </w:p>
    <w:p w14:paraId="756E2F14" w14:textId="77777777" w:rsidR="00EB738D" w:rsidRPr="007A0D05" w:rsidRDefault="00EB738D">
      <w:pPr>
        <w:rPr>
          <w:rFonts w:ascii="Arial" w:hAnsi="Arial" w:cs="Arial"/>
          <w:sz w:val="28"/>
        </w:rPr>
      </w:pPr>
    </w:p>
    <w:p w14:paraId="6AC25100" w14:textId="0A0C299C" w:rsidR="00EB738D" w:rsidRPr="007A0D05" w:rsidRDefault="00A14DD4">
      <w:pPr>
        <w:rPr>
          <w:rFonts w:ascii="Arial" w:hAnsi="Arial" w:cs="Arial"/>
          <w:sz w:val="28"/>
        </w:rPr>
      </w:pPr>
      <w:r>
        <w:rPr>
          <w:rFonts w:ascii="Arial" w:hAnsi="Arial" w:cs="Arial"/>
          <w:sz w:val="28"/>
        </w:rPr>
        <w:t xml:space="preserve">Henry also improved the relationship between the crown and church which shows his reign was a major milestone within English history. </w:t>
      </w:r>
      <w:r w:rsidR="00254EA1" w:rsidRPr="007A0D05">
        <w:rPr>
          <w:rFonts w:ascii="Arial" w:hAnsi="Arial" w:cs="Arial"/>
          <w:sz w:val="28"/>
        </w:rPr>
        <w:t>Henry had more flexibility and finesse over the church compared to his father and brother</w:t>
      </w:r>
      <w:r w:rsidR="00254EA1" w:rsidRPr="007A0D05">
        <w:rPr>
          <w:rStyle w:val="FootnoteReference"/>
          <w:rFonts w:ascii="Arial" w:hAnsi="Arial" w:cs="Arial"/>
          <w:sz w:val="28"/>
        </w:rPr>
        <w:footnoteReference w:id="22"/>
      </w:r>
      <w:r w:rsidR="00254EA1" w:rsidRPr="007A0D05">
        <w:rPr>
          <w:rFonts w:ascii="Arial" w:hAnsi="Arial" w:cs="Arial"/>
          <w:sz w:val="28"/>
        </w:rPr>
        <w:t>.</w:t>
      </w:r>
      <w:r w:rsidR="007A0D05" w:rsidRPr="007A0D05">
        <w:rPr>
          <w:rFonts w:ascii="Arial" w:hAnsi="Arial" w:cs="Arial"/>
          <w:sz w:val="28"/>
        </w:rPr>
        <w:t xml:space="preserve"> But instead of reforming the church Henry became involved with the investiture controversy, however, Henry was more willing to work with the church and the papacy compared to the Holy Roman Empire</w:t>
      </w:r>
      <w:r w:rsidR="007A0D05">
        <w:rPr>
          <w:rFonts w:ascii="Arial" w:hAnsi="Arial" w:cs="Arial"/>
          <w:sz w:val="28"/>
        </w:rPr>
        <w:t xml:space="preserve"> and Emperor Henry IV who spent time being </w:t>
      </w:r>
      <w:r w:rsidR="007A0D05">
        <w:rPr>
          <w:rFonts w:ascii="Arial" w:hAnsi="Arial" w:cs="Arial"/>
          <w:sz w:val="28"/>
        </w:rPr>
        <w:lastRenderedPageBreak/>
        <w:t>excommunicated from the church</w:t>
      </w:r>
      <w:r w:rsidR="00F33631">
        <w:rPr>
          <w:rStyle w:val="FootnoteReference"/>
          <w:rFonts w:ascii="Arial" w:hAnsi="Arial" w:cs="Arial"/>
          <w:sz w:val="28"/>
        </w:rPr>
        <w:footnoteReference w:id="23"/>
      </w:r>
      <w:r w:rsidR="007A0D05">
        <w:rPr>
          <w:rFonts w:ascii="Arial" w:hAnsi="Arial" w:cs="Arial"/>
          <w:sz w:val="28"/>
        </w:rPr>
        <w:t>. Because Henry was more receptive towards the church he was allowed to receive homage from the ecclesiastical institutions</w:t>
      </w:r>
      <w:r w:rsidR="006F1BEA">
        <w:rPr>
          <w:rStyle w:val="FootnoteReference"/>
          <w:rFonts w:ascii="Arial" w:hAnsi="Arial" w:cs="Arial"/>
          <w:sz w:val="28"/>
        </w:rPr>
        <w:footnoteReference w:id="24"/>
      </w:r>
      <w:r w:rsidR="007A0D05">
        <w:rPr>
          <w:rFonts w:ascii="Arial" w:hAnsi="Arial" w:cs="Arial"/>
          <w:sz w:val="28"/>
        </w:rPr>
        <w:t xml:space="preserve">. </w:t>
      </w:r>
      <w:r w:rsidR="008B3BE3" w:rsidRPr="007A0D05">
        <w:rPr>
          <w:rFonts w:ascii="Arial" w:hAnsi="Arial" w:cs="Arial"/>
          <w:sz w:val="28"/>
        </w:rPr>
        <w:t>Bishops became more important players within the government</w:t>
      </w:r>
      <w:r w:rsidR="008B3BE3" w:rsidRPr="007A0D05">
        <w:rPr>
          <w:rStyle w:val="FootnoteReference"/>
          <w:rFonts w:ascii="Arial" w:hAnsi="Arial" w:cs="Arial"/>
          <w:sz w:val="28"/>
        </w:rPr>
        <w:footnoteReference w:id="25"/>
      </w:r>
      <w:r w:rsidR="008B3BE3" w:rsidRPr="007A0D05">
        <w:rPr>
          <w:rFonts w:ascii="Arial" w:hAnsi="Arial" w:cs="Arial"/>
          <w:sz w:val="28"/>
        </w:rPr>
        <w:t>.</w:t>
      </w:r>
      <w:r w:rsidR="007A0D05">
        <w:rPr>
          <w:rFonts w:ascii="Arial" w:hAnsi="Arial" w:cs="Arial"/>
          <w:sz w:val="28"/>
        </w:rPr>
        <w:t>Henry allowed bishops to improve their standing within the bureaucracy that he had created.</w:t>
      </w:r>
      <w:r w:rsidR="008B3BE3" w:rsidRPr="007A0D05">
        <w:rPr>
          <w:rFonts w:ascii="Arial" w:hAnsi="Arial" w:cs="Arial"/>
          <w:sz w:val="28"/>
        </w:rPr>
        <w:t xml:space="preserve"> Henry style of personal government and whose pragmatic and temper policies guaranteed the loyalty of his ecclesiastical servants in his lifetime but ultimately gave them the power and organisation to improve their position against Stephen and to challenge Henry II</w:t>
      </w:r>
      <w:r w:rsidR="008B3BE3" w:rsidRPr="007A0D05">
        <w:rPr>
          <w:rStyle w:val="FootnoteReference"/>
          <w:rFonts w:ascii="Arial" w:hAnsi="Arial" w:cs="Arial"/>
          <w:sz w:val="28"/>
        </w:rPr>
        <w:footnoteReference w:id="26"/>
      </w:r>
      <w:r w:rsidR="00236E04">
        <w:rPr>
          <w:rFonts w:ascii="Arial" w:hAnsi="Arial" w:cs="Arial"/>
          <w:sz w:val="28"/>
        </w:rPr>
        <w:t>. Due to Henry recruiting from the church and having them for his advisors</w:t>
      </w:r>
      <w:r w:rsidR="00236E04">
        <w:rPr>
          <w:rStyle w:val="FootnoteReference"/>
          <w:rFonts w:ascii="Arial" w:hAnsi="Arial" w:cs="Arial"/>
          <w:sz w:val="28"/>
        </w:rPr>
        <w:footnoteReference w:id="27"/>
      </w:r>
      <w:r w:rsidR="00236E04">
        <w:rPr>
          <w:rFonts w:ascii="Arial" w:hAnsi="Arial" w:cs="Arial"/>
          <w:sz w:val="28"/>
        </w:rPr>
        <w:t>. Therefore, Henry’s strong relationship with the church was a turning point with English history as his legacy allowed them to try and improve kings after Henry.</w:t>
      </w:r>
    </w:p>
    <w:p w14:paraId="3BAA54DA" w14:textId="77777777" w:rsidR="00254EA1" w:rsidRPr="007A0D05" w:rsidRDefault="00254EA1">
      <w:pPr>
        <w:rPr>
          <w:rFonts w:ascii="Arial" w:hAnsi="Arial" w:cs="Arial"/>
          <w:sz w:val="28"/>
        </w:rPr>
      </w:pPr>
    </w:p>
    <w:p w14:paraId="1085FF99" w14:textId="1E2B6DE6" w:rsidR="00EB738D" w:rsidRPr="007A0D05" w:rsidRDefault="00A14DD4">
      <w:pPr>
        <w:rPr>
          <w:rFonts w:ascii="Arial" w:hAnsi="Arial" w:cs="Arial"/>
          <w:sz w:val="28"/>
        </w:rPr>
      </w:pPr>
      <w:r>
        <w:rPr>
          <w:rFonts w:ascii="Arial" w:hAnsi="Arial" w:cs="Arial"/>
          <w:sz w:val="28"/>
        </w:rPr>
        <w:t>Finally, another way in which Henry’s reign was a turning point in English history was Henry’s charter of liberties which saw a change in the relationship between king and subjects. Henry promised to end unpredictable taxes</w:t>
      </w:r>
      <w:r>
        <w:rPr>
          <w:rStyle w:val="FootnoteReference"/>
          <w:rFonts w:ascii="Arial" w:hAnsi="Arial" w:cs="Arial"/>
          <w:sz w:val="28"/>
        </w:rPr>
        <w:footnoteReference w:id="28"/>
      </w:r>
      <w:r>
        <w:rPr>
          <w:rFonts w:ascii="Arial" w:hAnsi="Arial" w:cs="Arial"/>
          <w:sz w:val="28"/>
        </w:rPr>
        <w:t xml:space="preserve"> allowing the economy to flourish under his rule. He also promised to end the confiscations of church </w:t>
      </w:r>
      <w:r w:rsidR="000E5F1D">
        <w:rPr>
          <w:rFonts w:ascii="Arial" w:hAnsi="Arial" w:cs="Arial"/>
          <w:sz w:val="28"/>
        </w:rPr>
        <w:t>revenues</w:t>
      </w:r>
      <w:r>
        <w:rPr>
          <w:rFonts w:ascii="Arial" w:hAnsi="Arial" w:cs="Arial"/>
          <w:sz w:val="28"/>
        </w:rPr>
        <w:t xml:space="preserve"> that his brother had done</w:t>
      </w:r>
      <w:r>
        <w:rPr>
          <w:rStyle w:val="FootnoteReference"/>
          <w:rFonts w:ascii="Arial" w:hAnsi="Arial" w:cs="Arial"/>
          <w:sz w:val="28"/>
        </w:rPr>
        <w:footnoteReference w:id="29"/>
      </w:r>
      <w:r>
        <w:rPr>
          <w:rFonts w:ascii="Arial" w:hAnsi="Arial" w:cs="Arial"/>
          <w:sz w:val="28"/>
        </w:rPr>
        <w:t>, thus improving his relationship</w:t>
      </w:r>
      <w:r w:rsidR="000E5F1D">
        <w:rPr>
          <w:rFonts w:ascii="Arial" w:hAnsi="Arial" w:cs="Arial"/>
          <w:sz w:val="28"/>
        </w:rPr>
        <w:t xml:space="preserve"> with the church it also allowed monasteries to grow and develop under his reign.</w:t>
      </w:r>
      <w:r w:rsidR="000E5F1D">
        <w:rPr>
          <w:rStyle w:val="FootnoteReference"/>
          <w:rFonts w:ascii="Arial" w:hAnsi="Arial" w:cs="Arial"/>
          <w:sz w:val="28"/>
        </w:rPr>
        <w:footnoteReference w:id="30"/>
      </w:r>
      <w:r w:rsidR="007F7E58">
        <w:rPr>
          <w:rFonts w:ascii="Arial" w:hAnsi="Arial" w:cs="Arial"/>
          <w:sz w:val="28"/>
        </w:rPr>
        <w:t xml:space="preserve"> He also promised to not over tax the church</w:t>
      </w:r>
      <w:r w:rsidR="007F7E58">
        <w:rPr>
          <w:rStyle w:val="FootnoteReference"/>
          <w:rFonts w:ascii="Arial" w:hAnsi="Arial" w:cs="Arial"/>
          <w:sz w:val="28"/>
        </w:rPr>
        <w:footnoteReference w:id="31"/>
      </w:r>
      <w:r w:rsidR="007F7E58">
        <w:rPr>
          <w:rFonts w:ascii="Arial" w:hAnsi="Arial" w:cs="Arial"/>
          <w:sz w:val="28"/>
        </w:rPr>
        <w:t xml:space="preserve"> which would have also improved relations. He also did not over tax his tenants in chief and in return expected them to treat their tenants as he had treated them</w:t>
      </w:r>
      <w:r w:rsidR="007F7E58">
        <w:rPr>
          <w:rStyle w:val="FootnoteReference"/>
          <w:rFonts w:ascii="Arial" w:hAnsi="Arial" w:cs="Arial"/>
          <w:sz w:val="28"/>
        </w:rPr>
        <w:footnoteReference w:id="32"/>
      </w:r>
      <w:r w:rsidR="007F7E58">
        <w:rPr>
          <w:rFonts w:ascii="Arial" w:hAnsi="Arial" w:cs="Arial"/>
          <w:sz w:val="28"/>
        </w:rPr>
        <w:t>. This would have gained him reverence from his barons, preventing uprisings and rebellions. Therefore, Henry’s reign was a turning point in English history as his idea of a promise to the people in the form of the charter of liberties was used by kings that succeeded him it was also used to create the Magna Carta</w:t>
      </w:r>
      <w:r w:rsidR="007F7E58">
        <w:rPr>
          <w:rStyle w:val="FootnoteReference"/>
          <w:rFonts w:ascii="Arial" w:hAnsi="Arial" w:cs="Arial"/>
          <w:sz w:val="28"/>
        </w:rPr>
        <w:footnoteReference w:id="33"/>
      </w:r>
      <w:r w:rsidR="007F7E58">
        <w:rPr>
          <w:rFonts w:ascii="Arial" w:hAnsi="Arial" w:cs="Arial"/>
          <w:sz w:val="28"/>
        </w:rPr>
        <w:t>.</w:t>
      </w:r>
    </w:p>
    <w:p w14:paraId="7FAB403C" w14:textId="5057D78D" w:rsidR="00EB738D" w:rsidRDefault="00EB738D">
      <w:pPr>
        <w:rPr>
          <w:rFonts w:ascii="Arial" w:hAnsi="Arial" w:cs="Arial"/>
          <w:sz w:val="28"/>
        </w:rPr>
      </w:pPr>
    </w:p>
    <w:p w14:paraId="54F51CF4" w14:textId="74BE5D21" w:rsidR="007F7E58" w:rsidRPr="007A0D05" w:rsidRDefault="007F7E58">
      <w:pPr>
        <w:rPr>
          <w:rFonts w:ascii="Arial" w:hAnsi="Arial" w:cs="Arial"/>
          <w:sz w:val="28"/>
        </w:rPr>
      </w:pPr>
      <w:r>
        <w:rPr>
          <w:rFonts w:ascii="Arial" w:hAnsi="Arial" w:cs="Arial"/>
          <w:sz w:val="28"/>
        </w:rPr>
        <w:t>In conclusion, Henry’s reign was a turning point in English history not only for his relationship with the church, the royal exchequer and the charter of liberties. He also promoted Normans to marry Anglo Saxon women to create unity within his kingdom, but he also colonised part of Wales</w:t>
      </w:r>
      <w:r w:rsidR="00236E04">
        <w:rPr>
          <w:rFonts w:ascii="Arial" w:hAnsi="Arial" w:cs="Arial"/>
          <w:sz w:val="28"/>
        </w:rPr>
        <w:t>, ending rebellions for the Welsh Princes and reasserting dominance</w:t>
      </w:r>
      <w:r w:rsidR="00236E04">
        <w:rPr>
          <w:rStyle w:val="FootnoteReference"/>
          <w:rFonts w:ascii="Arial" w:hAnsi="Arial" w:cs="Arial"/>
          <w:sz w:val="28"/>
        </w:rPr>
        <w:footnoteReference w:id="34"/>
      </w:r>
      <w:r w:rsidR="00236E04">
        <w:rPr>
          <w:rFonts w:ascii="Arial" w:hAnsi="Arial" w:cs="Arial"/>
          <w:sz w:val="28"/>
        </w:rPr>
        <w:t>. The kingdom grew under his reign, with law enforced harshly allowing for peace.</w:t>
      </w:r>
      <w:r w:rsidR="00236E04">
        <w:rPr>
          <w:rStyle w:val="FootnoteReference"/>
          <w:rFonts w:ascii="Arial" w:hAnsi="Arial" w:cs="Arial"/>
          <w:sz w:val="28"/>
        </w:rPr>
        <w:footnoteReference w:id="35"/>
      </w:r>
    </w:p>
    <w:p w14:paraId="67CC2BB7" w14:textId="57A88BAF" w:rsidR="00FC4877" w:rsidRPr="00D10D08" w:rsidRDefault="00FC4877">
      <w:pPr>
        <w:rPr>
          <w:rFonts w:ascii="Arial" w:hAnsi="Arial" w:cs="Arial"/>
          <w:sz w:val="24"/>
        </w:rPr>
      </w:pPr>
      <w:r w:rsidRPr="00D10D08">
        <w:rPr>
          <w:rFonts w:ascii="Arial" w:hAnsi="Arial" w:cs="Arial"/>
          <w:sz w:val="24"/>
        </w:rPr>
        <w:br w:type="page"/>
      </w:r>
    </w:p>
    <w:p w14:paraId="1EB5F74E" w14:textId="77777777" w:rsidR="005E06EE" w:rsidRPr="00D10D08" w:rsidRDefault="00FC4877" w:rsidP="005E06EE">
      <w:pPr>
        <w:rPr>
          <w:rFonts w:ascii="Arial" w:hAnsi="Arial" w:cs="Arial"/>
          <w:b/>
          <w:sz w:val="28"/>
          <w:u w:val="single"/>
        </w:rPr>
      </w:pPr>
      <w:r w:rsidRPr="00D10D08">
        <w:rPr>
          <w:rFonts w:ascii="Arial" w:hAnsi="Arial" w:cs="Arial"/>
          <w:b/>
          <w:sz w:val="28"/>
          <w:u w:val="single"/>
        </w:rPr>
        <w:lastRenderedPageBreak/>
        <w:t>Bibliography</w:t>
      </w:r>
    </w:p>
    <w:p w14:paraId="7D03F6DD" w14:textId="2888BE35" w:rsidR="00FC4877" w:rsidRDefault="00FC4877" w:rsidP="005E06EE">
      <w:pPr>
        <w:rPr>
          <w:rFonts w:ascii="Arial" w:hAnsi="Arial" w:cs="Arial"/>
          <w:b/>
          <w:sz w:val="24"/>
          <w:u w:val="single"/>
        </w:rPr>
      </w:pPr>
      <w:r w:rsidRPr="00D10D08">
        <w:rPr>
          <w:rFonts w:ascii="Arial" w:hAnsi="Arial" w:cs="Arial"/>
          <w:b/>
          <w:sz w:val="24"/>
          <w:u w:val="single"/>
        </w:rPr>
        <w:t>Primary Sources</w:t>
      </w:r>
    </w:p>
    <w:p w14:paraId="20F5AE07" w14:textId="77777777" w:rsidR="00302AFA" w:rsidRPr="00302AFA" w:rsidRDefault="00302AFA" w:rsidP="005E06EE">
      <w:pPr>
        <w:rPr>
          <w:rFonts w:ascii="Arial" w:hAnsi="Arial" w:cs="Arial"/>
          <w:b/>
          <w:sz w:val="24"/>
          <w:u w:val="single"/>
        </w:rPr>
      </w:pPr>
    </w:p>
    <w:p w14:paraId="1C226D34" w14:textId="77777777" w:rsidR="00F63143" w:rsidRPr="00D10D08" w:rsidRDefault="00F63143" w:rsidP="005E06EE">
      <w:pPr>
        <w:rPr>
          <w:rFonts w:ascii="Arial" w:hAnsi="Arial" w:cs="Arial"/>
          <w:sz w:val="24"/>
        </w:rPr>
      </w:pPr>
      <w:r w:rsidRPr="00D10D08">
        <w:rPr>
          <w:rFonts w:ascii="Arial" w:hAnsi="Arial" w:cs="Arial"/>
          <w:sz w:val="24"/>
        </w:rPr>
        <w:t>Charter of Liberties of Henry I, 1100</w:t>
      </w:r>
    </w:p>
    <w:p w14:paraId="6FC43389" w14:textId="77777777" w:rsidR="00FC4877" w:rsidRPr="00D10D08" w:rsidRDefault="00FC4877" w:rsidP="005E06EE">
      <w:pPr>
        <w:rPr>
          <w:rFonts w:ascii="Arial" w:hAnsi="Arial" w:cs="Arial"/>
          <w:sz w:val="24"/>
        </w:rPr>
      </w:pPr>
    </w:p>
    <w:p w14:paraId="54FA1231" w14:textId="77777777" w:rsidR="00FC4877" w:rsidRPr="00D10D08" w:rsidRDefault="00FC4877" w:rsidP="005E06EE">
      <w:pPr>
        <w:rPr>
          <w:rFonts w:ascii="Arial" w:hAnsi="Arial" w:cs="Arial"/>
          <w:b/>
          <w:sz w:val="24"/>
          <w:u w:val="single"/>
        </w:rPr>
      </w:pPr>
      <w:r w:rsidRPr="00D10D08">
        <w:rPr>
          <w:rFonts w:ascii="Arial" w:hAnsi="Arial" w:cs="Arial"/>
          <w:b/>
          <w:sz w:val="24"/>
          <w:u w:val="single"/>
        </w:rPr>
        <w:t>Secondary Sources</w:t>
      </w:r>
    </w:p>
    <w:p w14:paraId="735C7698" w14:textId="6D742382" w:rsidR="00D10D08" w:rsidRDefault="00D10D08" w:rsidP="005E06EE">
      <w:pPr>
        <w:rPr>
          <w:rFonts w:ascii="Arial" w:hAnsi="Arial" w:cs="Arial"/>
          <w:sz w:val="24"/>
        </w:rPr>
      </w:pPr>
    </w:p>
    <w:p w14:paraId="1B831968" w14:textId="34B40E4D" w:rsidR="00D10D08" w:rsidRDefault="00D10D08" w:rsidP="005E06EE">
      <w:pPr>
        <w:rPr>
          <w:rFonts w:ascii="Arial" w:hAnsi="Arial" w:cs="Arial"/>
          <w:sz w:val="24"/>
        </w:rPr>
      </w:pPr>
      <w:bookmarkStart w:id="0" w:name="_Hlk519179500"/>
      <w:r>
        <w:rPr>
          <w:rFonts w:ascii="Arial" w:hAnsi="Arial" w:cs="Arial"/>
          <w:sz w:val="24"/>
        </w:rPr>
        <w:t>AngelDocs</w:t>
      </w:r>
      <w:bookmarkStart w:id="1" w:name="_GoBack"/>
      <w:bookmarkEnd w:id="1"/>
      <w:r>
        <w:rPr>
          <w:rFonts w:ascii="Arial" w:hAnsi="Arial" w:cs="Arial"/>
          <w:sz w:val="24"/>
        </w:rPr>
        <w:t>, (2012)</w:t>
      </w:r>
      <w:r>
        <w:rPr>
          <w:rFonts w:ascii="Arial" w:hAnsi="Arial" w:cs="Arial"/>
          <w:i/>
          <w:sz w:val="24"/>
        </w:rPr>
        <w:t>,</w:t>
      </w:r>
      <w:r w:rsidRPr="00D10D08">
        <w:t xml:space="preserve"> </w:t>
      </w:r>
      <w:r w:rsidRPr="00D10D08">
        <w:rPr>
          <w:rFonts w:ascii="Arial" w:hAnsi="Arial" w:cs="Arial"/>
          <w:i/>
          <w:sz w:val="24"/>
        </w:rPr>
        <w:t>Kings and Queens of England: Episode 1: Normans</w:t>
      </w:r>
      <w:r>
        <w:rPr>
          <w:rFonts w:ascii="Arial" w:hAnsi="Arial" w:cs="Arial"/>
          <w:i/>
          <w:sz w:val="24"/>
        </w:rPr>
        <w:t xml:space="preserve"> </w:t>
      </w:r>
      <w:r>
        <w:rPr>
          <w:rFonts w:ascii="Arial" w:hAnsi="Arial" w:cs="Arial"/>
          <w:sz w:val="24"/>
        </w:rPr>
        <w:t xml:space="preserve">Available at </w:t>
      </w:r>
      <w:hyperlink r:id="rId7" w:history="1">
        <w:r w:rsidRPr="00845D99">
          <w:rPr>
            <w:rStyle w:val="Hyperlink"/>
            <w:rFonts w:ascii="Arial" w:hAnsi="Arial" w:cs="Arial"/>
            <w:sz w:val="24"/>
          </w:rPr>
          <w:t>https://www.youtube.com/watch?v=0PfoYkgoBZQ&amp;index=2&amp;t=0s&amp;list=PLPndosjRqDLX2UKTZXsXOkmoXSpRTz_vj</w:t>
        </w:r>
      </w:hyperlink>
      <w:r>
        <w:rPr>
          <w:rFonts w:ascii="Arial" w:hAnsi="Arial" w:cs="Arial"/>
          <w:sz w:val="24"/>
        </w:rPr>
        <w:t xml:space="preserve"> </w:t>
      </w:r>
      <w:bookmarkEnd w:id="0"/>
      <w:r w:rsidR="00EA6CBD">
        <w:rPr>
          <w:rFonts w:ascii="Arial" w:hAnsi="Arial" w:cs="Arial"/>
          <w:sz w:val="24"/>
        </w:rPr>
        <w:t>(Accessed: 6</w:t>
      </w:r>
      <w:r w:rsidR="00EA6CBD" w:rsidRPr="00EA6CBD">
        <w:rPr>
          <w:rFonts w:ascii="Arial" w:hAnsi="Arial" w:cs="Arial"/>
          <w:sz w:val="24"/>
          <w:vertAlign w:val="superscript"/>
        </w:rPr>
        <w:t>th</w:t>
      </w:r>
      <w:r w:rsidR="00EA6CBD">
        <w:rPr>
          <w:rFonts w:ascii="Arial" w:hAnsi="Arial" w:cs="Arial"/>
          <w:sz w:val="24"/>
        </w:rPr>
        <w:t xml:space="preserve"> July 2018)</w:t>
      </w:r>
    </w:p>
    <w:p w14:paraId="7A957F81" w14:textId="54496868" w:rsidR="007A0D05" w:rsidRDefault="007A0D05" w:rsidP="005E06EE">
      <w:pPr>
        <w:rPr>
          <w:rFonts w:ascii="Arial" w:hAnsi="Arial" w:cs="Arial"/>
          <w:sz w:val="24"/>
        </w:rPr>
      </w:pPr>
    </w:p>
    <w:p w14:paraId="1F373107" w14:textId="3A6AA5D7" w:rsidR="007A0D05" w:rsidRDefault="007A0D05" w:rsidP="005E06EE">
      <w:pPr>
        <w:rPr>
          <w:rFonts w:ascii="Arial" w:hAnsi="Arial" w:cs="Arial"/>
          <w:sz w:val="24"/>
        </w:rPr>
      </w:pPr>
      <w:r w:rsidRPr="007A0D05">
        <w:rPr>
          <w:rFonts w:ascii="Arial" w:hAnsi="Arial" w:cs="Arial"/>
          <w:sz w:val="24"/>
        </w:rPr>
        <w:t>Blumenthal</w:t>
      </w:r>
      <w:r>
        <w:rPr>
          <w:rFonts w:ascii="Arial" w:hAnsi="Arial" w:cs="Arial"/>
          <w:sz w:val="24"/>
        </w:rPr>
        <w:t>, U.R,</w:t>
      </w:r>
      <w:r w:rsidRPr="007A0D05">
        <w:t xml:space="preserve"> </w:t>
      </w:r>
      <w:r w:rsidRPr="007A0D05">
        <w:rPr>
          <w:rFonts w:ascii="Arial" w:hAnsi="Arial" w:cs="Arial"/>
          <w:sz w:val="24"/>
        </w:rPr>
        <w:t>Investiture-Controversy</w:t>
      </w:r>
      <w:r>
        <w:rPr>
          <w:rFonts w:ascii="Arial" w:hAnsi="Arial" w:cs="Arial"/>
          <w:sz w:val="24"/>
        </w:rPr>
        <w:t xml:space="preserve">, Britannica, (2018), [online] Available at </w:t>
      </w:r>
      <w:hyperlink r:id="rId8" w:history="1">
        <w:r w:rsidRPr="00845D99">
          <w:rPr>
            <w:rStyle w:val="Hyperlink"/>
            <w:rFonts w:ascii="Arial" w:hAnsi="Arial" w:cs="Arial"/>
            <w:sz w:val="24"/>
          </w:rPr>
          <w:t>https://www.britannica.com/event/Investiture-Controversy#ref236584</w:t>
        </w:r>
      </w:hyperlink>
      <w:r>
        <w:rPr>
          <w:rFonts w:ascii="Arial" w:hAnsi="Arial" w:cs="Arial"/>
          <w:sz w:val="24"/>
        </w:rPr>
        <w:t xml:space="preserve"> (Accessed 12</w:t>
      </w:r>
      <w:r w:rsidRPr="007A0D05">
        <w:rPr>
          <w:rFonts w:ascii="Arial" w:hAnsi="Arial" w:cs="Arial"/>
          <w:sz w:val="24"/>
          <w:vertAlign w:val="superscript"/>
        </w:rPr>
        <w:t>th</w:t>
      </w:r>
      <w:r>
        <w:rPr>
          <w:rFonts w:ascii="Arial" w:hAnsi="Arial" w:cs="Arial"/>
          <w:sz w:val="24"/>
        </w:rPr>
        <w:t xml:space="preserve"> July 2018)</w:t>
      </w:r>
    </w:p>
    <w:p w14:paraId="28690738" w14:textId="6046A836" w:rsidR="00034BFC" w:rsidRDefault="00034BFC" w:rsidP="005E06EE">
      <w:pPr>
        <w:rPr>
          <w:rFonts w:ascii="Arial" w:hAnsi="Arial" w:cs="Arial"/>
          <w:sz w:val="24"/>
        </w:rPr>
      </w:pPr>
    </w:p>
    <w:p w14:paraId="11B01AA7" w14:textId="3507A4A1" w:rsidR="00034BFC" w:rsidRPr="00D10D08" w:rsidRDefault="00034BFC" w:rsidP="005E06EE">
      <w:pPr>
        <w:rPr>
          <w:rFonts w:ascii="Arial" w:hAnsi="Arial" w:cs="Arial"/>
          <w:sz w:val="24"/>
        </w:rPr>
      </w:pPr>
      <w:r>
        <w:rPr>
          <w:rFonts w:ascii="Arial" w:hAnsi="Arial" w:cs="Arial"/>
          <w:sz w:val="24"/>
        </w:rPr>
        <w:t>Kemp. B.R.</w:t>
      </w:r>
      <w:r w:rsidR="00302AFA">
        <w:rPr>
          <w:rFonts w:ascii="Arial" w:hAnsi="Arial" w:cs="Arial"/>
          <w:sz w:val="24"/>
        </w:rPr>
        <w:t xml:space="preserve"> Roger of Salisbury, Oxford Dictionary of National Biography, (2004), [online] Available at </w:t>
      </w:r>
      <w:hyperlink r:id="rId9" w:history="1">
        <w:r w:rsidR="00302AFA" w:rsidRPr="00845D99">
          <w:rPr>
            <w:rStyle w:val="Hyperlink"/>
            <w:rFonts w:ascii="Arial" w:hAnsi="Arial" w:cs="Arial"/>
            <w:sz w:val="24"/>
          </w:rPr>
          <w:t>http://www.oxforddnb.com.ezproxy.uwtsd.ac.uk/view/10.1093/ref:odnb/9780198614128.001.0001/odnb-9780198614128-e-23956?rskey=aU0tf9&amp;result=2</w:t>
        </w:r>
      </w:hyperlink>
      <w:r w:rsidR="00302AFA">
        <w:rPr>
          <w:rFonts w:ascii="Arial" w:hAnsi="Arial" w:cs="Arial"/>
          <w:sz w:val="24"/>
        </w:rPr>
        <w:t xml:space="preserve"> (Accessed 7</w:t>
      </w:r>
      <w:r w:rsidR="00302AFA" w:rsidRPr="00302AFA">
        <w:rPr>
          <w:rFonts w:ascii="Arial" w:hAnsi="Arial" w:cs="Arial"/>
          <w:sz w:val="24"/>
          <w:vertAlign w:val="superscript"/>
        </w:rPr>
        <w:t>th</w:t>
      </w:r>
      <w:r w:rsidR="00302AFA">
        <w:rPr>
          <w:rFonts w:ascii="Arial" w:hAnsi="Arial" w:cs="Arial"/>
          <w:sz w:val="24"/>
        </w:rPr>
        <w:t xml:space="preserve"> July 2018)</w:t>
      </w:r>
    </w:p>
    <w:p w14:paraId="4576EA5E" w14:textId="7E0A03D1" w:rsidR="00D10D08" w:rsidRPr="00D10D08" w:rsidRDefault="00D10D08" w:rsidP="005E06EE">
      <w:pPr>
        <w:rPr>
          <w:rFonts w:ascii="Arial" w:hAnsi="Arial" w:cs="Arial"/>
          <w:sz w:val="24"/>
        </w:rPr>
      </w:pPr>
    </w:p>
    <w:p w14:paraId="646883EC" w14:textId="77777777" w:rsidR="00D10D08" w:rsidRPr="00D10D08" w:rsidRDefault="00D10D08" w:rsidP="00D10D08">
      <w:pPr>
        <w:rPr>
          <w:rFonts w:ascii="Arial" w:hAnsi="Arial" w:cs="Arial"/>
          <w:sz w:val="24"/>
        </w:rPr>
      </w:pPr>
      <w:r w:rsidRPr="00D10D08">
        <w:rPr>
          <w:rFonts w:ascii="Arial" w:hAnsi="Arial" w:cs="Arial"/>
          <w:sz w:val="24"/>
        </w:rPr>
        <w:t xml:space="preserve">Sommerville, J.P, </w:t>
      </w:r>
      <w:bookmarkStart w:id="2" w:name="_Hlk519179970"/>
      <w:r w:rsidRPr="00D10D08">
        <w:rPr>
          <w:rFonts w:ascii="Arial" w:hAnsi="Arial" w:cs="Arial"/>
          <w:sz w:val="24"/>
        </w:rPr>
        <w:t>Norman Church, University of Wisconsin, (2018) [online] Available at</w:t>
      </w:r>
    </w:p>
    <w:p w14:paraId="1899EAAD" w14:textId="10470689" w:rsidR="00D10D08" w:rsidRPr="00D10D08" w:rsidRDefault="00D10D08" w:rsidP="00D10D08">
      <w:pPr>
        <w:rPr>
          <w:rFonts w:ascii="Arial" w:hAnsi="Arial" w:cs="Arial"/>
          <w:sz w:val="24"/>
        </w:rPr>
      </w:pPr>
      <w:hyperlink r:id="rId10" w:history="1">
        <w:r w:rsidRPr="00D10D08">
          <w:rPr>
            <w:rStyle w:val="Hyperlink"/>
            <w:rFonts w:ascii="Arial" w:hAnsi="Arial" w:cs="Arial"/>
            <w:sz w:val="24"/>
          </w:rPr>
          <w:t>https://faculty.history.wisc.edu/sommerville/123/123%2010%20The%20Norman%20Church.htm</w:t>
        </w:r>
      </w:hyperlink>
      <w:bookmarkEnd w:id="2"/>
      <w:r w:rsidRPr="00D10D08">
        <w:rPr>
          <w:rFonts w:ascii="Arial" w:hAnsi="Arial" w:cs="Arial"/>
          <w:sz w:val="24"/>
        </w:rPr>
        <w:t xml:space="preserve"> </w:t>
      </w:r>
      <w:r w:rsidRPr="00D10D08">
        <w:rPr>
          <w:rFonts w:ascii="Arial" w:hAnsi="Arial" w:cs="Arial"/>
          <w:sz w:val="24"/>
        </w:rPr>
        <w:t>(Accessed: 5th July 2018)</w:t>
      </w:r>
    </w:p>
    <w:p w14:paraId="317E9516" w14:textId="77777777" w:rsidR="00D10D08" w:rsidRPr="00D10D08" w:rsidRDefault="00D10D08" w:rsidP="00D10D08">
      <w:pPr>
        <w:rPr>
          <w:rFonts w:ascii="Arial" w:hAnsi="Arial" w:cs="Arial"/>
          <w:sz w:val="24"/>
        </w:rPr>
      </w:pPr>
    </w:p>
    <w:p w14:paraId="602A2928" w14:textId="77777777" w:rsidR="00D10D08" w:rsidRPr="00D10D08" w:rsidRDefault="00D10D08" w:rsidP="00D10D08">
      <w:pPr>
        <w:rPr>
          <w:rFonts w:ascii="Arial" w:hAnsi="Arial" w:cs="Arial"/>
          <w:sz w:val="24"/>
        </w:rPr>
      </w:pPr>
      <w:r w:rsidRPr="00D10D08">
        <w:rPr>
          <w:rFonts w:ascii="Arial" w:hAnsi="Arial" w:cs="Arial"/>
          <w:sz w:val="24"/>
        </w:rPr>
        <w:t xml:space="preserve">Sommerville, J.P, </w:t>
      </w:r>
      <w:bookmarkStart w:id="3" w:name="_Hlk519179836"/>
      <w:r w:rsidRPr="00D10D08">
        <w:rPr>
          <w:rFonts w:ascii="Arial" w:hAnsi="Arial" w:cs="Arial"/>
          <w:sz w:val="24"/>
        </w:rPr>
        <w:t>Normans, University of Wisconsin, (2018) [online] Available at</w:t>
      </w:r>
    </w:p>
    <w:p w14:paraId="614169CD" w14:textId="0A31E568" w:rsidR="00D10D08" w:rsidRPr="00D10D08" w:rsidRDefault="00D10D08" w:rsidP="00D10D08">
      <w:pPr>
        <w:rPr>
          <w:rFonts w:ascii="Arial" w:hAnsi="Arial" w:cs="Arial"/>
          <w:sz w:val="24"/>
        </w:rPr>
      </w:pPr>
      <w:hyperlink r:id="rId11" w:history="1">
        <w:r w:rsidRPr="00D10D08">
          <w:rPr>
            <w:rStyle w:val="Hyperlink"/>
            <w:rFonts w:ascii="Arial" w:hAnsi="Arial" w:cs="Arial"/>
            <w:sz w:val="24"/>
          </w:rPr>
          <w:t>https://faculty.history.wisc.edu/sommerville/123/123%2091%20Norman%20II.htm</w:t>
        </w:r>
      </w:hyperlink>
      <w:r w:rsidRPr="00D10D08">
        <w:rPr>
          <w:rFonts w:ascii="Arial" w:hAnsi="Arial" w:cs="Arial"/>
          <w:sz w:val="24"/>
        </w:rPr>
        <w:t xml:space="preserve"> </w:t>
      </w:r>
      <w:r w:rsidRPr="00D10D08">
        <w:rPr>
          <w:rFonts w:ascii="Arial" w:hAnsi="Arial" w:cs="Arial"/>
          <w:sz w:val="24"/>
        </w:rPr>
        <w:t xml:space="preserve"> </w:t>
      </w:r>
      <w:bookmarkEnd w:id="3"/>
      <w:r w:rsidRPr="00D10D08">
        <w:rPr>
          <w:rFonts w:ascii="Arial" w:hAnsi="Arial" w:cs="Arial"/>
          <w:sz w:val="24"/>
        </w:rPr>
        <w:t>(Accessed: 5th July 2018)</w:t>
      </w:r>
    </w:p>
    <w:p w14:paraId="150E9B18" w14:textId="77777777" w:rsidR="00227E9F" w:rsidRPr="00D10D08" w:rsidRDefault="00227E9F" w:rsidP="005E06EE">
      <w:pPr>
        <w:rPr>
          <w:rFonts w:ascii="Arial" w:hAnsi="Arial" w:cs="Arial"/>
          <w:sz w:val="24"/>
        </w:rPr>
      </w:pPr>
    </w:p>
    <w:p w14:paraId="6C60AAB4" w14:textId="0C677F8D" w:rsidR="00227E9F" w:rsidRPr="00D10D08" w:rsidRDefault="00227E9F" w:rsidP="005E06EE">
      <w:pPr>
        <w:rPr>
          <w:rFonts w:ascii="Arial" w:hAnsi="Arial" w:cs="Arial"/>
          <w:sz w:val="24"/>
        </w:rPr>
      </w:pPr>
      <w:r w:rsidRPr="00D10D08">
        <w:rPr>
          <w:rFonts w:ascii="Arial" w:hAnsi="Arial" w:cs="Arial"/>
          <w:sz w:val="24"/>
        </w:rPr>
        <w:t>Warren Hollister, C. Henry I (New Haven and London, Yale University Press, 2003)</w:t>
      </w:r>
    </w:p>
    <w:p w14:paraId="7994ED5B" w14:textId="2A3AFB67" w:rsidR="00A26462" w:rsidRPr="00D10D08" w:rsidRDefault="00A26462" w:rsidP="005E06EE">
      <w:pPr>
        <w:rPr>
          <w:rFonts w:ascii="Arial" w:hAnsi="Arial" w:cs="Arial"/>
          <w:sz w:val="24"/>
        </w:rPr>
      </w:pPr>
    </w:p>
    <w:p w14:paraId="22421A82" w14:textId="4F8335D1" w:rsidR="00A26462" w:rsidRPr="00D10D08" w:rsidRDefault="006038BA" w:rsidP="005E06EE">
      <w:pPr>
        <w:rPr>
          <w:rFonts w:ascii="Arial" w:hAnsi="Arial" w:cs="Arial"/>
          <w:sz w:val="24"/>
        </w:rPr>
      </w:pPr>
      <w:r w:rsidRPr="00D10D08">
        <w:rPr>
          <w:rFonts w:ascii="Arial" w:hAnsi="Arial" w:cs="Arial"/>
          <w:sz w:val="24"/>
        </w:rPr>
        <w:t xml:space="preserve">Warren Hollister, C. Henry I of England, Britannica, (2018) [online] Available at </w:t>
      </w:r>
      <w:hyperlink r:id="rId12" w:history="1">
        <w:r w:rsidRPr="00D10D08">
          <w:rPr>
            <w:rStyle w:val="Hyperlink"/>
            <w:rFonts w:ascii="Arial" w:hAnsi="Arial" w:cs="Arial"/>
            <w:sz w:val="24"/>
          </w:rPr>
          <w:t>https://www.britannica.com/biography/Henry-I-king-of-England</w:t>
        </w:r>
      </w:hyperlink>
      <w:r w:rsidR="00A26462" w:rsidRPr="00D10D08">
        <w:rPr>
          <w:rFonts w:ascii="Arial" w:hAnsi="Arial" w:cs="Arial"/>
          <w:sz w:val="24"/>
        </w:rPr>
        <w:t xml:space="preserve"> </w:t>
      </w:r>
      <w:r w:rsidRPr="00D10D08">
        <w:rPr>
          <w:rFonts w:ascii="Arial" w:hAnsi="Arial" w:cs="Arial"/>
          <w:sz w:val="24"/>
        </w:rPr>
        <w:t>(Accessed: 5th July 2018)</w:t>
      </w:r>
    </w:p>
    <w:p w14:paraId="77B45FA6" w14:textId="77777777" w:rsidR="006038BA" w:rsidRPr="00D10D08" w:rsidRDefault="006038BA" w:rsidP="005E06EE">
      <w:pPr>
        <w:rPr>
          <w:rFonts w:ascii="Arial" w:hAnsi="Arial" w:cs="Arial"/>
          <w:sz w:val="24"/>
        </w:rPr>
      </w:pPr>
    </w:p>
    <w:p w14:paraId="4BC6BEC3" w14:textId="774BFFDE" w:rsidR="006038BA" w:rsidRPr="00D10D08" w:rsidRDefault="006038BA" w:rsidP="005E06EE">
      <w:pPr>
        <w:rPr>
          <w:rFonts w:ascii="Arial" w:hAnsi="Arial" w:cs="Arial"/>
          <w:sz w:val="24"/>
        </w:rPr>
      </w:pPr>
      <w:r w:rsidRPr="00D10D08">
        <w:rPr>
          <w:rFonts w:ascii="Arial" w:hAnsi="Arial" w:cs="Arial"/>
          <w:sz w:val="24"/>
        </w:rPr>
        <w:t>Wheeler, H.Y</w:t>
      </w:r>
      <w:r w:rsidR="007A0D05">
        <w:rPr>
          <w:rFonts w:ascii="Arial" w:hAnsi="Arial" w:cs="Arial"/>
          <w:sz w:val="24"/>
        </w:rPr>
        <w:t>,</w:t>
      </w:r>
      <w:r w:rsidRPr="00D10D08">
        <w:rPr>
          <w:rFonts w:ascii="Arial" w:hAnsi="Arial" w:cs="Arial"/>
          <w:sz w:val="24"/>
        </w:rPr>
        <w:t xml:space="preserve"> King Henry I of England 1068 – 1135, Totally timelines, (2015) [online] Available</w:t>
      </w:r>
      <w:r w:rsidR="00D10D08" w:rsidRPr="00D10D08">
        <w:rPr>
          <w:rFonts w:ascii="Arial" w:hAnsi="Arial" w:cs="Arial"/>
          <w:sz w:val="24"/>
        </w:rPr>
        <w:t xml:space="preserve"> at </w:t>
      </w:r>
      <w:r w:rsidRPr="00D10D08">
        <w:rPr>
          <w:rFonts w:ascii="Arial" w:hAnsi="Arial" w:cs="Arial"/>
          <w:sz w:val="24"/>
        </w:rPr>
        <w:t xml:space="preserve"> </w:t>
      </w:r>
      <w:hyperlink r:id="rId13" w:history="1">
        <w:r w:rsidRPr="00D10D08">
          <w:rPr>
            <w:rStyle w:val="Hyperlink"/>
            <w:rFonts w:ascii="Arial" w:hAnsi="Arial" w:cs="Arial"/>
            <w:sz w:val="24"/>
          </w:rPr>
          <w:t>https://www.totallytimelines.com/henry-i-1068-1135</w:t>
        </w:r>
      </w:hyperlink>
      <w:r w:rsidRPr="00D10D08">
        <w:rPr>
          <w:rFonts w:ascii="Arial" w:hAnsi="Arial" w:cs="Arial"/>
          <w:sz w:val="24"/>
        </w:rPr>
        <w:t xml:space="preserve"> (Accessed: 5th July 2018)</w:t>
      </w:r>
    </w:p>
    <w:p w14:paraId="1EE443FA" w14:textId="33372708" w:rsidR="006038BA" w:rsidRPr="00D10D08" w:rsidRDefault="006038BA" w:rsidP="005E06EE">
      <w:pPr>
        <w:rPr>
          <w:rFonts w:ascii="Arial" w:hAnsi="Arial" w:cs="Arial"/>
        </w:rPr>
      </w:pPr>
    </w:p>
    <w:sectPr w:rsidR="006038BA" w:rsidRPr="00D10D0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09EE3CA" w14:textId="77777777" w:rsidR="00D95D42" w:rsidRDefault="00D95D42" w:rsidP="00251718">
      <w:pPr>
        <w:spacing w:after="0" w:line="240" w:lineRule="auto"/>
      </w:pPr>
      <w:r>
        <w:separator/>
      </w:r>
    </w:p>
  </w:endnote>
  <w:endnote w:type="continuationSeparator" w:id="0">
    <w:p w14:paraId="57F5D746" w14:textId="77777777" w:rsidR="00D95D42" w:rsidRDefault="00D95D42" w:rsidP="002517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33F0642" w14:textId="77777777" w:rsidR="00D95D42" w:rsidRDefault="00D95D42" w:rsidP="00251718">
      <w:pPr>
        <w:spacing w:after="0" w:line="240" w:lineRule="auto"/>
      </w:pPr>
      <w:r>
        <w:separator/>
      </w:r>
    </w:p>
  </w:footnote>
  <w:footnote w:type="continuationSeparator" w:id="0">
    <w:p w14:paraId="5922B646" w14:textId="77777777" w:rsidR="00D95D42" w:rsidRDefault="00D95D42" w:rsidP="00251718">
      <w:pPr>
        <w:spacing w:after="0" w:line="240" w:lineRule="auto"/>
      </w:pPr>
      <w:r>
        <w:continuationSeparator/>
      </w:r>
    </w:p>
  </w:footnote>
  <w:footnote w:id="1">
    <w:p w14:paraId="02700324" w14:textId="77EA1DB7" w:rsidR="006F1BEA" w:rsidRDefault="003C0EDC" w:rsidP="006F1BEA">
      <w:pPr>
        <w:pStyle w:val="FootnoteText"/>
      </w:pPr>
      <w:r>
        <w:rPr>
          <w:rStyle w:val="FootnoteReference"/>
        </w:rPr>
        <w:footnoteRef/>
      </w:r>
      <w:r>
        <w:t xml:space="preserve"> </w:t>
      </w:r>
      <w:r w:rsidR="006F1BEA">
        <w:t>J.P, Sommerville,</w:t>
      </w:r>
      <w:r w:rsidR="006F1BEA" w:rsidRPr="006F1BEA">
        <w:t xml:space="preserve"> </w:t>
      </w:r>
      <w:r w:rsidR="006F1BEA">
        <w:t>Normans, University of Wisconsin, (2018) [online] Available at</w:t>
      </w:r>
    </w:p>
    <w:p w14:paraId="5C370136" w14:textId="683FAE6D" w:rsidR="003C0EDC" w:rsidRDefault="006F1BEA" w:rsidP="006F1BEA">
      <w:pPr>
        <w:pStyle w:val="FootnoteText"/>
      </w:pPr>
      <w:hyperlink r:id="rId1" w:history="1">
        <w:r w:rsidRPr="00845D99">
          <w:rPr>
            <w:rStyle w:val="Hyperlink"/>
          </w:rPr>
          <w:t>https://faculty.history.wisc.edu/sommerville/123/123%2091%20Norman%20II.htm</w:t>
        </w:r>
      </w:hyperlink>
      <w:r>
        <w:t xml:space="preserve"> </w:t>
      </w:r>
    </w:p>
  </w:footnote>
  <w:footnote w:id="2">
    <w:p w14:paraId="6F3DB57F" w14:textId="4E18D1F5" w:rsidR="003C0EDC" w:rsidRDefault="003C0EDC">
      <w:pPr>
        <w:pStyle w:val="FootnoteText"/>
      </w:pPr>
      <w:r>
        <w:rPr>
          <w:rStyle w:val="FootnoteReference"/>
        </w:rPr>
        <w:footnoteRef/>
      </w:r>
      <w:r>
        <w:t xml:space="preserve"> </w:t>
      </w:r>
      <w:r w:rsidR="006F1BEA" w:rsidRPr="006F1BEA">
        <w:t xml:space="preserve">AngelDocs, (2012), Kings and Queens of England: Episode 1: Normans Available at </w:t>
      </w:r>
      <w:hyperlink r:id="rId2" w:history="1">
        <w:r w:rsidR="006F1BEA" w:rsidRPr="00845D99">
          <w:rPr>
            <w:rStyle w:val="Hyperlink"/>
          </w:rPr>
          <w:t>https://www.youtube.com/watch?v=0PfoYkgoBZQ&amp;index=2&amp;t=0s&amp;list=PLPndosjRqDLX2UKTZXsXOkmoXSpRTz_vj</w:t>
        </w:r>
      </w:hyperlink>
      <w:r w:rsidR="006F1BEA">
        <w:t xml:space="preserve"> </w:t>
      </w:r>
    </w:p>
  </w:footnote>
  <w:footnote w:id="3">
    <w:p w14:paraId="6E5F70C6" w14:textId="7E83DE48" w:rsidR="003C0EDC" w:rsidRDefault="003C0EDC">
      <w:pPr>
        <w:pStyle w:val="FootnoteText"/>
      </w:pPr>
      <w:r>
        <w:rPr>
          <w:rStyle w:val="FootnoteReference"/>
        </w:rPr>
        <w:footnoteRef/>
      </w:r>
      <w:r>
        <w:t xml:space="preserve"> </w:t>
      </w:r>
      <w:r w:rsidR="006F1BEA">
        <w:t>Ibid</w:t>
      </w:r>
    </w:p>
  </w:footnote>
  <w:footnote w:id="4">
    <w:p w14:paraId="69241483" w14:textId="322FC3AF" w:rsidR="003C0EDC" w:rsidRDefault="003C0EDC">
      <w:pPr>
        <w:pStyle w:val="FootnoteText"/>
      </w:pPr>
      <w:r>
        <w:rPr>
          <w:rStyle w:val="FootnoteReference"/>
        </w:rPr>
        <w:footnoteRef/>
      </w:r>
      <w:r>
        <w:t xml:space="preserve"> </w:t>
      </w:r>
      <w:r w:rsidR="006F1BEA">
        <w:t>I</w:t>
      </w:r>
      <w:r w:rsidR="00302AFA">
        <w:t>b</w:t>
      </w:r>
      <w:r w:rsidR="006F1BEA">
        <w:t>id</w:t>
      </w:r>
    </w:p>
  </w:footnote>
  <w:footnote w:id="5">
    <w:p w14:paraId="3F66F527" w14:textId="77777777" w:rsidR="005B4955" w:rsidRDefault="005B4955">
      <w:pPr>
        <w:pStyle w:val="FootnoteText"/>
      </w:pPr>
      <w:r>
        <w:rPr>
          <w:rStyle w:val="FootnoteReference"/>
        </w:rPr>
        <w:footnoteRef/>
      </w:r>
      <w:r>
        <w:t xml:space="preserve"> C. Warren Hollister, Henry</w:t>
      </w:r>
      <w:r w:rsidR="0007625F">
        <w:t xml:space="preserve"> I</w:t>
      </w:r>
      <w:r>
        <w:t xml:space="preserve"> pg. 351</w:t>
      </w:r>
    </w:p>
  </w:footnote>
  <w:footnote w:id="6">
    <w:p w14:paraId="6BD7AA9D" w14:textId="77777777" w:rsidR="00FA644C" w:rsidRDefault="00FA644C">
      <w:pPr>
        <w:pStyle w:val="FootnoteText"/>
      </w:pPr>
      <w:r>
        <w:rPr>
          <w:rStyle w:val="FootnoteReference"/>
        </w:rPr>
        <w:footnoteRef/>
      </w:r>
      <w:r>
        <w:t xml:space="preserve"> Ibid</w:t>
      </w:r>
    </w:p>
  </w:footnote>
  <w:footnote w:id="7">
    <w:p w14:paraId="4BB933E2" w14:textId="77777777" w:rsidR="00FA644C" w:rsidRDefault="00FA644C">
      <w:pPr>
        <w:pStyle w:val="FootnoteText"/>
      </w:pPr>
      <w:r>
        <w:rPr>
          <w:rStyle w:val="FootnoteReference"/>
        </w:rPr>
        <w:footnoteRef/>
      </w:r>
      <w:r>
        <w:t xml:space="preserve"> Ibid</w:t>
      </w:r>
    </w:p>
  </w:footnote>
  <w:footnote w:id="8">
    <w:p w14:paraId="1B083FD8" w14:textId="77777777" w:rsidR="0007625F" w:rsidRDefault="0007625F">
      <w:pPr>
        <w:pStyle w:val="FootnoteText"/>
      </w:pPr>
      <w:r>
        <w:rPr>
          <w:rStyle w:val="FootnoteReference"/>
        </w:rPr>
        <w:footnoteRef/>
      </w:r>
      <w:r>
        <w:t xml:space="preserve"> Hollister, Henry I pg.</w:t>
      </w:r>
      <w:r w:rsidR="002B7A67">
        <w:t xml:space="preserve"> </w:t>
      </w:r>
      <w:r>
        <w:t>352</w:t>
      </w:r>
    </w:p>
  </w:footnote>
  <w:footnote w:id="9">
    <w:p w14:paraId="2685F3AC" w14:textId="77777777" w:rsidR="0007625F" w:rsidRDefault="0007625F">
      <w:pPr>
        <w:pStyle w:val="FootnoteText"/>
      </w:pPr>
      <w:r>
        <w:rPr>
          <w:rStyle w:val="FootnoteReference"/>
        </w:rPr>
        <w:footnoteRef/>
      </w:r>
      <w:r>
        <w:t xml:space="preserve"> Hollister, Henry I pg</w:t>
      </w:r>
      <w:r w:rsidR="002B7A67">
        <w:t xml:space="preserve">. </w:t>
      </w:r>
      <w:r>
        <w:t>354</w:t>
      </w:r>
    </w:p>
  </w:footnote>
  <w:footnote w:id="10">
    <w:p w14:paraId="7BE1DBC8" w14:textId="77777777" w:rsidR="002B7A67" w:rsidRDefault="002B7A67">
      <w:pPr>
        <w:pStyle w:val="FootnoteText"/>
      </w:pPr>
      <w:r>
        <w:rPr>
          <w:rStyle w:val="FootnoteReference"/>
        </w:rPr>
        <w:footnoteRef/>
      </w:r>
      <w:r>
        <w:t xml:space="preserve"> Hollister, Henry I pg. 355</w:t>
      </w:r>
    </w:p>
  </w:footnote>
  <w:footnote w:id="11">
    <w:p w14:paraId="22B980BE" w14:textId="77777777" w:rsidR="00251718" w:rsidRDefault="00251718">
      <w:pPr>
        <w:pStyle w:val="FootnoteText"/>
      </w:pPr>
      <w:r>
        <w:rPr>
          <w:rStyle w:val="FootnoteReference"/>
        </w:rPr>
        <w:footnoteRef/>
      </w:r>
      <w:r>
        <w:t xml:space="preserve"> Hollister, Henry I </w:t>
      </w:r>
      <w:r w:rsidR="00D7061C">
        <w:t>pg. 349</w:t>
      </w:r>
    </w:p>
  </w:footnote>
  <w:footnote w:id="12">
    <w:p w14:paraId="418CC0E1" w14:textId="5B3129AA" w:rsidR="00D7061C" w:rsidRDefault="00D7061C">
      <w:pPr>
        <w:pStyle w:val="FootnoteText"/>
      </w:pPr>
      <w:r>
        <w:rPr>
          <w:rStyle w:val="FootnoteReference"/>
        </w:rPr>
        <w:footnoteRef/>
      </w:r>
      <w:r>
        <w:t xml:space="preserve"> Hollister,</w:t>
      </w:r>
      <w:r w:rsidR="007D712F">
        <w:t xml:space="preserve"> Henry I</w:t>
      </w:r>
      <w:r>
        <w:t xml:space="preserve"> pg.350</w:t>
      </w:r>
    </w:p>
  </w:footnote>
  <w:footnote w:id="13">
    <w:p w14:paraId="4FD058FF" w14:textId="0F9EAB04" w:rsidR="005B4955" w:rsidRDefault="005B4955">
      <w:pPr>
        <w:pStyle w:val="FootnoteText"/>
      </w:pPr>
      <w:r>
        <w:rPr>
          <w:rStyle w:val="FootnoteReference"/>
        </w:rPr>
        <w:footnoteRef/>
      </w:r>
      <w:r>
        <w:t xml:space="preserve"> Hollister,</w:t>
      </w:r>
      <w:r w:rsidR="007D712F">
        <w:t xml:space="preserve"> Henry I</w:t>
      </w:r>
      <w:r>
        <w:t xml:space="preserve"> pg. 351</w:t>
      </w:r>
    </w:p>
  </w:footnote>
  <w:footnote w:id="14">
    <w:p w14:paraId="06F2FFA3" w14:textId="57EBD63E" w:rsidR="00254EA1" w:rsidRDefault="00254EA1">
      <w:pPr>
        <w:pStyle w:val="FootnoteText"/>
      </w:pPr>
      <w:r>
        <w:rPr>
          <w:rStyle w:val="FootnoteReference"/>
        </w:rPr>
        <w:footnoteRef/>
      </w:r>
      <w:r>
        <w:t>Hollister,</w:t>
      </w:r>
      <w:r w:rsidR="007D712F">
        <w:t xml:space="preserve"> Henry I</w:t>
      </w:r>
      <w:r>
        <w:t xml:space="preserve"> pg. 356</w:t>
      </w:r>
    </w:p>
  </w:footnote>
  <w:footnote w:id="15">
    <w:p w14:paraId="4D25712C" w14:textId="017FBD16" w:rsidR="00236E04" w:rsidRDefault="00236E04">
      <w:pPr>
        <w:pStyle w:val="FootnoteText"/>
      </w:pPr>
      <w:r>
        <w:rPr>
          <w:rStyle w:val="FootnoteReference"/>
        </w:rPr>
        <w:footnoteRef/>
      </w:r>
      <w:r>
        <w:t xml:space="preserve"> </w:t>
      </w:r>
      <w:r w:rsidRPr="00236E04">
        <w:t>AngelDocs, Kings and Queens</w:t>
      </w:r>
    </w:p>
  </w:footnote>
  <w:footnote w:id="16">
    <w:p w14:paraId="102331B8" w14:textId="2FE1B0E1" w:rsidR="007D120D" w:rsidRDefault="007D120D">
      <w:pPr>
        <w:pStyle w:val="FootnoteText"/>
      </w:pPr>
      <w:r>
        <w:rPr>
          <w:rStyle w:val="FootnoteReference"/>
        </w:rPr>
        <w:footnoteRef/>
      </w:r>
      <w:r>
        <w:t xml:space="preserve"> </w:t>
      </w:r>
      <w:r w:rsidRPr="007D120D">
        <w:t>AngelDocs, Kings and Queens</w:t>
      </w:r>
    </w:p>
  </w:footnote>
  <w:footnote w:id="17">
    <w:p w14:paraId="6ADC6644" w14:textId="61B9829B" w:rsidR="007D120D" w:rsidRDefault="007D120D">
      <w:pPr>
        <w:pStyle w:val="FootnoteText"/>
      </w:pPr>
      <w:r>
        <w:rPr>
          <w:rStyle w:val="FootnoteReference"/>
        </w:rPr>
        <w:footnoteRef/>
      </w:r>
      <w:r>
        <w:t xml:space="preserve"> Ibid</w:t>
      </w:r>
    </w:p>
  </w:footnote>
  <w:footnote w:id="18">
    <w:p w14:paraId="154DF9FF" w14:textId="6AF12790" w:rsidR="00302AFA" w:rsidRDefault="00302AFA">
      <w:pPr>
        <w:pStyle w:val="FootnoteText"/>
      </w:pPr>
      <w:r>
        <w:rPr>
          <w:rStyle w:val="FootnoteReference"/>
        </w:rPr>
        <w:footnoteRef/>
      </w:r>
      <w:r>
        <w:t xml:space="preserve"> B.R. Kemp, Roger of Salisbury,</w:t>
      </w:r>
      <w:r w:rsidRPr="00302AFA">
        <w:t xml:space="preserve"> Oxford Dictionary of National Biography,</w:t>
      </w:r>
      <w:r>
        <w:t xml:space="preserve"> (2004) [online]</w:t>
      </w:r>
      <w:r w:rsidRPr="00302AFA">
        <w:t xml:space="preserve"> </w:t>
      </w:r>
      <w:r>
        <w:t xml:space="preserve">Available at </w:t>
      </w:r>
      <w:hyperlink r:id="rId3" w:history="1">
        <w:r w:rsidRPr="00845D99">
          <w:rPr>
            <w:rStyle w:val="Hyperlink"/>
          </w:rPr>
          <w:t>http://www.oxforddnb.com.ezproxy.uwtsd.ac.uk/view/10.1093/ref:odnb/9780198614128.001.0001/odnb-9780198614128-e-23956?rskey=aU0tf9&amp;result=2</w:t>
        </w:r>
      </w:hyperlink>
      <w:r>
        <w:t xml:space="preserve"> </w:t>
      </w:r>
    </w:p>
  </w:footnote>
  <w:footnote w:id="19">
    <w:p w14:paraId="07DF05E9" w14:textId="06859FA3" w:rsidR="00302AFA" w:rsidRDefault="00302AFA">
      <w:pPr>
        <w:pStyle w:val="FootnoteText"/>
      </w:pPr>
      <w:r>
        <w:rPr>
          <w:rStyle w:val="FootnoteReference"/>
        </w:rPr>
        <w:footnoteRef/>
      </w:r>
      <w:r>
        <w:t xml:space="preserve"> Ibid</w:t>
      </w:r>
    </w:p>
  </w:footnote>
  <w:footnote w:id="20">
    <w:p w14:paraId="152A958D" w14:textId="02BB2C62" w:rsidR="00302AFA" w:rsidRDefault="00302AFA">
      <w:pPr>
        <w:pStyle w:val="FootnoteText"/>
      </w:pPr>
      <w:r>
        <w:rPr>
          <w:rStyle w:val="FootnoteReference"/>
        </w:rPr>
        <w:footnoteRef/>
      </w:r>
      <w:r>
        <w:t xml:space="preserve"> Ibid</w:t>
      </w:r>
    </w:p>
  </w:footnote>
  <w:footnote w:id="21">
    <w:p w14:paraId="3E06E357" w14:textId="47C89CB0" w:rsidR="00302AFA" w:rsidRDefault="00302AFA">
      <w:pPr>
        <w:pStyle w:val="FootnoteText"/>
      </w:pPr>
      <w:r>
        <w:rPr>
          <w:rStyle w:val="FootnoteReference"/>
        </w:rPr>
        <w:footnoteRef/>
      </w:r>
      <w:r>
        <w:t xml:space="preserve"> Ibid</w:t>
      </w:r>
    </w:p>
  </w:footnote>
  <w:footnote w:id="22">
    <w:p w14:paraId="3345D141" w14:textId="77777777" w:rsidR="00254EA1" w:rsidRDefault="00254EA1">
      <w:pPr>
        <w:pStyle w:val="FootnoteText"/>
      </w:pPr>
      <w:r>
        <w:rPr>
          <w:rStyle w:val="FootnoteReference"/>
        </w:rPr>
        <w:footnoteRef/>
      </w:r>
      <w:r>
        <w:t xml:space="preserve"> Hollister, Henry I pg.371</w:t>
      </w:r>
    </w:p>
  </w:footnote>
  <w:footnote w:id="23">
    <w:p w14:paraId="730D6C08" w14:textId="1881CF78" w:rsidR="00F33631" w:rsidRDefault="00F33631">
      <w:pPr>
        <w:pStyle w:val="FootnoteText"/>
      </w:pPr>
      <w:r>
        <w:rPr>
          <w:rStyle w:val="FootnoteReference"/>
        </w:rPr>
        <w:footnoteRef/>
      </w:r>
      <w:r>
        <w:t xml:space="preserve"> </w:t>
      </w:r>
      <w:r w:rsidRPr="00F33631">
        <w:t>Uta-Renate Blumenthal</w:t>
      </w:r>
      <w:r>
        <w:t xml:space="preserve">, Investiture Controversy, Britannica, Available:  </w:t>
      </w:r>
      <w:hyperlink r:id="rId4" w:history="1">
        <w:r w:rsidRPr="00845D99">
          <w:rPr>
            <w:rStyle w:val="Hyperlink"/>
          </w:rPr>
          <w:t>https://www.britannica.com/event/Investiture-Controversy#ref236584</w:t>
        </w:r>
      </w:hyperlink>
      <w:r>
        <w:t xml:space="preserve"> [Accessed 12</w:t>
      </w:r>
      <w:r w:rsidRPr="00F33631">
        <w:rPr>
          <w:vertAlign w:val="superscript"/>
        </w:rPr>
        <w:t>th</w:t>
      </w:r>
      <w:r>
        <w:t xml:space="preserve"> July 2018]</w:t>
      </w:r>
    </w:p>
  </w:footnote>
  <w:footnote w:id="24">
    <w:p w14:paraId="70ADC43A" w14:textId="23B895C6" w:rsidR="007D712F" w:rsidRDefault="006F1BEA" w:rsidP="007D712F">
      <w:pPr>
        <w:pStyle w:val="FootnoteText"/>
      </w:pPr>
      <w:r>
        <w:rPr>
          <w:rStyle w:val="FootnoteReference"/>
        </w:rPr>
        <w:footnoteRef/>
      </w:r>
      <w:r>
        <w:t xml:space="preserve"> </w:t>
      </w:r>
      <w:r w:rsidR="007D712F">
        <w:t>J.P. Sommerville,</w:t>
      </w:r>
      <w:r w:rsidR="007D712F" w:rsidRPr="007D712F">
        <w:t xml:space="preserve"> </w:t>
      </w:r>
      <w:r w:rsidR="007D712F">
        <w:t>Norman Church, University of Wisconsin, (2018) [online] Available at</w:t>
      </w:r>
    </w:p>
    <w:p w14:paraId="7E688ED5" w14:textId="73825785" w:rsidR="006F1BEA" w:rsidRDefault="007D712F" w:rsidP="007D712F">
      <w:pPr>
        <w:pStyle w:val="FootnoteText"/>
      </w:pPr>
      <w:hyperlink r:id="rId5" w:history="1">
        <w:r w:rsidRPr="00845D99">
          <w:rPr>
            <w:rStyle w:val="Hyperlink"/>
          </w:rPr>
          <w:t>https://faculty.history.wisc.edu/sommerville/123/123%2010%20The%20Norman%20Church.htm</w:t>
        </w:r>
      </w:hyperlink>
      <w:r>
        <w:t xml:space="preserve"> </w:t>
      </w:r>
    </w:p>
  </w:footnote>
  <w:footnote w:id="25">
    <w:p w14:paraId="18797791" w14:textId="349AF020" w:rsidR="008B3BE3" w:rsidRDefault="008B3BE3">
      <w:pPr>
        <w:pStyle w:val="FootnoteText"/>
      </w:pPr>
      <w:r>
        <w:rPr>
          <w:rStyle w:val="FootnoteReference"/>
        </w:rPr>
        <w:footnoteRef/>
      </w:r>
      <w:r>
        <w:t xml:space="preserve"> Hollister, </w:t>
      </w:r>
      <w:r w:rsidR="007D712F">
        <w:t>H</w:t>
      </w:r>
      <w:r>
        <w:t xml:space="preserve">enry </w:t>
      </w:r>
      <w:r w:rsidR="007D712F">
        <w:t>I pg.</w:t>
      </w:r>
      <w:r>
        <w:t>372</w:t>
      </w:r>
    </w:p>
  </w:footnote>
  <w:footnote w:id="26">
    <w:p w14:paraId="06ECBE0F" w14:textId="77E5BC2D" w:rsidR="008B3BE3" w:rsidRDefault="008B3BE3">
      <w:pPr>
        <w:pStyle w:val="FootnoteText"/>
      </w:pPr>
      <w:r>
        <w:rPr>
          <w:rStyle w:val="FootnoteReference"/>
        </w:rPr>
        <w:footnoteRef/>
      </w:r>
      <w:r>
        <w:t xml:space="preserve"> Hollister</w:t>
      </w:r>
      <w:r w:rsidR="007D712F">
        <w:t>,</w:t>
      </w:r>
      <w:r>
        <w:t xml:space="preserve"> </w:t>
      </w:r>
      <w:r w:rsidR="007D712F">
        <w:t>H</w:t>
      </w:r>
      <w:r>
        <w:t>enry</w:t>
      </w:r>
      <w:r w:rsidR="007D712F">
        <w:t xml:space="preserve"> I pg.</w:t>
      </w:r>
      <w:r>
        <w:t xml:space="preserve">372 </w:t>
      </w:r>
    </w:p>
  </w:footnote>
  <w:footnote w:id="27">
    <w:p w14:paraId="35322101" w14:textId="79D7105D" w:rsidR="00236E04" w:rsidRDefault="00236E04">
      <w:pPr>
        <w:pStyle w:val="FootnoteText"/>
      </w:pPr>
      <w:r>
        <w:rPr>
          <w:rStyle w:val="FootnoteReference"/>
        </w:rPr>
        <w:footnoteRef/>
      </w:r>
      <w:r>
        <w:t xml:space="preserve"> </w:t>
      </w:r>
      <w:r w:rsidRPr="00236E04">
        <w:t>AngelDocs, Kings and Queens</w:t>
      </w:r>
    </w:p>
  </w:footnote>
  <w:footnote w:id="28">
    <w:p w14:paraId="56C0EE14" w14:textId="67E17DBA" w:rsidR="00A14DD4" w:rsidRDefault="00A14DD4">
      <w:pPr>
        <w:pStyle w:val="FootnoteText"/>
      </w:pPr>
      <w:r>
        <w:rPr>
          <w:rStyle w:val="FootnoteReference"/>
        </w:rPr>
        <w:footnoteRef/>
      </w:r>
      <w:r>
        <w:t xml:space="preserve"> </w:t>
      </w:r>
      <w:r w:rsidR="00236E04">
        <w:t>Ibid</w:t>
      </w:r>
    </w:p>
  </w:footnote>
  <w:footnote w:id="29">
    <w:p w14:paraId="6993D27B" w14:textId="084DD641" w:rsidR="00A14DD4" w:rsidRDefault="00A14DD4">
      <w:pPr>
        <w:pStyle w:val="FootnoteText"/>
      </w:pPr>
      <w:r>
        <w:rPr>
          <w:rStyle w:val="FootnoteReference"/>
        </w:rPr>
        <w:footnoteRef/>
      </w:r>
      <w:r>
        <w:t xml:space="preserve"> Ibid</w:t>
      </w:r>
    </w:p>
  </w:footnote>
  <w:footnote w:id="30">
    <w:p w14:paraId="39FFAF5F" w14:textId="3BF61D03" w:rsidR="000E5F1D" w:rsidRDefault="000E5F1D">
      <w:pPr>
        <w:pStyle w:val="FootnoteText"/>
      </w:pPr>
      <w:r>
        <w:rPr>
          <w:rStyle w:val="FootnoteReference"/>
        </w:rPr>
        <w:footnoteRef/>
      </w:r>
      <w:r>
        <w:t xml:space="preserve"> Sommerville, Norman Church</w:t>
      </w:r>
    </w:p>
  </w:footnote>
  <w:footnote w:id="31">
    <w:p w14:paraId="141563BF" w14:textId="64B8810D" w:rsidR="007F7E58" w:rsidRDefault="007F7E58">
      <w:pPr>
        <w:pStyle w:val="FootnoteText"/>
      </w:pPr>
      <w:r>
        <w:rPr>
          <w:rStyle w:val="FootnoteReference"/>
        </w:rPr>
        <w:footnoteRef/>
      </w:r>
      <w:r>
        <w:t xml:space="preserve"> </w:t>
      </w:r>
      <w:r w:rsidRPr="007F7E58">
        <w:t>AngelDocs, Kings and Queens</w:t>
      </w:r>
    </w:p>
  </w:footnote>
  <w:footnote w:id="32">
    <w:p w14:paraId="16F15FDA" w14:textId="2A7EA814" w:rsidR="007F7E58" w:rsidRDefault="007F7E58">
      <w:pPr>
        <w:pStyle w:val="FootnoteText"/>
      </w:pPr>
      <w:r>
        <w:rPr>
          <w:rStyle w:val="FootnoteReference"/>
        </w:rPr>
        <w:footnoteRef/>
      </w:r>
      <w:r>
        <w:t xml:space="preserve"> </w:t>
      </w:r>
      <w:r w:rsidRPr="007F7E58">
        <w:t>AngelDocs, Kings and Queens</w:t>
      </w:r>
      <w:r>
        <w:t xml:space="preserve"> </w:t>
      </w:r>
    </w:p>
  </w:footnote>
  <w:footnote w:id="33">
    <w:p w14:paraId="2DB64684" w14:textId="58AF18D0" w:rsidR="007F7E58" w:rsidRDefault="007F7E58">
      <w:pPr>
        <w:pStyle w:val="FootnoteText"/>
      </w:pPr>
      <w:r>
        <w:rPr>
          <w:rStyle w:val="FootnoteReference"/>
        </w:rPr>
        <w:footnoteRef/>
      </w:r>
      <w:r>
        <w:t xml:space="preserve"> Ibid</w:t>
      </w:r>
    </w:p>
  </w:footnote>
  <w:footnote w:id="34">
    <w:p w14:paraId="5178713B" w14:textId="74E5F1F7" w:rsidR="00236E04" w:rsidRDefault="00236E04">
      <w:pPr>
        <w:pStyle w:val="FootnoteText"/>
      </w:pPr>
      <w:r>
        <w:rPr>
          <w:rStyle w:val="FootnoteReference"/>
        </w:rPr>
        <w:footnoteRef/>
      </w:r>
      <w:r>
        <w:t xml:space="preserve"> Sommerville, Norman</w:t>
      </w:r>
    </w:p>
  </w:footnote>
  <w:footnote w:id="35">
    <w:p w14:paraId="46079F2B" w14:textId="00034A0F" w:rsidR="00236E04" w:rsidRDefault="00236E04">
      <w:pPr>
        <w:pStyle w:val="FootnoteText"/>
      </w:pPr>
      <w:r>
        <w:rPr>
          <w:rStyle w:val="FootnoteReference"/>
        </w:rPr>
        <w:footnoteRef/>
      </w:r>
      <w:r>
        <w:t xml:space="preserve"> AngelDocs, Kings and Queens</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06EE"/>
    <w:rsid w:val="00034BFC"/>
    <w:rsid w:val="000610FE"/>
    <w:rsid w:val="0007625F"/>
    <w:rsid w:val="000E5F1D"/>
    <w:rsid w:val="00164B3F"/>
    <w:rsid w:val="00225E48"/>
    <w:rsid w:val="00227E9F"/>
    <w:rsid w:val="00236E04"/>
    <w:rsid w:val="00251718"/>
    <w:rsid w:val="00254EA1"/>
    <w:rsid w:val="002B7A67"/>
    <w:rsid w:val="00302AFA"/>
    <w:rsid w:val="0037638C"/>
    <w:rsid w:val="003C0EDC"/>
    <w:rsid w:val="005B4955"/>
    <w:rsid w:val="005E06EE"/>
    <w:rsid w:val="006038BA"/>
    <w:rsid w:val="006F1BEA"/>
    <w:rsid w:val="007A0D05"/>
    <w:rsid w:val="007D0047"/>
    <w:rsid w:val="007D120D"/>
    <w:rsid w:val="007D712F"/>
    <w:rsid w:val="007F7E58"/>
    <w:rsid w:val="0086149C"/>
    <w:rsid w:val="008B3BE3"/>
    <w:rsid w:val="00963C7E"/>
    <w:rsid w:val="00A14DD4"/>
    <w:rsid w:val="00A26462"/>
    <w:rsid w:val="00B27B9A"/>
    <w:rsid w:val="00BC7DA9"/>
    <w:rsid w:val="00C139D1"/>
    <w:rsid w:val="00D10D08"/>
    <w:rsid w:val="00D7061C"/>
    <w:rsid w:val="00D95D42"/>
    <w:rsid w:val="00EA245C"/>
    <w:rsid w:val="00EA6CBD"/>
    <w:rsid w:val="00EB738D"/>
    <w:rsid w:val="00F33631"/>
    <w:rsid w:val="00F63143"/>
    <w:rsid w:val="00FA644C"/>
    <w:rsid w:val="00FB3BB3"/>
    <w:rsid w:val="00FC48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4369EF"/>
  <w15:chartTrackingRefBased/>
  <w15:docId w15:val="{935E9C17-9AAC-42CE-9032-DEBD611217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25171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51718"/>
    <w:rPr>
      <w:sz w:val="20"/>
      <w:szCs w:val="20"/>
    </w:rPr>
  </w:style>
  <w:style w:type="character" w:styleId="FootnoteReference">
    <w:name w:val="footnote reference"/>
    <w:basedOn w:val="DefaultParagraphFont"/>
    <w:uiPriority w:val="99"/>
    <w:semiHidden/>
    <w:unhideWhenUsed/>
    <w:rsid w:val="00251718"/>
    <w:rPr>
      <w:vertAlign w:val="superscript"/>
    </w:rPr>
  </w:style>
  <w:style w:type="character" w:styleId="Hyperlink">
    <w:name w:val="Hyperlink"/>
    <w:basedOn w:val="DefaultParagraphFont"/>
    <w:uiPriority w:val="99"/>
    <w:unhideWhenUsed/>
    <w:rsid w:val="00A26462"/>
    <w:rPr>
      <w:color w:val="0563C1" w:themeColor="hyperlink"/>
      <w:u w:val="single"/>
    </w:rPr>
  </w:style>
  <w:style w:type="character" w:styleId="UnresolvedMention">
    <w:name w:val="Unresolved Mention"/>
    <w:basedOn w:val="DefaultParagraphFont"/>
    <w:uiPriority w:val="99"/>
    <w:semiHidden/>
    <w:unhideWhenUsed/>
    <w:rsid w:val="00A26462"/>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annica.com/event/Investiture-Controversy#ref236584" TargetMode="External"/><Relationship Id="rId13" Type="http://schemas.openxmlformats.org/officeDocument/2006/relationships/hyperlink" Target="https://www.totallytimelines.com/henry-i-1068-1135" TargetMode="External"/><Relationship Id="rId3" Type="http://schemas.openxmlformats.org/officeDocument/2006/relationships/settings" Target="settings.xml"/><Relationship Id="rId7" Type="http://schemas.openxmlformats.org/officeDocument/2006/relationships/hyperlink" Target="https://www.youtube.com/watch?v=0PfoYkgoBZQ&amp;index=2&amp;t=0s&amp;list=PLPndosjRqDLX2UKTZXsXOkmoXSpRTz_vj" TargetMode="External"/><Relationship Id="rId12" Type="http://schemas.openxmlformats.org/officeDocument/2006/relationships/hyperlink" Target="https://www.britannica.com/biography/Henry-I-king-of-England"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faculty.history.wisc.edu/sommerville/123/123%2091%20Norman%20II.htm"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faculty.history.wisc.edu/sommerville/123/123%2010%20The%20Norman%20Church.htm" TargetMode="External"/><Relationship Id="rId4" Type="http://schemas.openxmlformats.org/officeDocument/2006/relationships/webSettings" Target="webSettings.xml"/><Relationship Id="rId9" Type="http://schemas.openxmlformats.org/officeDocument/2006/relationships/hyperlink" Target="http://www.oxforddnb.com.ezproxy.uwtsd.ac.uk/view/10.1093/ref:odnb/9780198614128.001.0001/odnb-9780198614128-e-23956?rskey=aU0tf9&amp;result=2" TargetMode="External"/><Relationship Id="rId14" Type="http://schemas.openxmlformats.org/officeDocument/2006/relationships/fontTable" Target="fontTable.xml"/></Relationships>
</file>

<file path=word/_rels/footnotes.xml.rels><?xml version="1.0" encoding="UTF-8" standalone="yes"?>
<Relationships xmlns="http://schemas.openxmlformats.org/package/2006/relationships"><Relationship Id="rId3" Type="http://schemas.openxmlformats.org/officeDocument/2006/relationships/hyperlink" Target="http://www.oxforddnb.com.ezproxy.uwtsd.ac.uk/view/10.1093/ref:odnb/9780198614128.001.0001/odnb-9780198614128-e-23956?rskey=aU0tf9&amp;result=2" TargetMode="External"/><Relationship Id="rId2" Type="http://schemas.openxmlformats.org/officeDocument/2006/relationships/hyperlink" Target="https://www.youtube.com/watch?v=0PfoYkgoBZQ&amp;index=2&amp;t=0s&amp;list=PLPndosjRqDLX2UKTZXsXOkmoXSpRTz_vj" TargetMode="External"/><Relationship Id="rId1" Type="http://schemas.openxmlformats.org/officeDocument/2006/relationships/hyperlink" Target="https://faculty.history.wisc.edu/sommerville/123/123%2091%20Norman%20II.htm" TargetMode="External"/><Relationship Id="rId5" Type="http://schemas.openxmlformats.org/officeDocument/2006/relationships/hyperlink" Target="https://faculty.history.wisc.edu/sommerville/123/123%2010%20The%20Norman%20Church.htm" TargetMode="External"/><Relationship Id="rId4" Type="http://schemas.openxmlformats.org/officeDocument/2006/relationships/hyperlink" Target="https://www.britannica.com/event/Investiture-Controversy#ref23658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3CA2C7-284F-4930-AF90-255B7121B3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1643</TotalTime>
  <Pages>7</Pages>
  <Words>1524</Words>
  <Characters>8687</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Beckett</dc:creator>
  <cp:keywords/>
  <dc:description/>
  <cp:lastModifiedBy>Amy Beckett</cp:lastModifiedBy>
  <cp:revision>9</cp:revision>
  <dcterms:created xsi:type="dcterms:W3CDTF">2018-05-22T13:01:00Z</dcterms:created>
  <dcterms:modified xsi:type="dcterms:W3CDTF">2018-07-12T20:14:00Z</dcterms:modified>
</cp:coreProperties>
</file>