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EB483" w14:textId="4A0D14EE" w:rsidR="006E63F5" w:rsidRDefault="006E63F5" w:rsidP="00384292">
      <w:pPr>
        <w:jc w:val="center"/>
        <w:rPr>
          <w:rFonts w:ascii="Arial" w:hAnsi="Arial" w:cs="Arial"/>
          <w:b/>
          <w:bCs/>
          <w:sz w:val="72"/>
          <w:szCs w:val="72"/>
        </w:rPr>
      </w:pPr>
    </w:p>
    <w:p w14:paraId="72E8D377" w14:textId="69056760" w:rsidR="00384292" w:rsidRDefault="00384292" w:rsidP="00384292">
      <w:pPr>
        <w:jc w:val="center"/>
        <w:rPr>
          <w:rFonts w:ascii="Arial" w:hAnsi="Arial" w:cs="Arial"/>
          <w:b/>
          <w:bCs/>
          <w:sz w:val="72"/>
          <w:szCs w:val="72"/>
        </w:rPr>
      </w:pPr>
    </w:p>
    <w:p w14:paraId="0F5BC47D" w14:textId="4E8DB77E" w:rsidR="00384292" w:rsidRDefault="00384292" w:rsidP="00384292">
      <w:pPr>
        <w:jc w:val="center"/>
        <w:rPr>
          <w:rFonts w:ascii="Arial" w:hAnsi="Arial" w:cs="Arial"/>
          <w:b/>
          <w:bCs/>
          <w:sz w:val="72"/>
          <w:szCs w:val="72"/>
        </w:rPr>
      </w:pPr>
    </w:p>
    <w:p w14:paraId="2DC52C93" w14:textId="53C905BF" w:rsidR="00384292" w:rsidRDefault="00384292" w:rsidP="00384292">
      <w:pPr>
        <w:jc w:val="center"/>
        <w:rPr>
          <w:rFonts w:ascii="Arial" w:hAnsi="Arial" w:cs="Arial"/>
          <w:sz w:val="72"/>
          <w:szCs w:val="72"/>
        </w:rPr>
      </w:pPr>
      <w:r>
        <w:rPr>
          <w:rFonts w:ascii="Arial" w:hAnsi="Arial" w:cs="Arial"/>
          <w:b/>
          <w:bCs/>
          <w:sz w:val="72"/>
          <w:szCs w:val="72"/>
        </w:rPr>
        <w:t xml:space="preserve">Gender, Race, Religion and Crime – Assignment 1: </w:t>
      </w:r>
      <w:r>
        <w:rPr>
          <w:rFonts w:ascii="Arial" w:hAnsi="Arial" w:cs="Arial"/>
          <w:sz w:val="72"/>
          <w:szCs w:val="72"/>
        </w:rPr>
        <w:t>Gender and Crime</w:t>
      </w:r>
    </w:p>
    <w:p w14:paraId="61EE504B" w14:textId="2DB22AC5" w:rsidR="00384292" w:rsidRDefault="00384292" w:rsidP="00384292">
      <w:pPr>
        <w:jc w:val="center"/>
        <w:rPr>
          <w:rFonts w:ascii="Arial" w:hAnsi="Arial" w:cs="Arial"/>
          <w:sz w:val="40"/>
          <w:szCs w:val="40"/>
        </w:rPr>
      </w:pPr>
      <w:r>
        <w:rPr>
          <w:rFonts w:ascii="Arial" w:hAnsi="Arial" w:cs="Arial"/>
          <w:sz w:val="40"/>
          <w:szCs w:val="40"/>
        </w:rPr>
        <w:t>By George Lovering</w:t>
      </w:r>
    </w:p>
    <w:p w14:paraId="271F9F29" w14:textId="77777777" w:rsidR="00384292" w:rsidRDefault="00384292">
      <w:pPr>
        <w:rPr>
          <w:rFonts w:ascii="Arial" w:hAnsi="Arial" w:cs="Arial"/>
          <w:sz w:val="40"/>
          <w:szCs w:val="40"/>
        </w:rPr>
      </w:pPr>
      <w:r>
        <w:rPr>
          <w:rFonts w:ascii="Arial" w:hAnsi="Arial" w:cs="Arial"/>
          <w:sz w:val="40"/>
          <w:szCs w:val="40"/>
        </w:rPr>
        <w:br w:type="page"/>
      </w:r>
    </w:p>
    <w:p w14:paraId="34334386" w14:textId="4B72FEA8" w:rsidR="00384292" w:rsidRDefault="002D5455" w:rsidP="00D25410">
      <w:pPr>
        <w:spacing w:line="480" w:lineRule="auto"/>
        <w:rPr>
          <w:rFonts w:ascii="Arial" w:hAnsi="Arial" w:cs="Arial"/>
          <w:sz w:val="24"/>
          <w:szCs w:val="24"/>
        </w:rPr>
      </w:pPr>
      <w:r>
        <w:rPr>
          <w:rFonts w:ascii="Arial" w:hAnsi="Arial" w:cs="Arial"/>
          <w:sz w:val="24"/>
          <w:szCs w:val="24"/>
        </w:rPr>
        <w:lastRenderedPageBreak/>
        <w:t>In this discussion, there will be an examination of</w:t>
      </w:r>
      <w:r w:rsidR="00095A0F">
        <w:rPr>
          <w:rFonts w:ascii="Arial" w:hAnsi="Arial" w:cs="Arial"/>
          <w:sz w:val="24"/>
          <w:szCs w:val="24"/>
        </w:rPr>
        <w:t xml:space="preserve"> </w:t>
      </w:r>
      <w:r>
        <w:rPr>
          <w:rFonts w:ascii="Arial" w:hAnsi="Arial" w:cs="Arial"/>
          <w:sz w:val="24"/>
          <w:szCs w:val="24"/>
        </w:rPr>
        <w:t xml:space="preserve">women facing issues of double deviance and double jeopardy in the </w:t>
      </w:r>
      <w:r w:rsidR="000A3933">
        <w:rPr>
          <w:rFonts w:ascii="Arial" w:hAnsi="Arial" w:cs="Arial"/>
          <w:sz w:val="24"/>
          <w:szCs w:val="24"/>
        </w:rPr>
        <w:t>criminal justice system and other aspects of society across the world</w:t>
      </w:r>
      <w:r w:rsidR="009A0211">
        <w:rPr>
          <w:rFonts w:ascii="Arial" w:hAnsi="Arial" w:cs="Arial"/>
          <w:sz w:val="24"/>
          <w:szCs w:val="24"/>
        </w:rPr>
        <w:t xml:space="preserve"> with an aim </w:t>
      </w:r>
      <w:r w:rsidR="00095A0F">
        <w:rPr>
          <w:rFonts w:ascii="Arial" w:hAnsi="Arial" w:cs="Arial"/>
          <w:sz w:val="24"/>
          <w:szCs w:val="24"/>
        </w:rPr>
        <w:t xml:space="preserve">to clearly outline the </w:t>
      </w:r>
      <w:r w:rsidR="000A3933">
        <w:rPr>
          <w:rFonts w:ascii="Arial" w:hAnsi="Arial" w:cs="Arial"/>
          <w:sz w:val="24"/>
          <w:szCs w:val="24"/>
        </w:rPr>
        <w:t xml:space="preserve">true extent of these issues </w:t>
      </w:r>
      <w:r w:rsidR="00095A0F">
        <w:rPr>
          <w:rFonts w:ascii="Arial" w:hAnsi="Arial" w:cs="Arial"/>
          <w:sz w:val="24"/>
          <w:szCs w:val="24"/>
        </w:rPr>
        <w:t xml:space="preserve">using some </w:t>
      </w:r>
      <w:r w:rsidR="00967DDB">
        <w:rPr>
          <w:rFonts w:ascii="Arial" w:hAnsi="Arial" w:cs="Arial"/>
          <w:sz w:val="24"/>
          <w:szCs w:val="24"/>
        </w:rPr>
        <w:t>real-life</w:t>
      </w:r>
      <w:r w:rsidR="00095A0F">
        <w:rPr>
          <w:rFonts w:ascii="Arial" w:hAnsi="Arial" w:cs="Arial"/>
          <w:sz w:val="24"/>
          <w:szCs w:val="24"/>
        </w:rPr>
        <w:t xml:space="preserve"> examples and literature from academic sources</w:t>
      </w:r>
      <w:r>
        <w:rPr>
          <w:rFonts w:ascii="Arial" w:hAnsi="Arial" w:cs="Arial"/>
          <w:sz w:val="24"/>
          <w:szCs w:val="24"/>
        </w:rPr>
        <w:t xml:space="preserve">. </w:t>
      </w:r>
      <w:r w:rsidR="00CD1BC8">
        <w:rPr>
          <w:rFonts w:ascii="Arial" w:hAnsi="Arial" w:cs="Arial"/>
          <w:sz w:val="24"/>
          <w:szCs w:val="24"/>
        </w:rPr>
        <w:t xml:space="preserve">In order to critically evaluate these issues, </w:t>
      </w:r>
      <w:r w:rsidR="00F175F2">
        <w:rPr>
          <w:rFonts w:ascii="Arial" w:hAnsi="Arial" w:cs="Arial"/>
          <w:sz w:val="24"/>
          <w:szCs w:val="24"/>
        </w:rPr>
        <w:t xml:space="preserve">there must be an understanding of the key terms that will be addressed and </w:t>
      </w:r>
      <w:r w:rsidR="008A2690">
        <w:rPr>
          <w:rFonts w:ascii="Arial" w:hAnsi="Arial" w:cs="Arial"/>
          <w:sz w:val="24"/>
          <w:szCs w:val="24"/>
        </w:rPr>
        <w:t xml:space="preserve">the other relevant surrounding factors regarding the topic (e.g., societal issues, theories, arguments) should be clearly outlined and expanded upon. </w:t>
      </w:r>
    </w:p>
    <w:p w14:paraId="729F3D09" w14:textId="29EB1C45" w:rsidR="006D6E11" w:rsidRDefault="000D3AF9" w:rsidP="00D25410">
      <w:pPr>
        <w:pStyle w:val="NormalWeb"/>
        <w:shd w:val="clear" w:color="auto" w:fill="FFFFFF"/>
        <w:spacing w:before="0" w:beforeAutospacing="0" w:after="360" w:afterAutospacing="0" w:line="480" w:lineRule="auto"/>
        <w:rPr>
          <w:rFonts w:ascii="Arial" w:hAnsi="Arial" w:cs="Arial"/>
          <w:color w:val="000000"/>
        </w:rPr>
      </w:pPr>
      <w:r>
        <w:rPr>
          <w:rFonts w:ascii="Arial" w:hAnsi="Arial" w:cs="Arial"/>
        </w:rPr>
        <w:t xml:space="preserve">In order to begin this discussion, the key concepts of double jeopardy and double deviance must be understood. Firstly, </w:t>
      </w:r>
      <w:r w:rsidR="005168BC">
        <w:rPr>
          <w:rFonts w:ascii="Arial" w:hAnsi="Arial" w:cs="Arial"/>
        </w:rPr>
        <w:t>the theory of double deviance was created by</w:t>
      </w:r>
      <w:r w:rsidR="00AE447F">
        <w:rPr>
          <w:rFonts w:ascii="Arial" w:hAnsi="Arial" w:cs="Arial"/>
        </w:rPr>
        <w:t xml:space="preserve"> Heidensohn (2012)</w:t>
      </w:r>
      <w:r w:rsidR="0042649D">
        <w:rPr>
          <w:rFonts w:ascii="Arial" w:hAnsi="Arial" w:cs="Arial"/>
        </w:rPr>
        <w:t xml:space="preserve">, with the main point being that women are treated worse than men in the criminal justice system due to the fact that they are perceived as ‘doubly deviant’, meaning that they are not only judged on the crime in question, but also on the fact that they have been viewed to have strayed from gender norms that have been established </w:t>
      </w:r>
      <w:r w:rsidR="00FE3A3F">
        <w:rPr>
          <w:rFonts w:ascii="Arial" w:hAnsi="Arial" w:cs="Arial"/>
        </w:rPr>
        <w:t>throughout</w:t>
      </w:r>
      <w:r w:rsidR="0042649D">
        <w:rPr>
          <w:rFonts w:ascii="Arial" w:hAnsi="Arial" w:cs="Arial"/>
        </w:rPr>
        <w:t xml:space="preserve"> the history of society. </w:t>
      </w:r>
      <w:r w:rsidR="00C3452F">
        <w:rPr>
          <w:rFonts w:ascii="Arial" w:hAnsi="Arial" w:cs="Arial"/>
        </w:rPr>
        <w:t xml:space="preserve">An argument that </w:t>
      </w:r>
      <w:r w:rsidR="005211EB">
        <w:rPr>
          <w:rFonts w:ascii="Arial" w:hAnsi="Arial" w:cs="Arial"/>
        </w:rPr>
        <w:t>would offer</w:t>
      </w:r>
      <w:r w:rsidR="00C3452F">
        <w:rPr>
          <w:rFonts w:ascii="Arial" w:hAnsi="Arial" w:cs="Arial"/>
        </w:rPr>
        <w:t xml:space="preserve"> a </w:t>
      </w:r>
      <w:r w:rsidR="00FE65D1">
        <w:rPr>
          <w:rFonts w:ascii="Arial" w:hAnsi="Arial" w:cs="Arial"/>
        </w:rPr>
        <w:t xml:space="preserve">modern </w:t>
      </w:r>
      <w:r w:rsidR="00E27C5F">
        <w:rPr>
          <w:rFonts w:ascii="Arial" w:hAnsi="Arial" w:cs="Arial"/>
        </w:rPr>
        <w:t>real-life</w:t>
      </w:r>
      <w:r w:rsidR="00C3452F">
        <w:rPr>
          <w:rFonts w:ascii="Arial" w:hAnsi="Arial" w:cs="Arial"/>
        </w:rPr>
        <w:t xml:space="preserve"> example of double deviance and double jeopardy </w:t>
      </w:r>
      <w:r w:rsidR="002A6515">
        <w:rPr>
          <w:rFonts w:ascii="Arial" w:hAnsi="Arial" w:cs="Arial"/>
        </w:rPr>
        <w:t>would be</w:t>
      </w:r>
      <w:r w:rsidR="00C3452F">
        <w:rPr>
          <w:rFonts w:ascii="Arial" w:hAnsi="Arial" w:cs="Arial"/>
        </w:rPr>
        <w:t xml:space="preserve"> that of the Amanda Knox</w:t>
      </w:r>
      <w:r w:rsidR="005211EB">
        <w:rPr>
          <w:rFonts w:ascii="Arial" w:hAnsi="Arial" w:cs="Arial"/>
        </w:rPr>
        <w:t xml:space="preserve"> case</w:t>
      </w:r>
      <w:r w:rsidR="00C3452F">
        <w:rPr>
          <w:rFonts w:ascii="Arial" w:hAnsi="Arial" w:cs="Arial"/>
        </w:rPr>
        <w:t xml:space="preserve">. </w:t>
      </w:r>
      <w:r w:rsidR="00E27C5F">
        <w:rPr>
          <w:rFonts w:ascii="Arial" w:hAnsi="Arial" w:cs="Arial"/>
        </w:rPr>
        <w:t xml:space="preserve">This case is valuable as it received worldwide media attention </w:t>
      </w:r>
      <w:r w:rsidR="00B77135">
        <w:rPr>
          <w:rFonts w:ascii="Arial" w:hAnsi="Arial" w:cs="Arial"/>
        </w:rPr>
        <w:t>and</w:t>
      </w:r>
      <w:r w:rsidR="00E27C5F">
        <w:rPr>
          <w:rFonts w:ascii="Arial" w:hAnsi="Arial" w:cs="Arial"/>
        </w:rPr>
        <w:t xml:space="preserve"> spanned a long period of time</w:t>
      </w:r>
      <w:r w:rsidR="00FE65D1">
        <w:rPr>
          <w:rFonts w:ascii="Arial" w:hAnsi="Arial" w:cs="Arial"/>
        </w:rPr>
        <w:t>, whereas throughout history this arguably hasn’t been the norm for a variety of reasons</w:t>
      </w:r>
      <w:r w:rsidR="00D02C85">
        <w:rPr>
          <w:rFonts w:ascii="Arial" w:hAnsi="Arial" w:cs="Arial"/>
        </w:rPr>
        <w:t xml:space="preserve">. </w:t>
      </w:r>
      <w:r w:rsidR="00D84D2F">
        <w:rPr>
          <w:rFonts w:ascii="Arial" w:hAnsi="Arial" w:cs="Arial"/>
        </w:rPr>
        <w:t xml:space="preserve">To cite Gill (2016), who points to a miscarriage of justice in the case, </w:t>
      </w:r>
      <w:r w:rsidR="00D84D2F" w:rsidRPr="00D84D2F">
        <w:rPr>
          <w:rFonts w:ascii="Arial" w:hAnsi="Arial" w:cs="Arial"/>
        </w:rPr>
        <w:t>“It is likely that for every miscarriage that has been identified, there are many that are never discovered because errors tend to be serially repeated across different cases</w:t>
      </w:r>
      <w:r w:rsidR="00D84D2F">
        <w:rPr>
          <w:rFonts w:ascii="Arial" w:hAnsi="Arial" w:cs="Arial"/>
        </w:rPr>
        <w:t>.</w:t>
      </w:r>
      <w:r w:rsidR="00D84D2F" w:rsidRPr="00D84D2F">
        <w:rPr>
          <w:rFonts w:ascii="Arial" w:hAnsi="Arial" w:cs="Arial"/>
        </w:rPr>
        <w:t xml:space="preserve"> Once a flawed method has been established as ‘normal practice’, practitioners perceive their reports to be scientifically acceptable and court-acceptance unwittingly raises the credibility to become an established practice via a positive feedback loop.</w:t>
      </w:r>
      <w:r w:rsidR="00D84D2F">
        <w:rPr>
          <w:rFonts w:ascii="Arial" w:hAnsi="Arial" w:cs="Arial"/>
        </w:rPr>
        <w:t xml:space="preserve">” </w:t>
      </w:r>
      <w:r w:rsidR="003A42D1">
        <w:rPr>
          <w:rFonts w:ascii="Arial" w:hAnsi="Arial" w:cs="Arial"/>
        </w:rPr>
        <w:t xml:space="preserve">This </w:t>
      </w:r>
      <w:r w:rsidR="006559BF">
        <w:rPr>
          <w:rFonts w:ascii="Arial" w:hAnsi="Arial" w:cs="Arial"/>
        </w:rPr>
        <w:t xml:space="preserve">statement </w:t>
      </w:r>
      <w:r w:rsidR="003A42D1">
        <w:rPr>
          <w:rFonts w:ascii="Arial" w:hAnsi="Arial" w:cs="Arial"/>
        </w:rPr>
        <w:lastRenderedPageBreak/>
        <w:t xml:space="preserve">emphasises the importance of the coverage the Knox case due to the implication </w:t>
      </w:r>
      <w:r w:rsidR="006559BF">
        <w:rPr>
          <w:rFonts w:ascii="Arial" w:hAnsi="Arial" w:cs="Arial"/>
        </w:rPr>
        <w:t>that</w:t>
      </w:r>
      <w:r w:rsidR="003A42D1">
        <w:rPr>
          <w:rFonts w:ascii="Arial" w:hAnsi="Arial" w:cs="Arial"/>
        </w:rPr>
        <w:t xml:space="preserve"> </w:t>
      </w:r>
      <w:r w:rsidR="006559BF">
        <w:rPr>
          <w:rFonts w:ascii="Arial" w:hAnsi="Arial" w:cs="Arial"/>
        </w:rPr>
        <w:t xml:space="preserve">potentially a </w:t>
      </w:r>
      <w:r w:rsidR="00855EF4">
        <w:rPr>
          <w:rFonts w:ascii="Arial" w:hAnsi="Arial" w:cs="Arial"/>
        </w:rPr>
        <w:t xml:space="preserve">significant number of </w:t>
      </w:r>
      <w:r w:rsidR="003A42D1">
        <w:rPr>
          <w:rFonts w:ascii="Arial" w:hAnsi="Arial" w:cs="Arial"/>
        </w:rPr>
        <w:t xml:space="preserve">cases in the past may have gone unheard in comparison. </w:t>
      </w:r>
      <w:r w:rsidR="006D6E11">
        <w:rPr>
          <w:rFonts w:ascii="Arial" w:hAnsi="Arial" w:cs="Arial"/>
        </w:rPr>
        <w:t xml:space="preserve">The issues Knox faced </w:t>
      </w:r>
      <w:r w:rsidR="009575C5">
        <w:rPr>
          <w:rFonts w:ascii="Arial" w:hAnsi="Arial" w:cs="Arial"/>
        </w:rPr>
        <w:t>going through</w:t>
      </w:r>
      <w:r w:rsidR="006D6E11">
        <w:rPr>
          <w:rFonts w:ascii="Arial" w:hAnsi="Arial" w:cs="Arial"/>
        </w:rPr>
        <w:t xml:space="preserve"> the Italian criminal justice system as a</w:t>
      </w:r>
      <w:r w:rsidR="00572A49">
        <w:rPr>
          <w:rFonts w:ascii="Arial" w:hAnsi="Arial" w:cs="Arial"/>
        </w:rPr>
        <w:t xml:space="preserve"> </w:t>
      </w:r>
      <w:r w:rsidR="00C81A7F">
        <w:rPr>
          <w:rFonts w:ascii="Arial" w:hAnsi="Arial" w:cs="Arial"/>
        </w:rPr>
        <w:t xml:space="preserve">woman </w:t>
      </w:r>
      <w:r w:rsidR="006D6E11">
        <w:rPr>
          <w:rFonts w:ascii="Arial" w:hAnsi="Arial" w:cs="Arial"/>
        </w:rPr>
        <w:t xml:space="preserve">were </w:t>
      </w:r>
      <w:r w:rsidR="00513A85">
        <w:rPr>
          <w:rFonts w:ascii="Arial" w:hAnsi="Arial" w:cs="Arial"/>
        </w:rPr>
        <w:t>viewed to be</w:t>
      </w:r>
      <w:r w:rsidR="00BA48FB">
        <w:rPr>
          <w:rFonts w:ascii="Arial" w:hAnsi="Arial" w:cs="Arial"/>
        </w:rPr>
        <w:t xml:space="preserve"> particularly cruel</w:t>
      </w:r>
      <w:r w:rsidR="006D6E11">
        <w:rPr>
          <w:rFonts w:ascii="Arial" w:hAnsi="Arial" w:cs="Arial"/>
        </w:rPr>
        <w:t xml:space="preserve"> and </w:t>
      </w:r>
      <w:r w:rsidR="00B4029E">
        <w:rPr>
          <w:rFonts w:ascii="Arial" w:hAnsi="Arial" w:cs="Arial"/>
        </w:rPr>
        <w:t>unjust</w:t>
      </w:r>
      <w:r w:rsidR="006D6E11">
        <w:rPr>
          <w:rFonts w:ascii="Arial" w:hAnsi="Arial" w:cs="Arial"/>
        </w:rPr>
        <w:t xml:space="preserve">, </w:t>
      </w:r>
      <w:r w:rsidR="00B4029E">
        <w:rPr>
          <w:rFonts w:ascii="Arial" w:hAnsi="Arial" w:cs="Arial"/>
        </w:rPr>
        <w:t xml:space="preserve">as </w:t>
      </w:r>
      <w:r w:rsidR="006D6E11">
        <w:rPr>
          <w:rFonts w:ascii="Arial" w:hAnsi="Arial" w:cs="Arial"/>
        </w:rPr>
        <w:t>Barton (2014) states “</w:t>
      </w:r>
      <w:r w:rsidR="006D6E11" w:rsidRPr="006D6E11">
        <w:rPr>
          <w:rFonts w:ascii="Arial" w:hAnsi="Arial" w:cs="Arial"/>
          <w:color w:val="000000"/>
        </w:rPr>
        <w:t>If this case had been prosecuted in the U.S., it would have ended there. Our “double jeopardy” provision prohibits the government from appealing an acquittal.</w:t>
      </w:r>
      <w:r w:rsidR="006D6E11">
        <w:rPr>
          <w:rFonts w:ascii="Arial" w:hAnsi="Arial" w:cs="Arial"/>
          <w:color w:val="000000"/>
        </w:rPr>
        <w:t xml:space="preserve"> </w:t>
      </w:r>
      <w:r w:rsidR="006D6E11" w:rsidRPr="006D6E11">
        <w:rPr>
          <w:rFonts w:ascii="Arial" w:hAnsi="Arial" w:cs="Arial"/>
          <w:color w:val="000000"/>
        </w:rPr>
        <w:t>But under the Italian criminal justice system, the prosecution could—and did—appeal Knox’s acquittal.</w:t>
      </w:r>
      <w:r w:rsidR="006D6E11">
        <w:rPr>
          <w:rFonts w:ascii="Arial" w:hAnsi="Arial" w:cs="Arial"/>
          <w:color w:val="000000"/>
        </w:rPr>
        <w:t xml:space="preserve">” </w:t>
      </w:r>
      <w:r w:rsidR="00666290">
        <w:rPr>
          <w:rFonts w:ascii="Arial" w:hAnsi="Arial" w:cs="Arial"/>
          <w:color w:val="000000"/>
        </w:rPr>
        <w:t>With this being a</w:t>
      </w:r>
      <w:r w:rsidR="002679B0">
        <w:rPr>
          <w:rFonts w:ascii="Arial" w:hAnsi="Arial" w:cs="Arial"/>
          <w:color w:val="000000"/>
        </w:rPr>
        <w:t xml:space="preserve"> key</w:t>
      </w:r>
      <w:r w:rsidR="00666290">
        <w:rPr>
          <w:rFonts w:ascii="Arial" w:hAnsi="Arial" w:cs="Arial"/>
          <w:color w:val="000000"/>
        </w:rPr>
        <w:t xml:space="preserve"> takeaway from the case, it</w:t>
      </w:r>
      <w:r w:rsidR="0036054F">
        <w:rPr>
          <w:rFonts w:ascii="Arial" w:hAnsi="Arial" w:cs="Arial"/>
          <w:color w:val="000000"/>
        </w:rPr>
        <w:t>’s</w:t>
      </w:r>
      <w:r w:rsidR="00666290">
        <w:rPr>
          <w:rFonts w:ascii="Arial" w:hAnsi="Arial" w:cs="Arial"/>
          <w:color w:val="000000"/>
        </w:rPr>
        <w:t xml:space="preserve"> important to revisit Heidensohn’s theory of double deviance, given the fact </w:t>
      </w:r>
      <w:r w:rsidR="002679B0">
        <w:rPr>
          <w:rFonts w:ascii="Arial" w:hAnsi="Arial" w:cs="Arial"/>
          <w:color w:val="000000"/>
        </w:rPr>
        <w:t xml:space="preserve">that Knox was </w:t>
      </w:r>
      <w:r w:rsidR="00CE0262">
        <w:rPr>
          <w:rFonts w:ascii="Arial" w:hAnsi="Arial" w:cs="Arial"/>
          <w:color w:val="000000"/>
        </w:rPr>
        <w:t>not only judged</w:t>
      </w:r>
      <w:r w:rsidR="0072630A">
        <w:rPr>
          <w:rFonts w:ascii="Arial" w:hAnsi="Arial" w:cs="Arial"/>
          <w:color w:val="000000"/>
        </w:rPr>
        <w:t xml:space="preserve"> by police</w:t>
      </w:r>
      <w:r w:rsidR="00CE0262">
        <w:rPr>
          <w:rFonts w:ascii="Arial" w:hAnsi="Arial" w:cs="Arial"/>
          <w:color w:val="000000"/>
        </w:rPr>
        <w:t xml:space="preserve"> to be doubly deviant, but was also confronted with </w:t>
      </w:r>
      <w:r w:rsidR="00A458AB">
        <w:rPr>
          <w:rFonts w:ascii="Arial" w:hAnsi="Arial" w:cs="Arial"/>
          <w:color w:val="000000"/>
        </w:rPr>
        <w:t>not just social double jeopardy, but blatant legal</w:t>
      </w:r>
      <w:r w:rsidR="00CE0262">
        <w:rPr>
          <w:rFonts w:ascii="Arial" w:hAnsi="Arial" w:cs="Arial"/>
          <w:color w:val="000000"/>
        </w:rPr>
        <w:t xml:space="preserve"> double jeopardy in the judicial proceedings</w:t>
      </w:r>
      <w:r w:rsidR="0059226C">
        <w:rPr>
          <w:rFonts w:ascii="Arial" w:hAnsi="Arial" w:cs="Arial"/>
          <w:color w:val="000000"/>
        </w:rPr>
        <w:t xml:space="preserve"> despite initially being acquitted. </w:t>
      </w:r>
    </w:p>
    <w:p w14:paraId="2C498F62" w14:textId="3C2ADB56" w:rsidR="002F29C3" w:rsidRPr="00112D86" w:rsidRDefault="00F65B7C" w:rsidP="00D25410">
      <w:pPr>
        <w:pStyle w:val="NormalWeb"/>
        <w:shd w:val="clear" w:color="auto" w:fill="FFFFFF"/>
        <w:spacing w:before="0" w:beforeAutospacing="0" w:after="360" w:afterAutospacing="0" w:line="480" w:lineRule="auto"/>
        <w:rPr>
          <w:rFonts w:ascii="Arial" w:hAnsi="Arial" w:cs="Arial"/>
          <w:b/>
          <w:bCs/>
          <w:spacing w:val="-5"/>
        </w:rPr>
      </w:pPr>
      <w:r>
        <w:rPr>
          <w:rFonts w:ascii="Arial" w:hAnsi="Arial" w:cs="Arial"/>
          <w:color w:val="000000"/>
        </w:rPr>
        <w:t>E</w:t>
      </w:r>
      <w:r w:rsidR="009F4F36">
        <w:rPr>
          <w:rFonts w:ascii="Arial" w:hAnsi="Arial" w:cs="Arial"/>
          <w:color w:val="000000"/>
        </w:rPr>
        <w:t xml:space="preserve">xamining how the theory of double deviancy came to be developed, one must look at how gender norms came about in society. </w:t>
      </w:r>
      <w:r w:rsidR="00C31CF5">
        <w:rPr>
          <w:rFonts w:ascii="Arial" w:hAnsi="Arial" w:cs="Arial"/>
          <w:color w:val="000000"/>
        </w:rPr>
        <w:t xml:space="preserve">When looking at the history of these specific terms, </w:t>
      </w:r>
      <w:proofErr w:type="spellStart"/>
      <w:r w:rsidR="00C31CF5">
        <w:rPr>
          <w:rFonts w:ascii="Arial" w:hAnsi="Arial" w:cs="Arial"/>
          <w:color w:val="000000"/>
        </w:rPr>
        <w:t>Cislaghi</w:t>
      </w:r>
      <w:proofErr w:type="spellEnd"/>
      <w:r w:rsidR="00C31CF5">
        <w:rPr>
          <w:rFonts w:ascii="Arial" w:hAnsi="Arial" w:cs="Arial"/>
          <w:color w:val="000000"/>
        </w:rPr>
        <w:t xml:space="preserve"> et al. (20</w:t>
      </w:r>
      <w:r w:rsidR="00CA15F3">
        <w:rPr>
          <w:rFonts w:ascii="Arial" w:hAnsi="Arial" w:cs="Arial"/>
          <w:color w:val="000000"/>
        </w:rPr>
        <w:t>19</w:t>
      </w:r>
      <w:r w:rsidR="00C31CF5">
        <w:rPr>
          <w:rFonts w:ascii="Arial" w:hAnsi="Arial" w:cs="Arial"/>
          <w:color w:val="000000"/>
        </w:rPr>
        <w:t>) explains “</w:t>
      </w:r>
      <w:r w:rsidR="00C31CF5" w:rsidRPr="00C31CF5">
        <w:rPr>
          <w:rFonts w:ascii="Arial" w:hAnsi="Arial" w:cs="Arial"/>
          <w:shd w:val="clear" w:color="auto" w:fill="FFFFFF"/>
        </w:rPr>
        <w:t>The notion of gender norms emerged in the context of larger debates among academics, practitioners and activists around the nature of gender. Gender as a term was popularised in the 1970s by feminists to distinguish those aspects of male and female roles, behaviours and preferences that were socially constructed rather than a function of biology.</w:t>
      </w:r>
      <w:r w:rsidR="00C31CF5">
        <w:rPr>
          <w:rFonts w:ascii="Arial" w:hAnsi="Arial" w:cs="Arial"/>
          <w:shd w:val="clear" w:color="auto" w:fill="FFFFFF"/>
        </w:rPr>
        <w:t xml:space="preserve">” </w:t>
      </w:r>
      <w:r w:rsidR="000B66CE">
        <w:rPr>
          <w:rFonts w:ascii="Arial" w:hAnsi="Arial" w:cs="Arial"/>
          <w:shd w:val="clear" w:color="auto" w:fill="FFFFFF"/>
        </w:rPr>
        <w:t>Expanding on this, as stated in that extract</w:t>
      </w:r>
      <w:r w:rsidR="001E41B4">
        <w:rPr>
          <w:rFonts w:ascii="Arial" w:hAnsi="Arial" w:cs="Arial"/>
          <w:shd w:val="clear" w:color="auto" w:fill="FFFFFF"/>
        </w:rPr>
        <w:t>,</w:t>
      </w:r>
      <w:r w:rsidR="000B66CE">
        <w:rPr>
          <w:rFonts w:ascii="Arial" w:hAnsi="Arial" w:cs="Arial"/>
          <w:shd w:val="clear" w:color="auto" w:fill="FFFFFF"/>
        </w:rPr>
        <w:t xml:space="preserve"> gender norms are largely based on behaviour and how a male or female </w:t>
      </w:r>
      <w:r w:rsidR="001E41B4">
        <w:rPr>
          <w:rFonts w:ascii="Arial" w:hAnsi="Arial" w:cs="Arial"/>
          <w:shd w:val="clear" w:color="auto" w:fill="FFFFFF"/>
        </w:rPr>
        <w:t>‘</w:t>
      </w:r>
      <w:r w:rsidR="000B66CE">
        <w:rPr>
          <w:rFonts w:ascii="Arial" w:hAnsi="Arial" w:cs="Arial"/>
          <w:shd w:val="clear" w:color="auto" w:fill="FFFFFF"/>
        </w:rPr>
        <w:t>should</w:t>
      </w:r>
      <w:r w:rsidR="001E41B4">
        <w:rPr>
          <w:rFonts w:ascii="Arial" w:hAnsi="Arial" w:cs="Arial"/>
          <w:shd w:val="clear" w:color="auto" w:fill="FFFFFF"/>
        </w:rPr>
        <w:t>’</w:t>
      </w:r>
      <w:r w:rsidR="000B66CE">
        <w:rPr>
          <w:rFonts w:ascii="Arial" w:hAnsi="Arial" w:cs="Arial"/>
          <w:shd w:val="clear" w:color="auto" w:fill="FFFFFF"/>
        </w:rPr>
        <w:t xml:space="preserve"> act from a societal perspective. </w:t>
      </w:r>
      <w:r w:rsidR="00144557">
        <w:rPr>
          <w:rFonts w:ascii="Arial" w:hAnsi="Arial" w:cs="Arial"/>
          <w:shd w:val="clear" w:color="auto" w:fill="FFFFFF"/>
        </w:rPr>
        <w:t xml:space="preserve">So, </w:t>
      </w:r>
      <w:r w:rsidR="0003791C">
        <w:rPr>
          <w:rFonts w:ascii="Arial" w:hAnsi="Arial" w:cs="Arial"/>
          <w:shd w:val="clear" w:color="auto" w:fill="FFFFFF"/>
        </w:rPr>
        <w:t>with that in mind, if</w:t>
      </w:r>
      <w:r w:rsidR="00144557">
        <w:rPr>
          <w:rFonts w:ascii="Arial" w:hAnsi="Arial" w:cs="Arial"/>
          <w:shd w:val="clear" w:color="auto" w:fill="FFFFFF"/>
        </w:rPr>
        <w:t xml:space="preserve"> a woman is involved in a situation where they are being judged for a criminal act, they </w:t>
      </w:r>
      <w:r w:rsidR="00821D58">
        <w:rPr>
          <w:rFonts w:ascii="Arial" w:hAnsi="Arial" w:cs="Arial"/>
          <w:shd w:val="clear" w:color="auto" w:fill="FFFFFF"/>
        </w:rPr>
        <w:t>would</w:t>
      </w:r>
      <w:r w:rsidR="00144557">
        <w:rPr>
          <w:rFonts w:ascii="Arial" w:hAnsi="Arial" w:cs="Arial"/>
          <w:shd w:val="clear" w:color="auto" w:fill="FFFFFF"/>
        </w:rPr>
        <w:t xml:space="preserve"> already</w:t>
      </w:r>
      <w:r w:rsidR="00821D58">
        <w:rPr>
          <w:rFonts w:ascii="Arial" w:hAnsi="Arial" w:cs="Arial"/>
          <w:shd w:val="clear" w:color="auto" w:fill="FFFFFF"/>
        </w:rPr>
        <w:t xml:space="preserve"> be</w:t>
      </w:r>
      <w:r w:rsidR="00144557">
        <w:rPr>
          <w:rFonts w:ascii="Arial" w:hAnsi="Arial" w:cs="Arial"/>
          <w:shd w:val="clear" w:color="auto" w:fill="FFFFFF"/>
        </w:rPr>
        <w:t xml:space="preserve"> at a disadvantage from years of these gender norms being imprinted on</w:t>
      </w:r>
      <w:r w:rsidR="000B66CE">
        <w:rPr>
          <w:rFonts w:ascii="Arial" w:hAnsi="Arial" w:cs="Arial"/>
          <w:shd w:val="clear" w:color="auto" w:fill="FFFFFF"/>
        </w:rPr>
        <w:t xml:space="preserve"> </w:t>
      </w:r>
      <w:r w:rsidR="00144557">
        <w:rPr>
          <w:rFonts w:ascii="Arial" w:hAnsi="Arial" w:cs="Arial"/>
          <w:shd w:val="clear" w:color="auto" w:fill="FFFFFF"/>
        </w:rPr>
        <w:t xml:space="preserve">society, as opposed to a </w:t>
      </w:r>
      <w:r w:rsidR="00941AD7">
        <w:rPr>
          <w:rFonts w:ascii="Arial" w:hAnsi="Arial" w:cs="Arial"/>
          <w:shd w:val="clear" w:color="auto" w:fill="FFFFFF"/>
        </w:rPr>
        <w:t>man</w:t>
      </w:r>
      <w:r w:rsidR="00144557">
        <w:rPr>
          <w:rFonts w:ascii="Arial" w:hAnsi="Arial" w:cs="Arial"/>
          <w:shd w:val="clear" w:color="auto" w:fill="FFFFFF"/>
        </w:rPr>
        <w:t xml:space="preserve"> who is arguably</w:t>
      </w:r>
      <w:r w:rsidR="00941AD7">
        <w:rPr>
          <w:rFonts w:ascii="Arial" w:hAnsi="Arial" w:cs="Arial"/>
          <w:shd w:val="clear" w:color="auto" w:fill="FFFFFF"/>
        </w:rPr>
        <w:t xml:space="preserve"> expected to act violent or aggressive to a certain extent. </w:t>
      </w:r>
      <w:r w:rsidR="00090312">
        <w:rPr>
          <w:rFonts w:ascii="Arial" w:hAnsi="Arial" w:cs="Arial"/>
          <w:shd w:val="clear" w:color="auto" w:fill="FFFFFF"/>
        </w:rPr>
        <w:t xml:space="preserve">Tracing these concepts back from a historical perspective, </w:t>
      </w:r>
      <w:r w:rsidR="009341AA">
        <w:rPr>
          <w:rFonts w:ascii="Arial" w:hAnsi="Arial" w:cs="Arial"/>
          <w:shd w:val="clear" w:color="auto" w:fill="FFFFFF"/>
        </w:rPr>
        <w:t xml:space="preserve">the </w:t>
      </w:r>
      <w:r w:rsidR="009341AA">
        <w:rPr>
          <w:rFonts w:ascii="Arial" w:hAnsi="Arial" w:cs="Arial"/>
          <w:shd w:val="clear" w:color="auto" w:fill="FFFFFF"/>
        </w:rPr>
        <w:lastRenderedPageBreak/>
        <w:t xml:space="preserve">prevalence of gender norms and </w:t>
      </w:r>
      <w:r w:rsidR="00C6258C">
        <w:rPr>
          <w:rFonts w:ascii="Arial" w:hAnsi="Arial" w:cs="Arial"/>
          <w:shd w:val="clear" w:color="auto" w:fill="FFFFFF"/>
        </w:rPr>
        <w:t>treatment</w:t>
      </w:r>
      <w:r w:rsidR="009341AA">
        <w:rPr>
          <w:rFonts w:ascii="Arial" w:hAnsi="Arial" w:cs="Arial"/>
          <w:shd w:val="clear" w:color="auto" w:fill="FFFFFF"/>
        </w:rPr>
        <w:t xml:space="preserve"> of women can be seen in the media and in fiction</w:t>
      </w:r>
      <w:r w:rsidR="00BF0035">
        <w:rPr>
          <w:rFonts w:ascii="Arial" w:hAnsi="Arial" w:cs="Arial"/>
          <w:shd w:val="clear" w:color="auto" w:fill="FFFFFF"/>
        </w:rPr>
        <w:t>, Morris (1990) explores this in the book</w:t>
      </w:r>
      <w:r w:rsidR="00BF0035">
        <w:rPr>
          <w:rFonts w:ascii="Arial" w:hAnsi="Arial" w:cs="Arial"/>
          <w:i/>
          <w:iCs/>
          <w:shd w:val="clear" w:color="auto" w:fill="FFFFFF"/>
        </w:rPr>
        <w:t xml:space="preserve"> Double Jeopardy: Women Who Kill in </w:t>
      </w:r>
      <w:r w:rsidR="00996E9D">
        <w:rPr>
          <w:rFonts w:ascii="Arial" w:hAnsi="Arial" w:cs="Arial"/>
          <w:i/>
          <w:iCs/>
          <w:shd w:val="clear" w:color="auto" w:fill="FFFFFF"/>
        </w:rPr>
        <w:t>Victorian</w:t>
      </w:r>
      <w:r w:rsidR="00BF0035">
        <w:rPr>
          <w:rFonts w:ascii="Arial" w:hAnsi="Arial" w:cs="Arial"/>
          <w:i/>
          <w:iCs/>
          <w:shd w:val="clear" w:color="auto" w:fill="FFFFFF"/>
        </w:rPr>
        <w:t xml:space="preserve"> Fiction</w:t>
      </w:r>
      <w:r w:rsidR="00BF0035">
        <w:rPr>
          <w:rFonts w:ascii="Arial" w:hAnsi="Arial" w:cs="Arial"/>
          <w:shd w:val="clear" w:color="auto" w:fill="FFFFFF"/>
        </w:rPr>
        <w:t xml:space="preserve">, stating </w:t>
      </w:r>
      <w:r w:rsidR="00BF0035" w:rsidRPr="00BF0035">
        <w:rPr>
          <w:rFonts w:ascii="Arial" w:hAnsi="Arial" w:cs="Arial"/>
          <w:shd w:val="clear" w:color="auto" w:fill="FFFFFF"/>
        </w:rPr>
        <w:t>“</w:t>
      </w:r>
      <w:r w:rsidR="00BF0035" w:rsidRPr="00BF0035">
        <w:rPr>
          <w:rFonts w:ascii="Arial" w:hAnsi="Arial" w:cs="Arial"/>
          <w:spacing w:val="-5"/>
        </w:rPr>
        <w:t>Victorian women were exalted as morally superior but treated as legally, intellectually, psychologically, and biologically inferior to men. They were credited with shaping England’s greatest achievements; their “decorum, respect, and propriety” were revered, in part to muffle agitation for real autonomy. Yet they were unable to vote or to control their own property.”</w:t>
      </w:r>
      <w:r w:rsidR="003A09D2">
        <w:rPr>
          <w:rFonts w:ascii="Arial" w:hAnsi="Arial" w:cs="Arial"/>
          <w:spacing w:val="-5"/>
        </w:rPr>
        <w:t xml:space="preserve"> </w:t>
      </w:r>
      <w:r w:rsidR="002D485F">
        <w:rPr>
          <w:rFonts w:ascii="Arial" w:hAnsi="Arial" w:cs="Arial"/>
          <w:spacing w:val="-5"/>
        </w:rPr>
        <w:t xml:space="preserve">As Morris </w:t>
      </w:r>
      <w:r w:rsidR="00FA4C78">
        <w:rPr>
          <w:rFonts w:ascii="Arial" w:hAnsi="Arial" w:cs="Arial"/>
          <w:spacing w:val="-5"/>
        </w:rPr>
        <w:t xml:space="preserve">points out here, women were held to a high standard </w:t>
      </w:r>
      <w:r w:rsidR="007542E8">
        <w:rPr>
          <w:rFonts w:ascii="Arial" w:hAnsi="Arial" w:cs="Arial"/>
          <w:spacing w:val="-5"/>
        </w:rPr>
        <w:t>in relation to</w:t>
      </w:r>
      <w:r w:rsidR="00367042">
        <w:rPr>
          <w:rFonts w:ascii="Arial" w:hAnsi="Arial" w:cs="Arial"/>
          <w:spacing w:val="-5"/>
        </w:rPr>
        <w:t xml:space="preserve"> the </w:t>
      </w:r>
      <w:r w:rsidR="009E6899">
        <w:rPr>
          <w:rFonts w:ascii="Arial" w:hAnsi="Arial" w:cs="Arial"/>
          <w:spacing w:val="-5"/>
        </w:rPr>
        <w:t>idea</w:t>
      </w:r>
      <w:r w:rsidR="00367042">
        <w:rPr>
          <w:rFonts w:ascii="Arial" w:hAnsi="Arial" w:cs="Arial"/>
          <w:spacing w:val="-5"/>
        </w:rPr>
        <w:t xml:space="preserve"> of how they were perceived to act, but at the same time weren’t afforded the same rights as men and had gender norms enforced on them. </w:t>
      </w:r>
      <w:r w:rsidR="00E57718">
        <w:rPr>
          <w:rFonts w:ascii="Arial" w:hAnsi="Arial" w:cs="Arial"/>
          <w:spacing w:val="-5"/>
        </w:rPr>
        <w:t xml:space="preserve">In relation to the view of women in criminology, </w:t>
      </w:r>
      <w:r w:rsidR="00112D86">
        <w:rPr>
          <w:rFonts w:ascii="Arial" w:hAnsi="Arial" w:cs="Arial"/>
          <w:spacing w:val="-5"/>
        </w:rPr>
        <w:t>Van der Heijden et al. (2018) states “</w:t>
      </w:r>
      <w:r w:rsidR="00112D86" w:rsidRPr="003A284C">
        <w:rPr>
          <w:rFonts w:ascii="Arial" w:hAnsi="Arial" w:cs="Arial"/>
          <w:shd w:val="clear" w:color="auto" w:fill="FFFFFF"/>
        </w:rPr>
        <w:t>until the 1980s crime historians focused their studies on the criminality of men because women were thought to be "exceptionally law-abiding," and when they committed crime, their crimes were treated with much more leniency by prosecutors and courts than those of men.</w:t>
      </w:r>
      <w:r w:rsidR="00112D86">
        <w:rPr>
          <w:rFonts w:ascii="Arial" w:hAnsi="Arial" w:cs="Arial"/>
          <w:shd w:val="clear" w:color="auto" w:fill="FFFFFF"/>
        </w:rPr>
        <w:t>”</w:t>
      </w:r>
      <w:r w:rsidR="00112D86">
        <w:rPr>
          <w:rFonts w:ascii="Arial" w:hAnsi="Arial" w:cs="Arial"/>
          <w:b/>
          <w:bCs/>
          <w:spacing w:val="-5"/>
        </w:rPr>
        <w:t xml:space="preserve"> </w:t>
      </w:r>
      <w:r w:rsidR="00112D86">
        <w:rPr>
          <w:rFonts w:ascii="Arial" w:hAnsi="Arial" w:cs="Arial"/>
          <w:spacing w:val="-5"/>
        </w:rPr>
        <w:t>This observation offers an explanation to the</w:t>
      </w:r>
      <w:r w:rsidR="003A284C">
        <w:rPr>
          <w:rFonts w:ascii="Arial" w:hAnsi="Arial" w:cs="Arial"/>
          <w:spacing w:val="-5"/>
        </w:rPr>
        <w:t xml:space="preserve"> question posed </w:t>
      </w:r>
      <w:r w:rsidR="00112D86">
        <w:rPr>
          <w:rFonts w:ascii="Arial" w:hAnsi="Arial" w:cs="Arial"/>
          <w:spacing w:val="-5"/>
        </w:rPr>
        <w:t>about why there was</w:t>
      </w:r>
      <w:r w:rsidR="003A284C">
        <w:rPr>
          <w:rFonts w:ascii="Arial" w:hAnsi="Arial" w:cs="Arial"/>
          <w:spacing w:val="-5"/>
        </w:rPr>
        <w:t xml:space="preserve"> arguably less </w:t>
      </w:r>
      <w:r w:rsidR="00112D86">
        <w:rPr>
          <w:rFonts w:ascii="Arial" w:hAnsi="Arial" w:cs="Arial"/>
          <w:spacing w:val="-5"/>
        </w:rPr>
        <w:t>constructive work</w:t>
      </w:r>
      <w:r w:rsidR="003A284C">
        <w:rPr>
          <w:rFonts w:ascii="Arial" w:hAnsi="Arial" w:cs="Arial"/>
          <w:spacing w:val="-5"/>
        </w:rPr>
        <w:t xml:space="preserve"> on </w:t>
      </w:r>
      <w:r w:rsidR="00112D86">
        <w:rPr>
          <w:rFonts w:ascii="Arial" w:hAnsi="Arial" w:cs="Arial"/>
          <w:spacing w:val="-5"/>
        </w:rPr>
        <w:t xml:space="preserve">female offenders in the area. </w:t>
      </w:r>
    </w:p>
    <w:p w14:paraId="73FC91E1" w14:textId="0AF2B2EC" w:rsidR="00254135" w:rsidRDefault="002F29C3" w:rsidP="00D25410">
      <w:pPr>
        <w:pStyle w:val="NormalWeb"/>
        <w:shd w:val="clear" w:color="auto" w:fill="FFFFFF"/>
        <w:spacing w:before="0" w:beforeAutospacing="0" w:after="360" w:afterAutospacing="0" w:line="480" w:lineRule="auto"/>
        <w:rPr>
          <w:rFonts w:ascii="Arial" w:hAnsi="Arial" w:cs="Arial"/>
          <w:shd w:val="clear" w:color="auto" w:fill="FFFFFF"/>
        </w:rPr>
      </w:pPr>
      <w:r>
        <w:rPr>
          <w:rFonts w:ascii="Arial" w:hAnsi="Arial" w:cs="Arial"/>
          <w:spacing w:val="-5"/>
        </w:rPr>
        <w:t xml:space="preserve">Another key part of this discussion that should be introduced is the victimisation aspect, especially when it comes to the characteristics of female offenders and what resources they have available to them in comparison with male offenders whilst incarcerated. </w:t>
      </w:r>
      <w:r w:rsidR="001C0B7C">
        <w:rPr>
          <w:rFonts w:ascii="Arial" w:hAnsi="Arial" w:cs="Arial"/>
          <w:spacing w:val="-5"/>
        </w:rPr>
        <w:t xml:space="preserve">To cite </w:t>
      </w:r>
      <w:proofErr w:type="spellStart"/>
      <w:r w:rsidR="001C0B7C">
        <w:rPr>
          <w:rFonts w:ascii="Arial" w:hAnsi="Arial" w:cs="Arial"/>
          <w:spacing w:val="-5"/>
        </w:rPr>
        <w:t>Sarteschi</w:t>
      </w:r>
      <w:proofErr w:type="spellEnd"/>
      <w:r w:rsidR="001C0B7C">
        <w:rPr>
          <w:rFonts w:ascii="Arial" w:hAnsi="Arial" w:cs="Arial"/>
          <w:spacing w:val="-5"/>
        </w:rPr>
        <w:t xml:space="preserve"> et al. (2010), </w:t>
      </w:r>
      <w:r w:rsidR="009D425C">
        <w:rPr>
          <w:rFonts w:ascii="Arial" w:hAnsi="Arial" w:cs="Arial"/>
          <w:spacing w:val="-5"/>
        </w:rPr>
        <w:t xml:space="preserve">a survey </w:t>
      </w:r>
      <w:r w:rsidR="008B1658">
        <w:rPr>
          <w:rFonts w:ascii="Arial" w:hAnsi="Arial" w:cs="Arial"/>
          <w:spacing w:val="-5"/>
        </w:rPr>
        <w:t xml:space="preserve">that was </w:t>
      </w:r>
      <w:r w:rsidR="009D425C">
        <w:rPr>
          <w:rFonts w:ascii="Arial" w:hAnsi="Arial" w:cs="Arial"/>
          <w:spacing w:val="-5"/>
        </w:rPr>
        <w:t xml:space="preserve">conducted over 424 </w:t>
      </w:r>
      <w:r w:rsidR="007601DE">
        <w:rPr>
          <w:rFonts w:ascii="Arial" w:hAnsi="Arial" w:cs="Arial"/>
          <w:spacing w:val="-5"/>
        </w:rPr>
        <w:t xml:space="preserve">US </w:t>
      </w:r>
      <w:r w:rsidR="009D425C">
        <w:rPr>
          <w:rFonts w:ascii="Arial" w:hAnsi="Arial" w:cs="Arial"/>
          <w:spacing w:val="-5"/>
        </w:rPr>
        <w:t xml:space="preserve">jails indicated </w:t>
      </w:r>
      <w:r w:rsidR="00986791">
        <w:rPr>
          <w:rFonts w:ascii="Arial" w:hAnsi="Arial" w:cs="Arial"/>
          <w:spacing w:val="-5"/>
        </w:rPr>
        <w:t>that female offenders tended to be</w:t>
      </w:r>
      <w:r w:rsidR="00E15817">
        <w:rPr>
          <w:rFonts w:ascii="Arial" w:hAnsi="Arial" w:cs="Arial"/>
          <w:spacing w:val="-5"/>
        </w:rPr>
        <w:t xml:space="preserve"> from</w:t>
      </w:r>
      <w:r w:rsidR="00986791">
        <w:rPr>
          <w:rFonts w:ascii="Arial" w:hAnsi="Arial" w:cs="Arial"/>
          <w:spacing w:val="-5"/>
        </w:rPr>
        <w:t xml:space="preserve"> ethnic minorit</w:t>
      </w:r>
      <w:r w:rsidR="00E15817">
        <w:rPr>
          <w:rFonts w:ascii="Arial" w:hAnsi="Arial" w:cs="Arial"/>
          <w:spacing w:val="-5"/>
        </w:rPr>
        <w:t>y groups</w:t>
      </w:r>
      <w:r w:rsidR="00986791">
        <w:rPr>
          <w:rFonts w:ascii="Arial" w:hAnsi="Arial" w:cs="Arial"/>
          <w:spacing w:val="-5"/>
        </w:rPr>
        <w:t xml:space="preserve"> who came from low-income environments where they also were suffering from mental illnesses, with post-traumatic stress disorder being a common theme of this. </w:t>
      </w:r>
      <w:r w:rsidR="004B2B0A">
        <w:rPr>
          <w:rFonts w:ascii="Arial" w:hAnsi="Arial" w:cs="Arial"/>
        </w:rPr>
        <w:t xml:space="preserve">In the study, it was also revealed the lack of services available for drug abuse, which is significant </w:t>
      </w:r>
      <w:r w:rsidR="00D9549A">
        <w:rPr>
          <w:rFonts w:ascii="Arial" w:hAnsi="Arial" w:cs="Arial"/>
        </w:rPr>
        <w:t>due to the fact that</w:t>
      </w:r>
      <w:r w:rsidR="004B2B0A">
        <w:rPr>
          <w:rFonts w:ascii="Arial" w:hAnsi="Arial" w:cs="Arial"/>
        </w:rPr>
        <w:t xml:space="preserve"> drug</w:t>
      </w:r>
      <w:r w:rsidR="003A17BE">
        <w:rPr>
          <w:rFonts w:ascii="Arial" w:hAnsi="Arial" w:cs="Arial"/>
        </w:rPr>
        <w:t xml:space="preserve"> abuse has</w:t>
      </w:r>
      <w:r w:rsidR="004B2B0A">
        <w:rPr>
          <w:rFonts w:ascii="Arial" w:hAnsi="Arial" w:cs="Arial"/>
        </w:rPr>
        <w:t xml:space="preserve"> be</w:t>
      </w:r>
      <w:r w:rsidR="003A17BE">
        <w:rPr>
          <w:rFonts w:ascii="Arial" w:hAnsi="Arial" w:cs="Arial"/>
        </w:rPr>
        <w:t>en known to be</w:t>
      </w:r>
      <w:r w:rsidR="004B2B0A">
        <w:rPr>
          <w:rFonts w:ascii="Arial" w:hAnsi="Arial" w:cs="Arial"/>
        </w:rPr>
        <w:t xml:space="preserve"> used as a coping mechanism for the issues mentioned,</w:t>
      </w:r>
      <w:r w:rsidR="003A17BE">
        <w:rPr>
          <w:rFonts w:ascii="Arial" w:hAnsi="Arial" w:cs="Arial"/>
        </w:rPr>
        <w:t xml:space="preserve"> </w:t>
      </w:r>
      <w:r w:rsidR="003A17BE">
        <w:rPr>
          <w:rFonts w:ascii="Arial" w:hAnsi="Arial" w:cs="Arial"/>
        </w:rPr>
        <w:lastRenderedPageBreak/>
        <w:t>especially if there are a lack of other options whilst incarcerated,</w:t>
      </w:r>
      <w:r w:rsidR="004B2B0A">
        <w:rPr>
          <w:rFonts w:ascii="Arial" w:hAnsi="Arial" w:cs="Arial"/>
        </w:rPr>
        <w:t xml:space="preserve"> the study states </w:t>
      </w:r>
      <w:r w:rsidR="004B2B0A" w:rsidRPr="004B2B0A">
        <w:rPr>
          <w:rFonts w:ascii="Arial" w:hAnsi="Arial" w:cs="Arial"/>
        </w:rPr>
        <w:t>“it was reported that only 13% of the detainees had access to these services, while only 7% actually received or participated in these services.</w:t>
      </w:r>
      <w:r w:rsidR="004B2B0A">
        <w:rPr>
          <w:rFonts w:ascii="Arial" w:hAnsi="Arial" w:cs="Arial"/>
        </w:rPr>
        <w:t xml:space="preserve">” </w:t>
      </w:r>
      <w:r w:rsidR="00C26759">
        <w:rPr>
          <w:rFonts w:ascii="Arial" w:hAnsi="Arial" w:cs="Arial"/>
        </w:rPr>
        <w:t xml:space="preserve">Attitudes towards female offenders and double deviance can be traced back in early criminology, a highly influential figure in the area was Cesare Lombroso, who </w:t>
      </w:r>
      <w:r w:rsidR="00AE2772">
        <w:rPr>
          <w:rFonts w:ascii="Arial" w:hAnsi="Arial" w:cs="Arial"/>
        </w:rPr>
        <w:t>strongly expressed the idea that women are less evolved than men and coupled this with the theory of being born a criminal.</w:t>
      </w:r>
      <w:r w:rsidR="002D29C3">
        <w:rPr>
          <w:rFonts w:ascii="Arial" w:hAnsi="Arial" w:cs="Arial"/>
        </w:rPr>
        <w:t xml:space="preserve"> In modern criminology, Lombroso’s methods aren’t up to standard due to the methods behind certain research </w:t>
      </w:r>
      <w:proofErr w:type="gramStart"/>
      <w:r w:rsidR="002D29C3">
        <w:rPr>
          <w:rFonts w:ascii="Arial" w:hAnsi="Arial" w:cs="Arial"/>
        </w:rPr>
        <w:t xml:space="preserve">being considered </w:t>
      </w:r>
      <w:r w:rsidR="006654C7">
        <w:rPr>
          <w:rFonts w:ascii="Arial" w:hAnsi="Arial" w:cs="Arial"/>
        </w:rPr>
        <w:t>to be</w:t>
      </w:r>
      <w:proofErr w:type="gramEnd"/>
      <w:r w:rsidR="006654C7">
        <w:rPr>
          <w:rFonts w:ascii="Arial" w:hAnsi="Arial" w:cs="Arial"/>
        </w:rPr>
        <w:t xml:space="preserve"> </w:t>
      </w:r>
      <w:r w:rsidR="002D29C3">
        <w:rPr>
          <w:rFonts w:ascii="Arial" w:hAnsi="Arial" w:cs="Arial"/>
        </w:rPr>
        <w:t xml:space="preserve">archaic, for example, Lombroso </w:t>
      </w:r>
      <w:r w:rsidR="004C0060">
        <w:rPr>
          <w:rFonts w:ascii="Arial" w:hAnsi="Arial" w:cs="Arial"/>
        </w:rPr>
        <w:t xml:space="preserve">et al. </w:t>
      </w:r>
      <w:r w:rsidR="002D29C3">
        <w:rPr>
          <w:rFonts w:ascii="Arial" w:hAnsi="Arial" w:cs="Arial"/>
        </w:rPr>
        <w:t>(1859) uses skull shape and ‘facial angle’ as a means to identify and categorize female offenders</w:t>
      </w:r>
      <w:r w:rsidR="006654C7">
        <w:rPr>
          <w:rFonts w:ascii="Arial" w:hAnsi="Arial" w:cs="Arial"/>
        </w:rPr>
        <w:t xml:space="preserve">, just two of the biological markers that are emphasised </w:t>
      </w:r>
      <w:r w:rsidR="004E549E">
        <w:rPr>
          <w:rFonts w:ascii="Arial" w:hAnsi="Arial" w:cs="Arial"/>
        </w:rPr>
        <w:t>throughout his</w:t>
      </w:r>
      <w:r w:rsidR="006654C7">
        <w:rPr>
          <w:rFonts w:ascii="Arial" w:hAnsi="Arial" w:cs="Arial"/>
        </w:rPr>
        <w:t xml:space="preserve"> works. </w:t>
      </w:r>
      <w:r w:rsidR="006F49AF">
        <w:rPr>
          <w:rFonts w:ascii="Arial" w:hAnsi="Arial" w:cs="Arial"/>
        </w:rPr>
        <w:t>To counter Lombroso’s views on offenders, Mazzarello (2011) sums it up as “</w:t>
      </w:r>
      <w:r w:rsidR="006F49AF" w:rsidRPr="006F49AF">
        <w:rPr>
          <w:rFonts w:ascii="Arial" w:hAnsi="Arial" w:cs="Arial"/>
          <w:shd w:val="clear" w:color="auto" w:fill="FFFFFF"/>
        </w:rPr>
        <w:t>Ultimately, his theories were completely undermined by methodological weaknesses (poor sampling technique, bias in gathering data, poor statistics) and by his idea that physical stigmata of criminality were intrinsically biological rather than, often, the consequence of malnutrition and poverty.</w:t>
      </w:r>
      <w:r w:rsidR="006F49AF">
        <w:rPr>
          <w:rFonts w:ascii="Arial" w:hAnsi="Arial" w:cs="Arial"/>
          <w:shd w:val="clear" w:color="auto" w:fill="FFFFFF"/>
        </w:rPr>
        <w:t xml:space="preserve">” With </w:t>
      </w:r>
      <w:r w:rsidR="00E75A16">
        <w:rPr>
          <w:rFonts w:ascii="Arial" w:hAnsi="Arial" w:cs="Arial"/>
          <w:shd w:val="clear" w:color="auto" w:fill="FFFFFF"/>
        </w:rPr>
        <w:t>the</w:t>
      </w:r>
      <w:r w:rsidR="006F49AF">
        <w:rPr>
          <w:rFonts w:ascii="Arial" w:hAnsi="Arial" w:cs="Arial"/>
          <w:shd w:val="clear" w:color="auto" w:fill="FFFFFF"/>
        </w:rPr>
        <w:t xml:space="preserve"> </w:t>
      </w:r>
      <w:r w:rsidR="001A3409">
        <w:rPr>
          <w:rFonts w:ascii="Arial" w:hAnsi="Arial" w:cs="Arial"/>
          <w:shd w:val="clear" w:color="auto" w:fill="FFFFFF"/>
        </w:rPr>
        <w:t>final observation</w:t>
      </w:r>
      <w:r w:rsidR="00E75A16">
        <w:rPr>
          <w:rFonts w:ascii="Arial" w:hAnsi="Arial" w:cs="Arial"/>
          <w:shd w:val="clear" w:color="auto" w:fill="FFFFFF"/>
        </w:rPr>
        <w:t xml:space="preserve"> there</w:t>
      </w:r>
      <w:r w:rsidR="001A3409">
        <w:rPr>
          <w:rFonts w:ascii="Arial" w:hAnsi="Arial" w:cs="Arial"/>
          <w:shd w:val="clear" w:color="auto" w:fill="FFFFFF"/>
        </w:rPr>
        <w:t xml:space="preserve"> being that in modern criminology, offenders are judged substantially based on the</w:t>
      </w:r>
      <w:r w:rsidR="00861D3A">
        <w:rPr>
          <w:rFonts w:ascii="Arial" w:hAnsi="Arial" w:cs="Arial"/>
          <w:shd w:val="clear" w:color="auto" w:fill="FFFFFF"/>
        </w:rPr>
        <w:t xml:space="preserve"> nature of their upbringing</w:t>
      </w:r>
      <w:r w:rsidR="001A3409">
        <w:rPr>
          <w:rFonts w:ascii="Arial" w:hAnsi="Arial" w:cs="Arial"/>
          <w:shd w:val="clear" w:color="auto" w:fill="FFFFFF"/>
        </w:rPr>
        <w:t xml:space="preserve">, environmental and socioeconomic factors </w:t>
      </w:r>
      <w:r w:rsidR="00861D3A">
        <w:rPr>
          <w:rFonts w:ascii="Arial" w:hAnsi="Arial" w:cs="Arial"/>
          <w:shd w:val="clear" w:color="auto" w:fill="FFFFFF"/>
        </w:rPr>
        <w:t>which is completely</w:t>
      </w:r>
      <w:r w:rsidR="001A3409">
        <w:rPr>
          <w:rFonts w:ascii="Arial" w:hAnsi="Arial" w:cs="Arial"/>
          <w:shd w:val="clear" w:color="auto" w:fill="FFFFFF"/>
        </w:rPr>
        <w:t xml:space="preserve"> opposed to the biological </w:t>
      </w:r>
      <w:r w:rsidR="004667D4">
        <w:rPr>
          <w:rFonts w:ascii="Arial" w:hAnsi="Arial" w:cs="Arial"/>
          <w:shd w:val="clear" w:color="auto" w:fill="FFFFFF"/>
        </w:rPr>
        <w:t>approach</w:t>
      </w:r>
      <w:r w:rsidR="001A3409">
        <w:rPr>
          <w:rFonts w:ascii="Arial" w:hAnsi="Arial" w:cs="Arial"/>
          <w:shd w:val="clear" w:color="auto" w:fill="FFFFFF"/>
        </w:rPr>
        <w:t xml:space="preserve"> of Lombroso. </w:t>
      </w:r>
    </w:p>
    <w:p w14:paraId="350695B2" w14:textId="597F8925" w:rsidR="00CE4D26" w:rsidRDefault="00CF15CE" w:rsidP="00D25410">
      <w:pPr>
        <w:pStyle w:val="NormalWeb"/>
        <w:shd w:val="clear" w:color="auto" w:fill="FFFFFF"/>
        <w:spacing w:before="0" w:beforeAutospacing="0" w:after="360" w:afterAutospacing="0" w:line="480" w:lineRule="auto"/>
        <w:rPr>
          <w:rFonts w:ascii="Arial" w:hAnsi="Arial" w:cs="Arial"/>
          <w:shd w:val="clear" w:color="auto" w:fill="FFFFFF"/>
        </w:rPr>
      </w:pPr>
      <w:r>
        <w:rPr>
          <w:rFonts w:ascii="Arial" w:hAnsi="Arial" w:cs="Arial"/>
          <w:shd w:val="clear" w:color="auto" w:fill="FFFFFF"/>
        </w:rPr>
        <w:t xml:space="preserve">Continuing to address the victimization of women relating to double jeopardy, </w:t>
      </w:r>
      <w:r w:rsidR="00D40645">
        <w:rPr>
          <w:rFonts w:ascii="Arial" w:hAnsi="Arial" w:cs="Arial"/>
          <w:shd w:val="clear" w:color="auto" w:fill="FFFFFF"/>
        </w:rPr>
        <w:t xml:space="preserve">the growing diversity of society in the modern world </w:t>
      </w:r>
      <w:r w:rsidR="00141098">
        <w:rPr>
          <w:rFonts w:ascii="Arial" w:hAnsi="Arial" w:cs="Arial"/>
          <w:shd w:val="clear" w:color="auto" w:fill="FFFFFF"/>
        </w:rPr>
        <w:t>can be highlighted as another factor in the victimization of women, with migration increasing</w:t>
      </w:r>
      <w:r w:rsidR="0035621B">
        <w:rPr>
          <w:rFonts w:ascii="Arial" w:hAnsi="Arial" w:cs="Arial"/>
          <w:shd w:val="clear" w:color="auto" w:fill="FFFFFF"/>
        </w:rPr>
        <w:t xml:space="preserve">, a study from Brownridge et al. (2002) outlines </w:t>
      </w:r>
      <w:r w:rsidR="0035621B" w:rsidRPr="0035621B">
        <w:rPr>
          <w:rFonts w:ascii="Arial" w:hAnsi="Arial" w:cs="Arial"/>
          <w:shd w:val="clear" w:color="auto" w:fill="FFFFFF"/>
        </w:rPr>
        <w:t xml:space="preserve">“Based on a representative sample of 7,115 women, the results show that immigrant women from developing countries have the highest prevalence of violence. The analyses demonstrate that several variables operate differently in </w:t>
      </w:r>
      <w:r w:rsidR="0035621B" w:rsidRPr="0035621B">
        <w:rPr>
          <w:rFonts w:ascii="Arial" w:hAnsi="Arial" w:cs="Arial"/>
          <w:shd w:val="clear" w:color="auto" w:fill="FFFFFF"/>
        </w:rPr>
        <w:lastRenderedPageBreak/>
        <w:t>the production of violence against immigrant women from developed and developing nations.</w:t>
      </w:r>
      <w:r w:rsidR="0035621B">
        <w:rPr>
          <w:rFonts w:ascii="Arial" w:hAnsi="Arial" w:cs="Arial"/>
          <w:shd w:val="clear" w:color="auto" w:fill="FFFFFF"/>
        </w:rPr>
        <w:t xml:space="preserve">” </w:t>
      </w:r>
      <w:r w:rsidR="004B3E27">
        <w:rPr>
          <w:rFonts w:ascii="Arial" w:hAnsi="Arial" w:cs="Arial"/>
          <w:shd w:val="clear" w:color="auto" w:fill="FFFFFF"/>
        </w:rPr>
        <w:t xml:space="preserve">Whilst this study indicates double jeopardy by demonstrating that immigrant women are a particularly vulnerable group of people when being victimised through violence, </w:t>
      </w:r>
      <w:r w:rsidR="00197DCC">
        <w:rPr>
          <w:rFonts w:ascii="Arial" w:hAnsi="Arial" w:cs="Arial"/>
          <w:shd w:val="clear" w:color="auto" w:fill="FFFFFF"/>
        </w:rPr>
        <w:t xml:space="preserve">it also takes a focus on domestic abuse being a key factor in this </w:t>
      </w:r>
      <w:proofErr w:type="gramStart"/>
      <w:r w:rsidR="00197DCC">
        <w:rPr>
          <w:rFonts w:ascii="Arial" w:hAnsi="Arial" w:cs="Arial"/>
          <w:shd w:val="clear" w:color="auto" w:fill="FFFFFF"/>
        </w:rPr>
        <w:t>due to the fact that</w:t>
      </w:r>
      <w:proofErr w:type="gramEnd"/>
      <w:r w:rsidR="00197DCC">
        <w:rPr>
          <w:rFonts w:ascii="Arial" w:hAnsi="Arial" w:cs="Arial"/>
          <w:shd w:val="clear" w:color="auto" w:fill="FFFFFF"/>
        </w:rPr>
        <w:t xml:space="preserve"> gaining more independence in a new country can raise the insecurities of partners as this is predominantly not the case in the culture of the country that they are from. </w:t>
      </w:r>
      <w:r w:rsidR="009273EC">
        <w:rPr>
          <w:rFonts w:ascii="Arial" w:hAnsi="Arial" w:cs="Arial"/>
          <w:shd w:val="clear" w:color="auto" w:fill="FFFFFF"/>
        </w:rPr>
        <w:t xml:space="preserve">Another look at diversity in relation to double jeopardy can be seen in </w:t>
      </w:r>
      <w:r w:rsidR="00CE4D26">
        <w:rPr>
          <w:rFonts w:ascii="Arial" w:hAnsi="Arial" w:cs="Arial"/>
          <w:shd w:val="clear" w:color="auto" w:fill="FFFFFF"/>
        </w:rPr>
        <w:t>the criminal justice system as a theme, French (1978) highlights the issues that incarcerated black women have faced in America after and during the civil rights movement</w:t>
      </w:r>
      <w:r w:rsidR="00B650B4">
        <w:rPr>
          <w:rFonts w:ascii="Arial" w:hAnsi="Arial" w:cs="Arial"/>
          <w:shd w:val="clear" w:color="auto" w:fill="FFFFFF"/>
        </w:rPr>
        <w:t xml:space="preserve">, stating “Examples abound of female abuse at the hands off the primarily male criminal justice system. North Carolina has been plagued with other female correctional issues including other inmates being sexually molested, complaints about compulsory pelvic examinations, and even a riot at the correctional </w:t>
      </w:r>
      <w:proofErr w:type="spellStart"/>
      <w:r w:rsidR="00B650B4">
        <w:rPr>
          <w:rFonts w:ascii="Arial" w:hAnsi="Arial" w:cs="Arial"/>
          <w:shd w:val="clear" w:color="auto" w:fill="FFFFFF"/>
        </w:rPr>
        <w:t>center</w:t>
      </w:r>
      <w:proofErr w:type="spellEnd"/>
      <w:r w:rsidR="00B650B4">
        <w:rPr>
          <w:rFonts w:ascii="Arial" w:hAnsi="Arial" w:cs="Arial"/>
          <w:shd w:val="clear" w:color="auto" w:fill="FFFFFF"/>
        </w:rPr>
        <w:t xml:space="preserve"> for women.” </w:t>
      </w:r>
      <w:r w:rsidR="0060534D">
        <w:rPr>
          <w:rFonts w:ascii="Arial" w:hAnsi="Arial" w:cs="Arial"/>
          <w:shd w:val="clear" w:color="auto" w:fill="FFFFFF"/>
        </w:rPr>
        <w:t>As presented in that extract, there are historic examples of women facing double jeopardy by way of sexual abuse and misconduct</w:t>
      </w:r>
      <w:r w:rsidR="00382D52">
        <w:rPr>
          <w:rFonts w:ascii="Arial" w:hAnsi="Arial" w:cs="Arial"/>
          <w:shd w:val="clear" w:color="auto" w:fill="FFFFFF"/>
        </w:rPr>
        <w:t xml:space="preserve"> in the criminal justice system</w:t>
      </w:r>
      <w:r w:rsidR="00695B91">
        <w:rPr>
          <w:rFonts w:ascii="Arial" w:hAnsi="Arial" w:cs="Arial"/>
          <w:shd w:val="clear" w:color="auto" w:fill="FFFFFF"/>
        </w:rPr>
        <w:t xml:space="preserve">, this </w:t>
      </w:r>
      <w:r w:rsidR="001F2C51">
        <w:rPr>
          <w:rFonts w:ascii="Arial" w:hAnsi="Arial" w:cs="Arial"/>
          <w:shd w:val="clear" w:color="auto" w:fill="FFFFFF"/>
        </w:rPr>
        <w:t xml:space="preserve">once again </w:t>
      </w:r>
      <w:r w:rsidR="00C12620">
        <w:rPr>
          <w:rFonts w:ascii="Arial" w:hAnsi="Arial" w:cs="Arial"/>
          <w:shd w:val="clear" w:color="auto" w:fill="FFFFFF"/>
        </w:rPr>
        <w:t>displays</w:t>
      </w:r>
      <w:r w:rsidR="001F2C51">
        <w:rPr>
          <w:rFonts w:ascii="Arial" w:hAnsi="Arial" w:cs="Arial"/>
          <w:shd w:val="clear" w:color="auto" w:fill="FFFFFF"/>
        </w:rPr>
        <w:t xml:space="preserve"> the broader spectrum of the ways in which women face double jeopardy and can be victimised</w:t>
      </w:r>
      <w:r w:rsidR="00AE6BA3">
        <w:rPr>
          <w:rFonts w:ascii="Arial" w:hAnsi="Arial" w:cs="Arial"/>
          <w:shd w:val="clear" w:color="auto" w:fill="FFFFFF"/>
        </w:rPr>
        <w:t xml:space="preserve"> by men in the criminal justice system</w:t>
      </w:r>
      <w:r w:rsidR="001F2C51">
        <w:rPr>
          <w:rFonts w:ascii="Arial" w:hAnsi="Arial" w:cs="Arial"/>
          <w:shd w:val="clear" w:color="auto" w:fill="FFFFFF"/>
        </w:rPr>
        <w:t xml:space="preserve">. </w:t>
      </w:r>
    </w:p>
    <w:p w14:paraId="0094038E" w14:textId="1460C600" w:rsidR="00E2768C" w:rsidRDefault="00D202A0" w:rsidP="00D25410">
      <w:pPr>
        <w:pStyle w:val="NormalWeb"/>
        <w:shd w:val="clear" w:color="auto" w:fill="FFFFFF"/>
        <w:spacing w:before="0" w:beforeAutospacing="0" w:after="360" w:afterAutospacing="0" w:line="480" w:lineRule="auto"/>
        <w:rPr>
          <w:rFonts w:ascii="Arial" w:hAnsi="Arial" w:cs="Arial"/>
          <w:shd w:val="clear" w:color="auto" w:fill="FFFFFF"/>
        </w:rPr>
      </w:pPr>
      <w:r>
        <w:rPr>
          <w:rFonts w:ascii="Arial" w:hAnsi="Arial" w:cs="Arial"/>
          <w:shd w:val="clear" w:color="auto" w:fill="FFFFFF"/>
        </w:rPr>
        <w:t xml:space="preserve">To conclude </w:t>
      </w:r>
      <w:r w:rsidR="00A144A0">
        <w:rPr>
          <w:rFonts w:ascii="Arial" w:hAnsi="Arial" w:cs="Arial"/>
          <w:shd w:val="clear" w:color="auto" w:fill="FFFFFF"/>
        </w:rPr>
        <w:t xml:space="preserve">everything that has been discussed up until this point, </w:t>
      </w:r>
      <w:r w:rsidR="00B55583">
        <w:rPr>
          <w:rFonts w:ascii="Arial" w:hAnsi="Arial" w:cs="Arial"/>
          <w:shd w:val="clear" w:color="auto" w:fill="FFFFFF"/>
        </w:rPr>
        <w:t xml:space="preserve">after evaluating the relevant literature on </w:t>
      </w:r>
      <w:r w:rsidR="00631D8C">
        <w:rPr>
          <w:rFonts w:ascii="Arial" w:hAnsi="Arial" w:cs="Arial"/>
          <w:shd w:val="clear" w:color="auto" w:fill="FFFFFF"/>
        </w:rPr>
        <w:t>double deviancy and double jeopardy</w:t>
      </w:r>
      <w:r w:rsidR="00B55583">
        <w:rPr>
          <w:rFonts w:ascii="Arial" w:hAnsi="Arial" w:cs="Arial"/>
          <w:shd w:val="clear" w:color="auto" w:fill="FFFFFF"/>
        </w:rPr>
        <w:t xml:space="preserve">, these </w:t>
      </w:r>
      <w:r w:rsidR="00631D8C">
        <w:rPr>
          <w:rFonts w:ascii="Arial" w:hAnsi="Arial" w:cs="Arial"/>
          <w:shd w:val="clear" w:color="auto" w:fill="FFFFFF"/>
        </w:rPr>
        <w:t>have been issues that have appeared and grown throughout the history of society</w:t>
      </w:r>
      <w:r w:rsidR="00B627AF">
        <w:rPr>
          <w:rFonts w:ascii="Arial" w:hAnsi="Arial" w:cs="Arial"/>
          <w:shd w:val="clear" w:color="auto" w:fill="FFFFFF"/>
        </w:rPr>
        <w:t xml:space="preserve">. Whether it be </w:t>
      </w:r>
      <w:r w:rsidR="00DC4837">
        <w:rPr>
          <w:rFonts w:ascii="Arial" w:hAnsi="Arial" w:cs="Arial"/>
          <w:shd w:val="clear" w:color="auto" w:fill="FFFFFF"/>
        </w:rPr>
        <w:t>on the surface</w:t>
      </w:r>
      <w:r w:rsidR="00D16728">
        <w:rPr>
          <w:rFonts w:ascii="Arial" w:hAnsi="Arial" w:cs="Arial"/>
          <w:shd w:val="clear" w:color="auto" w:fill="FFFFFF"/>
        </w:rPr>
        <w:t xml:space="preserve"> of gender norms </w:t>
      </w:r>
      <w:r w:rsidR="009B521B">
        <w:rPr>
          <w:rFonts w:ascii="Arial" w:hAnsi="Arial" w:cs="Arial"/>
          <w:shd w:val="clear" w:color="auto" w:fill="FFFFFF"/>
        </w:rPr>
        <w:t xml:space="preserve">and gender roles, this has echoed through all facets of life for women, but the more concerning and highlighted aspect is the issues faced in the criminal justice system by women. </w:t>
      </w:r>
      <w:r w:rsidR="00E6334A">
        <w:rPr>
          <w:rFonts w:ascii="Arial" w:hAnsi="Arial" w:cs="Arial"/>
          <w:shd w:val="clear" w:color="auto" w:fill="FFFFFF"/>
        </w:rPr>
        <w:t xml:space="preserve">Not only has the event of unfair trials such as the Amanda Knox case been shown to happen, but also the violence, sexual violence and lack of support women face in prison, these issues </w:t>
      </w:r>
      <w:r w:rsidR="00E6334A">
        <w:rPr>
          <w:rFonts w:ascii="Arial" w:hAnsi="Arial" w:cs="Arial"/>
          <w:shd w:val="clear" w:color="auto" w:fill="FFFFFF"/>
        </w:rPr>
        <w:lastRenderedPageBreak/>
        <w:t xml:space="preserve">have been seen to happen across the world in multiple countries. </w:t>
      </w:r>
      <w:r w:rsidR="00AB7BC9">
        <w:rPr>
          <w:rFonts w:ascii="Arial" w:hAnsi="Arial" w:cs="Arial"/>
          <w:shd w:val="clear" w:color="auto" w:fill="FFFFFF"/>
        </w:rPr>
        <w:t>The interaction of diversity and double jeopardy has been presented in the struggle of incarcerated women and immigrant women facing violence</w:t>
      </w:r>
      <w:r w:rsidR="00E82DBA">
        <w:rPr>
          <w:rFonts w:ascii="Arial" w:hAnsi="Arial" w:cs="Arial"/>
          <w:shd w:val="clear" w:color="auto" w:fill="FFFFFF"/>
        </w:rPr>
        <w:t xml:space="preserve">. </w:t>
      </w:r>
      <w:r w:rsidR="00F350F1">
        <w:rPr>
          <w:rFonts w:ascii="Arial" w:hAnsi="Arial" w:cs="Arial"/>
          <w:shd w:val="clear" w:color="auto" w:fill="FFFFFF"/>
        </w:rPr>
        <w:t xml:space="preserve">To try move forward and develop this topic in criminology, there should be much more of emphasis on these issues in order to raise awareness, not only amongst experts in the area but also authorities and others who work in the criminal justice system </w:t>
      </w:r>
      <w:r w:rsidR="002325BC">
        <w:rPr>
          <w:rFonts w:ascii="Arial" w:hAnsi="Arial" w:cs="Arial"/>
          <w:shd w:val="clear" w:color="auto" w:fill="FFFFFF"/>
        </w:rPr>
        <w:t>so</w:t>
      </w:r>
      <w:r w:rsidR="00F350F1">
        <w:rPr>
          <w:rFonts w:ascii="Arial" w:hAnsi="Arial" w:cs="Arial"/>
          <w:shd w:val="clear" w:color="auto" w:fill="FFFFFF"/>
        </w:rPr>
        <w:t xml:space="preserve"> </w:t>
      </w:r>
      <w:r w:rsidR="002325BC">
        <w:rPr>
          <w:rFonts w:ascii="Arial" w:hAnsi="Arial" w:cs="Arial"/>
          <w:shd w:val="clear" w:color="auto" w:fill="FFFFFF"/>
        </w:rPr>
        <w:t>the avoidance of</w:t>
      </w:r>
      <w:r w:rsidR="00F350F1">
        <w:rPr>
          <w:rFonts w:ascii="Arial" w:hAnsi="Arial" w:cs="Arial"/>
          <w:shd w:val="clear" w:color="auto" w:fill="FFFFFF"/>
        </w:rPr>
        <w:t xml:space="preserve"> double deviance and double jeopardy</w:t>
      </w:r>
      <w:r w:rsidR="002325BC">
        <w:rPr>
          <w:rFonts w:ascii="Arial" w:hAnsi="Arial" w:cs="Arial"/>
          <w:shd w:val="clear" w:color="auto" w:fill="FFFFFF"/>
        </w:rPr>
        <w:t xml:space="preserve"> is promoted to ensure processes are fair</w:t>
      </w:r>
      <w:r w:rsidR="00F350F1">
        <w:rPr>
          <w:rFonts w:ascii="Arial" w:hAnsi="Arial" w:cs="Arial"/>
          <w:shd w:val="clear" w:color="auto" w:fill="FFFFFF"/>
        </w:rPr>
        <w:t xml:space="preserve">. </w:t>
      </w:r>
    </w:p>
    <w:p w14:paraId="4EB6C0A4" w14:textId="77777777" w:rsidR="00E2768C" w:rsidRDefault="00E2768C">
      <w:pPr>
        <w:rPr>
          <w:rFonts w:ascii="Arial" w:eastAsia="Times New Roman" w:hAnsi="Arial" w:cs="Arial"/>
          <w:sz w:val="24"/>
          <w:szCs w:val="24"/>
          <w:shd w:val="clear" w:color="auto" w:fill="FFFFFF"/>
          <w:lang w:eastAsia="en-GB"/>
        </w:rPr>
      </w:pPr>
      <w:r>
        <w:rPr>
          <w:rFonts w:ascii="Arial" w:hAnsi="Arial" w:cs="Arial"/>
          <w:shd w:val="clear" w:color="auto" w:fill="FFFFFF"/>
        </w:rPr>
        <w:br w:type="page"/>
      </w:r>
    </w:p>
    <w:p w14:paraId="54092C98" w14:textId="77777777" w:rsidR="00E2768C" w:rsidRDefault="00E2768C" w:rsidP="00E2768C">
      <w:pPr>
        <w:rPr>
          <w:rFonts w:ascii="Arial" w:hAnsi="Arial" w:cs="Arial"/>
          <w:sz w:val="24"/>
          <w:szCs w:val="24"/>
          <w:u w:val="single"/>
        </w:rPr>
      </w:pPr>
      <w:r>
        <w:rPr>
          <w:rFonts w:ascii="Arial" w:hAnsi="Arial" w:cs="Arial"/>
          <w:sz w:val="24"/>
          <w:szCs w:val="24"/>
          <w:u w:val="single"/>
        </w:rPr>
        <w:lastRenderedPageBreak/>
        <w:t>References</w:t>
      </w:r>
    </w:p>
    <w:p w14:paraId="7F0094F6" w14:textId="77777777" w:rsidR="00E2768C" w:rsidRPr="00B7178A" w:rsidRDefault="00E2768C" w:rsidP="00E2768C">
      <w:pPr>
        <w:rPr>
          <w:rFonts w:ascii="Arial" w:hAnsi="Arial" w:cs="Arial"/>
          <w:sz w:val="24"/>
          <w:szCs w:val="24"/>
        </w:rPr>
      </w:pPr>
      <w:r w:rsidRPr="00B7178A">
        <w:rPr>
          <w:rFonts w:ascii="Arial" w:hAnsi="Arial" w:cs="Arial"/>
          <w:color w:val="000000"/>
          <w:sz w:val="24"/>
          <w:szCs w:val="24"/>
          <w:shd w:val="clear" w:color="auto" w:fill="FFFFFF"/>
        </w:rPr>
        <w:t>Barton, R. (2014). </w:t>
      </w:r>
      <w:r w:rsidRPr="00B7178A">
        <w:rPr>
          <w:rFonts w:ascii="Arial" w:hAnsi="Arial" w:cs="Arial"/>
          <w:i/>
          <w:iCs/>
          <w:color w:val="000000"/>
          <w:sz w:val="24"/>
          <w:szCs w:val="24"/>
        </w:rPr>
        <w:t>Double Jeopardy &amp; the Amanda Knox Case</w:t>
      </w:r>
      <w:r w:rsidRPr="00B7178A">
        <w:rPr>
          <w:rFonts w:ascii="Arial" w:hAnsi="Arial" w:cs="Arial"/>
          <w:color w:val="000000"/>
          <w:sz w:val="24"/>
          <w:szCs w:val="24"/>
          <w:shd w:val="clear" w:color="auto" w:fill="FFFFFF"/>
        </w:rPr>
        <w:t xml:space="preserve">. [Online]. Crime Report. Last Updated: 10 June 2014. Available at: </w:t>
      </w:r>
      <w:hyperlink r:id="rId4" w:history="1">
        <w:r w:rsidRPr="006C53B2">
          <w:rPr>
            <w:rStyle w:val="Hyperlink"/>
            <w:rFonts w:ascii="Arial" w:hAnsi="Arial" w:cs="Arial"/>
            <w:sz w:val="24"/>
            <w:szCs w:val="24"/>
            <w:shd w:val="clear" w:color="auto" w:fill="FFFFFF"/>
          </w:rPr>
          <w:t>https://thecrimereport.org/2014/06/10/2014-06-double-jeopardy-the-amanda-knox-case/</w:t>
        </w:r>
      </w:hyperlink>
      <w:r>
        <w:rPr>
          <w:rFonts w:ascii="Arial" w:hAnsi="Arial" w:cs="Arial"/>
          <w:color w:val="000000"/>
          <w:sz w:val="24"/>
          <w:szCs w:val="24"/>
          <w:shd w:val="clear" w:color="auto" w:fill="FFFFFF"/>
        </w:rPr>
        <w:t xml:space="preserve"> </w:t>
      </w:r>
      <w:r w:rsidRPr="00B7178A">
        <w:rPr>
          <w:rFonts w:ascii="Arial" w:hAnsi="Arial" w:cs="Arial"/>
          <w:color w:val="000000"/>
          <w:sz w:val="24"/>
          <w:szCs w:val="24"/>
          <w:shd w:val="clear" w:color="auto" w:fill="FFFFFF"/>
        </w:rPr>
        <w:t>[Accessed 10 November 2022].</w:t>
      </w:r>
    </w:p>
    <w:p w14:paraId="545FA816" w14:textId="77777777" w:rsidR="00E2768C" w:rsidRDefault="00E2768C" w:rsidP="00E2768C">
      <w:pPr>
        <w:rPr>
          <w:rFonts w:ascii="Arial" w:hAnsi="Arial" w:cs="Arial"/>
          <w:color w:val="000000"/>
          <w:sz w:val="24"/>
          <w:szCs w:val="24"/>
          <w:shd w:val="clear" w:color="auto" w:fill="FFFFFF"/>
        </w:rPr>
      </w:pPr>
      <w:r w:rsidRPr="00097D31">
        <w:rPr>
          <w:rFonts w:ascii="Arial" w:hAnsi="Arial" w:cs="Arial"/>
          <w:color w:val="000000"/>
          <w:sz w:val="24"/>
          <w:szCs w:val="24"/>
          <w:shd w:val="clear" w:color="auto" w:fill="FFFFFF"/>
        </w:rPr>
        <w:t xml:space="preserve">Brownridge, A., </w:t>
      </w:r>
      <w:proofErr w:type="spellStart"/>
      <w:r w:rsidRPr="00097D31">
        <w:rPr>
          <w:rFonts w:ascii="Arial" w:hAnsi="Arial" w:cs="Arial"/>
          <w:color w:val="000000"/>
          <w:sz w:val="24"/>
          <w:szCs w:val="24"/>
          <w:shd w:val="clear" w:color="auto" w:fill="FFFFFF"/>
        </w:rPr>
        <w:t>Halli</w:t>
      </w:r>
      <w:proofErr w:type="spellEnd"/>
      <w:r w:rsidRPr="00097D31">
        <w:rPr>
          <w:rFonts w:ascii="Arial" w:hAnsi="Arial" w:cs="Arial"/>
          <w:color w:val="000000"/>
          <w:sz w:val="24"/>
          <w:szCs w:val="24"/>
          <w:shd w:val="clear" w:color="auto" w:fill="FFFFFF"/>
        </w:rPr>
        <w:t xml:space="preserve">, S. (2002). Double </w:t>
      </w:r>
      <w:proofErr w:type="gramStart"/>
      <w:r w:rsidRPr="00097D31">
        <w:rPr>
          <w:rFonts w:ascii="Arial" w:hAnsi="Arial" w:cs="Arial"/>
          <w:color w:val="000000"/>
          <w:sz w:val="24"/>
          <w:szCs w:val="24"/>
          <w:shd w:val="clear" w:color="auto" w:fill="FFFFFF"/>
        </w:rPr>
        <w:t>Jeopardy?:</w:t>
      </w:r>
      <w:proofErr w:type="gramEnd"/>
      <w:r w:rsidRPr="00097D31">
        <w:rPr>
          <w:rFonts w:ascii="Arial" w:hAnsi="Arial" w:cs="Arial"/>
          <w:color w:val="000000"/>
          <w:sz w:val="24"/>
          <w:szCs w:val="24"/>
          <w:shd w:val="clear" w:color="auto" w:fill="FFFFFF"/>
        </w:rPr>
        <w:t xml:space="preserve"> Violence Against Immigrant Women in Canada. </w:t>
      </w:r>
      <w:r w:rsidRPr="00097D31">
        <w:rPr>
          <w:rFonts w:ascii="Arial" w:hAnsi="Arial" w:cs="Arial"/>
          <w:i/>
          <w:iCs/>
          <w:color w:val="000000"/>
          <w:sz w:val="24"/>
          <w:szCs w:val="24"/>
        </w:rPr>
        <w:t>Violence and Victims</w:t>
      </w:r>
      <w:r w:rsidRPr="00097D31">
        <w:rPr>
          <w:rFonts w:ascii="Arial" w:hAnsi="Arial" w:cs="Arial"/>
          <w:color w:val="000000"/>
          <w:sz w:val="24"/>
          <w:szCs w:val="24"/>
          <w:shd w:val="clear" w:color="auto" w:fill="FFFFFF"/>
        </w:rPr>
        <w:t>. 17(4), pp.455-471. [Online]. Available at: DOI:</w:t>
      </w:r>
      <w:r>
        <w:rPr>
          <w:rFonts w:ascii="Arial" w:hAnsi="Arial" w:cs="Arial"/>
          <w:color w:val="000000"/>
          <w:sz w:val="24"/>
          <w:szCs w:val="24"/>
          <w:shd w:val="clear" w:color="auto" w:fill="FFFFFF"/>
        </w:rPr>
        <w:t xml:space="preserve"> </w:t>
      </w:r>
      <w:r w:rsidRPr="00097D31">
        <w:rPr>
          <w:rFonts w:ascii="Arial" w:hAnsi="Arial" w:cs="Arial"/>
          <w:color w:val="000000"/>
          <w:sz w:val="24"/>
          <w:szCs w:val="24"/>
          <w:shd w:val="clear" w:color="auto" w:fill="FFFFFF"/>
        </w:rPr>
        <w:t>10.1891/vivi.17.4.455.33680</w:t>
      </w:r>
      <w:r>
        <w:rPr>
          <w:rFonts w:ascii="Arial" w:hAnsi="Arial" w:cs="Arial"/>
          <w:color w:val="000000"/>
          <w:sz w:val="24"/>
          <w:szCs w:val="24"/>
          <w:shd w:val="clear" w:color="auto" w:fill="FFFFFF"/>
        </w:rPr>
        <w:t xml:space="preserve"> </w:t>
      </w:r>
      <w:r w:rsidRPr="00097D31">
        <w:rPr>
          <w:rFonts w:ascii="Arial" w:hAnsi="Arial" w:cs="Arial"/>
          <w:color w:val="000000"/>
          <w:sz w:val="24"/>
          <w:szCs w:val="24"/>
          <w:shd w:val="clear" w:color="auto" w:fill="FFFFFF"/>
        </w:rPr>
        <w:t>[Accessed 9 November 2022].</w:t>
      </w:r>
    </w:p>
    <w:p w14:paraId="74C0449B" w14:textId="77777777" w:rsidR="00E2768C" w:rsidRPr="000B7827" w:rsidRDefault="00E2768C" w:rsidP="00E2768C">
      <w:pPr>
        <w:rPr>
          <w:rFonts w:ascii="Arial" w:hAnsi="Arial" w:cs="Arial"/>
          <w:sz w:val="24"/>
          <w:szCs w:val="24"/>
          <w:u w:val="single"/>
        </w:rPr>
      </w:pPr>
      <w:proofErr w:type="spellStart"/>
      <w:r w:rsidRPr="000B7827">
        <w:rPr>
          <w:rFonts w:ascii="Arial" w:hAnsi="Arial" w:cs="Arial"/>
          <w:sz w:val="24"/>
          <w:szCs w:val="24"/>
          <w:shd w:val="clear" w:color="auto" w:fill="FFFFFF"/>
        </w:rPr>
        <w:t>Cislaghi</w:t>
      </w:r>
      <w:proofErr w:type="spellEnd"/>
      <w:r w:rsidRPr="000B7827">
        <w:rPr>
          <w:rFonts w:ascii="Arial" w:hAnsi="Arial" w:cs="Arial"/>
          <w:sz w:val="24"/>
          <w:szCs w:val="24"/>
          <w:shd w:val="clear" w:color="auto" w:fill="FFFFFF"/>
        </w:rPr>
        <w:t xml:space="preserve"> B, </w:t>
      </w:r>
      <w:proofErr w:type="spellStart"/>
      <w:r w:rsidRPr="000B7827">
        <w:rPr>
          <w:rFonts w:ascii="Arial" w:hAnsi="Arial" w:cs="Arial"/>
          <w:sz w:val="24"/>
          <w:szCs w:val="24"/>
          <w:shd w:val="clear" w:color="auto" w:fill="FFFFFF"/>
        </w:rPr>
        <w:t>Heise</w:t>
      </w:r>
      <w:proofErr w:type="spellEnd"/>
      <w:r w:rsidRPr="000B7827">
        <w:rPr>
          <w:rFonts w:ascii="Arial" w:hAnsi="Arial" w:cs="Arial"/>
          <w:sz w:val="24"/>
          <w:szCs w:val="24"/>
          <w:shd w:val="clear" w:color="auto" w:fill="FFFFFF"/>
        </w:rPr>
        <w:t xml:space="preserve"> L. (2019). Gender norms and social norms: differences, similarities and why they matter in prevention science. </w:t>
      </w:r>
      <w:r w:rsidRPr="000B7827">
        <w:rPr>
          <w:rFonts w:ascii="Arial" w:hAnsi="Arial" w:cs="Arial"/>
          <w:i/>
          <w:iCs/>
          <w:sz w:val="24"/>
          <w:szCs w:val="24"/>
        </w:rPr>
        <w:t>National Library of Medicine</w:t>
      </w:r>
      <w:r w:rsidRPr="000B7827">
        <w:rPr>
          <w:rFonts w:ascii="Arial" w:hAnsi="Arial" w:cs="Arial"/>
          <w:sz w:val="24"/>
          <w:szCs w:val="24"/>
          <w:shd w:val="clear" w:color="auto" w:fill="FFFFFF"/>
        </w:rPr>
        <w:t>. 42(2), p.407–422. [Online]. Available at: DOI: 10.1111/1467-9566.13008 [Accessed 10 November 2022].</w:t>
      </w:r>
    </w:p>
    <w:p w14:paraId="0F14EEBD" w14:textId="77777777" w:rsidR="00E2768C" w:rsidRDefault="00E2768C" w:rsidP="00E2768C">
      <w:pPr>
        <w:rPr>
          <w:rFonts w:ascii="Arial" w:hAnsi="Arial" w:cs="Arial"/>
          <w:color w:val="000000"/>
          <w:sz w:val="24"/>
          <w:szCs w:val="24"/>
          <w:shd w:val="clear" w:color="auto" w:fill="FFFFFF"/>
        </w:rPr>
      </w:pPr>
      <w:r w:rsidRPr="00F96E05">
        <w:rPr>
          <w:rFonts w:ascii="Arial" w:hAnsi="Arial" w:cs="Arial"/>
          <w:color w:val="000000"/>
          <w:sz w:val="24"/>
          <w:szCs w:val="24"/>
          <w:shd w:val="clear" w:color="auto" w:fill="FFFFFF"/>
        </w:rPr>
        <w:t>French, L. (1978). The Incarcerated Black Female: The Case of Social Double Jeopardy. </w:t>
      </w:r>
      <w:r w:rsidRPr="00F96E05">
        <w:rPr>
          <w:rFonts w:ascii="Arial" w:hAnsi="Arial" w:cs="Arial"/>
          <w:i/>
          <w:iCs/>
          <w:color w:val="000000"/>
          <w:sz w:val="24"/>
          <w:szCs w:val="24"/>
        </w:rPr>
        <w:t>Journal of Black Studies</w:t>
      </w:r>
      <w:r w:rsidRPr="00F96E05">
        <w:rPr>
          <w:rFonts w:ascii="Arial" w:hAnsi="Arial" w:cs="Arial"/>
          <w:color w:val="000000"/>
          <w:sz w:val="24"/>
          <w:szCs w:val="24"/>
          <w:shd w:val="clear" w:color="auto" w:fill="FFFFFF"/>
        </w:rPr>
        <w:t xml:space="preserve">. 8(3), pp.321-335. [Online]. Available at: </w:t>
      </w:r>
      <w:hyperlink r:id="rId5" w:history="1">
        <w:r w:rsidRPr="006C53B2">
          <w:rPr>
            <w:rStyle w:val="Hyperlink"/>
            <w:rFonts w:ascii="Arial" w:hAnsi="Arial" w:cs="Arial"/>
            <w:sz w:val="24"/>
            <w:szCs w:val="24"/>
            <w:shd w:val="clear" w:color="auto" w:fill="FFFFFF"/>
          </w:rPr>
          <w:t>http://www.jstor.org/stable/2783646</w:t>
        </w:r>
      </w:hyperlink>
      <w:r>
        <w:rPr>
          <w:rFonts w:ascii="Arial" w:hAnsi="Arial" w:cs="Arial"/>
          <w:color w:val="000000"/>
          <w:sz w:val="24"/>
          <w:szCs w:val="24"/>
          <w:shd w:val="clear" w:color="auto" w:fill="FFFFFF"/>
        </w:rPr>
        <w:t xml:space="preserve"> </w:t>
      </w:r>
      <w:r w:rsidRPr="00F96E05">
        <w:rPr>
          <w:rFonts w:ascii="Arial" w:hAnsi="Arial" w:cs="Arial"/>
          <w:color w:val="000000"/>
          <w:sz w:val="24"/>
          <w:szCs w:val="24"/>
          <w:shd w:val="clear" w:color="auto" w:fill="FFFFFF"/>
        </w:rPr>
        <w:t>[Accessed 9 November 2022].</w:t>
      </w:r>
    </w:p>
    <w:p w14:paraId="31178906" w14:textId="77777777" w:rsidR="00E2768C" w:rsidRPr="0006743C" w:rsidRDefault="00E2768C" w:rsidP="00E2768C">
      <w:pPr>
        <w:rPr>
          <w:rFonts w:ascii="Arial" w:hAnsi="Arial" w:cs="Arial"/>
          <w:sz w:val="24"/>
          <w:szCs w:val="24"/>
          <w:shd w:val="clear" w:color="auto" w:fill="FFFFFF"/>
        </w:rPr>
      </w:pPr>
      <w:r w:rsidRPr="0006743C">
        <w:rPr>
          <w:rFonts w:ascii="Arial" w:hAnsi="Arial" w:cs="Arial"/>
          <w:sz w:val="24"/>
          <w:szCs w:val="24"/>
          <w:shd w:val="clear" w:color="auto" w:fill="FFFFFF"/>
        </w:rPr>
        <w:t>Gill, P. (2016). Analysis and implications of the miscarriages of justice of Amanda Knox and Raffaele Sollecito. </w:t>
      </w:r>
      <w:r w:rsidRPr="0006743C">
        <w:rPr>
          <w:rFonts w:ascii="Arial" w:hAnsi="Arial" w:cs="Arial"/>
          <w:i/>
          <w:iCs/>
          <w:sz w:val="24"/>
          <w:szCs w:val="24"/>
        </w:rPr>
        <w:t>Forensic Science International: Genetics</w:t>
      </w:r>
      <w:r w:rsidRPr="0006743C">
        <w:rPr>
          <w:rFonts w:ascii="Arial" w:hAnsi="Arial" w:cs="Arial"/>
          <w:sz w:val="24"/>
          <w:szCs w:val="24"/>
          <w:shd w:val="clear" w:color="auto" w:fill="FFFFFF"/>
        </w:rPr>
        <w:t xml:space="preserve">. 23(1), pp.9-18. [Online]. Available at: </w:t>
      </w:r>
      <w:hyperlink r:id="rId6" w:history="1">
        <w:r w:rsidRPr="006C53B2">
          <w:rPr>
            <w:rStyle w:val="Hyperlink"/>
            <w:rFonts w:ascii="Arial" w:hAnsi="Arial" w:cs="Arial"/>
            <w:sz w:val="24"/>
            <w:szCs w:val="24"/>
            <w:shd w:val="clear" w:color="auto" w:fill="FFFFFF"/>
          </w:rPr>
          <w:t>https://doi.org/10.1016/j.fsigen.2016.02.015</w:t>
        </w:r>
      </w:hyperlink>
      <w:r>
        <w:rPr>
          <w:rFonts w:ascii="Arial" w:hAnsi="Arial" w:cs="Arial"/>
          <w:sz w:val="24"/>
          <w:szCs w:val="24"/>
          <w:shd w:val="clear" w:color="auto" w:fill="FFFFFF"/>
        </w:rPr>
        <w:t xml:space="preserve"> [</w:t>
      </w:r>
      <w:r w:rsidRPr="0006743C">
        <w:rPr>
          <w:rFonts w:ascii="Arial" w:hAnsi="Arial" w:cs="Arial"/>
          <w:sz w:val="24"/>
          <w:szCs w:val="24"/>
          <w:shd w:val="clear" w:color="auto" w:fill="FFFFFF"/>
        </w:rPr>
        <w:t>Accessed 11 November 2022].</w:t>
      </w:r>
    </w:p>
    <w:p w14:paraId="6EF08624" w14:textId="77777777" w:rsidR="00E2768C" w:rsidRDefault="00E2768C" w:rsidP="00E2768C">
      <w:pPr>
        <w:rPr>
          <w:rFonts w:ascii="Arial" w:hAnsi="Arial" w:cs="Arial"/>
          <w:color w:val="000000"/>
          <w:sz w:val="24"/>
          <w:szCs w:val="24"/>
          <w:shd w:val="clear" w:color="auto" w:fill="FFFFFF"/>
        </w:rPr>
      </w:pPr>
      <w:r w:rsidRPr="00456D4F">
        <w:rPr>
          <w:rFonts w:ascii="Arial" w:hAnsi="Arial" w:cs="Arial"/>
          <w:color w:val="000000"/>
          <w:sz w:val="24"/>
          <w:szCs w:val="24"/>
          <w:shd w:val="clear" w:color="auto" w:fill="FFFFFF"/>
        </w:rPr>
        <w:t>Heidensohn, F. (2012). The future of feminist criminology. </w:t>
      </w:r>
      <w:r w:rsidRPr="00456D4F">
        <w:rPr>
          <w:rFonts w:ascii="Arial" w:hAnsi="Arial" w:cs="Arial"/>
          <w:i/>
          <w:iCs/>
          <w:color w:val="000000"/>
          <w:sz w:val="24"/>
          <w:szCs w:val="24"/>
        </w:rPr>
        <w:t>Crime, Media, Culture</w:t>
      </w:r>
      <w:r w:rsidRPr="00456D4F">
        <w:rPr>
          <w:rFonts w:ascii="Arial" w:hAnsi="Arial" w:cs="Arial"/>
          <w:color w:val="000000"/>
          <w:sz w:val="24"/>
          <w:szCs w:val="24"/>
          <w:shd w:val="clear" w:color="auto" w:fill="FFFFFF"/>
        </w:rPr>
        <w:t xml:space="preserve">. 8(2), pp.123-134. [Online]. Available at: </w:t>
      </w:r>
      <w:hyperlink r:id="rId7" w:history="1">
        <w:r w:rsidRPr="006C53B2">
          <w:rPr>
            <w:rStyle w:val="Hyperlink"/>
            <w:rFonts w:ascii="Arial" w:hAnsi="Arial" w:cs="Arial"/>
            <w:sz w:val="24"/>
            <w:szCs w:val="24"/>
            <w:shd w:val="clear" w:color="auto" w:fill="FFFFFF"/>
          </w:rPr>
          <w:t>https://doi.org/10.1177/1741659012444431</w:t>
        </w:r>
      </w:hyperlink>
      <w:r>
        <w:rPr>
          <w:rFonts w:ascii="Arial" w:hAnsi="Arial" w:cs="Arial"/>
          <w:color w:val="000000"/>
          <w:sz w:val="24"/>
          <w:szCs w:val="24"/>
          <w:shd w:val="clear" w:color="auto" w:fill="FFFFFF"/>
        </w:rPr>
        <w:t xml:space="preserve"> </w:t>
      </w:r>
      <w:r w:rsidRPr="00456D4F">
        <w:rPr>
          <w:rFonts w:ascii="Arial" w:hAnsi="Arial" w:cs="Arial"/>
          <w:color w:val="000000"/>
          <w:sz w:val="24"/>
          <w:szCs w:val="24"/>
          <w:shd w:val="clear" w:color="auto" w:fill="FFFFFF"/>
        </w:rPr>
        <w:t>[Accessed 10 November 2022].</w:t>
      </w:r>
    </w:p>
    <w:p w14:paraId="1C57008D" w14:textId="77777777" w:rsidR="00E2768C" w:rsidRDefault="00E2768C" w:rsidP="00E2768C">
      <w:pPr>
        <w:rPr>
          <w:rFonts w:ascii="Arial" w:hAnsi="Arial" w:cs="Arial"/>
          <w:color w:val="000000"/>
          <w:sz w:val="24"/>
          <w:szCs w:val="24"/>
          <w:shd w:val="clear" w:color="auto" w:fill="FFFFFF"/>
        </w:rPr>
      </w:pPr>
      <w:r w:rsidRPr="009A6B0F">
        <w:rPr>
          <w:rFonts w:ascii="Arial" w:hAnsi="Arial" w:cs="Arial"/>
          <w:color w:val="000000"/>
          <w:sz w:val="24"/>
          <w:szCs w:val="24"/>
          <w:shd w:val="clear" w:color="auto" w:fill="FFFFFF"/>
        </w:rPr>
        <w:t>Lombroso, C, Ferrero, W. (1859). </w:t>
      </w:r>
      <w:r w:rsidRPr="009A6B0F">
        <w:rPr>
          <w:rFonts w:ascii="Arial" w:hAnsi="Arial" w:cs="Arial"/>
          <w:i/>
          <w:iCs/>
          <w:color w:val="000000"/>
          <w:sz w:val="24"/>
          <w:szCs w:val="24"/>
        </w:rPr>
        <w:t>The Female Offender</w:t>
      </w:r>
      <w:r w:rsidRPr="009A6B0F">
        <w:rPr>
          <w:rFonts w:ascii="Arial" w:hAnsi="Arial" w:cs="Arial"/>
          <w:color w:val="000000"/>
          <w:sz w:val="24"/>
          <w:szCs w:val="24"/>
          <w:shd w:val="clear" w:color="auto" w:fill="FFFFFF"/>
        </w:rPr>
        <w:t>. New York: D. Appleton and Company. pp.1-9.</w:t>
      </w:r>
    </w:p>
    <w:p w14:paraId="50BCE33C" w14:textId="77777777" w:rsidR="00E2768C" w:rsidRPr="002839BE" w:rsidRDefault="00E2768C" w:rsidP="00E2768C">
      <w:pPr>
        <w:rPr>
          <w:rFonts w:ascii="Arial" w:hAnsi="Arial" w:cs="Arial"/>
          <w:color w:val="000000"/>
          <w:sz w:val="24"/>
          <w:szCs w:val="24"/>
          <w:shd w:val="clear" w:color="auto" w:fill="FFFFFF"/>
        </w:rPr>
      </w:pPr>
      <w:r w:rsidRPr="002839BE">
        <w:rPr>
          <w:rFonts w:ascii="Arial" w:hAnsi="Arial" w:cs="Arial"/>
          <w:color w:val="000000"/>
          <w:sz w:val="24"/>
          <w:szCs w:val="24"/>
          <w:shd w:val="clear" w:color="auto" w:fill="FFFFFF"/>
        </w:rPr>
        <w:t>Mazzarello, P. (2011). Cesare Lombroso: an anthropologist between evolution and degeneration. </w:t>
      </w:r>
      <w:proofErr w:type="spellStart"/>
      <w:r w:rsidRPr="002839BE">
        <w:rPr>
          <w:rFonts w:ascii="Arial" w:hAnsi="Arial" w:cs="Arial"/>
          <w:i/>
          <w:iCs/>
          <w:color w:val="000000"/>
          <w:sz w:val="24"/>
          <w:szCs w:val="24"/>
        </w:rPr>
        <w:t>Funct</w:t>
      </w:r>
      <w:proofErr w:type="spellEnd"/>
      <w:r w:rsidRPr="002839BE">
        <w:rPr>
          <w:rFonts w:ascii="Arial" w:hAnsi="Arial" w:cs="Arial"/>
          <w:i/>
          <w:iCs/>
          <w:color w:val="000000"/>
          <w:sz w:val="24"/>
          <w:szCs w:val="24"/>
        </w:rPr>
        <w:t xml:space="preserve"> Neurol</w:t>
      </w:r>
      <w:r w:rsidRPr="002839BE">
        <w:rPr>
          <w:rFonts w:ascii="Arial" w:hAnsi="Arial" w:cs="Arial"/>
          <w:color w:val="000000"/>
          <w:sz w:val="24"/>
          <w:szCs w:val="24"/>
          <w:shd w:val="clear" w:color="auto" w:fill="FFFFFF"/>
        </w:rPr>
        <w:t xml:space="preserve">. 26(2), pp.97-101. [Online]. Available at: </w:t>
      </w:r>
      <w:hyperlink r:id="rId8" w:history="1">
        <w:r w:rsidRPr="006C53B2">
          <w:rPr>
            <w:rStyle w:val="Hyperlink"/>
            <w:rFonts w:ascii="Arial" w:hAnsi="Arial" w:cs="Arial"/>
            <w:sz w:val="24"/>
            <w:szCs w:val="24"/>
            <w:shd w:val="clear" w:color="auto" w:fill="FFFFFF"/>
          </w:rPr>
          <w:t>https://www.ncbi.nlm.nih.gov/pmc/articles/PMC3814446/</w:t>
        </w:r>
      </w:hyperlink>
      <w:r>
        <w:rPr>
          <w:rFonts w:ascii="Arial" w:hAnsi="Arial" w:cs="Arial"/>
          <w:color w:val="000000"/>
          <w:sz w:val="24"/>
          <w:szCs w:val="24"/>
          <w:shd w:val="clear" w:color="auto" w:fill="FFFFFF"/>
        </w:rPr>
        <w:t xml:space="preserve"> </w:t>
      </w:r>
      <w:r w:rsidRPr="002839BE">
        <w:rPr>
          <w:rFonts w:ascii="Arial" w:hAnsi="Arial" w:cs="Arial"/>
          <w:color w:val="000000"/>
          <w:sz w:val="24"/>
          <w:szCs w:val="24"/>
          <w:shd w:val="clear" w:color="auto" w:fill="FFFFFF"/>
        </w:rPr>
        <w:t>[Accessed 10 November 2022].</w:t>
      </w:r>
    </w:p>
    <w:p w14:paraId="79664F9B" w14:textId="77777777" w:rsidR="00E2768C" w:rsidRPr="00F643F2" w:rsidRDefault="00E2768C" w:rsidP="00E2768C">
      <w:pPr>
        <w:rPr>
          <w:rFonts w:ascii="Arial" w:hAnsi="Arial" w:cs="Arial"/>
          <w:color w:val="000000"/>
          <w:sz w:val="24"/>
          <w:szCs w:val="24"/>
          <w:shd w:val="clear" w:color="auto" w:fill="FFFFFF"/>
        </w:rPr>
      </w:pPr>
      <w:r w:rsidRPr="00F643F2">
        <w:rPr>
          <w:rFonts w:ascii="Arial" w:hAnsi="Arial" w:cs="Arial"/>
          <w:color w:val="000000"/>
          <w:sz w:val="24"/>
          <w:szCs w:val="24"/>
          <w:shd w:val="clear" w:color="auto" w:fill="FFFFFF"/>
        </w:rPr>
        <w:t>Morris, V. (1990). </w:t>
      </w:r>
      <w:r w:rsidRPr="00F643F2">
        <w:rPr>
          <w:rFonts w:ascii="Arial" w:hAnsi="Arial" w:cs="Arial"/>
          <w:i/>
          <w:iCs/>
          <w:color w:val="000000"/>
          <w:sz w:val="24"/>
          <w:szCs w:val="24"/>
        </w:rPr>
        <w:t>Double Jeopardy: Women Who Kill in Victorian Fiction</w:t>
      </w:r>
      <w:r w:rsidRPr="00F643F2">
        <w:rPr>
          <w:rFonts w:ascii="Arial" w:hAnsi="Arial" w:cs="Arial"/>
          <w:color w:val="000000"/>
          <w:sz w:val="24"/>
          <w:szCs w:val="24"/>
          <w:shd w:val="clear" w:color="auto" w:fill="FFFFFF"/>
        </w:rPr>
        <w:t>. Kentucky: University Press of Kentucky. P</w:t>
      </w:r>
      <w:r>
        <w:rPr>
          <w:rFonts w:ascii="Arial" w:hAnsi="Arial" w:cs="Arial"/>
          <w:color w:val="000000"/>
          <w:sz w:val="24"/>
          <w:szCs w:val="24"/>
          <w:shd w:val="clear" w:color="auto" w:fill="FFFFFF"/>
        </w:rPr>
        <w:t>p. 26-54</w:t>
      </w:r>
      <w:r w:rsidRPr="00F643F2">
        <w:rPr>
          <w:rFonts w:ascii="Arial" w:hAnsi="Arial" w:cs="Arial"/>
          <w:color w:val="000000"/>
          <w:sz w:val="24"/>
          <w:szCs w:val="24"/>
          <w:shd w:val="clear" w:color="auto" w:fill="FFFFFF"/>
        </w:rPr>
        <w:t>.</w:t>
      </w:r>
    </w:p>
    <w:p w14:paraId="6508F334" w14:textId="77777777" w:rsidR="00E2768C" w:rsidRDefault="00E2768C" w:rsidP="00E2768C">
      <w:pPr>
        <w:rPr>
          <w:rFonts w:ascii="Arial" w:hAnsi="Arial" w:cs="Arial"/>
          <w:color w:val="000000"/>
          <w:sz w:val="24"/>
          <w:szCs w:val="24"/>
          <w:shd w:val="clear" w:color="auto" w:fill="FFFFFF"/>
        </w:rPr>
      </w:pPr>
      <w:proofErr w:type="spellStart"/>
      <w:r w:rsidRPr="00C623F8">
        <w:rPr>
          <w:rFonts w:ascii="Arial" w:hAnsi="Arial" w:cs="Arial"/>
          <w:color w:val="000000"/>
          <w:sz w:val="24"/>
          <w:szCs w:val="24"/>
          <w:shd w:val="clear" w:color="auto" w:fill="FFFFFF"/>
        </w:rPr>
        <w:t>Sarteschi</w:t>
      </w:r>
      <w:proofErr w:type="spellEnd"/>
      <w:r w:rsidRPr="00C623F8">
        <w:rPr>
          <w:rFonts w:ascii="Arial" w:hAnsi="Arial" w:cs="Arial"/>
          <w:color w:val="000000"/>
          <w:sz w:val="24"/>
          <w:szCs w:val="24"/>
          <w:shd w:val="clear" w:color="auto" w:fill="FFFFFF"/>
        </w:rPr>
        <w:t>, C., Vaughn, M. (2010). Double Jeopardy: A Review of Women Offenders' Mental Health and Substance Abuse Characteristics. </w:t>
      </w:r>
      <w:r w:rsidRPr="00C623F8">
        <w:rPr>
          <w:rFonts w:ascii="Arial" w:hAnsi="Arial" w:cs="Arial"/>
          <w:i/>
          <w:iCs/>
          <w:color w:val="000000"/>
          <w:sz w:val="24"/>
          <w:szCs w:val="24"/>
        </w:rPr>
        <w:t>Victims &amp; Offenders</w:t>
      </w:r>
      <w:r w:rsidRPr="00C623F8">
        <w:rPr>
          <w:rFonts w:ascii="Arial" w:hAnsi="Arial" w:cs="Arial"/>
          <w:color w:val="000000"/>
          <w:sz w:val="24"/>
          <w:szCs w:val="24"/>
          <w:shd w:val="clear" w:color="auto" w:fill="FFFFFF"/>
        </w:rPr>
        <w:t xml:space="preserve">. 5(2), pp.161-182. [Online]. Available at: </w:t>
      </w:r>
      <w:hyperlink r:id="rId9" w:history="1">
        <w:r w:rsidRPr="006C53B2">
          <w:rPr>
            <w:rStyle w:val="Hyperlink"/>
            <w:rFonts w:ascii="Arial" w:hAnsi="Arial" w:cs="Arial"/>
            <w:sz w:val="24"/>
            <w:szCs w:val="24"/>
            <w:shd w:val="clear" w:color="auto" w:fill="FFFFFF"/>
          </w:rPr>
          <w:t>https://doi-org.ezproxy.uwtsd.ac.uk/10.1080/15564881003640728</w:t>
        </w:r>
      </w:hyperlink>
      <w:r>
        <w:rPr>
          <w:rFonts w:ascii="Arial" w:hAnsi="Arial" w:cs="Arial"/>
          <w:color w:val="000000"/>
          <w:sz w:val="24"/>
          <w:szCs w:val="24"/>
          <w:shd w:val="clear" w:color="auto" w:fill="FFFFFF"/>
        </w:rPr>
        <w:t xml:space="preserve"> </w:t>
      </w:r>
      <w:r w:rsidRPr="00C623F8">
        <w:rPr>
          <w:rFonts w:ascii="Arial" w:hAnsi="Arial" w:cs="Arial"/>
          <w:color w:val="000000"/>
          <w:sz w:val="24"/>
          <w:szCs w:val="24"/>
          <w:shd w:val="clear" w:color="auto" w:fill="FFFFFF"/>
        </w:rPr>
        <w:t>[Accessed 9 November 2022].</w:t>
      </w:r>
    </w:p>
    <w:p w14:paraId="23670283" w14:textId="77777777" w:rsidR="00E2768C" w:rsidRPr="00811682" w:rsidRDefault="00E2768C" w:rsidP="00E2768C">
      <w:pPr>
        <w:rPr>
          <w:rFonts w:ascii="Arial" w:hAnsi="Arial" w:cs="Arial"/>
          <w:color w:val="000000"/>
          <w:sz w:val="24"/>
          <w:szCs w:val="24"/>
          <w:shd w:val="clear" w:color="auto" w:fill="FFFFFF"/>
        </w:rPr>
      </w:pPr>
      <w:r w:rsidRPr="00811682">
        <w:rPr>
          <w:rFonts w:ascii="Arial" w:hAnsi="Arial" w:cs="Arial"/>
          <w:color w:val="000000"/>
          <w:sz w:val="24"/>
          <w:szCs w:val="24"/>
          <w:shd w:val="clear" w:color="auto" w:fill="FFFFFF"/>
        </w:rPr>
        <w:t xml:space="preserve">Van der Heijden, M., </w:t>
      </w:r>
      <w:proofErr w:type="spellStart"/>
      <w:r w:rsidRPr="00811682">
        <w:rPr>
          <w:rFonts w:ascii="Arial" w:hAnsi="Arial" w:cs="Arial"/>
          <w:color w:val="000000"/>
          <w:sz w:val="24"/>
          <w:szCs w:val="24"/>
          <w:shd w:val="clear" w:color="auto" w:fill="FFFFFF"/>
        </w:rPr>
        <w:t>Pluskota</w:t>
      </w:r>
      <w:proofErr w:type="spellEnd"/>
      <w:r w:rsidRPr="00811682">
        <w:rPr>
          <w:rFonts w:ascii="Arial" w:hAnsi="Arial" w:cs="Arial"/>
          <w:color w:val="000000"/>
          <w:sz w:val="24"/>
          <w:szCs w:val="24"/>
          <w:shd w:val="clear" w:color="auto" w:fill="FFFFFF"/>
        </w:rPr>
        <w:t>, M. (2018). Introduction to Crime and Gender in History. </w:t>
      </w:r>
      <w:r w:rsidRPr="00811682">
        <w:rPr>
          <w:rFonts w:ascii="Arial" w:hAnsi="Arial" w:cs="Arial"/>
          <w:i/>
          <w:iCs/>
          <w:color w:val="000000"/>
          <w:sz w:val="24"/>
          <w:szCs w:val="24"/>
        </w:rPr>
        <w:t>Journal of Social History</w:t>
      </w:r>
      <w:r w:rsidRPr="00811682">
        <w:rPr>
          <w:rFonts w:ascii="Arial" w:hAnsi="Arial" w:cs="Arial"/>
          <w:color w:val="000000"/>
          <w:sz w:val="24"/>
          <w:szCs w:val="24"/>
          <w:shd w:val="clear" w:color="auto" w:fill="FFFFFF"/>
        </w:rPr>
        <w:t>. 51(4), pp.661-671. [Online]. Available at: DOI:10.1093/</w:t>
      </w:r>
      <w:proofErr w:type="spellStart"/>
      <w:r w:rsidRPr="00811682">
        <w:rPr>
          <w:rFonts w:ascii="Arial" w:hAnsi="Arial" w:cs="Arial"/>
          <w:color w:val="000000"/>
          <w:sz w:val="24"/>
          <w:szCs w:val="24"/>
          <w:shd w:val="clear" w:color="auto" w:fill="FFFFFF"/>
        </w:rPr>
        <w:t>jsh</w:t>
      </w:r>
      <w:proofErr w:type="spellEnd"/>
      <w:r w:rsidRPr="00811682">
        <w:rPr>
          <w:rFonts w:ascii="Arial" w:hAnsi="Arial" w:cs="Arial"/>
          <w:color w:val="000000"/>
          <w:sz w:val="24"/>
          <w:szCs w:val="24"/>
          <w:shd w:val="clear" w:color="auto" w:fill="FFFFFF"/>
        </w:rPr>
        <w:t>/shx144</w:t>
      </w:r>
      <w:r>
        <w:rPr>
          <w:rFonts w:ascii="Arial" w:hAnsi="Arial" w:cs="Arial"/>
          <w:color w:val="000000"/>
          <w:sz w:val="24"/>
          <w:szCs w:val="24"/>
          <w:shd w:val="clear" w:color="auto" w:fill="FFFFFF"/>
        </w:rPr>
        <w:t xml:space="preserve"> </w:t>
      </w:r>
      <w:r w:rsidRPr="00811682">
        <w:rPr>
          <w:rFonts w:ascii="Arial" w:hAnsi="Arial" w:cs="Arial"/>
          <w:color w:val="000000"/>
          <w:sz w:val="24"/>
          <w:szCs w:val="24"/>
          <w:shd w:val="clear" w:color="auto" w:fill="FFFFFF"/>
        </w:rPr>
        <w:t>[Accessed 10 November 2022].</w:t>
      </w:r>
    </w:p>
    <w:p w14:paraId="553ECB8F" w14:textId="77777777" w:rsidR="00D202A0" w:rsidRDefault="00D202A0" w:rsidP="00CF15CE">
      <w:pPr>
        <w:pStyle w:val="NormalWeb"/>
        <w:shd w:val="clear" w:color="auto" w:fill="FFFFFF"/>
        <w:spacing w:before="0" w:beforeAutospacing="0" w:after="360" w:afterAutospacing="0"/>
        <w:rPr>
          <w:rFonts w:ascii="Arial" w:hAnsi="Arial" w:cs="Arial"/>
        </w:rPr>
      </w:pPr>
    </w:p>
    <w:p w14:paraId="1DA09210" w14:textId="77777777" w:rsidR="00254135" w:rsidRPr="00384292" w:rsidRDefault="00254135" w:rsidP="00384292">
      <w:pPr>
        <w:rPr>
          <w:rFonts w:ascii="Arial" w:hAnsi="Arial" w:cs="Arial"/>
          <w:sz w:val="24"/>
          <w:szCs w:val="24"/>
        </w:rPr>
      </w:pPr>
    </w:p>
    <w:sectPr w:rsidR="00254135" w:rsidRPr="003842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8E"/>
    <w:rsid w:val="0003791C"/>
    <w:rsid w:val="00090312"/>
    <w:rsid w:val="00095A0F"/>
    <w:rsid w:val="000A3933"/>
    <w:rsid w:val="000B2EC1"/>
    <w:rsid w:val="000B66CE"/>
    <w:rsid w:val="000D3AF9"/>
    <w:rsid w:val="00112D86"/>
    <w:rsid w:val="00141098"/>
    <w:rsid w:val="00144557"/>
    <w:rsid w:val="00192C12"/>
    <w:rsid w:val="00197DCC"/>
    <w:rsid w:val="001A2F8D"/>
    <w:rsid w:val="001A3409"/>
    <w:rsid w:val="001C0B7C"/>
    <w:rsid w:val="001E41B4"/>
    <w:rsid w:val="001F2C51"/>
    <w:rsid w:val="00231651"/>
    <w:rsid w:val="002325BC"/>
    <w:rsid w:val="00254135"/>
    <w:rsid w:val="002679B0"/>
    <w:rsid w:val="00274E0E"/>
    <w:rsid w:val="00280885"/>
    <w:rsid w:val="0028136F"/>
    <w:rsid w:val="00291429"/>
    <w:rsid w:val="002A6515"/>
    <w:rsid w:val="002D29C3"/>
    <w:rsid w:val="002D4027"/>
    <w:rsid w:val="002D485F"/>
    <w:rsid w:val="002D5455"/>
    <w:rsid w:val="002E43AC"/>
    <w:rsid w:val="002F29C3"/>
    <w:rsid w:val="0035621B"/>
    <w:rsid w:val="0036054F"/>
    <w:rsid w:val="00367042"/>
    <w:rsid w:val="00382D52"/>
    <w:rsid w:val="00384292"/>
    <w:rsid w:val="0038772F"/>
    <w:rsid w:val="003A09D2"/>
    <w:rsid w:val="003A17BE"/>
    <w:rsid w:val="003A284C"/>
    <w:rsid w:val="003A42D1"/>
    <w:rsid w:val="003D0BD7"/>
    <w:rsid w:val="0042649D"/>
    <w:rsid w:val="00452E73"/>
    <w:rsid w:val="004667D4"/>
    <w:rsid w:val="00487C35"/>
    <w:rsid w:val="004B2B0A"/>
    <w:rsid w:val="004B3E27"/>
    <w:rsid w:val="004C0060"/>
    <w:rsid w:val="004E3DA8"/>
    <w:rsid w:val="004E549E"/>
    <w:rsid w:val="00513A85"/>
    <w:rsid w:val="005168BC"/>
    <w:rsid w:val="005211EB"/>
    <w:rsid w:val="005372F1"/>
    <w:rsid w:val="00554408"/>
    <w:rsid w:val="00572A49"/>
    <w:rsid w:val="0059226C"/>
    <w:rsid w:val="005F488E"/>
    <w:rsid w:val="0060534D"/>
    <w:rsid w:val="00606262"/>
    <w:rsid w:val="00625CCE"/>
    <w:rsid w:val="00631D8C"/>
    <w:rsid w:val="006559BF"/>
    <w:rsid w:val="00655F5A"/>
    <w:rsid w:val="006654C7"/>
    <w:rsid w:val="00666290"/>
    <w:rsid w:val="00695B91"/>
    <w:rsid w:val="006A67A2"/>
    <w:rsid w:val="006D6E11"/>
    <w:rsid w:val="006E63F5"/>
    <w:rsid w:val="006F49AF"/>
    <w:rsid w:val="00701FE5"/>
    <w:rsid w:val="0072630A"/>
    <w:rsid w:val="007542E8"/>
    <w:rsid w:val="007601DE"/>
    <w:rsid w:val="00786895"/>
    <w:rsid w:val="007B3AA4"/>
    <w:rsid w:val="00801AF8"/>
    <w:rsid w:val="00821D58"/>
    <w:rsid w:val="00855EF4"/>
    <w:rsid w:val="00861D3A"/>
    <w:rsid w:val="008A2690"/>
    <w:rsid w:val="008B1658"/>
    <w:rsid w:val="009139FD"/>
    <w:rsid w:val="009273EC"/>
    <w:rsid w:val="009341AA"/>
    <w:rsid w:val="00941AD7"/>
    <w:rsid w:val="00943BB2"/>
    <w:rsid w:val="009575C5"/>
    <w:rsid w:val="00967DDB"/>
    <w:rsid w:val="00986791"/>
    <w:rsid w:val="00996E9D"/>
    <w:rsid w:val="009A0211"/>
    <w:rsid w:val="009B521B"/>
    <w:rsid w:val="009D0AC4"/>
    <w:rsid w:val="009D425C"/>
    <w:rsid w:val="009E6899"/>
    <w:rsid w:val="009F4F36"/>
    <w:rsid w:val="00A144A0"/>
    <w:rsid w:val="00A372BE"/>
    <w:rsid w:val="00A458AB"/>
    <w:rsid w:val="00AB7BC9"/>
    <w:rsid w:val="00AE2772"/>
    <w:rsid w:val="00AE447F"/>
    <w:rsid w:val="00AE6BA3"/>
    <w:rsid w:val="00B4029E"/>
    <w:rsid w:val="00B55583"/>
    <w:rsid w:val="00B627AF"/>
    <w:rsid w:val="00B650B4"/>
    <w:rsid w:val="00B77135"/>
    <w:rsid w:val="00B80702"/>
    <w:rsid w:val="00BA48FB"/>
    <w:rsid w:val="00BF0035"/>
    <w:rsid w:val="00C054B8"/>
    <w:rsid w:val="00C12620"/>
    <w:rsid w:val="00C26759"/>
    <w:rsid w:val="00C31CF5"/>
    <w:rsid w:val="00C3452F"/>
    <w:rsid w:val="00C6258C"/>
    <w:rsid w:val="00C81A7F"/>
    <w:rsid w:val="00CA15F3"/>
    <w:rsid w:val="00CD1BC8"/>
    <w:rsid w:val="00CE0262"/>
    <w:rsid w:val="00CE4D26"/>
    <w:rsid w:val="00CF15CE"/>
    <w:rsid w:val="00CF3792"/>
    <w:rsid w:val="00D02719"/>
    <w:rsid w:val="00D02C85"/>
    <w:rsid w:val="00D16728"/>
    <w:rsid w:val="00D202A0"/>
    <w:rsid w:val="00D220DB"/>
    <w:rsid w:val="00D25410"/>
    <w:rsid w:val="00D40645"/>
    <w:rsid w:val="00D815DD"/>
    <w:rsid w:val="00D84D2F"/>
    <w:rsid w:val="00D9549A"/>
    <w:rsid w:val="00DC4837"/>
    <w:rsid w:val="00DE06AF"/>
    <w:rsid w:val="00E15817"/>
    <w:rsid w:val="00E2768C"/>
    <w:rsid w:val="00E27C5F"/>
    <w:rsid w:val="00E57718"/>
    <w:rsid w:val="00E6334A"/>
    <w:rsid w:val="00E75A16"/>
    <w:rsid w:val="00E82DBA"/>
    <w:rsid w:val="00F175F2"/>
    <w:rsid w:val="00F350F1"/>
    <w:rsid w:val="00F65B7C"/>
    <w:rsid w:val="00FA4C78"/>
    <w:rsid w:val="00FA7336"/>
    <w:rsid w:val="00FE3A3F"/>
    <w:rsid w:val="00FE6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738DD"/>
  <w15:chartTrackingRefBased/>
  <w15:docId w15:val="{203DC50E-357B-4D1A-B785-1873DDCCB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6E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84D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6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814446/" TargetMode="External"/><Relationship Id="rId3" Type="http://schemas.openxmlformats.org/officeDocument/2006/relationships/webSettings" Target="webSettings.xml"/><Relationship Id="rId7" Type="http://schemas.openxmlformats.org/officeDocument/2006/relationships/hyperlink" Target="https://doi.org/10.1177/174165901244443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fsigen.2016.02.015" TargetMode="External"/><Relationship Id="rId11" Type="http://schemas.openxmlformats.org/officeDocument/2006/relationships/theme" Target="theme/theme1.xml"/><Relationship Id="rId5" Type="http://schemas.openxmlformats.org/officeDocument/2006/relationships/hyperlink" Target="http://www.jstor.org/stable/2783646" TargetMode="External"/><Relationship Id="rId10" Type="http://schemas.openxmlformats.org/officeDocument/2006/relationships/fontTable" Target="fontTable.xml"/><Relationship Id="rId4" Type="http://schemas.openxmlformats.org/officeDocument/2006/relationships/hyperlink" Target="https://thecrimereport.org/2014/06/10/2014-06-double-jeopardy-the-amanda-knox-case/" TargetMode="External"/><Relationship Id="rId9" Type="http://schemas.openxmlformats.org/officeDocument/2006/relationships/hyperlink" Target="https://doi-org.ezproxy.uwtsd.ac.uk/10.1080/155648810036407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773</TotalTime>
  <Pages>9</Pages>
  <Words>2019</Words>
  <Characters>11509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Lovering</dc:creator>
  <cp:keywords/>
  <dc:description/>
  <cp:lastModifiedBy>George Lovering</cp:lastModifiedBy>
  <cp:revision>550</cp:revision>
  <dcterms:created xsi:type="dcterms:W3CDTF">2022-11-07T20:18:00Z</dcterms:created>
  <dcterms:modified xsi:type="dcterms:W3CDTF">2022-11-11T18:15:00Z</dcterms:modified>
</cp:coreProperties>
</file>