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0847C" w14:textId="3779D98A" w:rsidR="002B3E3C" w:rsidRDefault="002B3E3C" w:rsidP="00CB054F">
      <w:pPr>
        <w:spacing w:before="212"/>
        <w:jc w:val="center"/>
        <w:rPr>
          <w:rFonts w:ascii="Arial"/>
          <w:b/>
          <w:sz w:val="56"/>
        </w:rPr>
      </w:pPr>
      <w:r>
        <w:rPr>
          <w:rFonts w:ascii="Arial"/>
          <w:b/>
          <w:noProof/>
          <w:sz w:val="56"/>
        </w:rPr>
        <w:drawing>
          <wp:inline distT="0" distB="0" distL="0" distR="0" wp14:anchorId="7DD9BF55" wp14:editId="258E2434">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3497FF3" w14:textId="25F08707" w:rsidR="00B46767" w:rsidRPr="00CB054F" w:rsidRDefault="00B46767" w:rsidP="00B46767">
      <w:pPr>
        <w:rPr>
          <w:rFonts w:ascii="Comic Sans MS" w:hAnsi="Comic Sans MS"/>
          <w:b/>
          <w:bCs/>
          <w:sz w:val="52"/>
          <w:szCs w:val="52"/>
        </w:rPr>
      </w:pPr>
      <w:r w:rsidRPr="00CB054F">
        <w:rPr>
          <w:rFonts w:ascii="Comic Sans MS" w:hAnsi="Comic Sans MS"/>
          <w:b/>
          <w:bCs/>
          <w:sz w:val="52"/>
          <w:szCs w:val="52"/>
        </w:rPr>
        <w:t xml:space="preserve">Module Code:  </w:t>
      </w:r>
      <w:r w:rsidRPr="00CB054F">
        <w:rPr>
          <w:rFonts w:ascii="Comic Sans MS" w:hAnsi="Comic Sans MS"/>
          <w:b/>
          <w:bCs/>
          <w:sz w:val="48"/>
          <w:szCs w:val="48"/>
        </w:rPr>
        <w:t>ECAD5014</w:t>
      </w:r>
    </w:p>
    <w:p w14:paraId="35BE4061" w14:textId="77777777" w:rsidR="00B46767" w:rsidRPr="00CB054F" w:rsidRDefault="00B46767" w:rsidP="00B46767">
      <w:pPr>
        <w:rPr>
          <w:rFonts w:ascii="Comic Sans MS" w:hAnsi="Comic Sans MS"/>
          <w:b/>
          <w:bCs/>
          <w:sz w:val="52"/>
          <w:szCs w:val="52"/>
        </w:rPr>
      </w:pPr>
      <w:r w:rsidRPr="00CB054F">
        <w:rPr>
          <w:rFonts w:ascii="Comic Sans MS" w:hAnsi="Comic Sans MS"/>
          <w:b/>
          <w:bCs/>
          <w:sz w:val="52"/>
          <w:szCs w:val="52"/>
        </w:rPr>
        <w:t xml:space="preserve">Assignment Title: </w:t>
      </w:r>
    </w:p>
    <w:p w14:paraId="5EB89E6F" w14:textId="77777777" w:rsidR="00B46767" w:rsidRPr="00CB054F" w:rsidRDefault="00B46767" w:rsidP="00B46767">
      <w:pPr>
        <w:rPr>
          <w:rFonts w:ascii="Comic Sans MS" w:hAnsi="Comic Sans MS"/>
          <w:b/>
          <w:bCs/>
          <w:sz w:val="52"/>
          <w:szCs w:val="52"/>
        </w:rPr>
      </w:pPr>
      <w:r w:rsidRPr="00CB054F">
        <w:rPr>
          <w:rFonts w:ascii="Comic Sans MS" w:hAnsi="Comic Sans MS"/>
          <w:b/>
          <w:bCs/>
          <w:sz w:val="44"/>
          <w:szCs w:val="44"/>
        </w:rPr>
        <w:t>Design and conduct a small-scale research study, and critically evaluate the chosen research tools, and the impact of your findings on your professional practice.</w:t>
      </w:r>
    </w:p>
    <w:p w14:paraId="26024169" w14:textId="77777777" w:rsidR="002B3E3C" w:rsidRPr="00CB054F" w:rsidRDefault="002B3E3C" w:rsidP="002B3E3C">
      <w:pPr>
        <w:spacing w:before="212"/>
        <w:rPr>
          <w:rFonts w:ascii="Comic Sans MS" w:hAnsi="Comic Sans MS"/>
          <w:b/>
          <w:sz w:val="48"/>
          <w:szCs w:val="48"/>
        </w:rPr>
      </w:pPr>
    </w:p>
    <w:p w14:paraId="3F942FC3" w14:textId="77777777" w:rsidR="002B3E3C" w:rsidRPr="00CB054F" w:rsidRDefault="002B3E3C" w:rsidP="002B3E3C">
      <w:pPr>
        <w:spacing w:before="3"/>
        <w:rPr>
          <w:rFonts w:ascii="Comic Sans MS" w:hAnsi="Comic Sans MS"/>
          <w:b/>
          <w:sz w:val="48"/>
          <w:szCs w:val="48"/>
        </w:rPr>
      </w:pPr>
      <w:r w:rsidRPr="00CB054F">
        <w:rPr>
          <w:rFonts w:ascii="Comic Sans MS" w:hAnsi="Comic Sans MS"/>
          <w:b/>
          <w:sz w:val="48"/>
          <w:szCs w:val="48"/>
        </w:rPr>
        <w:t>STUDENT NAME: Kelly-May Hughes (</w:t>
      </w:r>
      <w:proofErr w:type="spellStart"/>
      <w:r w:rsidRPr="00CB054F">
        <w:rPr>
          <w:rFonts w:ascii="Comic Sans MS" w:hAnsi="Comic Sans MS"/>
          <w:b/>
          <w:sz w:val="48"/>
          <w:szCs w:val="48"/>
        </w:rPr>
        <w:t>Robst</w:t>
      </w:r>
      <w:proofErr w:type="spellEnd"/>
      <w:r w:rsidRPr="00CB054F">
        <w:rPr>
          <w:rFonts w:ascii="Comic Sans MS" w:hAnsi="Comic Sans MS"/>
          <w:b/>
          <w:sz w:val="48"/>
          <w:szCs w:val="48"/>
        </w:rPr>
        <w:t>)</w:t>
      </w:r>
    </w:p>
    <w:p w14:paraId="32F924C8" w14:textId="77777777" w:rsidR="002B3E3C" w:rsidRPr="00CB054F" w:rsidRDefault="002B3E3C" w:rsidP="002B3E3C">
      <w:pPr>
        <w:spacing w:before="3"/>
        <w:rPr>
          <w:rFonts w:ascii="Comic Sans MS" w:hAnsi="Comic Sans MS"/>
          <w:b/>
          <w:sz w:val="48"/>
          <w:szCs w:val="48"/>
        </w:rPr>
      </w:pPr>
    </w:p>
    <w:p w14:paraId="1B04D770" w14:textId="77777777" w:rsidR="002B3E3C" w:rsidRPr="00CB054F" w:rsidRDefault="002B3E3C" w:rsidP="002B3E3C">
      <w:pPr>
        <w:spacing w:before="3"/>
        <w:rPr>
          <w:rFonts w:ascii="Comic Sans MS" w:hAnsi="Comic Sans MS"/>
          <w:b/>
          <w:sz w:val="48"/>
          <w:szCs w:val="48"/>
        </w:rPr>
      </w:pPr>
      <w:r w:rsidRPr="00CB054F">
        <w:rPr>
          <w:rFonts w:ascii="Comic Sans MS" w:hAnsi="Comic Sans MS"/>
          <w:b/>
          <w:sz w:val="48"/>
          <w:szCs w:val="48"/>
        </w:rPr>
        <w:t>STUDENT NUMBER: 2307664</w:t>
      </w:r>
    </w:p>
    <w:p w14:paraId="0E55A5DE" w14:textId="77777777" w:rsidR="00B503BC" w:rsidRPr="00CB054F" w:rsidRDefault="00B503BC" w:rsidP="00B503BC">
      <w:pPr>
        <w:rPr>
          <w:rFonts w:ascii="Comic Sans MS" w:hAnsi="Comic Sans MS"/>
          <w:b/>
          <w:bCs/>
          <w:sz w:val="52"/>
          <w:szCs w:val="52"/>
        </w:rPr>
      </w:pPr>
      <w:r w:rsidRPr="00CB054F">
        <w:rPr>
          <w:rFonts w:ascii="Comic Sans MS" w:hAnsi="Comic Sans MS"/>
          <w:b/>
          <w:bCs/>
          <w:sz w:val="52"/>
          <w:szCs w:val="52"/>
        </w:rPr>
        <w:t>BA Primary Education (QTS)</w:t>
      </w:r>
    </w:p>
    <w:p w14:paraId="41514E82" w14:textId="77777777" w:rsidR="002864AB" w:rsidRDefault="002864AB" w:rsidP="002B3E3C">
      <w:pPr>
        <w:rPr>
          <w:rFonts w:ascii="Arial"/>
          <w:b/>
          <w:sz w:val="40"/>
        </w:rPr>
      </w:pPr>
    </w:p>
    <w:p w14:paraId="5F17DED2" w14:textId="646CE9C6" w:rsidR="002B3E3C" w:rsidRPr="00B176AA" w:rsidRDefault="002B3E3C" w:rsidP="002B3E3C">
      <w:pPr>
        <w:rPr>
          <w:rFonts w:ascii="Comic Sans MS" w:hAnsi="Comic Sans MS"/>
          <w:b/>
          <w:bCs/>
          <w:sz w:val="32"/>
          <w:szCs w:val="32"/>
          <w:u w:val="single"/>
        </w:rPr>
      </w:pPr>
      <w:r w:rsidRPr="00B176AA">
        <w:rPr>
          <w:rFonts w:ascii="Comic Sans MS" w:hAnsi="Comic Sans MS"/>
          <w:b/>
          <w:bCs/>
          <w:sz w:val="32"/>
          <w:szCs w:val="32"/>
          <w:u w:val="single"/>
        </w:rPr>
        <w:t>AI Acknowledgement</w:t>
      </w:r>
    </w:p>
    <w:p w14:paraId="31CC0D55" w14:textId="77777777" w:rsidR="002B3E3C" w:rsidRPr="00B176AA" w:rsidRDefault="002B3E3C" w:rsidP="002B3E3C">
      <w:pPr>
        <w:rPr>
          <w:rFonts w:ascii="Comic Sans MS" w:hAnsi="Comic Sans MS"/>
        </w:rPr>
      </w:pPr>
    </w:p>
    <w:p w14:paraId="7C28570F" w14:textId="77777777" w:rsidR="002B3E3C" w:rsidRPr="00B176AA" w:rsidRDefault="002B3E3C" w:rsidP="002B3E3C">
      <w:pPr>
        <w:rPr>
          <w:rFonts w:ascii="Comic Sans MS" w:hAnsi="Comic Sans MS"/>
        </w:rPr>
      </w:pPr>
      <w:r w:rsidRPr="00B176AA">
        <w:rPr>
          <w:rFonts w:ascii="Comic Sans MS" w:hAnsi="Comic Sans MS"/>
        </w:rPr>
        <w:t xml:space="preserve">I confirm that I have not used any AI tools in the research and creation of this assignment. </w:t>
      </w:r>
    </w:p>
    <w:p w14:paraId="32A0CAD8" w14:textId="77777777" w:rsidR="002B3E3C" w:rsidRPr="00B176AA" w:rsidRDefault="002B3E3C" w:rsidP="002B3E3C">
      <w:pPr>
        <w:rPr>
          <w:rFonts w:ascii="Comic Sans MS" w:hAnsi="Comic Sans MS"/>
        </w:rPr>
      </w:pPr>
      <w:r w:rsidRPr="00B176AA">
        <w:rPr>
          <w:rFonts w:ascii="Comic Sans MS" w:hAnsi="Comic Sans MS"/>
        </w:rPr>
        <w:t xml:space="preserve">I confirm that I have not presented any AI generated materials as my own work. </w:t>
      </w:r>
    </w:p>
    <w:p w14:paraId="5D9285A0" w14:textId="77777777" w:rsidR="002B3E3C" w:rsidRPr="00B176AA" w:rsidRDefault="002B3E3C" w:rsidP="002B3E3C">
      <w:pPr>
        <w:rPr>
          <w:rFonts w:ascii="Comic Sans MS" w:hAnsi="Comic Sans MS"/>
        </w:rPr>
      </w:pPr>
      <w:r w:rsidRPr="00B176AA">
        <w:rPr>
          <w:rFonts w:ascii="Comic Sans MS" w:hAnsi="Comic Sans MS"/>
        </w:rPr>
        <w:t>I confirm that I have copies of my drafts, notes, and other resources I used, which I may be asked to provide in evidence.</w:t>
      </w:r>
    </w:p>
    <w:p w14:paraId="591D3E10" w14:textId="77777777" w:rsidR="002B3E3C" w:rsidRPr="00B176AA" w:rsidRDefault="002B3E3C" w:rsidP="002B3E3C">
      <w:pPr>
        <w:rPr>
          <w:rFonts w:ascii="Comic Sans MS" w:hAnsi="Comic Sans MS"/>
          <w:b/>
          <w:bCs/>
        </w:rPr>
      </w:pPr>
      <w:r w:rsidRPr="00B176AA">
        <w:rPr>
          <w:rFonts w:ascii="Comic Sans MS" w:hAnsi="Comic Sans MS"/>
          <w:b/>
          <w:bCs/>
        </w:rPr>
        <w:t>Targets from my previous assignment</w:t>
      </w:r>
    </w:p>
    <w:p w14:paraId="51E2DE14" w14:textId="77777777" w:rsidR="002B3E3C" w:rsidRPr="00B176AA" w:rsidRDefault="002B3E3C" w:rsidP="002B3E3C">
      <w:pPr>
        <w:rPr>
          <w:rFonts w:ascii="Comic Sans MS" w:hAnsi="Comic Sans MS"/>
          <w:b/>
          <w:bCs/>
        </w:rPr>
      </w:pPr>
    </w:p>
    <w:tbl>
      <w:tblPr>
        <w:tblStyle w:val="TableGrid"/>
        <w:tblW w:w="0" w:type="auto"/>
        <w:tblLook w:val="04A0" w:firstRow="1" w:lastRow="0" w:firstColumn="1" w:lastColumn="0" w:noHBand="0" w:noVBand="1"/>
      </w:tblPr>
      <w:tblGrid>
        <w:gridCol w:w="4508"/>
        <w:gridCol w:w="4508"/>
      </w:tblGrid>
      <w:tr w:rsidR="002B3E3C" w:rsidRPr="00B176AA" w14:paraId="09D8B1F8" w14:textId="77777777" w:rsidTr="00885D2A">
        <w:tc>
          <w:tcPr>
            <w:tcW w:w="4508" w:type="dxa"/>
          </w:tcPr>
          <w:p w14:paraId="076E7F2F" w14:textId="77777777" w:rsidR="002B3E3C" w:rsidRPr="00B176AA" w:rsidRDefault="002B3E3C" w:rsidP="00885D2A">
            <w:pPr>
              <w:rPr>
                <w:rFonts w:ascii="Comic Sans MS" w:hAnsi="Comic Sans MS"/>
                <w:b/>
                <w:bCs/>
              </w:rPr>
            </w:pPr>
            <w:r w:rsidRPr="00B176AA">
              <w:rPr>
                <w:rFonts w:ascii="Comic Sans MS" w:hAnsi="Comic Sans MS"/>
                <w:b/>
                <w:bCs/>
              </w:rPr>
              <w:t>Target</w:t>
            </w:r>
          </w:p>
        </w:tc>
        <w:tc>
          <w:tcPr>
            <w:tcW w:w="4508" w:type="dxa"/>
          </w:tcPr>
          <w:p w14:paraId="3511E05A" w14:textId="77777777" w:rsidR="002B3E3C" w:rsidRPr="00B176AA" w:rsidRDefault="002B3E3C" w:rsidP="00885D2A">
            <w:pPr>
              <w:rPr>
                <w:rFonts w:ascii="Comic Sans MS" w:hAnsi="Comic Sans MS"/>
                <w:b/>
                <w:bCs/>
              </w:rPr>
            </w:pPr>
            <w:r w:rsidRPr="00B176AA">
              <w:rPr>
                <w:rFonts w:ascii="Comic Sans MS" w:hAnsi="Comic Sans MS"/>
                <w:b/>
                <w:bCs/>
              </w:rPr>
              <w:t>How I have addressed it in this work</w:t>
            </w:r>
          </w:p>
        </w:tc>
      </w:tr>
      <w:tr w:rsidR="002B3E3C" w:rsidRPr="00B176AA" w14:paraId="34FF220A" w14:textId="77777777" w:rsidTr="00885D2A">
        <w:tc>
          <w:tcPr>
            <w:tcW w:w="4508" w:type="dxa"/>
          </w:tcPr>
          <w:p w14:paraId="262EC81D" w14:textId="18B7ADA4" w:rsidR="002B3E3C" w:rsidRPr="00B176AA" w:rsidRDefault="00B176AA" w:rsidP="002B3E3C">
            <w:pPr>
              <w:rPr>
                <w:rFonts w:ascii="Comic Sans MS" w:hAnsi="Comic Sans MS"/>
              </w:rPr>
            </w:pPr>
            <w:r>
              <w:rPr>
                <w:rFonts w:ascii="Comic Sans MS" w:hAnsi="Comic Sans MS"/>
              </w:rPr>
              <w:t>Synthesise wider background</w:t>
            </w:r>
            <w:r w:rsidR="00A97964">
              <w:rPr>
                <w:rFonts w:ascii="Comic Sans MS" w:hAnsi="Comic Sans MS"/>
              </w:rPr>
              <w:t xml:space="preserve"> research into my writing to aid support to key points.</w:t>
            </w:r>
          </w:p>
        </w:tc>
        <w:tc>
          <w:tcPr>
            <w:tcW w:w="4508" w:type="dxa"/>
          </w:tcPr>
          <w:p w14:paraId="6BBFB7E8" w14:textId="522BCAB2" w:rsidR="002B3E3C" w:rsidRPr="00B176AA" w:rsidRDefault="00A36F7C" w:rsidP="00885D2A">
            <w:pPr>
              <w:rPr>
                <w:rFonts w:ascii="Comic Sans MS" w:hAnsi="Comic Sans MS"/>
              </w:rPr>
            </w:pPr>
            <w:r>
              <w:rPr>
                <w:rFonts w:ascii="Comic Sans MS" w:hAnsi="Comic Sans MS"/>
              </w:rPr>
              <w:t xml:space="preserve">I have tried to incorporate further background research and synthesise this to support key points. </w:t>
            </w:r>
          </w:p>
        </w:tc>
      </w:tr>
      <w:tr w:rsidR="002B3E3C" w:rsidRPr="00B176AA" w14:paraId="3E700753" w14:textId="77777777" w:rsidTr="00885D2A">
        <w:tc>
          <w:tcPr>
            <w:tcW w:w="4508" w:type="dxa"/>
          </w:tcPr>
          <w:p w14:paraId="638D21F1" w14:textId="4150051D" w:rsidR="002B3E3C" w:rsidRPr="00A97964" w:rsidRDefault="00787052" w:rsidP="002B3E3C">
            <w:pPr>
              <w:rPr>
                <w:rFonts w:ascii="Comic Sans MS" w:hAnsi="Comic Sans MS"/>
              </w:rPr>
            </w:pPr>
            <w:r>
              <w:rPr>
                <w:rFonts w:ascii="Comic Sans MS" w:hAnsi="Comic Sans MS"/>
              </w:rPr>
              <w:t>Elaborate in detail when offer</w:t>
            </w:r>
            <w:r w:rsidR="00A806E6">
              <w:rPr>
                <w:rFonts w:ascii="Comic Sans MS" w:hAnsi="Comic Sans MS"/>
              </w:rPr>
              <w:t>ing</w:t>
            </w:r>
            <w:r>
              <w:rPr>
                <w:rFonts w:ascii="Comic Sans MS" w:hAnsi="Comic Sans MS"/>
              </w:rPr>
              <w:t xml:space="preserve"> the opposing view/aspects to be cautious with and limitations whenever possible. </w:t>
            </w:r>
          </w:p>
        </w:tc>
        <w:tc>
          <w:tcPr>
            <w:tcW w:w="4508" w:type="dxa"/>
          </w:tcPr>
          <w:p w14:paraId="385C0D1E" w14:textId="05362B9D" w:rsidR="002B3E3C" w:rsidRPr="00B176AA" w:rsidRDefault="00A806E6" w:rsidP="00885D2A">
            <w:pPr>
              <w:rPr>
                <w:rFonts w:ascii="Comic Sans MS" w:hAnsi="Comic Sans MS"/>
              </w:rPr>
            </w:pPr>
            <w:r>
              <w:rPr>
                <w:rFonts w:ascii="Comic Sans MS" w:hAnsi="Comic Sans MS"/>
              </w:rPr>
              <w:t>I have tried to support opposing views/aspects wherever possible.</w:t>
            </w:r>
          </w:p>
        </w:tc>
      </w:tr>
      <w:tr w:rsidR="002B3E3C" w:rsidRPr="00B176AA" w14:paraId="65C6A473" w14:textId="77777777" w:rsidTr="00885D2A">
        <w:tc>
          <w:tcPr>
            <w:tcW w:w="4508" w:type="dxa"/>
          </w:tcPr>
          <w:p w14:paraId="25B28478" w14:textId="410DE788" w:rsidR="002B3E3C" w:rsidRPr="00787052" w:rsidRDefault="00787052" w:rsidP="002B3E3C">
            <w:pPr>
              <w:rPr>
                <w:rFonts w:ascii="Comic Sans MS" w:hAnsi="Comic Sans MS"/>
              </w:rPr>
            </w:pPr>
            <w:r>
              <w:rPr>
                <w:rFonts w:ascii="Comic Sans MS" w:hAnsi="Comic Sans MS"/>
              </w:rPr>
              <w:t xml:space="preserve">Elaborate on the good points identified with even greater critical reflection. </w:t>
            </w:r>
          </w:p>
        </w:tc>
        <w:tc>
          <w:tcPr>
            <w:tcW w:w="4508" w:type="dxa"/>
          </w:tcPr>
          <w:p w14:paraId="4C90B042" w14:textId="3E06365E" w:rsidR="002B3E3C" w:rsidRPr="00B176AA" w:rsidRDefault="006816ED" w:rsidP="00885D2A">
            <w:pPr>
              <w:rPr>
                <w:rFonts w:ascii="Comic Sans MS" w:hAnsi="Comic Sans MS"/>
              </w:rPr>
            </w:pPr>
            <w:r>
              <w:rPr>
                <w:rFonts w:ascii="Comic Sans MS" w:hAnsi="Comic Sans MS"/>
              </w:rPr>
              <w:t xml:space="preserve">I have tried to further support and elaborate on good points identified, while remaining academically critical. </w:t>
            </w:r>
          </w:p>
        </w:tc>
      </w:tr>
    </w:tbl>
    <w:p w14:paraId="109FACC4" w14:textId="77777777" w:rsidR="002B3E3C" w:rsidRPr="00B176AA" w:rsidRDefault="002B3E3C" w:rsidP="002B3E3C">
      <w:pPr>
        <w:rPr>
          <w:rFonts w:ascii="Comic Sans MS" w:hAnsi="Comic Sans MS"/>
          <w:sz w:val="16"/>
          <w:szCs w:val="16"/>
        </w:rPr>
      </w:pPr>
    </w:p>
    <w:p w14:paraId="58B39EA3" w14:textId="77777777" w:rsidR="002B3E3C" w:rsidRPr="00B176AA" w:rsidRDefault="002B3E3C" w:rsidP="002B3E3C">
      <w:pPr>
        <w:rPr>
          <w:rFonts w:ascii="Comic Sans MS" w:hAnsi="Comic Sans MS"/>
          <w:sz w:val="16"/>
          <w:szCs w:val="16"/>
        </w:rPr>
      </w:pPr>
    </w:p>
    <w:p w14:paraId="10391D0B" w14:textId="2BAF885C" w:rsidR="00334D6B" w:rsidRPr="00B176AA" w:rsidRDefault="00334D6B" w:rsidP="00334D6B">
      <w:pPr>
        <w:jc w:val="center"/>
        <w:rPr>
          <w:rFonts w:ascii="Comic Sans MS" w:hAnsi="Comic Sans MS"/>
          <w:b/>
          <w:bCs/>
          <w:u w:val="single"/>
        </w:rPr>
      </w:pPr>
      <w:r w:rsidRPr="00B176AA">
        <w:rPr>
          <w:rFonts w:ascii="Comic Sans MS" w:hAnsi="Comic Sans MS"/>
          <w:b/>
          <w:bCs/>
          <w:u w:val="single"/>
        </w:rPr>
        <w:t>ECAD 5014</w:t>
      </w:r>
      <w:r w:rsidR="00B54DD9" w:rsidRPr="00B176AA">
        <w:rPr>
          <w:rFonts w:ascii="Comic Sans MS" w:hAnsi="Comic Sans MS"/>
          <w:b/>
          <w:bCs/>
          <w:u w:val="single"/>
        </w:rPr>
        <w:t xml:space="preserve"> Assignment</w:t>
      </w:r>
    </w:p>
    <w:p w14:paraId="40BD62B7" w14:textId="0CBAED18" w:rsidR="00B54DD9" w:rsidRDefault="00B54DD9" w:rsidP="00334D6B">
      <w:pPr>
        <w:jc w:val="center"/>
        <w:rPr>
          <w:rFonts w:ascii="Comic Sans MS" w:hAnsi="Comic Sans MS"/>
          <w:b/>
          <w:bCs/>
          <w:u w:val="single"/>
        </w:rPr>
      </w:pPr>
      <w:r>
        <w:rPr>
          <w:rFonts w:ascii="Comic Sans MS" w:hAnsi="Comic Sans MS"/>
          <w:b/>
          <w:bCs/>
          <w:u w:val="single"/>
        </w:rPr>
        <w:t xml:space="preserve">Researching the Learning: What, how and why am I teaching? </w:t>
      </w:r>
    </w:p>
    <w:p w14:paraId="012D1D56" w14:textId="7FBA255D" w:rsidR="003C12FF" w:rsidRDefault="003C12FF" w:rsidP="00334D6B">
      <w:pPr>
        <w:jc w:val="center"/>
        <w:rPr>
          <w:rFonts w:ascii="Comic Sans MS" w:hAnsi="Comic Sans MS"/>
          <w:b/>
          <w:bCs/>
          <w:u w:val="single"/>
        </w:rPr>
      </w:pPr>
      <w:r>
        <w:rPr>
          <w:rFonts w:ascii="Comic Sans MS" w:hAnsi="Comic Sans MS"/>
          <w:b/>
          <w:bCs/>
          <w:u w:val="single"/>
        </w:rPr>
        <w:t>Word Count 3</w:t>
      </w:r>
      <w:r w:rsidR="00E728E7">
        <w:rPr>
          <w:rFonts w:ascii="Comic Sans MS" w:hAnsi="Comic Sans MS"/>
          <w:b/>
          <w:bCs/>
          <w:u w:val="single"/>
        </w:rPr>
        <w:t>015</w:t>
      </w:r>
    </w:p>
    <w:p w14:paraId="08681E49" w14:textId="64043FC9" w:rsidR="00334D6B" w:rsidRDefault="1A06140B" w:rsidP="00334D6B">
      <w:pPr>
        <w:rPr>
          <w:rFonts w:ascii="Comic Sans MS" w:hAnsi="Comic Sans MS"/>
        </w:rPr>
      </w:pPr>
      <w:r w:rsidRPr="1A06140B">
        <w:rPr>
          <w:rFonts w:ascii="Comic Sans MS" w:hAnsi="Comic Sans MS"/>
        </w:rPr>
        <w:t xml:space="preserve">Assessment for Learning (hereafter </w:t>
      </w:r>
      <w:proofErr w:type="spellStart"/>
      <w:r w:rsidRPr="1A06140B">
        <w:rPr>
          <w:rFonts w:ascii="Comic Sans MS" w:hAnsi="Comic Sans MS"/>
        </w:rPr>
        <w:t>AfL</w:t>
      </w:r>
      <w:proofErr w:type="spellEnd"/>
      <w:r w:rsidRPr="1A06140B">
        <w:rPr>
          <w:rFonts w:ascii="Comic Sans MS" w:hAnsi="Comic Sans MS"/>
        </w:rPr>
        <w:t xml:space="preserve">), specifically peer feedback is believed to foster self-reflection and metacognitive skills in pupils. Hattie’s Visible Learning (2009) emphasises the impact of feedback on pupil achievement, spotlighting peer feedback as a powerful tool for improving self-regulation and </w:t>
      </w:r>
      <w:r w:rsidRPr="1A06140B">
        <w:rPr>
          <w:rFonts w:ascii="Comic Sans MS" w:hAnsi="Comic Sans MS"/>
        </w:rPr>
        <w:lastRenderedPageBreak/>
        <w:t xml:space="preserve">learning outcomes. This research aims to explore how peer feedback influences the development of self-reflection skills in primary school pupils focusing on a Year 6 class, where </w:t>
      </w:r>
      <w:proofErr w:type="spellStart"/>
      <w:r w:rsidRPr="1A06140B">
        <w:rPr>
          <w:rFonts w:ascii="Comic Sans MS" w:hAnsi="Comic Sans MS"/>
        </w:rPr>
        <w:t>AfL</w:t>
      </w:r>
      <w:proofErr w:type="spellEnd"/>
      <w:r w:rsidRPr="1A06140B">
        <w:rPr>
          <w:rFonts w:ascii="Comic Sans MS" w:hAnsi="Comic Sans MS"/>
        </w:rPr>
        <w:t xml:space="preserve"> strategies have been integrated into the daily teaching practice. This project seeks to understand how learners and teachers perceive the role of peer feedback within </w:t>
      </w:r>
      <w:proofErr w:type="spellStart"/>
      <w:r w:rsidRPr="1A06140B">
        <w:rPr>
          <w:rFonts w:ascii="Comic Sans MS" w:hAnsi="Comic Sans MS"/>
        </w:rPr>
        <w:t>AfL</w:t>
      </w:r>
      <w:proofErr w:type="spellEnd"/>
      <w:r w:rsidRPr="1A06140B">
        <w:rPr>
          <w:rFonts w:ascii="Comic Sans MS" w:hAnsi="Comic Sans MS"/>
        </w:rPr>
        <w:t xml:space="preserve"> practices. It will examine how peer feedback encourages pupils to critically assess their work and others’, with the desire of promoting deeper self-awareness and learning improvements.</w:t>
      </w:r>
    </w:p>
    <w:p w14:paraId="6CEBDEA6" w14:textId="7797A8AA" w:rsidR="00D16E2B" w:rsidRDefault="1A06140B" w:rsidP="00334D6B">
      <w:pPr>
        <w:rPr>
          <w:rFonts w:ascii="Comic Sans MS" w:hAnsi="Comic Sans MS"/>
        </w:rPr>
      </w:pPr>
      <w:proofErr w:type="spellStart"/>
      <w:r w:rsidRPr="1A06140B">
        <w:rPr>
          <w:rFonts w:ascii="Comic Sans MS" w:hAnsi="Comic Sans MS"/>
        </w:rPr>
        <w:t>AfL</w:t>
      </w:r>
      <w:proofErr w:type="spellEnd"/>
      <w:r w:rsidRPr="1A06140B">
        <w:rPr>
          <w:rFonts w:ascii="Comic Sans MS" w:hAnsi="Comic Sans MS"/>
        </w:rPr>
        <w:t xml:space="preserve"> is an evolving pedagogical approach designed to bridge the gap perceived between teaching and learning, by not only measuring, but actively improving pupils’ progress. Black and Wiliam (1998) argue that effective formative assessment prominently enhances pupil achievement, when educational professionals adjust instruction based upon assessment data. Central to this process are clear learning goals, feedback and self-reflection, which are the key principles of </w:t>
      </w:r>
      <w:proofErr w:type="spellStart"/>
      <w:r w:rsidRPr="1A06140B">
        <w:rPr>
          <w:rFonts w:ascii="Comic Sans MS" w:hAnsi="Comic Sans MS"/>
        </w:rPr>
        <w:t>AfL</w:t>
      </w:r>
      <w:proofErr w:type="spellEnd"/>
      <w:r w:rsidRPr="1A06140B">
        <w:rPr>
          <w:rFonts w:ascii="Comic Sans MS" w:hAnsi="Comic Sans MS"/>
        </w:rPr>
        <w:t xml:space="preserve">. However, critiques of early </w:t>
      </w:r>
      <w:proofErr w:type="spellStart"/>
      <w:r w:rsidRPr="1A06140B">
        <w:rPr>
          <w:rFonts w:ascii="Comic Sans MS" w:hAnsi="Comic Sans MS"/>
        </w:rPr>
        <w:t>AfL</w:t>
      </w:r>
      <w:proofErr w:type="spellEnd"/>
      <w:r w:rsidRPr="1A06140B">
        <w:rPr>
          <w:rFonts w:ascii="Comic Sans MS" w:hAnsi="Comic Sans MS"/>
        </w:rPr>
        <w:t xml:space="preserve"> models have highlighted its static nature, as these did not fully incorporate modern day technological advancements, or the complexities of teacher-pupil interactions (Shute, 2008; Wiliam, 2018), More recent studies (Nicol &amp; Macfarlane-Dick, 2006) expand on this by positioning peer and self-assessment as key components to fostering pupil autonomy and deeper learning engagement. </w:t>
      </w:r>
      <w:r w:rsidR="00DB22B5">
        <w:br/>
      </w:r>
      <w:r w:rsidRPr="1A06140B">
        <w:rPr>
          <w:rFonts w:ascii="Comic Sans MS" w:hAnsi="Comic Sans MS"/>
        </w:rPr>
        <w:t xml:space="preserve">Peer feedback is recognised as a tool for developing self-reflection skills, it encourages pupils to critically evaluate theirs and others’ work, fostering higher-order thinkings skills (Nicol &amp; Macfarlane-Dick, 2006). This aligns with Bloom et al.’s (cited by Eisner, 1972) taxonomy of educational objectives, which identifies evaluation as a key cognitive skill that enables learners to assess their performance against a defined criterion. Through structured and planned feedback, pupils engage in this evaluative process, refining their ability to reflect and internalise success criteria. Additionally, Sadler (1989) asserts that effective assessment should equip learners with the ability to close the gap between current performance and learning goals. Peer feedback facilitates this by providing immediate, contextually relevant insights, so pupils can take an active role in shaping their learning journey. </w:t>
      </w:r>
      <w:r w:rsidR="00DB22B5">
        <w:br/>
      </w:r>
      <w:r w:rsidRPr="1A06140B">
        <w:rPr>
          <w:rFonts w:ascii="Comic Sans MS" w:hAnsi="Comic Sans MS"/>
        </w:rPr>
        <w:t xml:space="preserve">The Welsh Governments curriculum emphasises pupil autonomy as a core aim, reinforcing that pupils should take ownership of their education (Welsh Government, 2024). Aligning with the United Nations Convention on the Rights of the Child (UNCRC, 2025), Article 12 which upholds children’s right to express </w:t>
      </w:r>
      <w:r w:rsidRPr="1A06140B">
        <w:rPr>
          <w:rFonts w:ascii="Comic Sans MS" w:hAnsi="Comic Sans MS"/>
        </w:rPr>
        <w:lastRenderedPageBreak/>
        <w:t xml:space="preserve">their views in matters affecting them and Article 28, which recognises education to developing children’s full potential. </w:t>
      </w:r>
      <w:r w:rsidR="00DB22B5">
        <w:br/>
      </w:r>
      <w:r w:rsidRPr="1A06140B">
        <w:rPr>
          <w:rFonts w:ascii="Comic Sans MS" w:hAnsi="Comic Sans MS"/>
        </w:rPr>
        <w:t xml:space="preserve">Despite these theoretical foundations, practical implementations of </w:t>
      </w:r>
      <w:proofErr w:type="spellStart"/>
      <w:r w:rsidRPr="1A06140B">
        <w:rPr>
          <w:rFonts w:ascii="Comic Sans MS" w:hAnsi="Comic Sans MS"/>
        </w:rPr>
        <w:t>AfL</w:t>
      </w:r>
      <w:proofErr w:type="spellEnd"/>
      <w:r w:rsidRPr="1A06140B">
        <w:rPr>
          <w:rFonts w:ascii="Comic Sans MS" w:hAnsi="Comic Sans MS"/>
        </w:rPr>
        <w:t xml:space="preserve"> varies significantly across educational contexts. The Estyn (2018) inspection of Y Pant Comprehensive School highlight how </w:t>
      </w:r>
      <w:proofErr w:type="spellStart"/>
      <w:r w:rsidRPr="1A06140B">
        <w:rPr>
          <w:rFonts w:ascii="Comic Sans MS" w:hAnsi="Comic Sans MS"/>
        </w:rPr>
        <w:t>AfL</w:t>
      </w:r>
      <w:proofErr w:type="spellEnd"/>
      <w:r w:rsidRPr="1A06140B">
        <w:rPr>
          <w:rFonts w:ascii="Comic Sans MS" w:hAnsi="Comic Sans MS"/>
        </w:rPr>
        <w:t xml:space="preserve"> contributed to the schools exceeding performance, with teachers regularly engaging in self-reflection and peer observations. Aligning with Black and Wiliam’s (1998) assertion that </w:t>
      </w:r>
      <w:proofErr w:type="spellStart"/>
      <w:r w:rsidRPr="1A06140B">
        <w:rPr>
          <w:rFonts w:ascii="Comic Sans MS" w:hAnsi="Comic Sans MS"/>
        </w:rPr>
        <w:t>AfL</w:t>
      </w:r>
      <w:proofErr w:type="spellEnd"/>
      <w:r w:rsidRPr="1A06140B">
        <w:rPr>
          <w:rFonts w:ascii="Comic Sans MS" w:hAnsi="Comic Sans MS"/>
        </w:rPr>
        <w:t xml:space="preserve"> should not only be a tool for pupil assessment, but also a catalyst for teacher development. Similarly, at Rogerstone Primary School (Estyn 2018), collaborative feedback practices have created a culture of professional trust, enabling both staff and pupils to take ownership of the learning process. However, literature remains unclear on how such practices are sustained across diverse school environments, particularly in settings with limited resources</w:t>
      </w:r>
      <w:r w:rsidR="00113C9C">
        <w:rPr>
          <w:rFonts w:ascii="Comic Sans MS" w:hAnsi="Comic Sans MS"/>
        </w:rPr>
        <w:t>,</w:t>
      </w:r>
      <w:r w:rsidRPr="1A06140B">
        <w:rPr>
          <w:rFonts w:ascii="Comic Sans MS" w:hAnsi="Comic Sans MS"/>
        </w:rPr>
        <w:t xml:space="preserve"> or socio-economic disadvantages. </w:t>
      </w:r>
      <w:r w:rsidR="00DB22B5">
        <w:br/>
      </w:r>
      <w:r w:rsidRPr="1A06140B">
        <w:rPr>
          <w:rFonts w:ascii="Comic Sans MS" w:hAnsi="Comic Sans MS"/>
        </w:rPr>
        <w:t xml:space="preserve">The impact of peer feedback on primary pupils’ self-reflection and critical assessment skills was explored by examining how structured peer feedback fosters self-regulated learning, how it contributes to </w:t>
      </w:r>
      <w:proofErr w:type="spellStart"/>
      <w:r w:rsidRPr="1A06140B">
        <w:rPr>
          <w:rFonts w:ascii="Comic Sans MS" w:hAnsi="Comic Sans MS"/>
        </w:rPr>
        <w:t>AfL</w:t>
      </w:r>
      <w:proofErr w:type="spellEnd"/>
      <w:r w:rsidRPr="1A06140B">
        <w:rPr>
          <w:rFonts w:ascii="Comic Sans MS" w:hAnsi="Comic Sans MS"/>
        </w:rPr>
        <w:t xml:space="preserve"> discussions and offers practical insights for enhancing self-reflective practices in primary education.</w:t>
      </w:r>
    </w:p>
    <w:p w14:paraId="5BBDFF2A" w14:textId="0BAEF541" w:rsidR="00F97AB7" w:rsidRDefault="1A06140B" w:rsidP="00334D6B">
      <w:pPr>
        <w:rPr>
          <w:rFonts w:ascii="Comic Sans MS" w:hAnsi="Comic Sans MS"/>
        </w:rPr>
      </w:pPr>
      <w:r w:rsidRPr="1A06140B">
        <w:rPr>
          <w:rFonts w:ascii="Comic Sans MS" w:hAnsi="Comic Sans MS"/>
        </w:rPr>
        <w:t>The research question ‘What is the effect of peer feedback on the development of self-reflection skills in primary school pupils?’ was explored through a structured methodology applied to ensure a thorough investigation. This exploration sought to examine the role of peer feedback in fostering self-reflection skills by gathering insights from both pupils lived experience and educational professionals, who facilitate and assess its impact. To achieve this, a mixed-methods approach was adopted, incorporating questionnaires for staff and pupils (see Appendix A</w:t>
      </w:r>
      <w:r w:rsidR="00222B8B">
        <w:rPr>
          <w:rFonts w:ascii="Comic Sans MS" w:hAnsi="Comic Sans MS"/>
        </w:rPr>
        <w:t xml:space="preserve"> &amp; B</w:t>
      </w:r>
      <w:r w:rsidRPr="1A06140B">
        <w:rPr>
          <w:rFonts w:ascii="Comic Sans MS" w:hAnsi="Comic Sans MS"/>
        </w:rPr>
        <w:t>) and semi-structured interviews with Year 6 pupils. The combination of these methods allows for a comprehensive understanding of peer feedback’s effectiveness on the development of self-reflection skills in primary pupils. Mixed methods incorporates both qualitative and quantitative data to create a broader spectrum of data collated (GOV, 2020). This methodology was selected to enhance the reliability and validity of the findings by triangulating data from multiple sources (Creswell, 2014). This approach ensures that both statistical trends and personal insights are captured, offering a more diverse perspective on the impact of peer feedback.</w:t>
      </w:r>
      <w:r w:rsidR="00820186">
        <w:br/>
      </w:r>
      <w:r w:rsidRPr="1A06140B">
        <w:rPr>
          <w:rFonts w:ascii="Comic Sans MS" w:hAnsi="Comic Sans MS"/>
        </w:rPr>
        <w:lastRenderedPageBreak/>
        <w:t xml:space="preserve"> A quantitative approach was employed through the implementation of questionnaires distributed to the focus group, allowing for the collection of measurable data on perceptions and experiences (Bell et al., 2024). Simultaneously, a qualitative approach was used through semi-structured interviews with Year 6 volunteers, enabling a deeper exploration of individual experiences and attitudes toward peer feedback.  Additionally, ethical considerations, following </w:t>
      </w:r>
      <w:r w:rsidR="006E00BD" w:rsidRPr="1A06140B">
        <w:rPr>
          <w:rFonts w:ascii="Comic Sans MS" w:hAnsi="Comic Sans MS"/>
        </w:rPr>
        <w:t xml:space="preserve">British Educational Research Association (BERA hereafter) </w:t>
      </w:r>
      <w:r w:rsidRPr="1A06140B">
        <w:rPr>
          <w:rFonts w:ascii="Comic Sans MS" w:hAnsi="Comic Sans MS"/>
        </w:rPr>
        <w:t xml:space="preserve"> (2024) guidelines, were embedded throughout the research process to protect participants and uphold research integrity (Blackburn, 2001).</w:t>
      </w:r>
      <w:r w:rsidR="00820186">
        <w:br/>
      </w:r>
      <w:r w:rsidRPr="1A06140B">
        <w:rPr>
          <w:rFonts w:ascii="Comic Sans MS" w:hAnsi="Comic Sans MS"/>
        </w:rPr>
        <w:t>Questionnaires were selected as a research tool due to their efficiency in gathering data from a larger sample, while allowing for a balance between structured responses and participant autonomy (Cohen, Manion &amp; Morrison, 2018). The questionnaire comprised of open-ended questions, enabling participants to provide detailed qualitative insights and closed-ended questions, including Likert scale items, to facilitate quantitative analysis and comparative trends (Punch &amp; Oancea, 2009).</w:t>
      </w:r>
      <w:r w:rsidR="00820186">
        <w:br/>
      </w:r>
      <w:r w:rsidRPr="1A06140B">
        <w:rPr>
          <w:rFonts w:ascii="Comic Sans MS" w:hAnsi="Comic Sans MS"/>
        </w:rPr>
        <w:t>To enhance accessibility Microsoft Forms were used, allowing participants to complete the questionnaire conveniently, reducing pressure and encouraging more considered responses. This was beneficial given the hoped aim of gathering data from over 30 pupils and 15 teaching staff and a diverse range of responses.</w:t>
      </w:r>
      <w:r w:rsidR="00820186">
        <w:br/>
      </w:r>
      <w:r w:rsidRPr="1A06140B">
        <w:rPr>
          <w:rFonts w:ascii="Comic Sans MS" w:hAnsi="Comic Sans MS"/>
        </w:rPr>
        <w:t>However, while questionnaires are efficient and reduce interviewer bias (Denscombe, 2021), there are challenges. Limited depth in responses and potential misinterpretation of questions (Bryman, 2016) may affect data reliability.</w:t>
      </w:r>
    </w:p>
    <w:p w14:paraId="3FA38C47" w14:textId="6B237623" w:rsidR="00DC3BCC" w:rsidRDefault="1A06140B" w:rsidP="00306C47">
      <w:pPr>
        <w:rPr>
          <w:rFonts w:ascii="Comic Sans MS" w:hAnsi="Comic Sans MS"/>
        </w:rPr>
      </w:pPr>
      <w:r w:rsidRPr="1A06140B">
        <w:rPr>
          <w:rFonts w:ascii="Comic Sans MS" w:hAnsi="Comic Sans MS"/>
        </w:rPr>
        <w:t>Interviews were conducted alongside the questionnaires to provide deeper insights into participants’ experiences and perception of peer feedback. While questionnaires efficiently capture broader trends, interviews can allow for a more nuanced exploration of individual viewpoints, enabling participants to elaborate on their thoughts in greater depth (Cohen, Manion &amp; Morrison. 2018).</w:t>
      </w:r>
      <w:r w:rsidR="003F274C">
        <w:br/>
      </w:r>
      <w:r w:rsidRPr="1A06140B">
        <w:rPr>
          <w:rFonts w:ascii="Comic Sans MS" w:hAnsi="Comic Sans MS"/>
        </w:rPr>
        <w:t xml:space="preserve">A Semi- structured interview format was chosen (see Appendix C for pre-planned research questions) to balance consistency and flexibility. This approach potentially ensures that key topics are covered while allowing pupils to expand on their responses naturally (Denscombe, 2021). All questions were open-ended, encouraging reflective answers. However, a notable challenge arose </w:t>
      </w:r>
      <w:r w:rsidRPr="1A06140B">
        <w:rPr>
          <w:rFonts w:ascii="Comic Sans MS" w:hAnsi="Comic Sans MS"/>
        </w:rPr>
        <w:lastRenderedPageBreak/>
        <w:t xml:space="preserve">when pupils misinterpreted the question “What do you think makes feedback helpful, or unhelpful?” Instead of addressing the effectiveness of feedback, they described good and bad feedback. A professional decision was made to not correct their interpretation, as their responses remained detailed and justified. </w:t>
      </w:r>
      <w:r w:rsidR="003F274C">
        <w:br/>
      </w:r>
      <w:r w:rsidRPr="1A06140B">
        <w:rPr>
          <w:rFonts w:ascii="Comic Sans MS" w:hAnsi="Comic Sans MS"/>
        </w:rPr>
        <w:t>While the interviews provided rich qualitative data, they were time consuming, as well as potentially influenced by interviewer bias (Bryman, 2016). Despite these limitations the findings offered valuable depth and complimented the questionnaire findings.</w:t>
      </w:r>
      <w:r w:rsidR="003F274C">
        <w:br/>
      </w:r>
      <w:r w:rsidRPr="1A06140B">
        <w:rPr>
          <w:rFonts w:ascii="Comic Sans MS" w:hAnsi="Comic Sans MS"/>
        </w:rPr>
        <w:t xml:space="preserve">Questionnaires were </w:t>
      </w:r>
      <w:r w:rsidR="00A7060E">
        <w:rPr>
          <w:rFonts w:ascii="Comic Sans MS" w:hAnsi="Comic Sans MS"/>
        </w:rPr>
        <w:t xml:space="preserve">distributed via </w:t>
      </w:r>
      <w:r w:rsidRPr="1A06140B">
        <w:rPr>
          <w:rFonts w:ascii="Comic Sans MS" w:hAnsi="Comic Sans MS"/>
        </w:rPr>
        <w:t>links emailed to all teaching staff and shared on pupils’ Google Classroom page. This method was chosen to minimise disruption to participants schedules, whilst allowing responses to be completed anonymously and without external pressure (</w:t>
      </w:r>
      <w:proofErr w:type="spellStart"/>
      <w:r w:rsidRPr="1A06140B">
        <w:rPr>
          <w:rFonts w:ascii="Comic Sans MS" w:hAnsi="Comic Sans MS"/>
        </w:rPr>
        <w:t>Tes</w:t>
      </w:r>
      <w:proofErr w:type="spellEnd"/>
      <w:r w:rsidRPr="1A06140B">
        <w:rPr>
          <w:rFonts w:ascii="Comic Sans MS" w:hAnsi="Comic Sans MS"/>
        </w:rPr>
        <w:t>, 2024). The questionnaire was designed to be short and accessible, taking approximately three minutes to complete, making it more feasible for teachers with busy workloads and ensuring that pupils did not find the process intensive. Conducting the survey online arguably supports confidentiality, reducing the potential for social desirability bias, where participants might otherwise alter responses to align with perceived expectations.</w:t>
      </w:r>
      <w:r w:rsidR="003F274C">
        <w:br/>
      </w:r>
      <w:r w:rsidRPr="1A06140B">
        <w:rPr>
          <w:rFonts w:ascii="Comic Sans MS" w:hAnsi="Comic Sans MS"/>
        </w:rPr>
        <w:t xml:space="preserve">Pupils were invited to volunteer for interviews rather than being selected, ensuring genuine willingness to participate (BERA, 2024). An informal conversation on the way to the designated interview space (library), helped to establish a relaxed and comfortable atmosphere. The purpose and process of the interview was explained, and verbal assent was obtained before proceeding. The average interview lasted approximately three minutes; many pupils were eager to participate. While this was a positive outcome, it significantly increased the time commitment required for conducting, transcribing and analysing interviews. </w:t>
      </w:r>
      <w:r w:rsidR="003F274C">
        <w:br/>
      </w:r>
      <w:r w:rsidRPr="1A06140B">
        <w:rPr>
          <w:rFonts w:ascii="Comic Sans MS" w:hAnsi="Comic Sans MS"/>
        </w:rPr>
        <w:t>To maintain anonymity and integrity, all interviews were audio-recorded using a voice memo app, ensuring anonymity. Recordings were promptly deleted after transcription, adhering to data protection principles outlined in the UK General Data Protection Regulation (UK GDPR, (GOV, 2018)</w:t>
      </w:r>
      <w:r w:rsidR="00A7060E">
        <w:rPr>
          <w:rFonts w:ascii="Comic Sans MS" w:hAnsi="Comic Sans MS"/>
        </w:rPr>
        <w:t>)</w:t>
      </w:r>
      <w:r w:rsidRPr="1A06140B">
        <w:rPr>
          <w:rFonts w:ascii="Comic Sans MS" w:hAnsi="Comic Sans MS"/>
        </w:rPr>
        <w:t xml:space="preserve"> and BERA ethical guidelines (2024), which emphasise confidentiality and the responsible handling of participant data. </w:t>
      </w:r>
      <w:r w:rsidR="003F274C">
        <w:br/>
      </w:r>
      <w:r w:rsidRPr="1A06140B">
        <w:rPr>
          <w:rFonts w:ascii="Comic Sans MS" w:hAnsi="Comic Sans MS"/>
        </w:rPr>
        <w:t xml:space="preserve">A limitation of this process was the time-intensive nature of interview transcription and analysis. However, the depth of responses gained through this method added significant value to the study, allowing for a more nuanced </w:t>
      </w:r>
      <w:r w:rsidRPr="1A06140B">
        <w:rPr>
          <w:rFonts w:ascii="Comic Sans MS" w:hAnsi="Comic Sans MS"/>
        </w:rPr>
        <w:lastRenderedPageBreak/>
        <w:t xml:space="preserve">understanding of how pupils perceive and engage with peer feedback. </w:t>
      </w:r>
      <w:r w:rsidR="00CD7086">
        <w:rPr>
          <w:rFonts w:ascii="Comic Sans MS" w:hAnsi="Comic Sans MS"/>
        </w:rPr>
        <w:t>Nonetheless</w:t>
      </w:r>
      <w:r w:rsidRPr="1A06140B">
        <w:rPr>
          <w:rFonts w:ascii="Comic Sans MS" w:hAnsi="Comic Sans MS"/>
        </w:rPr>
        <w:t xml:space="preserve">, response rates were low, with only five pupil responses and four staff responses submitted, despite this limitation, Microsoft Forms were utilised to generate graphs and identify patterns, allowing for a visual representation of commonalities and trends (see Appendix A &amp; B). While this tool facilitated efficient data organisation, the limited response rate reduced the generalisability of the findings (Bryman, 2016). </w:t>
      </w:r>
      <w:r w:rsidR="003F274C">
        <w:br/>
      </w:r>
      <w:r w:rsidRPr="1A06140B">
        <w:rPr>
          <w:rFonts w:ascii="Comic Sans MS" w:hAnsi="Comic Sans MS"/>
        </w:rPr>
        <w:t xml:space="preserve">15 pupils initially volunteered for interviews, demonstrating a strong interest. </w:t>
      </w:r>
      <w:r w:rsidR="00B30938">
        <w:rPr>
          <w:rFonts w:ascii="Comic Sans MS" w:hAnsi="Comic Sans MS"/>
        </w:rPr>
        <w:t>That said</w:t>
      </w:r>
      <w:r w:rsidRPr="1A06140B">
        <w:rPr>
          <w:rFonts w:ascii="Comic Sans MS" w:hAnsi="Comic Sans MS"/>
        </w:rPr>
        <w:t xml:space="preserve">, due to time constraints, only six pupils were selected for one-to-one interviews. This decision was influenced by the need to minimise disruption to the school day, as pupils were engaged in core lessons and spelling tests at the time. The rationale was grounded in Michael Young’s (2014) concept of ‘powerful knowledge’, which emphasises the importance of equitable access to curriculum content. Removing pupils from lessons, even on a voluntary basis, risked potential gaps in their learning. </w:t>
      </w:r>
      <w:r w:rsidR="003F274C">
        <w:br/>
      </w:r>
      <w:r w:rsidR="006E00BD">
        <w:rPr>
          <w:rFonts w:ascii="Comic Sans MS" w:hAnsi="Comic Sans MS"/>
        </w:rPr>
        <w:t>Moreover</w:t>
      </w:r>
      <w:r w:rsidRPr="1A06140B">
        <w:rPr>
          <w:rFonts w:ascii="Comic Sans MS" w:hAnsi="Comic Sans MS"/>
        </w:rPr>
        <w:t xml:space="preserve">, practical constraints like time required for transcribing and coding interviews were considered. To ensure diversity in the sample, pupils were strategically selected to represent a range of abilities (low, medium and high), allowing for a broader insight into how peer feedback is perceived across different levels of attainment. While this selection process ensured variation, it also introduced potential selection bias as explored by </w:t>
      </w:r>
      <w:proofErr w:type="spellStart"/>
      <w:r w:rsidRPr="1A06140B">
        <w:rPr>
          <w:rFonts w:ascii="Comic Sans MS" w:hAnsi="Comic Sans MS"/>
        </w:rPr>
        <w:t>Enago</w:t>
      </w:r>
      <w:proofErr w:type="spellEnd"/>
      <w:r w:rsidRPr="1A06140B">
        <w:rPr>
          <w:rFonts w:ascii="Comic Sans MS" w:hAnsi="Comic Sans MS"/>
        </w:rPr>
        <w:t xml:space="preserve"> Academy in ‘How to Avoid Bias in Qualitative Research (2021), as noted a teacher stated to me before selection, ‘if I wanted good answers to select Pupils X and Y’. These were pupils who were higher ability learners, if I had merely selected these types of pupils, my data would be an unfair representation of all pupil experiences. </w:t>
      </w:r>
    </w:p>
    <w:p w14:paraId="0782B579" w14:textId="64412174" w:rsidR="002E584A" w:rsidRDefault="1A06140B" w:rsidP="00306C47">
      <w:pPr>
        <w:rPr>
          <w:rFonts w:ascii="Comic Sans MS" w:hAnsi="Comic Sans MS"/>
        </w:rPr>
      </w:pPr>
      <w:r w:rsidRPr="1A06140B">
        <w:rPr>
          <w:rFonts w:ascii="Comic Sans MS" w:hAnsi="Comic Sans MS"/>
        </w:rPr>
        <w:t xml:space="preserve">Ethical integrity adhered to following the </w:t>
      </w:r>
      <w:r w:rsidR="006E00BD">
        <w:rPr>
          <w:rFonts w:ascii="Comic Sans MS" w:hAnsi="Comic Sans MS"/>
        </w:rPr>
        <w:t xml:space="preserve">BERA </w:t>
      </w:r>
      <w:r w:rsidRPr="1A06140B">
        <w:rPr>
          <w:rFonts w:ascii="Comic Sans MS" w:hAnsi="Comic Sans MS"/>
        </w:rPr>
        <w:t>2024 guidelines and ensuring participants’ rights were protected throughout the process. Key principles of this included informed consent, the right to withdraw, confidentiality and anonymity. Prior to conducting the research, an Ethics Form (see Appendix F) was submitted for approval to the university and consent on behalf of parents was obtained from the Deputy Head Teacher (see Appendix E). As primary school pupils were involved, parental consent was required alongside pupil assent, ensuring that pupils could make an informed and voluntary decision to participate (BERA, 2024).</w:t>
      </w:r>
      <w:r w:rsidR="00DC3BCC">
        <w:br/>
      </w:r>
      <w:r w:rsidRPr="1A06140B">
        <w:rPr>
          <w:rFonts w:ascii="Comic Sans MS" w:hAnsi="Comic Sans MS"/>
        </w:rPr>
        <w:t xml:space="preserve">To foster a comfortable environment, interviews were conducted in a familiar </w:t>
      </w:r>
      <w:r w:rsidRPr="1A06140B">
        <w:rPr>
          <w:rFonts w:ascii="Comic Sans MS" w:hAnsi="Comic Sans MS"/>
        </w:rPr>
        <w:lastRenderedPageBreak/>
        <w:t xml:space="preserve">and neutral setting (the school library), offering privacy, whilst ensuring safeguarding procedure was adhered to with the requirement of windows in the doors, allowing staff to view the room ensuring the safeguarding of both the researcher and pupil (Welsh Government, 2021). The process was explained using age-appropriate language and pupils were reassured that their responses would remain anonymous, as well as they were under no obligation to answer all questions and could halt the process at any moment, as explored by Rogers et al, (2021). Pseudonyms were used to protect identities and were stored securely and deleted adequately, in compliance with UK GDPR (2018) regulations. </w:t>
      </w:r>
      <w:r w:rsidR="00DC3BCC">
        <w:br/>
      </w:r>
      <w:r w:rsidRPr="1A06140B">
        <w:rPr>
          <w:rFonts w:ascii="Comic Sans MS" w:hAnsi="Comic Sans MS"/>
        </w:rPr>
        <w:t>Ethical challenges, such as minimising power imbalances between the researcher and pupil, were mitigated by adopting a conversational approach rather than a rigid format. This aligns with Alderson and Morrow’s (2011) exploration on the need to balance research integrity with protecting pupils' welfare, dignity and autonomy.</w:t>
      </w:r>
    </w:p>
    <w:p w14:paraId="21B33397" w14:textId="42C457BC" w:rsidR="00B61CFE" w:rsidRDefault="2DC5591D" w:rsidP="00306C47">
      <w:pPr>
        <w:rPr>
          <w:rFonts w:ascii="Comic Sans MS" w:hAnsi="Comic Sans MS"/>
        </w:rPr>
      </w:pPr>
      <w:r w:rsidRPr="2DC5591D">
        <w:rPr>
          <w:rFonts w:ascii="Comic Sans MS" w:hAnsi="Comic Sans MS"/>
        </w:rPr>
        <w:t xml:space="preserve">This study has explored the effect of peer feedback on the development of self-reflection skills in primary school pupils, compiling data from pupil interviews, pupil questionnaires and teaching staff questionnaires. The findings appear to suggest that while peer feedback is widely used and generally perceived as beneficial, there are variations in the data to its effectiveness, particularly in relation to </w:t>
      </w:r>
      <w:r w:rsidR="006816ED">
        <w:rPr>
          <w:rFonts w:ascii="Comic Sans MS" w:hAnsi="Comic Sans MS"/>
        </w:rPr>
        <w:t>pupil</w:t>
      </w:r>
      <w:r w:rsidRPr="2DC5591D">
        <w:rPr>
          <w:rFonts w:ascii="Comic Sans MS" w:hAnsi="Comic Sans MS"/>
        </w:rPr>
        <w:t xml:space="preserve">s’ ability to engage in meaningful self-reflection. Common themes have emerged from the collation, including the emotional responses to peer feedback, its role in self-reflection, a preference towards teacher feedback and challenges with its implementation. </w:t>
      </w:r>
      <w:r w:rsidR="00FC1444">
        <w:rPr>
          <w:rFonts w:ascii="Comic Sans MS" w:hAnsi="Comic Sans MS"/>
        </w:rPr>
        <w:t>One might contend that</w:t>
      </w:r>
      <w:r w:rsidRPr="2DC5591D">
        <w:rPr>
          <w:rFonts w:ascii="Comic Sans MS" w:hAnsi="Comic Sans MS"/>
        </w:rPr>
        <w:t xml:space="preserve"> these findings align with existing literature on </w:t>
      </w:r>
      <w:proofErr w:type="spellStart"/>
      <w:r w:rsidRPr="2DC5591D">
        <w:rPr>
          <w:rFonts w:ascii="Comic Sans MS" w:hAnsi="Comic Sans MS"/>
        </w:rPr>
        <w:t>AfL</w:t>
      </w:r>
      <w:proofErr w:type="spellEnd"/>
      <w:r w:rsidRPr="2DC5591D">
        <w:rPr>
          <w:rFonts w:ascii="Comic Sans MS" w:hAnsi="Comic Sans MS"/>
        </w:rPr>
        <w:t xml:space="preserve">, social constructivism and metacognition, whilst also posing questions about the extent to which peer feedback fosters independent learning. </w:t>
      </w:r>
      <w:r w:rsidR="001D1AC2">
        <w:br/>
      </w:r>
      <w:r w:rsidRPr="2DC5591D">
        <w:rPr>
          <w:rFonts w:ascii="Comic Sans MS" w:hAnsi="Comic Sans MS"/>
        </w:rPr>
        <w:t xml:space="preserve">One of the most consistent themes in the pupil interviews, was that pupils generally reported positive emotions when giving feedback, such as feeling proud, happy or confident. This potentially aligns with Bandura’s social learning theory (cited by Chaudhary, 2025), which suggests that learners can gain a sense of mastery when engaging in collaborative tasks. Most pupils interpreted peer feedback as helping their classmates, indicating a sense of peer responsibility towards learning. </w:t>
      </w:r>
      <w:r w:rsidR="00FC1444">
        <w:rPr>
          <w:rFonts w:ascii="Comic Sans MS" w:hAnsi="Comic Sans MS"/>
        </w:rPr>
        <w:t>On the other hand</w:t>
      </w:r>
      <w:r w:rsidRPr="2DC5591D">
        <w:rPr>
          <w:rFonts w:ascii="Comic Sans MS" w:hAnsi="Comic Sans MS"/>
        </w:rPr>
        <w:t xml:space="preserve">, mixed feelings were observed about the usefulness of peer feedback, some </w:t>
      </w:r>
      <w:r w:rsidR="006816ED">
        <w:rPr>
          <w:rFonts w:ascii="Comic Sans MS" w:hAnsi="Comic Sans MS"/>
        </w:rPr>
        <w:t>pupils</w:t>
      </w:r>
      <w:r w:rsidRPr="2DC5591D">
        <w:rPr>
          <w:rFonts w:ascii="Comic Sans MS" w:hAnsi="Comic Sans MS"/>
        </w:rPr>
        <w:t xml:space="preserve"> stated that unclear or overly negative feedback could be discouraging. </w:t>
      </w:r>
      <w:r w:rsidR="001D1AC2">
        <w:br/>
      </w:r>
      <w:r w:rsidRPr="2DC5591D">
        <w:rPr>
          <w:rFonts w:ascii="Comic Sans MS" w:hAnsi="Comic Sans MS"/>
        </w:rPr>
        <w:lastRenderedPageBreak/>
        <w:t xml:space="preserve">Literature suggest that constructive feedback is essential in fostering learning (Black and Wiliam, 2010), yet not all pupils perceived peer feedback as helpful. </w:t>
      </w:r>
      <w:r w:rsidR="00D91182">
        <w:rPr>
          <w:rFonts w:ascii="Comic Sans MS" w:hAnsi="Comic Sans MS"/>
        </w:rPr>
        <w:t>Possibly linking</w:t>
      </w:r>
      <w:r w:rsidRPr="2DC5591D">
        <w:rPr>
          <w:rFonts w:ascii="Comic Sans MS" w:hAnsi="Comic Sans MS"/>
        </w:rPr>
        <w:t xml:space="preserve"> to the developmental stage of primary-aged pupils, as younger learners may struggle to provide feedback that is both specific and constructive (Piaget, 1970). Moreover, some pupils mentioned that they sought clarification on peer feedback before applying changes, demonstrating that not all feedback was immediately understandable or actionable</w:t>
      </w:r>
      <w:r w:rsidR="00D91182">
        <w:rPr>
          <w:rFonts w:ascii="Comic Sans MS" w:hAnsi="Comic Sans MS"/>
        </w:rPr>
        <w:t>.</w:t>
      </w:r>
      <w:r w:rsidR="00855736">
        <w:rPr>
          <w:rFonts w:ascii="Comic Sans MS" w:hAnsi="Comic Sans MS"/>
        </w:rPr>
        <w:t xml:space="preserve"> </w:t>
      </w:r>
      <w:r w:rsidR="001E127D">
        <w:rPr>
          <w:rFonts w:ascii="Comic Sans MS" w:hAnsi="Comic Sans MS"/>
        </w:rPr>
        <w:t>T</w:t>
      </w:r>
      <w:r w:rsidR="00855736">
        <w:rPr>
          <w:rFonts w:ascii="Comic Sans MS" w:hAnsi="Comic Sans MS"/>
        </w:rPr>
        <w:t xml:space="preserve">his is </w:t>
      </w:r>
      <w:r w:rsidR="00FA1CAC">
        <w:rPr>
          <w:rFonts w:ascii="Comic Sans MS" w:hAnsi="Comic Sans MS"/>
        </w:rPr>
        <w:t>highlighted in the E</w:t>
      </w:r>
      <w:r w:rsidR="00D91182">
        <w:rPr>
          <w:rFonts w:ascii="Comic Sans MS" w:hAnsi="Comic Sans MS"/>
        </w:rPr>
        <w:t xml:space="preserve">ducation Endowment </w:t>
      </w:r>
      <w:r w:rsidR="00FA1CAC">
        <w:rPr>
          <w:rFonts w:ascii="Comic Sans MS" w:hAnsi="Comic Sans MS"/>
        </w:rPr>
        <w:t>F</w:t>
      </w:r>
      <w:r w:rsidR="00D91182">
        <w:rPr>
          <w:rFonts w:ascii="Comic Sans MS" w:hAnsi="Comic Sans MS"/>
        </w:rPr>
        <w:t>oundation (hereafter EEF)</w:t>
      </w:r>
      <w:r w:rsidR="00801F5F">
        <w:rPr>
          <w:rFonts w:ascii="Comic Sans MS" w:hAnsi="Comic Sans MS"/>
        </w:rPr>
        <w:t xml:space="preserve"> (2025)</w:t>
      </w:r>
      <w:r w:rsidR="00FA1CAC">
        <w:rPr>
          <w:rFonts w:ascii="Comic Sans MS" w:hAnsi="Comic Sans MS"/>
        </w:rPr>
        <w:t xml:space="preserve"> Feedback webpage</w:t>
      </w:r>
      <w:r w:rsidR="00D91182">
        <w:rPr>
          <w:rFonts w:ascii="Comic Sans MS" w:hAnsi="Comic Sans MS"/>
        </w:rPr>
        <w:t>,</w:t>
      </w:r>
      <w:r w:rsidR="00FA1CAC">
        <w:rPr>
          <w:rFonts w:ascii="Comic Sans MS" w:hAnsi="Comic Sans MS"/>
        </w:rPr>
        <w:t xml:space="preserve"> </w:t>
      </w:r>
      <w:r w:rsidR="001E127D">
        <w:rPr>
          <w:rFonts w:ascii="Comic Sans MS" w:hAnsi="Comic Sans MS"/>
        </w:rPr>
        <w:t>suggesting</w:t>
      </w:r>
      <w:r w:rsidR="00FA1CAC">
        <w:rPr>
          <w:rFonts w:ascii="Comic Sans MS" w:hAnsi="Comic Sans MS"/>
        </w:rPr>
        <w:t xml:space="preserve"> in order fo</w:t>
      </w:r>
      <w:r w:rsidR="00B923D0">
        <w:rPr>
          <w:rFonts w:ascii="Comic Sans MS" w:hAnsi="Comic Sans MS"/>
        </w:rPr>
        <w:t>r feedback to be beneficial it needs to be actionable and clearly interpretable.</w:t>
      </w:r>
      <w:r w:rsidRPr="2DC5591D">
        <w:rPr>
          <w:rFonts w:ascii="Comic Sans MS" w:hAnsi="Comic Sans MS"/>
        </w:rPr>
        <w:t xml:space="preserve"> The findings are broadly consistent with the teacher questionnaire responses, which indicate that whilst staff believe feedback encourages self-reflection, there is uncertainty about its effectiveness in producing meaningful changes. The neutrality in responses about whether pupils give each other useful feedback suggests that there may be inconsistencies in how peer feedback is implemented and perceived across different classrooms. </w:t>
      </w:r>
      <w:r w:rsidR="001D1AC2">
        <w:br/>
      </w:r>
      <w:r w:rsidRPr="2DC5591D">
        <w:rPr>
          <w:rFonts w:ascii="Comic Sans MS" w:hAnsi="Comic Sans MS"/>
        </w:rPr>
        <w:t xml:space="preserve">Findings from both the pupil and teacher questionnaires suggests that peer feedback plays a role in encouraging self-reflection, although the extent of its influence varies. Most pupils reported making changes to their work based on feedback, demonstrating an engagement in the feedback process. Several pupils also mentioned re-reading their work, questioning suggestions and seeking clarification, all of which are key indicators of metacognitive engagement (Flavell, 1979). </w:t>
      </w:r>
      <w:r w:rsidR="008D0B6D">
        <w:rPr>
          <w:rFonts w:ascii="Comic Sans MS" w:hAnsi="Comic Sans MS"/>
        </w:rPr>
        <w:t>Nonetheless</w:t>
      </w:r>
      <w:r w:rsidRPr="2DC5591D">
        <w:rPr>
          <w:rFonts w:ascii="Comic Sans MS" w:hAnsi="Comic Sans MS"/>
        </w:rPr>
        <w:t xml:space="preserve">, the depth of self-reflection remains uncertain. While some pupils indicated that peer feedback increased their awareness of common mistakes (punctuation, spelling errors, sentence structures etc), opinions were mixed regarding whether it helped them understand their own strengths and weaknesses. This suggests that peer feedback may be more effective in addressing surface-level errors rather than fostering deeper learning strategies. Nicol and Macfarlane-Dick (2006) </w:t>
      </w:r>
      <w:r w:rsidR="008D0B6D">
        <w:rPr>
          <w:rFonts w:ascii="Comic Sans MS" w:hAnsi="Comic Sans MS"/>
        </w:rPr>
        <w:t xml:space="preserve">pose </w:t>
      </w:r>
      <w:r w:rsidRPr="2DC5591D">
        <w:rPr>
          <w:rFonts w:ascii="Comic Sans MS" w:hAnsi="Comic Sans MS"/>
        </w:rPr>
        <w:t xml:space="preserve">that for feedback to enhance self-regulation, pupils must be able to internalise feedback and apply it beyond a single task. The findings suggest that this process may not be fully developed amongst primary pupils, potentially due to limited experience in engaging critically with feedback. </w:t>
      </w:r>
      <w:r w:rsidR="001D1AC2">
        <w:br/>
      </w:r>
      <w:r w:rsidRPr="2DC5591D">
        <w:rPr>
          <w:rFonts w:ascii="Comic Sans MS" w:hAnsi="Comic Sans MS"/>
        </w:rPr>
        <w:t xml:space="preserve">Interestingly, the teaching staff questionnaire also revealed an equal divide between viewing peer feedback as ‘somewhat useful’, or ‘only a little useful’ in helping pupils identify their strengths and weaknesses. However, 75% of </w:t>
      </w:r>
      <w:r w:rsidRPr="2DC5591D">
        <w:rPr>
          <w:rFonts w:ascii="Comic Sans MS" w:hAnsi="Comic Sans MS"/>
        </w:rPr>
        <w:lastRenderedPageBreak/>
        <w:t xml:space="preserve">teachers believed that peer feedback contributed to pupils’ awareness of their learning goals, suggesting that while peer feedback may not always support deep self-reflection, it may still help pupils align their work with expected learning outcomes. </w:t>
      </w:r>
      <w:r w:rsidR="001D1AC2">
        <w:br/>
      </w:r>
      <w:r w:rsidRPr="2DC5591D">
        <w:rPr>
          <w:rFonts w:ascii="Comic Sans MS" w:hAnsi="Comic Sans MS"/>
        </w:rPr>
        <w:t xml:space="preserve">Despite the perceived benefits of peer feedback, several challenges were identified by teaching staff. A recurring issue was that younger pupils required significant guidance in providing useful feedback. Teachers noted that modelling peer feedback and allocating structured time for feedback discussions, were necessary to ensure its effectiveness. </w:t>
      </w:r>
      <w:r w:rsidR="00547CAD">
        <w:rPr>
          <w:rFonts w:ascii="Comic Sans MS" w:hAnsi="Comic Sans MS"/>
        </w:rPr>
        <w:t>Notably</w:t>
      </w:r>
      <w:r w:rsidRPr="2DC5591D">
        <w:rPr>
          <w:rFonts w:ascii="Comic Sans MS" w:hAnsi="Comic Sans MS"/>
        </w:rPr>
        <w:t xml:space="preserve">, this raises concerns about the extent to which peer feedback remains </w:t>
      </w:r>
      <w:r w:rsidR="006816ED">
        <w:rPr>
          <w:rFonts w:ascii="Comic Sans MS" w:hAnsi="Comic Sans MS"/>
        </w:rPr>
        <w:t>pupil</w:t>
      </w:r>
      <w:r w:rsidRPr="2DC5591D">
        <w:rPr>
          <w:rFonts w:ascii="Comic Sans MS" w:hAnsi="Comic Sans MS"/>
        </w:rPr>
        <w:t>-led, if too much scaffolding is required, pupils may struggle to engage in meaningful independent reflection</w:t>
      </w:r>
      <w:r w:rsidR="000C3362">
        <w:rPr>
          <w:rFonts w:ascii="Comic Sans MS" w:hAnsi="Comic Sans MS"/>
        </w:rPr>
        <w:t xml:space="preserve">, this can </w:t>
      </w:r>
      <w:r w:rsidR="00547CAD">
        <w:rPr>
          <w:rFonts w:ascii="Comic Sans MS" w:hAnsi="Comic Sans MS"/>
        </w:rPr>
        <w:t>therefore</w:t>
      </w:r>
      <w:r w:rsidR="000C3362">
        <w:rPr>
          <w:rFonts w:ascii="Comic Sans MS" w:hAnsi="Comic Sans MS"/>
        </w:rPr>
        <w:t xml:space="preserve"> be seen to support Vygotsky’s theory of </w:t>
      </w:r>
      <w:r w:rsidR="00106868">
        <w:rPr>
          <w:rFonts w:ascii="Comic Sans MS" w:hAnsi="Comic Sans MS"/>
        </w:rPr>
        <w:t xml:space="preserve">pupils requiring a More Knowledgeable Other (MKO) </w:t>
      </w:r>
      <w:r w:rsidR="007858BF">
        <w:rPr>
          <w:rFonts w:ascii="Comic Sans MS" w:hAnsi="Comic Sans MS"/>
        </w:rPr>
        <w:t>(cited by McLeod. 2025)</w:t>
      </w:r>
      <w:r w:rsidR="00547CAD">
        <w:rPr>
          <w:rFonts w:ascii="Comic Sans MS" w:hAnsi="Comic Sans MS"/>
        </w:rPr>
        <w:t>.</w:t>
      </w:r>
      <w:r w:rsidR="000E6B92">
        <w:rPr>
          <w:rFonts w:ascii="Comic Sans MS" w:hAnsi="Comic Sans MS"/>
        </w:rPr>
        <w:t xml:space="preserve"> </w:t>
      </w:r>
      <w:r w:rsidR="00547CAD">
        <w:rPr>
          <w:rFonts w:ascii="Comic Sans MS" w:hAnsi="Comic Sans MS"/>
        </w:rPr>
        <w:t>A</w:t>
      </w:r>
      <w:r w:rsidR="000E6B92">
        <w:rPr>
          <w:rFonts w:ascii="Comic Sans MS" w:hAnsi="Comic Sans MS"/>
        </w:rPr>
        <w:t>s well as observed to be used by Ron Berger</w:t>
      </w:r>
      <w:r w:rsidR="00950E7A">
        <w:rPr>
          <w:rFonts w:ascii="Comic Sans MS" w:hAnsi="Comic Sans MS"/>
        </w:rPr>
        <w:t>(</w:t>
      </w:r>
      <w:r w:rsidR="00CF48B7">
        <w:rPr>
          <w:rFonts w:ascii="Comic Sans MS" w:hAnsi="Comic Sans MS"/>
        </w:rPr>
        <w:t>EL Education</w:t>
      </w:r>
      <w:r w:rsidR="00950E7A">
        <w:rPr>
          <w:rFonts w:ascii="Comic Sans MS" w:hAnsi="Comic Sans MS"/>
        </w:rPr>
        <w:t>, 2016)</w:t>
      </w:r>
      <w:r w:rsidR="000E6B92">
        <w:rPr>
          <w:rFonts w:ascii="Comic Sans MS" w:hAnsi="Comic Sans MS"/>
        </w:rPr>
        <w:t xml:space="preserve"> in the video titled ‘Austin’s Butterfly’</w:t>
      </w:r>
      <w:r w:rsidR="00570ACE">
        <w:rPr>
          <w:rFonts w:ascii="Comic Sans MS" w:hAnsi="Comic Sans MS"/>
        </w:rPr>
        <w:t xml:space="preserve">, where he guides pupils feedback to focus on actionable aims. </w:t>
      </w:r>
      <w:r w:rsidR="001D1AC2">
        <w:br/>
      </w:r>
      <w:r w:rsidRPr="2DC5591D">
        <w:rPr>
          <w:rFonts w:ascii="Comic Sans MS" w:hAnsi="Comic Sans MS"/>
        </w:rPr>
        <w:t xml:space="preserve">Furthermore, the risk of miscommunication was highlighted in pupil interviews, with some pupils indicating that poorly worded, or overly critical feedback could lead to confusion rather than improvement. This is consistent with research on feedback literacy, which suggests that </w:t>
      </w:r>
      <w:r w:rsidR="006816ED">
        <w:rPr>
          <w:rFonts w:ascii="Comic Sans MS" w:hAnsi="Comic Sans MS"/>
        </w:rPr>
        <w:t>pupil</w:t>
      </w:r>
      <w:r w:rsidRPr="2DC5591D">
        <w:rPr>
          <w:rFonts w:ascii="Comic Sans MS" w:hAnsi="Comic Sans MS"/>
        </w:rPr>
        <w:t>s need to be explicitly taught how to provide and interpret constructive feedback (Carless &amp; Boud, 2018).</w:t>
      </w:r>
      <w:r w:rsidR="001D1AC2">
        <w:br/>
      </w:r>
      <w:r w:rsidRPr="2DC5591D">
        <w:rPr>
          <w:rFonts w:ascii="Comic Sans MS" w:hAnsi="Comic Sans MS"/>
        </w:rPr>
        <w:t>An unexpected finding was that pupils initially associated peer feedback with English lessons, rather than other subjects such as mathematics, or science. This may be due to the qualitative and iterative nature of writing, which lends itself more naturally towards revision and reflection (Boud &amp; Molloy, 2013). In contrast, subjects like mathematics tend to have right or wrong answers, which may limit opportunities to generate peer feedback and self-reflection.</w:t>
      </w:r>
    </w:p>
    <w:p w14:paraId="0EF5C1B5" w14:textId="45743458" w:rsidR="1A06140B" w:rsidRDefault="1A06140B" w:rsidP="1A06140B">
      <w:pPr>
        <w:rPr>
          <w:rFonts w:ascii="Comic Sans MS" w:hAnsi="Comic Sans MS"/>
        </w:rPr>
      </w:pPr>
      <w:r w:rsidRPr="1A06140B">
        <w:rPr>
          <w:rFonts w:ascii="Comic Sans MS" w:hAnsi="Comic Sans MS"/>
        </w:rPr>
        <w:t xml:space="preserve">The findings suggest that peer feedback fosters self-reflection in primary pupils, though its effectiveness depends on various factors. While some pupils engage with feedback, it remains unclear whether this reflects deep reflection, or surface-level changes. A strong preference for teacher feedback, concerns about reliability and the need for teacher support indicate that peer feedback alone may not develop independent, self-regulated pupils. This aligns with Estyn’s (2018) report on Ysgol </w:t>
      </w:r>
      <w:proofErr w:type="spellStart"/>
      <w:r w:rsidRPr="1A06140B">
        <w:rPr>
          <w:rFonts w:ascii="Comic Sans MS" w:hAnsi="Comic Sans MS"/>
        </w:rPr>
        <w:t>Plascrug</w:t>
      </w:r>
      <w:proofErr w:type="spellEnd"/>
      <w:r w:rsidRPr="1A06140B">
        <w:rPr>
          <w:rFonts w:ascii="Comic Sans MS" w:hAnsi="Comic Sans MS"/>
        </w:rPr>
        <w:t xml:space="preserve">, emphasising the impact of teacher feedback on thinking skills. Structured peer feedback training, self-assessment and a blended approach may enhance its benefits. Further research across </w:t>
      </w:r>
      <w:r w:rsidRPr="1A06140B">
        <w:rPr>
          <w:rFonts w:ascii="Comic Sans MS" w:hAnsi="Comic Sans MS"/>
        </w:rPr>
        <w:lastRenderedPageBreak/>
        <w:t xml:space="preserve">multiple schools is required to provide a broader perspective, as this study’s scope is limited to a single school. </w:t>
      </w:r>
      <w:r w:rsidR="00CC65E1">
        <w:rPr>
          <w:rFonts w:ascii="Comic Sans MS" w:hAnsi="Comic Sans MS"/>
        </w:rPr>
        <w:t>Notwithstanding</w:t>
      </w:r>
      <w:r w:rsidRPr="1A06140B">
        <w:rPr>
          <w:rFonts w:ascii="Comic Sans MS" w:hAnsi="Comic Sans MS"/>
        </w:rPr>
        <w:t xml:space="preserve">, findings tentatively suggest that peer feedback can be beneficial when effectively structured. </w:t>
      </w:r>
    </w:p>
    <w:p w14:paraId="0B98FD6D" w14:textId="77777777" w:rsidR="1A06140B" w:rsidRDefault="1A06140B" w:rsidP="1A06140B">
      <w:pPr>
        <w:rPr>
          <w:rFonts w:ascii="Comic Sans MS" w:hAnsi="Comic Sans MS"/>
        </w:rPr>
      </w:pPr>
    </w:p>
    <w:p w14:paraId="5EB32433" w14:textId="7AC2DA9A" w:rsidR="1A06140B" w:rsidRDefault="1A06140B" w:rsidP="1A06140B">
      <w:pPr>
        <w:rPr>
          <w:rFonts w:ascii="Comic Sans MS" w:hAnsi="Comic Sans MS"/>
        </w:rPr>
      </w:pPr>
    </w:p>
    <w:p w14:paraId="70B1C06B" w14:textId="77777777" w:rsidR="00C91890" w:rsidRPr="00C91890" w:rsidRDefault="00C91890" w:rsidP="00C91890">
      <w:pPr>
        <w:rPr>
          <w:rFonts w:ascii="Comic Sans MS" w:hAnsi="Comic Sans MS"/>
          <w:b/>
          <w:bCs/>
        </w:rPr>
      </w:pPr>
      <w:r w:rsidRPr="00C91890">
        <w:rPr>
          <w:rFonts w:ascii="Comic Sans MS" w:hAnsi="Comic Sans MS"/>
          <w:b/>
          <w:bCs/>
        </w:rPr>
        <w:t>References</w:t>
      </w:r>
    </w:p>
    <w:p w14:paraId="29373715" w14:textId="77777777" w:rsidR="005B27E4" w:rsidRPr="00C91890" w:rsidRDefault="005B27E4" w:rsidP="005B27E4">
      <w:pPr>
        <w:pStyle w:val="ListParagraph"/>
        <w:numPr>
          <w:ilvl w:val="0"/>
          <w:numId w:val="2"/>
        </w:numPr>
        <w:rPr>
          <w:rFonts w:ascii="Comic Sans MS" w:hAnsi="Comic Sans MS"/>
        </w:rPr>
      </w:pPr>
      <w:r w:rsidRPr="00C91890">
        <w:rPr>
          <w:rFonts w:ascii="Comic Sans MS" w:hAnsi="Comic Sans MS"/>
        </w:rPr>
        <w:t xml:space="preserve">Alderson, P. &amp; Morrow, V. (2011) </w:t>
      </w:r>
      <w:r w:rsidRPr="00C91890">
        <w:rPr>
          <w:rFonts w:ascii="Comic Sans MS" w:hAnsi="Comic Sans MS"/>
          <w:i/>
          <w:iCs/>
        </w:rPr>
        <w:t xml:space="preserve">The Ethics of Research with children and Young People- A Practical Handbook.’ </w:t>
      </w:r>
      <w:r w:rsidRPr="00C91890">
        <w:rPr>
          <w:rFonts w:ascii="Comic Sans MS" w:hAnsi="Comic Sans MS"/>
        </w:rPr>
        <w:t>London: SAGE Publications.</w:t>
      </w:r>
    </w:p>
    <w:p w14:paraId="6E2FC387" w14:textId="763B4B15" w:rsidR="00C91890" w:rsidRPr="00C91890" w:rsidRDefault="00C91890" w:rsidP="00C91890">
      <w:pPr>
        <w:pStyle w:val="ListParagraph"/>
        <w:numPr>
          <w:ilvl w:val="0"/>
          <w:numId w:val="2"/>
        </w:numPr>
        <w:rPr>
          <w:rFonts w:ascii="Comic Sans MS" w:hAnsi="Comic Sans MS"/>
        </w:rPr>
      </w:pPr>
      <w:r w:rsidRPr="00C91890">
        <w:rPr>
          <w:rFonts w:ascii="Comic Sans MS" w:hAnsi="Comic Sans MS"/>
        </w:rPr>
        <w:t>Anker-Hansen, J. and Andrée, M. (2019) ‘Using and rejecting peer feedback in the science classroom: a study of students’ negotiations on how to use peer feedback when designing experiments’, </w:t>
      </w:r>
      <w:r w:rsidRPr="00C91890">
        <w:rPr>
          <w:rFonts w:ascii="Comic Sans MS" w:hAnsi="Comic Sans MS"/>
          <w:i/>
          <w:iCs/>
        </w:rPr>
        <w:t>Research in Science &amp; Technological Education</w:t>
      </w:r>
      <w:r w:rsidRPr="00C91890">
        <w:rPr>
          <w:rFonts w:ascii="Comic Sans MS" w:hAnsi="Comic Sans MS"/>
        </w:rPr>
        <w:t xml:space="preserve">, 37(3), pp. 346–365. </w:t>
      </w:r>
      <w:proofErr w:type="spellStart"/>
      <w:r w:rsidRPr="00C91890">
        <w:rPr>
          <w:rFonts w:ascii="Comic Sans MS" w:hAnsi="Comic Sans MS"/>
        </w:rPr>
        <w:t>doi</w:t>
      </w:r>
      <w:proofErr w:type="spellEnd"/>
      <w:r w:rsidRPr="00C91890">
        <w:rPr>
          <w:rFonts w:ascii="Comic Sans MS" w:hAnsi="Comic Sans MS"/>
        </w:rPr>
        <w:t xml:space="preserve">: 10.1080/02635143.2018.1557628. Available at: </w:t>
      </w:r>
      <w:hyperlink r:id="rId8" w:history="1">
        <w:r w:rsidRPr="00C91890">
          <w:rPr>
            <w:rStyle w:val="Hyperlink"/>
            <w:rFonts w:ascii="Comic Sans MS" w:hAnsi="Comic Sans MS"/>
          </w:rPr>
          <w:t>https://www.tandfonline.com/doi/full/10.1080/02635143.2018.1557628</w:t>
        </w:r>
      </w:hyperlink>
      <w:r w:rsidR="00C91F22">
        <w:rPr>
          <w:rFonts w:ascii="Comic Sans MS" w:hAnsi="Comic Sans MS"/>
        </w:rPr>
        <w:t xml:space="preserve"> Accessed on: 28/03/2025</w:t>
      </w:r>
    </w:p>
    <w:p w14:paraId="38989BCE" w14:textId="77777777" w:rsidR="00780401" w:rsidRPr="00C91890" w:rsidRDefault="00780401" w:rsidP="00780401">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Bell, J., Waters, S., &amp; Johnson, H. (2024). </w:t>
      </w:r>
      <w:r w:rsidRPr="00C91890">
        <w:rPr>
          <w:rFonts w:ascii="Comic Sans MS" w:eastAsia="Times New Roman" w:hAnsi="Comic Sans MS" w:cs="Times New Roman"/>
          <w:i/>
          <w:iCs/>
          <w:kern w:val="0"/>
          <w:lang w:eastAsia="en-GB"/>
          <w14:ligatures w14:val="none"/>
        </w:rPr>
        <w:t>Doing your research project</w:t>
      </w:r>
      <w:r w:rsidRPr="00C91890">
        <w:rPr>
          <w:rFonts w:ascii="Times New Roman" w:eastAsia="Times New Roman" w:hAnsi="Times New Roman" w:cs="Times New Roman"/>
          <w:i/>
          <w:iCs/>
          <w:kern w:val="0"/>
          <w:lang w:eastAsia="en-GB"/>
          <w14:ligatures w14:val="none"/>
        </w:rPr>
        <w:t> </w:t>
      </w:r>
      <w:r w:rsidRPr="00C91890">
        <w:rPr>
          <w:rFonts w:ascii="Comic Sans MS" w:eastAsia="Times New Roman" w:hAnsi="Comic Sans MS" w:cs="Times New Roman"/>
          <w:i/>
          <w:iCs/>
          <w:kern w:val="0"/>
          <w:lang w:eastAsia="en-GB"/>
          <w14:ligatures w14:val="none"/>
        </w:rPr>
        <w:t>: a guide for first-time researchers</w:t>
      </w:r>
      <w:r w:rsidRPr="00C91890">
        <w:rPr>
          <w:rFonts w:ascii="Comic Sans MS" w:eastAsia="Times New Roman" w:hAnsi="Comic Sans MS" w:cs="Times New Roman"/>
          <w:kern w:val="0"/>
          <w:lang w:eastAsia="en-GB"/>
          <w14:ligatures w14:val="none"/>
        </w:rPr>
        <w:t xml:space="preserve"> (Eighth edition.). Open University Press/McGraw Hill.</w:t>
      </w:r>
    </w:p>
    <w:p w14:paraId="34B13A76" w14:textId="77777777" w:rsidR="00780401" w:rsidRPr="00C91890" w:rsidRDefault="00780401" w:rsidP="00780401">
      <w:pPr>
        <w:pStyle w:val="ListParagraph"/>
        <w:numPr>
          <w:ilvl w:val="0"/>
          <w:numId w:val="2"/>
        </w:numPr>
        <w:rPr>
          <w:rFonts w:ascii="Comic Sans MS" w:hAnsi="Comic Sans MS"/>
        </w:rPr>
      </w:pPr>
      <w:r w:rsidRPr="00C91890">
        <w:rPr>
          <w:rFonts w:ascii="Comic Sans MS" w:hAnsi="Comic Sans MS"/>
        </w:rPr>
        <w:t xml:space="preserve">BERA (2024) ‘Ethical Guidelines for Educational Research, fifth edition.’ Available at: </w:t>
      </w:r>
      <w:hyperlink r:id="rId9" w:history="1">
        <w:r w:rsidRPr="00C91890">
          <w:rPr>
            <w:rStyle w:val="Hyperlink"/>
            <w:rFonts w:ascii="Comic Sans MS" w:hAnsi="Comic Sans MS"/>
          </w:rPr>
          <w:t>https://www.bera.ac.uk/publication/ethical-guidelines-for-educational-research-fifth-edition-2024-online</w:t>
        </w:r>
      </w:hyperlink>
      <w:r w:rsidRPr="00C91890">
        <w:rPr>
          <w:rFonts w:ascii="Comic Sans MS" w:hAnsi="Comic Sans MS"/>
        </w:rPr>
        <w:t xml:space="preserve"> Accessed on: 27/03/2025</w:t>
      </w:r>
    </w:p>
    <w:p w14:paraId="7BEC20FF" w14:textId="77777777" w:rsidR="00750F4E" w:rsidRPr="00C91890" w:rsidRDefault="00750F4E" w:rsidP="00750F4E">
      <w:pPr>
        <w:pStyle w:val="ListParagraph"/>
        <w:numPr>
          <w:ilvl w:val="0"/>
          <w:numId w:val="2"/>
        </w:numPr>
        <w:rPr>
          <w:rFonts w:ascii="Comic Sans MS" w:hAnsi="Comic Sans MS"/>
        </w:rPr>
      </w:pPr>
      <w:r w:rsidRPr="00C91890">
        <w:rPr>
          <w:rFonts w:ascii="Comic Sans MS" w:hAnsi="Comic Sans MS"/>
        </w:rPr>
        <w:t xml:space="preserve">Black, P., &amp; Wiliam, D. (1998). Assessment and Classroom Learning. </w:t>
      </w:r>
      <w:r w:rsidRPr="00C91890">
        <w:rPr>
          <w:rFonts w:ascii="Comic Sans MS" w:hAnsi="Comic Sans MS"/>
          <w:i/>
          <w:iCs/>
        </w:rPr>
        <w:t>Assessment in Education</w:t>
      </w:r>
      <w:r w:rsidRPr="00C91890">
        <w:rPr>
          <w:rFonts w:ascii="Times New Roman" w:hAnsi="Times New Roman" w:cs="Times New Roman"/>
          <w:i/>
          <w:iCs/>
        </w:rPr>
        <w:t> </w:t>
      </w:r>
      <w:r w:rsidRPr="00C91890">
        <w:rPr>
          <w:rFonts w:ascii="Comic Sans MS" w:hAnsi="Comic Sans MS"/>
          <w:i/>
          <w:iCs/>
        </w:rPr>
        <w:t>: Principles, Policy &amp; Practice</w:t>
      </w:r>
      <w:r w:rsidRPr="00C91890">
        <w:rPr>
          <w:rFonts w:ascii="Comic Sans MS" w:hAnsi="Comic Sans MS"/>
        </w:rPr>
        <w:t xml:space="preserve">, </w:t>
      </w:r>
      <w:r w:rsidRPr="00C91890">
        <w:rPr>
          <w:rFonts w:ascii="Comic Sans MS" w:hAnsi="Comic Sans MS"/>
          <w:i/>
          <w:iCs/>
        </w:rPr>
        <w:t>5</w:t>
      </w:r>
      <w:r w:rsidRPr="00C91890">
        <w:rPr>
          <w:rFonts w:ascii="Comic Sans MS" w:hAnsi="Comic Sans MS"/>
        </w:rPr>
        <w:t xml:space="preserve">(1), 7–74. </w:t>
      </w:r>
      <w:hyperlink r:id="rId10" w:history="1">
        <w:r w:rsidRPr="0083399F">
          <w:rPr>
            <w:rStyle w:val="Hyperlink"/>
            <w:rFonts w:ascii="Comic Sans MS" w:hAnsi="Comic Sans MS"/>
          </w:rPr>
          <w:t>https://doi.org/10.1080/0969595980050102</w:t>
        </w:r>
      </w:hyperlink>
      <w:r>
        <w:rPr>
          <w:rFonts w:ascii="Comic Sans MS" w:hAnsi="Comic Sans MS"/>
        </w:rPr>
        <w:t xml:space="preserve"> Accessed on: 28/03/2025</w:t>
      </w:r>
    </w:p>
    <w:p w14:paraId="43933969"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rPr>
        <w:t xml:space="preserve">Black, P.J &amp; Wiliam, D. (2010) </w:t>
      </w:r>
      <w:r w:rsidRPr="00C91890">
        <w:rPr>
          <w:rFonts w:ascii="Comic Sans MS" w:hAnsi="Comic Sans MS"/>
          <w:i/>
          <w:iCs/>
        </w:rPr>
        <w:t xml:space="preserve">‘Inside the Black Box Raising Standards Through Classroom Assessment.’ </w:t>
      </w:r>
      <w:r w:rsidRPr="00C91890">
        <w:rPr>
          <w:rFonts w:ascii="Comic Sans MS" w:hAnsi="Comic Sans MS"/>
        </w:rPr>
        <w:t xml:space="preserve">Available at: </w:t>
      </w:r>
      <w:hyperlink r:id="rId11" w:history="1">
        <w:r w:rsidRPr="00C91890">
          <w:rPr>
            <w:rStyle w:val="Hyperlink"/>
            <w:rFonts w:ascii="Comic Sans MS" w:hAnsi="Comic Sans MS"/>
          </w:rPr>
          <w:t>https://www.researchgate.net/publication/44836144_Inside_the_Black_Box_Raising_Standards_Through_Classroom_Assessment</w:t>
        </w:r>
      </w:hyperlink>
      <w:r w:rsidRPr="00C91890">
        <w:rPr>
          <w:rFonts w:ascii="Comic Sans MS" w:hAnsi="Comic Sans MS"/>
        </w:rPr>
        <w:t xml:space="preserve"> Accessed on: 01/04/2025</w:t>
      </w:r>
    </w:p>
    <w:p w14:paraId="0E1C8A27" w14:textId="77777777" w:rsidR="00780401" w:rsidRPr="00C91890" w:rsidRDefault="00780401" w:rsidP="00780401">
      <w:pPr>
        <w:pStyle w:val="ListParagraph"/>
        <w:numPr>
          <w:ilvl w:val="0"/>
          <w:numId w:val="2"/>
        </w:numPr>
        <w:rPr>
          <w:rFonts w:ascii="Comic Sans MS" w:hAnsi="Comic Sans MS"/>
        </w:rPr>
      </w:pPr>
      <w:r w:rsidRPr="00C91890">
        <w:rPr>
          <w:rFonts w:ascii="Comic Sans MS" w:hAnsi="Comic Sans MS"/>
        </w:rPr>
        <w:t xml:space="preserve">Blackburn, S. (2001) </w:t>
      </w:r>
      <w:r w:rsidRPr="00C91890">
        <w:rPr>
          <w:rFonts w:ascii="Comic Sans MS" w:hAnsi="Comic Sans MS"/>
          <w:i/>
          <w:iCs/>
        </w:rPr>
        <w:t>Ethics: A very short introduction.</w:t>
      </w:r>
      <w:r w:rsidRPr="00C91890">
        <w:rPr>
          <w:rFonts w:ascii="Comic Sans MS" w:hAnsi="Comic Sans MS"/>
        </w:rPr>
        <w:t xml:space="preserve"> Oxford: Oxford University Press.</w:t>
      </w:r>
    </w:p>
    <w:p w14:paraId="40C4220B" w14:textId="77777777" w:rsidR="005B27E4" w:rsidRPr="00C91890" w:rsidRDefault="005B27E4" w:rsidP="005B27E4">
      <w:pPr>
        <w:pStyle w:val="ListParagraph"/>
        <w:numPr>
          <w:ilvl w:val="0"/>
          <w:numId w:val="2"/>
        </w:numPr>
        <w:rPr>
          <w:rFonts w:ascii="Comic Sans MS" w:hAnsi="Comic Sans MS"/>
        </w:rPr>
      </w:pPr>
      <w:r w:rsidRPr="00C91890">
        <w:rPr>
          <w:rFonts w:ascii="Comic Sans MS" w:hAnsi="Comic Sans MS"/>
        </w:rPr>
        <w:t xml:space="preserve">Boud, D. &amp; Molloy, E. (2013) </w:t>
      </w:r>
      <w:r w:rsidRPr="00C91890">
        <w:rPr>
          <w:rFonts w:ascii="Comic Sans MS" w:hAnsi="Comic Sans MS"/>
          <w:i/>
          <w:iCs/>
        </w:rPr>
        <w:t xml:space="preserve">‘Feedback in higher and professional education: Understanding it and doing it well.’ </w:t>
      </w:r>
      <w:r w:rsidRPr="00C91890">
        <w:rPr>
          <w:rFonts w:ascii="Comic Sans MS" w:hAnsi="Comic Sans MS"/>
        </w:rPr>
        <w:t>Abingdon: Routledge</w:t>
      </w:r>
    </w:p>
    <w:p w14:paraId="736153FD" w14:textId="77777777" w:rsidR="00750F4E" w:rsidRPr="00C91890" w:rsidRDefault="00750F4E" w:rsidP="00750F4E">
      <w:pPr>
        <w:pStyle w:val="ListParagraph"/>
        <w:numPr>
          <w:ilvl w:val="0"/>
          <w:numId w:val="2"/>
        </w:numPr>
        <w:rPr>
          <w:rFonts w:ascii="Comic Sans MS" w:hAnsi="Comic Sans MS"/>
        </w:rPr>
      </w:pPr>
      <w:r w:rsidRPr="00C91890">
        <w:rPr>
          <w:rFonts w:ascii="Comic Sans MS" w:hAnsi="Comic Sans MS"/>
        </w:rPr>
        <w:lastRenderedPageBreak/>
        <w:t xml:space="preserve">Bryman, A. (2016) </w:t>
      </w:r>
      <w:r w:rsidRPr="00C91890">
        <w:rPr>
          <w:rFonts w:ascii="Comic Sans MS" w:hAnsi="Comic Sans MS"/>
          <w:i/>
          <w:iCs/>
        </w:rPr>
        <w:t>Social research methods.</w:t>
      </w:r>
      <w:r w:rsidRPr="00C91890">
        <w:rPr>
          <w:rFonts w:ascii="Comic Sans MS" w:hAnsi="Comic Sans MS"/>
        </w:rPr>
        <w:t xml:space="preserve"> 5th </w:t>
      </w:r>
      <w:proofErr w:type="spellStart"/>
      <w:r w:rsidRPr="00C91890">
        <w:rPr>
          <w:rFonts w:ascii="Comic Sans MS" w:hAnsi="Comic Sans MS"/>
        </w:rPr>
        <w:t>edn</w:t>
      </w:r>
      <w:proofErr w:type="spellEnd"/>
      <w:r w:rsidRPr="00C91890">
        <w:rPr>
          <w:rFonts w:ascii="Comic Sans MS" w:hAnsi="Comic Sans MS"/>
        </w:rPr>
        <w:t>. Oxford: Oxford University Press.</w:t>
      </w:r>
    </w:p>
    <w:p w14:paraId="2DB87F9D" w14:textId="77777777" w:rsidR="005B27E4" w:rsidRPr="00C91890" w:rsidRDefault="005B27E4" w:rsidP="005B27E4">
      <w:pPr>
        <w:pStyle w:val="ListParagraph"/>
        <w:numPr>
          <w:ilvl w:val="0"/>
          <w:numId w:val="2"/>
        </w:numPr>
        <w:rPr>
          <w:rFonts w:ascii="Comic Sans MS" w:hAnsi="Comic Sans MS"/>
        </w:rPr>
      </w:pPr>
      <w:r w:rsidRPr="00C91890">
        <w:rPr>
          <w:rFonts w:ascii="Comic Sans MS" w:hAnsi="Comic Sans MS"/>
        </w:rPr>
        <w:t xml:space="preserve">Carless, D. &amp; Boud, D. (2018) </w:t>
      </w:r>
      <w:r w:rsidRPr="00C91890">
        <w:rPr>
          <w:rFonts w:ascii="Comic Sans MS" w:hAnsi="Comic Sans MS"/>
          <w:i/>
          <w:iCs/>
        </w:rPr>
        <w:t xml:space="preserve">‘The development of student feedback literacy: Enabling uptake of feedback.’ </w:t>
      </w:r>
      <w:r w:rsidRPr="00C91890">
        <w:rPr>
          <w:rFonts w:ascii="Comic Sans MS" w:hAnsi="Comic Sans MS"/>
        </w:rPr>
        <w:t xml:space="preserve">Assessment &amp; Evaluation in Higher Education, 43(8), pp.1315-1325. Available at: </w:t>
      </w:r>
      <w:hyperlink r:id="rId12" w:history="1">
        <w:r w:rsidRPr="00C91890">
          <w:rPr>
            <w:rStyle w:val="Hyperlink"/>
            <w:rFonts w:ascii="Comic Sans MS" w:hAnsi="Comic Sans MS"/>
          </w:rPr>
          <w:t>https://doi.org/10.1080/02602938.2018.1463354</w:t>
        </w:r>
      </w:hyperlink>
      <w:r w:rsidRPr="00C91890">
        <w:rPr>
          <w:rFonts w:ascii="Comic Sans MS" w:hAnsi="Comic Sans MS"/>
        </w:rPr>
        <w:t xml:space="preserve"> Accessed on: 01/04/2025</w:t>
      </w:r>
    </w:p>
    <w:p w14:paraId="7E91FF74" w14:textId="77777777" w:rsidR="00186C02" w:rsidRDefault="00186C02" w:rsidP="00186C02">
      <w:pPr>
        <w:pStyle w:val="ListParagraph"/>
        <w:numPr>
          <w:ilvl w:val="0"/>
          <w:numId w:val="2"/>
        </w:numPr>
        <w:rPr>
          <w:rFonts w:ascii="Comic Sans MS" w:hAnsi="Comic Sans MS"/>
        </w:rPr>
      </w:pPr>
      <w:r w:rsidRPr="00C91890">
        <w:rPr>
          <w:rFonts w:ascii="Comic Sans MS" w:hAnsi="Comic Sans MS"/>
        </w:rPr>
        <w:t xml:space="preserve">Chaudhary, S. (2025) </w:t>
      </w:r>
      <w:r w:rsidRPr="00C91890">
        <w:rPr>
          <w:rFonts w:ascii="Comic Sans MS" w:hAnsi="Comic Sans MS"/>
          <w:i/>
          <w:iCs/>
        </w:rPr>
        <w:t xml:space="preserve">‘Social Learning Theory by Albert Bandura.’ </w:t>
      </w:r>
      <w:r w:rsidRPr="00C91890">
        <w:rPr>
          <w:rFonts w:ascii="Comic Sans MS" w:hAnsi="Comic Sans MS"/>
        </w:rPr>
        <w:t xml:space="preserve">Available at: </w:t>
      </w:r>
      <w:hyperlink r:id="rId13" w:history="1">
        <w:r w:rsidRPr="00C91890">
          <w:rPr>
            <w:rStyle w:val="Hyperlink"/>
            <w:rFonts w:ascii="Comic Sans MS" w:hAnsi="Comic Sans MS"/>
          </w:rPr>
          <w:t>https://www.psychologs.com/social-learning-theory-by-albert-bandura/</w:t>
        </w:r>
      </w:hyperlink>
      <w:r w:rsidRPr="00C91890">
        <w:rPr>
          <w:rFonts w:ascii="Comic Sans MS" w:hAnsi="Comic Sans MS"/>
        </w:rPr>
        <w:t xml:space="preserve"> Accessed on: 01/04/2025.</w:t>
      </w:r>
    </w:p>
    <w:p w14:paraId="2899390D" w14:textId="77777777" w:rsidR="00750F4E" w:rsidRPr="00C91890" w:rsidRDefault="00750F4E" w:rsidP="00750F4E">
      <w:pPr>
        <w:pStyle w:val="ListParagraph"/>
        <w:numPr>
          <w:ilvl w:val="0"/>
          <w:numId w:val="2"/>
        </w:numPr>
        <w:rPr>
          <w:rFonts w:ascii="Comic Sans MS" w:hAnsi="Comic Sans MS"/>
        </w:rPr>
      </w:pPr>
      <w:r w:rsidRPr="00C91890">
        <w:rPr>
          <w:rFonts w:ascii="Comic Sans MS" w:hAnsi="Comic Sans MS"/>
        </w:rPr>
        <w:t xml:space="preserve">Cohen, L., Manion, L. and Morrison, K. (2018) </w:t>
      </w:r>
      <w:r w:rsidRPr="00C91890">
        <w:rPr>
          <w:rFonts w:ascii="Comic Sans MS" w:hAnsi="Comic Sans MS"/>
          <w:i/>
          <w:iCs/>
        </w:rPr>
        <w:t>Research methods in education.</w:t>
      </w:r>
      <w:r w:rsidRPr="00C91890">
        <w:rPr>
          <w:rFonts w:ascii="Comic Sans MS" w:hAnsi="Comic Sans MS"/>
        </w:rPr>
        <w:t xml:space="preserve"> 8th </w:t>
      </w:r>
      <w:proofErr w:type="spellStart"/>
      <w:r w:rsidRPr="00C91890">
        <w:rPr>
          <w:rFonts w:ascii="Comic Sans MS" w:hAnsi="Comic Sans MS"/>
        </w:rPr>
        <w:t>edn</w:t>
      </w:r>
      <w:proofErr w:type="spellEnd"/>
      <w:r w:rsidRPr="00C91890">
        <w:rPr>
          <w:rFonts w:ascii="Comic Sans MS" w:hAnsi="Comic Sans MS"/>
        </w:rPr>
        <w:t>. London: Routledge.</w:t>
      </w:r>
    </w:p>
    <w:p w14:paraId="3960DE1F" w14:textId="77777777" w:rsidR="00957E82" w:rsidRDefault="00957E82" w:rsidP="00957E82">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hAnsi="Comic Sans MS"/>
        </w:rPr>
        <w:t xml:space="preserve">Creswell, J.W. (2014) </w:t>
      </w:r>
      <w:r w:rsidRPr="00C91890">
        <w:rPr>
          <w:rFonts w:ascii="Comic Sans MS" w:hAnsi="Comic Sans MS"/>
          <w:i/>
          <w:iCs/>
        </w:rPr>
        <w:t>Research design: Qualitative, quantitative, and mixed methods approaches.</w:t>
      </w:r>
      <w:r w:rsidRPr="00C91890">
        <w:rPr>
          <w:rFonts w:ascii="Comic Sans MS" w:hAnsi="Comic Sans MS"/>
        </w:rPr>
        <w:t xml:space="preserve"> 4th </w:t>
      </w:r>
      <w:proofErr w:type="spellStart"/>
      <w:r w:rsidRPr="00C91890">
        <w:rPr>
          <w:rFonts w:ascii="Comic Sans MS" w:hAnsi="Comic Sans MS"/>
        </w:rPr>
        <w:t>edn</w:t>
      </w:r>
      <w:proofErr w:type="spellEnd"/>
      <w:r w:rsidRPr="00C91890">
        <w:rPr>
          <w:rFonts w:ascii="Comic Sans MS" w:hAnsi="Comic Sans MS"/>
        </w:rPr>
        <w:t>. Thousand Oaks, CA: SAGE Publications.</w:t>
      </w:r>
      <w:r w:rsidRPr="00957E82">
        <w:rPr>
          <w:rFonts w:ascii="Comic Sans MS" w:eastAsia="Times New Roman" w:hAnsi="Comic Sans MS" w:cs="Times New Roman"/>
          <w:kern w:val="0"/>
          <w:lang w:eastAsia="en-GB"/>
          <w14:ligatures w14:val="none"/>
        </w:rPr>
        <w:t xml:space="preserve"> </w:t>
      </w:r>
    </w:p>
    <w:p w14:paraId="2B753190" w14:textId="77777777" w:rsidR="00750F4E" w:rsidRPr="00C91890" w:rsidRDefault="00750F4E" w:rsidP="00750F4E">
      <w:pPr>
        <w:numPr>
          <w:ilvl w:val="0"/>
          <w:numId w:val="2"/>
        </w:numPr>
        <w:spacing w:before="100" w:beforeAutospacing="1" w:after="100" w:afterAutospacing="1"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Denscombe, M. (2021) </w:t>
      </w:r>
      <w:r w:rsidRPr="00C91890">
        <w:rPr>
          <w:rFonts w:ascii="Comic Sans MS" w:eastAsia="Times New Roman" w:hAnsi="Comic Sans MS" w:cs="Times New Roman"/>
          <w:i/>
          <w:iCs/>
          <w:kern w:val="0"/>
          <w:lang w:eastAsia="en-GB"/>
          <w14:ligatures w14:val="none"/>
        </w:rPr>
        <w:t>The good research guide: Research methods for small-scale social research projects.</w:t>
      </w:r>
      <w:r w:rsidRPr="00C91890">
        <w:rPr>
          <w:rFonts w:ascii="Comic Sans MS" w:eastAsia="Times New Roman" w:hAnsi="Comic Sans MS" w:cs="Times New Roman"/>
          <w:kern w:val="0"/>
          <w:lang w:eastAsia="en-GB"/>
          <w14:ligatures w14:val="none"/>
        </w:rPr>
        <w:t xml:space="preserve"> 7th </w:t>
      </w:r>
      <w:proofErr w:type="spellStart"/>
      <w:r w:rsidRPr="00C91890">
        <w:rPr>
          <w:rFonts w:ascii="Comic Sans MS" w:eastAsia="Times New Roman" w:hAnsi="Comic Sans MS" w:cs="Times New Roman"/>
          <w:kern w:val="0"/>
          <w:lang w:eastAsia="en-GB"/>
          <w14:ligatures w14:val="none"/>
        </w:rPr>
        <w:t>edn</w:t>
      </w:r>
      <w:proofErr w:type="spellEnd"/>
      <w:r w:rsidRPr="00C91890">
        <w:rPr>
          <w:rFonts w:ascii="Comic Sans MS" w:eastAsia="Times New Roman" w:hAnsi="Comic Sans MS" w:cs="Times New Roman"/>
          <w:kern w:val="0"/>
          <w:lang w:eastAsia="en-GB"/>
          <w14:ligatures w14:val="none"/>
        </w:rPr>
        <w:t>. London: Open University Press.</w:t>
      </w:r>
    </w:p>
    <w:p w14:paraId="4481275C" w14:textId="77777777" w:rsidR="00186C02" w:rsidRDefault="00186C02" w:rsidP="00186C02">
      <w:pPr>
        <w:pStyle w:val="ListParagraph"/>
        <w:numPr>
          <w:ilvl w:val="0"/>
          <w:numId w:val="2"/>
        </w:numPr>
        <w:rPr>
          <w:rFonts w:ascii="Comic Sans MS" w:hAnsi="Comic Sans MS"/>
        </w:rPr>
      </w:pPr>
      <w:r>
        <w:rPr>
          <w:rFonts w:ascii="Comic Sans MS" w:hAnsi="Comic Sans MS"/>
        </w:rPr>
        <w:t xml:space="preserve">Education Endowment Foundation. (2025) </w:t>
      </w:r>
      <w:r>
        <w:rPr>
          <w:rFonts w:ascii="Comic Sans MS" w:hAnsi="Comic Sans MS"/>
          <w:i/>
          <w:iCs/>
        </w:rPr>
        <w:t xml:space="preserve">‘Feedback’.’ </w:t>
      </w:r>
      <w:r>
        <w:rPr>
          <w:rFonts w:ascii="Comic Sans MS" w:hAnsi="Comic Sans MS"/>
        </w:rPr>
        <w:t xml:space="preserve">Available at: </w:t>
      </w:r>
      <w:hyperlink r:id="rId14" w:history="1">
        <w:r>
          <w:rPr>
            <w:rStyle w:val="Hyperlink"/>
            <w:rFonts w:ascii="Comic Sans MS" w:hAnsi="Comic Sans MS"/>
          </w:rPr>
          <w:t>https://educationendowmentfoundation.org.uk/education-evidence/teaching-learning-toolkit/feedback</w:t>
        </w:r>
      </w:hyperlink>
      <w:r>
        <w:rPr>
          <w:rFonts w:ascii="Comic Sans MS" w:hAnsi="Comic Sans MS"/>
        </w:rPr>
        <w:t xml:space="preserve"> Accessed on: 04/04/22025</w:t>
      </w:r>
    </w:p>
    <w:p w14:paraId="1582BD85" w14:textId="08DF32A8" w:rsidR="00957E82" w:rsidRPr="00957E82" w:rsidRDefault="00957E82" w:rsidP="00957E82">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Eisner, E. W. (1972). Handbook on Formative and Summative Evaluation of Student Learning [Review of </w:t>
      </w:r>
      <w:r w:rsidRPr="00C91890">
        <w:rPr>
          <w:rFonts w:ascii="Comic Sans MS" w:eastAsia="Times New Roman" w:hAnsi="Comic Sans MS" w:cs="Times New Roman"/>
          <w:i/>
          <w:iCs/>
          <w:kern w:val="0"/>
          <w:lang w:eastAsia="en-GB"/>
          <w14:ligatures w14:val="none"/>
        </w:rPr>
        <w:t>Handbook on Formative and Summative Evaluation of Student Learning</w:t>
      </w:r>
      <w:r w:rsidRPr="00C91890">
        <w:rPr>
          <w:rFonts w:ascii="Comic Sans MS" w:eastAsia="Times New Roman" w:hAnsi="Comic Sans MS" w:cs="Times New Roman"/>
          <w:kern w:val="0"/>
          <w:lang w:eastAsia="en-GB"/>
          <w14:ligatures w14:val="none"/>
        </w:rPr>
        <w:t xml:space="preserve">]. </w:t>
      </w:r>
      <w:r w:rsidRPr="00C91890">
        <w:rPr>
          <w:rFonts w:ascii="Comic Sans MS" w:eastAsia="Times New Roman" w:hAnsi="Comic Sans MS" w:cs="Times New Roman"/>
          <w:i/>
          <w:iCs/>
          <w:kern w:val="0"/>
          <w:lang w:eastAsia="en-GB"/>
          <w14:ligatures w14:val="none"/>
        </w:rPr>
        <w:t>Studies in Art Education</w:t>
      </w:r>
      <w:r w:rsidRPr="00C91890">
        <w:rPr>
          <w:rFonts w:ascii="Comic Sans MS" w:eastAsia="Times New Roman" w:hAnsi="Comic Sans MS" w:cs="Times New Roman"/>
          <w:kern w:val="0"/>
          <w:lang w:eastAsia="en-GB"/>
          <w14:ligatures w14:val="none"/>
        </w:rPr>
        <w:t xml:space="preserve">, </w:t>
      </w:r>
      <w:r w:rsidRPr="00C91890">
        <w:rPr>
          <w:rFonts w:ascii="Comic Sans MS" w:eastAsia="Times New Roman" w:hAnsi="Comic Sans MS" w:cs="Times New Roman"/>
          <w:i/>
          <w:iCs/>
          <w:kern w:val="0"/>
          <w:lang w:eastAsia="en-GB"/>
          <w14:ligatures w14:val="none"/>
        </w:rPr>
        <w:t>14</w:t>
      </w:r>
      <w:r w:rsidRPr="00C91890">
        <w:rPr>
          <w:rFonts w:ascii="Comic Sans MS" w:eastAsia="Times New Roman" w:hAnsi="Comic Sans MS" w:cs="Times New Roman"/>
          <w:kern w:val="0"/>
          <w:lang w:eastAsia="en-GB"/>
          <w14:ligatures w14:val="none"/>
        </w:rPr>
        <w:t xml:space="preserve">(1), 68–72. National Art Education Association. </w:t>
      </w:r>
      <w:hyperlink r:id="rId15" w:history="1">
        <w:r w:rsidRPr="00EB3987">
          <w:rPr>
            <w:rStyle w:val="Hyperlink"/>
            <w:rFonts w:ascii="Comic Sans MS" w:eastAsia="Times New Roman" w:hAnsi="Comic Sans MS" w:cs="Times New Roman"/>
            <w:kern w:val="0"/>
            <w:lang w:eastAsia="en-GB"/>
            <w14:ligatures w14:val="none"/>
          </w:rPr>
          <w:t>https://doi.org/10.2307/1319918</w:t>
        </w:r>
      </w:hyperlink>
      <w:r>
        <w:rPr>
          <w:rFonts w:ascii="Comic Sans MS" w:eastAsia="Times New Roman" w:hAnsi="Comic Sans MS" w:cs="Times New Roman"/>
          <w:kern w:val="0"/>
          <w:lang w:eastAsia="en-GB"/>
          <w14:ligatures w14:val="none"/>
        </w:rPr>
        <w:t xml:space="preserve"> </w:t>
      </w:r>
    </w:p>
    <w:p w14:paraId="075EBDE8" w14:textId="77777777" w:rsidR="00186C02" w:rsidRPr="007200F5" w:rsidRDefault="00186C02" w:rsidP="00186C02">
      <w:pPr>
        <w:pStyle w:val="ListParagraph"/>
        <w:numPr>
          <w:ilvl w:val="0"/>
          <w:numId w:val="2"/>
        </w:numPr>
        <w:rPr>
          <w:rFonts w:ascii="Comic Sans MS" w:hAnsi="Comic Sans MS"/>
        </w:rPr>
      </w:pPr>
      <w:r>
        <w:rPr>
          <w:rFonts w:ascii="Comic Sans MS" w:hAnsi="Comic Sans MS"/>
        </w:rPr>
        <w:t xml:space="preserve">EL Education. </w:t>
      </w:r>
      <w:r w:rsidRPr="007200F5">
        <w:rPr>
          <w:rFonts w:ascii="Comic Sans MS" w:hAnsi="Comic Sans MS"/>
        </w:rPr>
        <w:t xml:space="preserve">(2016) </w:t>
      </w:r>
      <w:r w:rsidRPr="007200F5">
        <w:rPr>
          <w:rFonts w:ascii="Comic Sans MS" w:hAnsi="Comic Sans MS"/>
          <w:i/>
          <w:iCs/>
        </w:rPr>
        <w:t>‘Austin’s Butterfly: Models, Critique and Descriptive Feedback</w:t>
      </w:r>
      <w:r>
        <w:rPr>
          <w:rFonts w:ascii="Comic Sans MS" w:hAnsi="Comic Sans MS"/>
          <w:i/>
          <w:iCs/>
        </w:rPr>
        <w:t xml:space="preserve">.’ </w:t>
      </w:r>
      <w:r>
        <w:rPr>
          <w:rFonts w:ascii="Comic Sans MS" w:hAnsi="Comic Sans MS"/>
        </w:rPr>
        <w:t xml:space="preserve">Available at: </w:t>
      </w:r>
      <w:hyperlink r:id="rId16" w:history="1">
        <w:r>
          <w:rPr>
            <w:rStyle w:val="Hyperlink"/>
            <w:rFonts w:ascii="Comic Sans MS" w:hAnsi="Comic Sans MS"/>
          </w:rPr>
          <w:t>https://www.youtube.com/watch?v=E_6PskE3zfQ</w:t>
        </w:r>
      </w:hyperlink>
      <w:r>
        <w:rPr>
          <w:rFonts w:ascii="Comic Sans MS" w:hAnsi="Comic Sans MS"/>
        </w:rPr>
        <w:t xml:space="preserve"> Accessed on: 04/04/2025</w:t>
      </w:r>
    </w:p>
    <w:p w14:paraId="111EFBFA" w14:textId="77777777" w:rsidR="005B27E4" w:rsidRPr="00C91890" w:rsidRDefault="005B27E4" w:rsidP="005B27E4">
      <w:pPr>
        <w:pStyle w:val="ListParagraph"/>
        <w:numPr>
          <w:ilvl w:val="0"/>
          <w:numId w:val="2"/>
        </w:numPr>
        <w:rPr>
          <w:rFonts w:ascii="Comic Sans MS" w:hAnsi="Comic Sans MS"/>
        </w:rPr>
      </w:pPr>
      <w:proofErr w:type="spellStart"/>
      <w:r w:rsidRPr="00C91890">
        <w:rPr>
          <w:rFonts w:ascii="Comic Sans MS" w:hAnsi="Comic Sans MS"/>
        </w:rPr>
        <w:t>Enago</w:t>
      </w:r>
      <w:proofErr w:type="spellEnd"/>
      <w:r w:rsidRPr="00C91890">
        <w:rPr>
          <w:rFonts w:ascii="Comic Sans MS" w:hAnsi="Comic Sans MS"/>
        </w:rPr>
        <w:t xml:space="preserve"> Academy. (2021) </w:t>
      </w:r>
      <w:r w:rsidRPr="00C91890">
        <w:rPr>
          <w:rFonts w:ascii="Comic Sans MS" w:hAnsi="Comic Sans MS"/>
          <w:i/>
          <w:iCs/>
        </w:rPr>
        <w:t xml:space="preserve">‘How to Avoid Bias in Qualitative Research.’ </w:t>
      </w:r>
      <w:r w:rsidRPr="00C91890">
        <w:rPr>
          <w:rFonts w:ascii="Comic Sans MS" w:hAnsi="Comic Sans MS"/>
        </w:rPr>
        <w:t xml:space="preserve">Available at: </w:t>
      </w:r>
      <w:hyperlink r:id="rId17" w:history="1">
        <w:r w:rsidRPr="00C91890">
          <w:rPr>
            <w:rStyle w:val="Hyperlink"/>
            <w:rFonts w:ascii="Comic Sans MS" w:hAnsi="Comic Sans MS"/>
          </w:rPr>
          <w:t>https://www.enago.com/academy/how-to-avoid-bias-in-qualitative-research/</w:t>
        </w:r>
      </w:hyperlink>
      <w:r w:rsidRPr="00C91890">
        <w:rPr>
          <w:rFonts w:ascii="Comic Sans MS" w:hAnsi="Comic Sans MS"/>
        </w:rPr>
        <w:t xml:space="preserve"> Accessed on: 28/03/2025</w:t>
      </w:r>
    </w:p>
    <w:p w14:paraId="0A8A8C59" w14:textId="77777777" w:rsidR="00780401" w:rsidRPr="00C91890" w:rsidRDefault="00780401" w:rsidP="00780401">
      <w:pPr>
        <w:pStyle w:val="ListParagraph"/>
        <w:numPr>
          <w:ilvl w:val="0"/>
          <w:numId w:val="2"/>
        </w:numPr>
        <w:rPr>
          <w:rFonts w:ascii="Comic Sans MS" w:hAnsi="Comic Sans MS"/>
        </w:rPr>
      </w:pPr>
      <w:r w:rsidRPr="00C91890">
        <w:rPr>
          <w:rFonts w:ascii="Comic Sans MS" w:hAnsi="Comic Sans MS"/>
        </w:rPr>
        <w:t xml:space="preserve">Estyn. (2018) </w:t>
      </w:r>
      <w:r w:rsidRPr="00C91890">
        <w:rPr>
          <w:rFonts w:ascii="Comic Sans MS" w:hAnsi="Comic Sans MS"/>
          <w:i/>
          <w:iCs/>
        </w:rPr>
        <w:t xml:space="preserve">‘Improving Teaching.’ </w:t>
      </w:r>
      <w:r w:rsidRPr="00C91890">
        <w:rPr>
          <w:rFonts w:ascii="Comic Sans MS" w:hAnsi="Comic Sans MS"/>
        </w:rPr>
        <w:t xml:space="preserve">Available at: </w:t>
      </w:r>
      <w:hyperlink r:id="rId18" w:history="1">
        <w:r w:rsidRPr="00C91890">
          <w:rPr>
            <w:rStyle w:val="Hyperlink"/>
            <w:rFonts w:ascii="Comic Sans MS" w:hAnsi="Comic Sans MS"/>
          </w:rPr>
          <w:t>file:///C:/Users/littl/Downloads/Improvingteaching-Estyn%20(1).pdf</w:t>
        </w:r>
      </w:hyperlink>
      <w:r w:rsidRPr="00C91890">
        <w:rPr>
          <w:rFonts w:ascii="Comic Sans MS" w:hAnsi="Comic Sans MS"/>
        </w:rPr>
        <w:t xml:space="preserve"> Accessed on: 27/03/2025</w:t>
      </w:r>
    </w:p>
    <w:p w14:paraId="7A1EAA7C" w14:textId="77777777" w:rsidR="00186C02" w:rsidRDefault="00186C02" w:rsidP="00186C02">
      <w:pPr>
        <w:pStyle w:val="ListParagraph"/>
        <w:numPr>
          <w:ilvl w:val="0"/>
          <w:numId w:val="2"/>
        </w:numPr>
        <w:rPr>
          <w:rFonts w:ascii="Comic Sans MS" w:hAnsi="Comic Sans MS"/>
        </w:rPr>
      </w:pPr>
      <w:r>
        <w:rPr>
          <w:rFonts w:ascii="Comic Sans MS" w:hAnsi="Comic Sans MS"/>
        </w:rPr>
        <w:t xml:space="preserve">Estyn. (2018) </w:t>
      </w:r>
      <w:r>
        <w:rPr>
          <w:rFonts w:ascii="Comic Sans MS" w:hAnsi="Comic Sans MS"/>
          <w:i/>
          <w:iCs/>
        </w:rPr>
        <w:t xml:space="preserve">‘Striving for independent learning for all pupils.’ </w:t>
      </w:r>
      <w:r>
        <w:rPr>
          <w:rFonts w:ascii="Comic Sans MS" w:hAnsi="Comic Sans MS"/>
        </w:rPr>
        <w:t xml:space="preserve">Available at: </w:t>
      </w:r>
      <w:hyperlink r:id="rId19" w:history="1">
        <w:r>
          <w:rPr>
            <w:rStyle w:val="Hyperlink"/>
            <w:rFonts w:ascii="Comic Sans MS" w:hAnsi="Comic Sans MS"/>
          </w:rPr>
          <w:t>https://estyn.gov.wales/improvement-resources/striving-for-independent-learning-for-all-pupils/</w:t>
        </w:r>
      </w:hyperlink>
      <w:r>
        <w:rPr>
          <w:rFonts w:ascii="Comic Sans MS" w:hAnsi="Comic Sans MS"/>
        </w:rPr>
        <w:t xml:space="preserve"> Accessed on: 04/04/2025</w:t>
      </w:r>
    </w:p>
    <w:p w14:paraId="16E74A3C"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rPr>
        <w:lastRenderedPageBreak/>
        <w:t xml:space="preserve">Flavell, J.H. (1979) </w:t>
      </w:r>
      <w:r w:rsidRPr="00C91890">
        <w:rPr>
          <w:rFonts w:ascii="Comic Sans MS" w:hAnsi="Comic Sans MS"/>
          <w:i/>
          <w:iCs/>
        </w:rPr>
        <w:t xml:space="preserve">‘Metacognition and cognitive monitoring: A new area of cognitive-developmental inquiry.’ </w:t>
      </w:r>
      <w:r w:rsidRPr="00C91890">
        <w:rPr>
          <w:rFonts w:ascii="Comic Sans MS" w:hAnsi="Comic Sans MS"/>
        </w:rPr>
        <w:t xml:space="preserve">American Psychologist, 34(10), pp906-911. Available at: </w:t>
      </w:r>
      <w:hyperlink r:id="rId20" w:history="1">
        <w:r w:rsidRPr="00C91890">
          <w:rPr>
            <w:rStyle w:val="Hyperlink"/>
            <w:rFonts w:ascii="Comic Sans MS" w:hAnsi="Comic Sans MS"/>
          </w:rPr>
          <w:t>https://www.researchgate.net/publication/232599909_Metacognition_and_Cognitive_Monitoring_A_New_Area_of_Cognitive-Developmental_Inquiry</w:t>
        </w:r>
      </w:hyperlink>
      <w:r w:rsidRPr="00C91890">
        <w:rPr>
          <w:rFonts w:ascii="Comic Sans MS" w:hAnsi="Comic Sans MS"/>
        </w:rPr>
        <w:t xml:space="preserve"> Accessed on: 01/04/2025</w:t>
      </w:r>
    </w:p>
    <w:p w14:paraId="396CF938" w14:textId="77777777" w:rsidR="00C91890" w:rsidRPr="00C91890" w:rsidRDefault="00C91890" w:rsidP="00C91890">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Hattie, J., &amp; Clarke, S. (2018). </w:t>
      </w:r>
      <w:r w:rsidRPr="00C91890">
        <w:rPr>
          <w:rFonts w:ascii="Comic Sans MS" w:eastAsia="Times New Roman" w:hAnsi="Comic Sans MS" w:cs="Times New Roman"/>
          <w:i/>
          <w:iCs/>
          <w:kern w:val="0"/>
          <w:lang w:eastAsia="en-GB"/>
          <w14:ligatures w14:val="none"/>
        </w:rPr>
        <w:t>Visible Learning: Feedback</w:t>
      </w:r>
      <w:r w:rsidRPr="00C91890">
        <w:rPr>
          <w:rFonts w:ascii="Comic Sans MS" w:eastAsia="Times New Roman" w:hAnsi="Comic Sans MS" w:cs="Times New Roman"/>
          <w:kern w:val="0"/>
          <w:lang w:eastAsia="en-GB"/>
          <w14:ligatures w14:val="none"/>
        </w:rPr>
        <w:t xml:space="preserve"> (1st edition.). Routledge, an imprint of Taylor and Francis.</w:t>
      </w:r>
    </w:p>
    <w:p w14:paraId="58ACBE74" w14:textId="77777777" w:rsidR="00750F4E" w:rsidRPr="00C91890" w:rsidRDefault="00C91890" w:rsidP="00750F4E">
      <w:pPr>
        <w:pStyle w:val="ListParagraph"/>
        <w:numPr>
          <w:ilvl w:val="0"/>
          <w:numId w:val="2"/>
        </w:numPr>
        <w:rPr>
          <w:rFonts w:ascii="Comic Sans MS" w:hAnsi="Comic Sans MS"/>
        </w:rPr>
      </w:pPr>
      <w:r w:rsidRPr="00C91890">
        <w:rPr>
          <w:rFonts w:ascii="Comic Sans MS" w:hAnsi="Comic Sans MS"/>
        </w:rPr>
        <w:t xml:space="preserve"> </w:t>
      </w:r>
      <w:r w:rsidR="00750F4E" w:rsidRPr="00C91890">
        <w:rPr>
          <w:rFonts w:ascii="Comic Sans MS" w:hAnsi="Comic Sans MS"/>
        </w:rPr>
        <w:t xml:space="preserve">GOV, (2018). ‘Data Protection’. Available at: </w:t>
      </w:r>
      <w:hyperlink r:id="rId21" w:history="1">
        <w:r w:rsidR="00750F4E" w:rsidRPr="00C91890">
          <w:rPr>
            <w:rStyle w:val="Hyperlink"/>
            <w:rFonts w:ascii="Comic Sans MS" w:hAnsi="Comic Sans MS"/>
          </w:rPr>
          <w:t>https://www.gov.uk/data-protection</w:t>
        </w:r>
      </w:hyperlink>
      <w:r w:rsidR="00750F4E" w:rsidRPr="00C91890">
        <w:rPr>
          <w:rFonts w:ascii="Comic Sans MS" w:hAnsi="Comic Sans MS"/>
        </w:rPr>
        <w:t xml:space="preserve"> Accessed on: 27/03/2025</w:t>
      </w:r>
    </w:p>
    <w:p w14:paraId="6D219E2E" w14:textId="77777777" w:rsidR="00186C02" w:rsidRDefault="00186C02" w:rsidP="00186C02">
      <w:pPr>
        <w:pStyle w:val="ListParagraph"/>
        <w:numPr>
          <w:ilvl w:val="0"/>
          <w:numId w:val="2"/>
        </w:numPr>
        <w:rPr>
          <w:rFonts w:ascii="Comic Sans MS" w:hAnsi="Comic Sans MS"/>
        </w:rPr>
      </w:pPr>
      <w:r>
        <w:rPr>
          <w:rFonts w:ascii="Comic Sans MS" w:hAnsi="Comic Sans MS"/>
        </w:rPr>
        <w:t xml:space="preserve">GOV. (2020) </w:t>
      </w:r>
      <w:r>
        <w:rPr>
          <w:rFonts w:ascii="Comic Sans MS" w:hAnsi="Comic Sans MS"/>
          <w:i/>
          <w:iCs/>
        </w:rPr>
        <w:t xml:space="preserve">‘Mixed Methods Study.’ Available at: </w:t>
      </w:r>
      <w:hyperlink r:id="rId22" w:history="1">
        <w:r w:rsidRPr="00EB3987">
          <w:rPr>
            <w:rStyle w:val="Hyperlink"/>
            <w:rFonts w:ascii="Comic Sans MS" w:hAnsi="Comic Sans MS"/>
          </w:rPr>
          <w:t>https://www.gov.uk/guidance/mixed-methods-study</w:t>
        </w:r>
      </w:hyperlink>
      <w:r>
        <w:rPr>
          <w:rFonts w:ascii="Comic Sans MS" w:hAnsi="Comic Sans MS"/>
        </w:rPr>
        <w:t xml:space="preserve"> Accessed on: 04/04/2025</w:t>
      </w:r>
    </w:p>
    <w:p w14:paraId="1FF45709" w14:textId="77777777" w:rsidR="00186C02" w:rsidRDefault="00186C02" w:rsidP="00186C02">
      <w:pPr>
        <w:pStyle w:val="ListParagraph"/>
        <w:numPr>
          <w:ilvl w:val="0"/>
          <w:numId w:val="2"/>
        </w:numPr>
        <w:rPr>
          <w:rFonts w:ascii="Comic Sans MS" w:hAnsi="Comic Sans MS"/>
        </w:rPr>
      </w:pPr>
      <w:r>
        <w:rPr>
          <w:rFonts w:ascii="Comic Sans MS" w:hAnsi="Comic Sans MS"/>
        </w:rPr>
        <w:t xml:space="preserve">McLeod. S. (2025) </w:t>
      </w:r>
      <w:r>
        <w:rPr>
          <w:rFonts w:ascii="Comic Sans MS" w:hAnsi="Comic Sans MS"/>
          <w:i/>
          <w:iCs/>
        </w:rPr>
        <w:t xml:space="preserve">Vygotsky’s Theory of Cognitive Development.’ </w:t>
      </w:r>
      <w:r>
        <w:rPr>
          <w:rFonts w:ascii="Comic Sans MS" w:hAnsi="Comic Sans MS"/>
        </w:rPr>
        <w:t xml:space="preserve">Available at: </w:t>
      </w:r>
      <w:hyperlink r:id="rId23" w:history="1">
        <w:r>
          <w:rPr>
            <w:rStyle w:val="Hyperlink"/>
            <w:rFonts w:ascii="Comic Sans MS" w:hAnsi="Comic Sans MS"/>
          </w:rPr>
          <w:t>https://www.simplypsychology.org/vygotsky.html</w:t>
        </w:r>
      </w:hyperlink>
      <w:r>
        <w:rPr>
          <w:rFonts w:ascii="Comic Sans MS" w:hAnsi="Comic Sans MS"/>
        </w:rPr>
        <w:t xml:space="preserve"> Accessed on: 04/04/2025</w:t>
      </w:r>
    </w:p>
    <w:p w14:paraId="637CF687"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lang w:val="it-IT"/>
        </w:rPr>
        <w:t xml:space="preserve">Nicol, D. J., &amp; Macfarlane‐Dick, D. (2006). </w:t>
      </w:r>
      <w:r w:rsidRPr="00C91890">
        <w:rPr>
          <w:rFonts w:ascii="Comic Sans MS" w:hAnsi="Comic Sans MS"/>
        </w:rPr>
        <w:t>‘F</w:t>
      </w:r>
      <w:r w:rsidRPr="00C91890">
        <w:rPr>
          <w:rFonts w:ascii="Comic Sans MS" w:hAnsi="Comic Sans MS"/>
          <w:i/>
          <w:iCs/>
        </w:rPr>
        <w:t>ormative assessment and self‐regulated learning: a model and seven principles of good feedback practice’</w:t>
      </w:r>
      <w:r w:rsidRPr="00C91890">
        <w:rPr>
          <w:rFonts w:ascii="Comic Sans MS" w:hAnsi="Comic Sans MS"/>
        </w:rPr>
        <w:t xml:space="preserve">. Studies in Higher Education, 31(2), 199–218. Available at: </w:t>
      </w:r>
      <w:hyperlink r:id="rId24" w:history="1">
        <w:r w:rsidRPr="00C91890">
          <w:rPr>
            <w:rStyle w:val="Hyperlink"/>
            <w:rFonts w:ascii="Comic Sans MS" w:hAnsi="Comic Sans MS"/>
          </w:rPr>
          <w:t>https://doi.org/10.1080/03075070600572090</w:t>
        </w:r>
      </w:hyperlink>
      <w:r w:rsidRPr="00C91890">
        <w:rPr>
          <w:rFonts w:ascii="Comic Sans MS" w:hAnsi="Comic Sans MS"/>
        </w:rPr>
        <w:t xml:space="preserve"> Accessed on: 01/04/2025</w:t>
      </w:r>
    </w:p>
    <w:p w14:paraId="078EB950"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rPr>
        <w:t xml:space="preserve">Piaget, J. (1970) </w:t>
      </w:r>
      <w:r w:rsidRPr="00C91890">
        <w:rPr>
          <w:rFonts w:ascii="Comic Sans MS" w:hAnsi="Comic Sans MS"/>
          <w:i/>
          <w:iCs/>
        </w:rPr>
        <w:t xml:space="preserve">‘Science of Education and the Psychology of the child.’ </w:t>
      </w:r>
      <w:r w:rsidRPr="00C91890">
        <w:rPr>
          <w:rFonts w:ascii="Comic Sans MS" w:hAnsi="Comic Sans MS"/>
        </w:rPr>
        <w:t xml:space="preserve">New York: Viking Press. </w:t>
      </w:r>
    </w:p>
    <w:p w14:paraId="42155F28" w14:textId="77777777" w:rsidR="00780401" w:rsidRPr="00C91890" w:rsidRDefault="00780401" w:rsidP="00780401">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Punch, K., &amp; Oancea, A. (2014). </w:t>
      </w:r>
      <w:r w:rsidRPr="00C91890">
        <w:rPr>
          <w:rFonts w:ascii="Comic Sans MS" w:eastAsia="Times New Roman" w:hAnsi="Comic Sans MS" w:cs="Times New Roman"/>
          <w:i/>
          <w:iCs/>
          <w:kern w:val="0"/>
          <w:lang w:eastAsia="en-GB"/>
          <w14:ligatures w14:val="none"/>
        </w:rPr>
        <w:t>Introduction to research methods in education</w:t>
      </w:r>
      <w:r w:rsidRPr="00C91890">
        <w:rPr>
          <w:rFonts w:ascii="Comic Sans MS" w:eastAsia="Times New Roman" w:hAnsi="Comic Sans MS" w:cs="Times New Roman"/>
          <w:kern w:val="0"/>
          <w:lang w:eastAsia="en-GB"/>
          <w14:ligatures w14:val="none"/>
        </w:rPr>
        <w:t xml:space="preserve"> (2nd edition.). London: SAGE Publications Ltd.</w:t>
      </w:r>
    </w:p>
    <w:p w14:paraId="021B6146" w14:textId="77777777" w:rsidR="00186C02" w:rsidRDefault="00186C02" w:rsidP="00186C02">
      <w:pPr>
        <w:pStyle w:val="ListParagraph"/>
        <w:numPr>
          <w:ilvl w:val="0"/>
          <w:numId w:val="2"/>
        </w:numPr>
        <w:rPr>
          <w:rFonts w:ascii="Comic Sans MS" w:hAnsi="Comic Sans MS"/>
        </w:rPr>
      </w:pPr>
      <w:r>
        <w:rPr>
          <w:rFonts w:ascii="Comic Sans MS" w:hAnsi="Comic Sans MS"/>
        </w:rPr>
        <w:t xml:space="preserve">Rogers, L.G., Shearer, K. &amp; </w:t>
      </w:r>
      <w:proofErr w:type="spellStart"/>
      <w:r>
        <w:rPr>
          <w:rFonts w:ascii="Comic Sans MS" w:hAnsi="Comic Sans MS"/>
        </w:rPr>
        <w:t>Rempei</w:t>
      </w:r>
      <w:proofErr w:type="spellEnd"/>
      <w:r>
        <w:rPr>
          <w:rFonts w:ascii="Comic Sans MS" w:hAnsi="Comic Sans MS"/>
        </w:rPr>
        <w:t xml:space="preserve">, G.R. (2021) </w:t>
      </w:r>
      <w:r>
        <w:rPr>
          <w:rFonts w:ascii="Comic Sans MS" w:hAnsi="Comic Sans MS"/>
          <w:i/>
          <w:iCs/>
        </w:rPr>
        <w:t xml:space="preserve">‘Beyond the Interview Guide: Experiences of Practically and Mindfully Implementing Interview Guidelines When Conducting Research with Children and Adolescents With Chronic Conditions and Their Siblings.’ </w:t>
      </w:r>
      <w:r>
        <w:rPr>
          <w:rFonts w:ascii="Comic Sans MS" w:hAnsi="Comic Sans MS"/>
        </w:rPr>
        <w:t xml:space="preserve">International Journal of Qualitative Methods. Available at: </w:t>
      </w:r>
      <w:hyperlink r:id="rId25" w:history="1">
        <w:r>
          <w:rPr>
            <w:rStyle w:val="Hyperlink"/>
            <w:rFonts w:ascii="Comic Sans MS" w:hAnsi="Comic Sans MS"/>
          </w:rPr>
          <w:t>https://journals.sagepub.com/doi/full/10.1177/1609406920982148</w:t>
        </w:r>
      </w:hyperlink>
      <w:r>
        <w:rPr>
          <w:rFonts w:ascii="Comic Sans MS" w:hAnsi="Comic Sans MS"/>
        </w:rPr>
        <w:t xml:space="preserve"> Accessed on: 04/04/2025</w:t>
      </w:r>
    </w:p>
    <w:p w14:paraId="00EEA190"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rPr>
        <w:t>Sadler, D.R. Formative assessment and the design of instructional systems. </w:t>
      </w:r>
      <w:proofErr w:type="spellStart"/>
      <w:r w:rsidRPr="00C91890">
        <w:rPr>
          <w:rFonts w:ascii="Comic Sans MS" w:hAnsi="Comic Sans MS"/>
          <w:i/>
          <w:iCs/>
        </w:rPr>
        <w:t>Instr</w:t>
      </w:r>
      <w:proofErr w:type="spellEnd"/>
      <w:r w:rsidRPr="00C91890">
        <w:rPr>
          <w:rFonts w:ascii="Comic Sans MS" w:hAnsi="Comic Sans MS"/>
          <w:i/>
          <w:iCs/>
        </w:rPr>
        <w:t xml:space="preserve"> Sci</w:t>
      </w:r>
      <w:r w:rsidRPr="00C91890">
        <w:rPr>
          <w:rFonts w:ascii="Comic Sans MS" w:hAnsi="Comic Sans MS"/>
        </w:rPr>
        <w:t> </w:t>
      </w:r>
      <w:r w:rsidRPr="00C91890">
        <w:rPr>
          <w:rFonts w:ascii="Comic Sans MS" w:hAnsi="Comic Sans MS"/>
          <w:b/>
          <w:bCs/>
        </w:rPr>
        <w:t>18</w:t>
      </w:r>
      <w:r w:rsidRPr="00C91890">
        <w:rPr>
          <w:rFonts w:ascii="Comic Sans MS" w:hAnsi="Comic Sans MS"/>
        </w:rPr>
        <w:t xml:space="preserve">, 119–144 (1989). </w:t>
      </w:r>
      <w:r>
        <w:rPr>
          <w:rFonts w:ascii="Comic Sans MS" w:hAnsi="Comic Sans MS"/>
        </w:rPr>
        <w:t xml:space="preserve">Available at: </w:t>
      </w:r>
      <w:hyperlink r:id="rId26" w:history="1">
        <w:r w:rsidRPr="0083399F">
          <w:rPr>
            <w:rStyle w:val="Hyperlink"/>
            <w:rFonts w:ascii="Comic Sans MS" w:hAnsi="Comic Sans MS"/>
          </w:rPr>
          <w:t>https://doi.org/10.1007/BF00117714</w:t>
        </w:r>
      </w:hyperlink>
      <w:r>
        <w:rPr>
          <w:rFonts w:ascii="Comic Sans MS" w:hAnsi="Comic Sans MS"/>
        </w:rPr>
        <w:t xml:space="preserve"> Accessed on: 29/03/2025</w:t>
      </w:r>
    </w:p>
    <w:p w14:paraId="5DB8C456" w14:textId="77777777" w:rsidR="00186C02" w:rsidRPr="00C91890" w:rsidRDefault="00186C02" w:rsidP="00186C02">
      <w:pPr>
        <w:pStyle w:val="ListParagraph"/>
        <w:numPr>
          <w:ilvl w:val="0"/>
          <w:numId w:val="2"/>
        </w:numPr>
        <w:rPr>
          <w:rFonts w:ascii="Comic Sans MS" w:hAnsi="Comic Sans MS"/>
        </w:rPr>
      </w:pPr>
      <w:r w:rsidRPr="00C91890">
        <w:rPr>
          <w:rFonts w:ascii="Comic Sans MS" w:hAnsi="Comic Sans MS"/>
        </w:rPr>
        <w:lastRenderedPageBreak/>
        <w:t xml:space="preserve">Shute, V. J. (2008). Focus on Formative Feedback. </w:t>
      </w:r>
      <w:r w:rsidRPr="00C91890">
        <w:rPr>
          <w:rFonts w:ascii="Comic Sans MS" w:hAnsi="Comic Sans MS"/>
          <w:i/>
          <w:iCs/>
        </w:rPr>
        <w:t>Review of Educational Research</w:t>
      </w:r>
      <w:r w:rsidRPr="00C91890">
        <w:rPr>
          <w:rFonts w:ascii="Comic Sans MS" w:hAnsi="Comic Sans MS"/>
        </w:rPr>
        <w:t xml:space="preserve">, </w:t>
      </w:r>
      <w:r w:rsidRPr="00C91890">
        <w:rPr>
          <w:rFonts w:ascii="Comic Sans MS" w:hAnsi="Comic Sans MS"/>
          <w:i/>
          <w:iCs/>
        </w:rPr>
        <w:t>78</w:t>
      </w:r>
      <w:r w:rsidRPr="00C91890">
        <w:rPr>
          <w:rFonts w:ascii="Comic Sans MS" w:hAnsi="Comic Sans MS"/>
        </w:rPr>
        <w:t xml:space="preserve">(1), 153–189. </w:t>
      </w:r>
      <w:hyperlink r:id="rId27" w:history="1">
        <w:r w:rsidRPr="0083399F">
          <w:rPr>
            <w:rStyle w:val="Hyperlink"/>
            <w:rFonts w:ascii="Comic Sans MS" w:hAnsi="Comic Sans MS"/>
          </w:rPr>
          <w:t>https://doi.org/10.3102/0034654307313795</w:t>
        </w:r>
      </w:hyperlink>
      <w:r>
        <w:rPr>
          <w:rFonts w:ascii="Comic Sans MS" w:hAnsi="Comic Sans MS"/>
        </w:rPr>
        <w:t xml:space="preserve"> Accessed on: 28/03/2025</w:t>
      </w:r>
    </w:p>
    <w:p w14:paraId="608F0690" w14:textId="77777777" w:rsidR="00186C02" w:rsidRDefault="00186C02" w:rsidP="00186C02">
      <w:pPr>
        <w:pStyle w:val="ListParagraph"/>
        <w:numPr>
          <w:ilvl w:val="0"/>
          <w:numId w:val="2"/>
        </w:numPr>
        <w:rPr>
          <w:rFonts w:ascii="Comic Sans MS" w:hAnsi="Comic Sans MS"/>
        </w:rPr>
      </w:pPr>
      <w:proofErr w:type="spellStart"/>
      <w:r>
        <w:rPr>
          <w:rFonts w:ascii="Comic Sans MS" w:hAnsi="Comic Sans MS"/>
        </w:rPr>
        <w:t>Tes</w:t>
      </w:r>
      <w:proofErr w:type="spellEnd"/>
      <w:r>
        <w:rPr>
          <w:rFonts w:ascii="Comic Sans MS" w:hAnsi="Comic Sans MS"/>
        </w:rPr>
        <w:t xml:space="preserve">. (2024) </w:t>
      </w:r>
      <w:r>
        <w:rPr>
          <w:rFonts w:ascii="Comic Sans MS" w:hAnsi="Comic Sans MS"/>
          <w:i/>
          <w:iCs/>
        </w:rPr>
        <w:t xml:space="preserve">‘Why staff surveys area  win for improving wellbeing.’ </w:t>
      </w:r>
      <w:r w:rsidRPr="003D2A5A">
        <w:rPr>
          <w:rFonts w:ascii="Comic Sans MS" w:hAnsi="Comic Sans MS"/>
        </w:rPr>
        <w:t xml:space="preserve">Available at: </w:t>
      </w:r>
      <w:hyperlink r:id="rId28" w:history="1">
        <w:r w:rsidRPr="003D2A5A">
          <w:rPr>
            <w:rStyle w:val="Hyperlink"/>
            <w:rFonts w:ascii="Comic Sans MS" w:hAnsi="Comic Sans MS"/>
          </w:rPr>
          <w:t>https://www.tes.com/en-gb/for-schools/blog/article/why-staff-surveys-are-win-improving-wellbeing</w:t>
        </w:r>
      </w:hyperlink>
      <w:r w:rsidRPr="003D2A5A">
        <w:rPr>
          <w:rFonts w:ascii="Comic Sans MS" w:hAnsi="Comic Sans MS"/>
        </w:rPr>
        <w:t xml:space="preserve"> Accessed on: 04/04/2025</w:t>
      </w:r>
    </w:p>
    <w:p w14:paraId="657DDAC1" w14:textId="77777777" w:rsidR="00957E82" w:rsidRPr="00C91890" w:rsidRDefault="00957E82" w:rsidP="00957E82">
      <w:pPr>
        <w:pStyle w:val="ListParagraph"/>
        <w:numPr>
          <w:ilvl w:val="0"/>
          <w:numId w:val="2"/>
        </w:numPr>
        <w:rPr>
          <w:rFonts w:ascii="Comic Sans MS" w:hAnsi="Comic Sans MS"/>
        </w:rPr>
      </w:pPr>
      <w:r w:rsidRPr="00C91890">
        <w:rPr>
          <w:rFonts w:ascii="Comic Sans MS" w:hAnsi="Comic Sans MS"/>
        </w:rPr>
        <w:t xml:space="preserve">UNCRC. (2025). Available at: </w:t>
      </w:r>
      <w:hyperlink r:id="rId29" w:history="1">
        <w:r w:rsidRPr="00C91890">
          <w:rPr>
            <w:rStyle w:val="Hyperlink"/>
            <w:rFonts w:ascii="Comic Sans MS" w:hAnsi="Comic Sans MS"/>
          </w:rPr>
          <w:t>https://www.unicef.org.uk/wp-content/uploads/2010/05/UNCRC_summary-1.pdf</w:t>
        </w:r>
      </w:hyperlink>
      <w:r w:rsidRPr="00C91890">
        <w:rPr>
          <w:rFonts w:ascii="Comic Sans MS" w:hAnsi="Comic Sans MS"/>
        </w:rPr>
        <w:t xml:space="preserve"> Accessed on: 27/03/2025</w:t>
      </w:r>
    </w:p>
    <w:p w14:paraId="76AFD7DC" w14:textId="77777777" w:rsidR="005B27E4" w:rsidRPr="00C91890" w:rsidRDefault="005B27E4" w:rsidP="005B27E4">
      <w:pPr>
        <w:pStyle w:val="ListParagraph"/>
        <w:numPr>
          <w:ilvl w:val="0"/>
          <w:numId w:val="2"/>
        </w:numPr>
        <w:rPr>
          <w:rFonts w:ascii="Comic Sans MS" w:hAnsi="Comic Sans MS"/>
        </w:rPr>
      </w:pPr>
      <w:r w:rsidRPr="00C91890">
        <w:rPr>
          <w:rFonts w:ascii="Comic Sans MS" w:hAnsi="Comic Sans MS"/>
        </w:rPr>
        <w:t xml:space="preserve">Welsh Government. (2021) </w:t>
      </w:r>
      <w:r w:rsidRPr="00C91890">
        <w:rPr>
          <w:rFonts w:ascii="Comic Sans MS" w:hAnsi="Comic Sans MS"/>
          <w:i/>
          <w:iCs/>
        </w:rPr>
        <w:t xml:space="preserve">Keeping learners safe- The role of local authorities, governing bodies and proprietors of independent schools under the Education Act 2002.’ </w:t>
      </w:r>
      <w:r w:rsidRPr="00C91890">
        <w:rPr>
          <w:rFonts w:ascii="Comic Sans MS" w:hAnsi="Comic Sans MS"/>
        </w:rPr>
        <w:t xml:space="preserve">Available at: </w:t>
      </w:r>
      <w:hyperlink r:id="rId30" w:history="1">
        <w:r w:rsidRPr="00C91890">
          <w:rPr>
            <w:rStyle w:val="Hyperlink"/>
            <w:rFonts w:ascii="Comic Sans MS" w:hAnsi="Comic Sans MS"/>
          </w:rPr>
          <w:t>https://www.gov.wales/sites/default/files/publications/2021-12/keeping-learners-safe.pdf</w:t>
        </w:r>
      </w:hyperlink>
      <w:r w:rsidRPr="00C91890">
        <w:rPr>
          <w:rFonts w:ascii="Comic Sans MS" w:hAnsi="Comic Sans MS"/>
        </w:rPr>
        <w:t xml:space="preserve"> Accessed on: 28/03/2025</w:t>
      </w:r>
    </w:p>
    <w:p w14:paraId="2F46DFAE" w14:textId="77777777" w:rsidR="00957E82" w:rsidRPr="00C91890" w:rsidRDefault="00957E82" w:rsidP="00957E82">
      <w:pPr>
        <w:pStyle w:val="ListParagraph"/>
        <w:numPr>
          <w:ilvl w:val="0"/>
          <w:numId w:val="2"/>
        </w:numPr>
        <w:rPr>
          <w:rFonts w:ascii="Comic Sans MS" w:hAnsi="Comic Sans MS"/>
        </w:rPr>
      </w:pPr>
      <w:r w:rsidRPr="00C91890">
        <w:rPr>
          <w:rFonts w:ascii="Comic Sans MS" w:hAnsi="Comic Sans MS"/>
        </w:rPr>
        <w:t xml:space="preserve">Welsh Government. (2024) Available at : </w:t>
      </w:r>
      <w:hyperlink r:id="rId31" w:history="1">
        <w:r w:rsidRPr="00C91890">
          <w:rPr>
            <w:rStyle w:val="Hyperlink"/>
            <w:rFonts w:ascii="Comic Sans MS" w:hAnsi="Comic Sans MS"/>
          </w:rPr>
          <w:t>https://hwb.gov.wales/curriculum-for-wales/introduction-to-curriculum-for-wales-guidance/</w:t>
        </w:r>
      </w:hyperlink>
      <w:r w:rsidRPr="00C91890">
        <w:rPr>
          <w:rFonts w:ascii="Comic Sans MS" w:hAnsi="Comic Sans MS"/>
        </w:rPr>
        <w:t xml:space="preserve"> Accessed on: 27/03/2025</w:t>
      </w:r>
    </w:p>
    <w:p w14:paraId="4A3294FF" w14:textId="77777777" w:rsidR="00C91890" w:rsidRPr="00C91890" w:rsidRDefault="00C91890" w:rsidP="00C91890">
      <w:pPr>
        <w:pStyle w:val="ListParagraph"/>
        <w:numPr>
          <w:ilvl w:val="0"/>
          <w:numId w:val="2"/>
        </w:numPr>
        <w:spacing w:after="0" w:line="240" w:lineRule="auto"/>
        <w:rPr>
          <w:rFonts w:ascii="Comic Sans MS" w:eastAsia="Times New Roman" w:hAnsi="Comic Sans MS" w:cs="Times New Roman"/>
          <w:kern w:val="0"/>
          <w:lang w:eastAsia="en-GB"/>
          <w14:ligatures w14:val="none"/>
        </w:rPr>
      </w:pPr>
      <w:r w:rsidRPr="00C91890">
        <w:rPr>
          <w:rFonts w:ascii="Comic Sans MS" w:eastAsia="Times New Roman" w:hAnsi="Comic Sans MS" w:cs="Times New Roman"/>
          <w:kern w:val="0"/>
          <w:lang w:eastAsia="en-GB"/>
          <w14:ligatures w14:val="none"/>
        </w:rPr>
        <w:t xml:space="preserve">Wiliam, D. (2018). </w:t>
      </w:r>
      <w:r w:rsidRPr="00C91890">
        <w:rPr>
          <w:rFonts w:ascii="Comic Sans MS" w:eastAsia="Times New Roman" w:hAnsi="Comic Sans MS" w:cs="Times New Roman"/>
          <w:i/>
          <w:iCs/>
          <w:kern w:val="0"/>
          <w:lang w:eastAsia="en-GB"/>
          <w14:ligatures w14:val="none"/>
        </w:rPr>
        <w:t>Embedded formative assessment</w:t>
      </w:r>
      <w:r w:rsidRPr="00C91890">
        <w:rPr>
          <w:rFonts w:ascii="Comic Sans MS" w:eastAsia="Times New Roman" w:hAnsi="Comic Sans MS" w:cs="Times New Roman"/>
          <w:kern w:val="0"/>
          <w:lang w:eastAsia="en-GB"/>
          <w14:ligatures w14:val="none"/>
        </w:rPr>
        <w:t xml:space="preserve"> (Second edition.). Solution Tree Press.</w:t>
      </w:r>
    </w:p>
    <w:p w14:paraId="0569E975" w14:textId="76617515" w:rsidR="00186C02" w:rsidRPr="00186C02" w:rsidRDefault="00C91890" w:rsidP="00186C02">
      <w:pPr>
        <w:pStyle w:val="ListParagraph"/>
        <w:numPr>
          <w:ilvl w:val="0"/>
          <w:numId w:val="2"/>
        </w:numPr>
        <w:rPr>
          <w:rFonts w:ascii="Comic Sans MS" w:hAnsi="Comic Sans MS"/>
        </w:rPr>
      </w:pPr>
      <w:r w:rsidRPr="00C91890">
        <w:rPr>
          <w:rFonts w:ascii="Comic Sans MS" w:hAnsi="Comic Sans MS"/>
        </w:rPr>
        <w:t xml:space="preserve">Young, M. (2014) </w:t>
      </w:r>
      <w:r w:rsidRPr="00C91890">
        <w:rPr>
          <w:rFonts w:ascii="Comic Sans MS" w:hAnsi="Comic Sans MS"/>
          <w:i/>
          <w:iCs/>
        </w:rPr>
        <w:t xml:space="preserve">‘The Curriculum and the Entitlement to Knowledge.’ </w:t>
      </w:r>
      <w:r w:rsidRPr="00C91890">
        <w:rPr>
          <w:rFonts w:ascii="Comic Sans MS" w:hAnsi="Comic Sans MS"/>
        </w:rPr>
        <w:t xml:space="preserve">Institute of Education: University of London. Available at: </w:t>
      </w:r>
      <w:hyperlink r:id="rId32" w:history="1">
        <w:r w:rsidRPr="00C91890">
          <w:rPr>
            <w:rStyle w:val="Hyperlink"/>
            <w:rFonts w:ascii="Comic Sans MS" w:hAnsi="Comic Sans MS"/>
          </w:rPr>
          <w:t>https://www.cambridgeassessment.org.uk/Images/166279-the-curriculum-and-the-entitlement-to-knowledge-prof-michael-young.pdf</w:t>
        </w:r>
      </w:hyperlink>
      <w:r w:rsidRPr="00C91890">
        <w:rPr>
          <w:rFonts w:ascii="Comic Sans MS" w:hAnsi="Comic Sans MS"/>
        </w:rPr>
        <w:t xml:space="preserve"> Accessed on: 28/03/2025</w:t>
      </w:r>
    </w:p>
    <w:sectPr w:rsidR="00186C02" w:rsidRPr="00186C0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F0319" w14:textId="77777777" w:rsidR="00560DE4" w:rsidRDefault="00560DE4" w:rsidP="001733D6">
      <w:pPr>
        <w:spacing w:after="0" w:line="240" w:lineRule="auto"/>
      </w:pPr>
      <w:r>
        <w:separator/>
      </w:r>
    </w:p>
  </w:endnote>
  <w:endnote w:type="continuationSeparator" w:id="0">
    <w:p w14:paraId="7AFC325E" w14:textId="77777777" w:rsidR="00560DE4" w:rsidRDefault="00560DE4" w:rsidP="00173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47AF6" w14:textId="5037C1B9" w:rsidR="00E66D7F" w:rsidRPr="00E66D7F" w:rsidRDefault="00E66D7F" w:rsidP="00E66D7F">
    <w:pPr>
      <w:pStyle w:val="Footer"/>
      <w:rPr>
        <w:rFonts w:ascii="Comic Sans MS" w:hAnsi="Comic Sans MS"/>
      </w:rPr>
    </w:pPr>
    <w:r w:rsidRPr="006A7485">
      <w:rPr>
        <w:rFonts w:ascii="Comic Sans MS" w:hAnsi="Comic Sans MS"/>
      </w:rPr>
      <w:t>By: Kelly-May Hughes                                                       Student No: 2307664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F4E07" w14:textId="77777777" w:rsidR="00560DE4" w:rsidRDefault="00560DE4" w:rsidP="001733D6">
      <w:pPr>
        <w:spacing w:after="0" w:line="240" w:lineRule="auto"/>
      </w:pPr>
      <w:r>
        <w:separator/>
      </w:r>
    </w:p>
  </w:footnote>
  <w:footnote w:type="continuationSeparator" w:id="0">
    <w:p w14:paraId="2BB798CD" w14:textId="77777777" w:rsidR="00560DE4" w:rsidRDefault="00560DE4" w:rsidP="00173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490B5" w14:textId="515954AF" w:rsidR="00246614" w:rsidRDefault="00246614">
    <w:pPr>
      <w:pStyle w:val="Header"/>
    </w:pPr>
    <w:r>
      <w:rPr>
        <w:noProof/>
      </w:rPr>
      <w:drawing>
        <wp:anchor distT="0" distB="0" distL="114300" distR="114300" simplePos="0" relativeHeight="251659264" behindDoc="0" locked="0" layoutInCell="1" allowOverlap="1" wp14:anchorId="6B12B096" wp14:editId="4ED73F2B">
          <wp:simplePos x="0" y="0"/>
          <wp:positionH relativeFrom="margin">
            <wp:align>center</wp:align>
          </wp:positionH>
          <wp:positionV relativeFrom="paragraph">
            <wp:posOffset>-425834</wp:posOffset>
          </wp:positionV>
          <wp:extent cx="7575688" cy="628650"/>
          <wp:effectExtent l="0" t="0" r="6350" b="0"/>
          <wp:wrapNone/>
          <wp:docPr id="1869460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60005" name="Picture 1869460005"/>
                  <pic:cNvPicPr/>
                </pic:nvPicPr>
                <pic:blipFill>
                  <a:blip r:embed="rId1">
                    <a:extLst>
                      <a:ext uri="{28A0092B-C50C-407E-A947-70E740481C1C}">
                        <a14:useLocalDpi xmlns:a14="http://schemas.microsoft.com/office/drawing/2010/main" val="0"/>
                      </a:ext>
                    </a:extLst>
                  </a:blip>
                  <a:stretch>
                    <a:fillRect/>
                  </a:stretch>
                </pic:blipFill>
                <pic:spPr>
                  <a:xfrm>
                    <a:off x="0" y="0"/>
                    <a:ext cx="7575688" cy="6286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2B3E3F"/>
    <w:multiLevelType w:val="hybridMultilevel"/>
    <w:tmpl w:val="6C16E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4F2FFB"/>
    <w:multiLevelType w:val="hybridMultilevel"/>
    <w:tmpl w:val="F92E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3512972">
    <w:abstractNumId w:val="0"/>
  </w:num>
  <w:num w:numId="2" w16cid:durableId="2140680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D6B"/>
    <w:rsid w:val="00005C9A"/>
    <w:rsid w:val="00012A80"/>
    <w:rsid w:val="00015081"/>
    <w:rsid w:val="00044112"/>
    <w:rsid w:val="00046942"/>
    <w:rsid w:val="000733F6"/>
    <w:rsid w:val="00074632"/>
    <w:rsid w:val="000C3362"/>
    <w:rsid w:val="000C7509"/>
    <w:rsid w:val="000D0162"/>
    <w:rsid w:val="000D0A00"/>
    <w:rsid w:val="000E13BE"/>
    <w:rsid w:val="000E5E13"/>
    <w:rsid w:val="000E6082"/>
    <w:rsid w:val="000E6B92"/>
    <w:rsid w:val="000E7AF5"/>
    <w:rsid w:val="00106868"/>
    <w:rsid w:val="00112995"/>
    <w:rsid w:val="00113C9C"/>
    <w:rsid w:val="001152DD"/>
    <w:rsid w:val="00145F65"/>
    <w:rsid w:val="001535DF"/>
    <w:rsid w:val="00154EEA"/>
    <w:rsid w:val="00156AFD"/>
    <w:rsid w:val="00164C08"/>
    <w:rsid w:val="001733D6"/>
    <w:rsid w:val="0018597C"/>
    <w:rsid w:val="00186C02"/>
    <w:rsid w:val="00191ACA"/>
    <w:rsid w:val="001966E7"/>
    <w:rsid w:val="001C452B"/>
    <w:rsid w:val="001C70D4"/>
    <w:rsid w:val="001D04EF"/>
    <w:rsid w:val="001D0DAF"/>
    <w:rsid w:val="001D1AC2"/>
    <w:rsid w:val="001E127D"/>
    <w:rsid w:val="001E1F40"/>
    <w:rsid w:val="001F76BD"/>
    <w:rsid w:val="002023CA"/>
    <w:rsid w:val="0021785D"/>
    <w:rsid w:val="002222AB"/>
    <w:rsid w:val="00222B8B"/>
    <w:rsid w:val="0023098D"/>
    <w:rsid w:val="00233558"/>
    <w:rsid w:val="00246614"/>
    <w:rsid w:val="00254090"/>
    <w:rsid w:val="00256B1F"/>
    <w:rsid w:val="00264FD2"/>
    <w:rsid w:val="00265C96"/>
    <w:rsid w:val="00267181"/>
    <w:rsid w:val="00284108"/>
    <w:rsid w:val="002864AB"/>
    <w:rsid w:val="002A5F43"/>
    <w:rsid w:val="002A7DDF"/>
    <w:rsid w:val="002B3E3C"/>
    <w:rsid w:val="002B41AA"/>
    <w:rsid w:val="002B4EAC"/>
    <w:rsid w:val="002B636D"/>
    <w:rsid w:val="002E4D62"/>
    <w:rsid w:val="002E584A"/>
    <w:rsid w:val="002F248E"/>
    <w:rsid w:val="002F38BB"/>
    <w:rsid w:val="00300923"/>
    <w:rsid w:val="0030186B"/>
    <w:rsid w:val="00306C47"/>
    <w:rsid w:val="00325F03"/>
    <w:rsid w:val="00332A16"/>
    <w:rsid w:val="00334D6B"/>
    <w:rsid w:val="003526C3"/>
    <w:rsid w:val="0036054C"/>
    <w:rsid w:val="00363B23"/>
    <w:rsid w:val="00364A42"/>
    <w:rsid w:val="003679BA"/>
    <w:rsid w:val="00372E7B"/>
    <w:rsid w:val="00390A8F"/>
    <w:rsid w:val="003B02B6"/>
    <w:rsid w:val="003B5596"/>
    <w:rsid w:val="003C0595"/>
    <w:rsid w:val="003C12FF"/>
    <w:rsid w:val="003C6FDD"/>
    <w:rsid w:val="003D2A5A"/>
    <w:rsid w:val="003D2CD9"/>
    <w:rsid w:val="003D6D25"/>
    <w:rsid w:val="003E4BC4"/>
    <w:rsid w:val="003E4E2D"/>
    <w:rsid w:val="003E5D14"/>
    <w:rsid w:val="003F05A2"/>
    <w:rsid w:val="003F274C"/>
    <w:rsid w:val="003F2A04"/>
    <w:rsid w:val="004009C1"/>
    <w:rsid w:val="00413254"/>
    <w:rsid w:val="0042051E"/>
    <w:rsid w:val="00433AB3"/>
    <w:rsid w:val="004347FB"/>
    <w:rsid w:val="00443308"/>
    <w:rsid w:val="00450409"/>
    <w:rsid w:val="00451F9D"/>
    <w:rsid w:val="00460AA6"/>
    <w:rsid w:val="0046429F"/>
    <w:rsid w:val="004904C4"/>
    <w:rsid w:val="004A4FAC"/>
    <w:rsid w:val="004A7A60"/>
    <w:rsid w:val="004E0028"/>
    <w:rsid w:val="004E7F5D"/>
    <w:rsid w:val="004F5A09"/>
    <w:rsid w:val="005035FB"/>
    <w:rsid w:val="00510BCE"/>
    <w:rsid w:val="00536EB0"/>
    <w:rsid w:val="00547CAD"/>
    <w:rsid w:val="00560DE4"/>
    <w:rsid w:val="00570A6D"/>
    <w:rsid w:val="00570ACE"/>
    <w:rsid w:val="005724E1"/>
    <w:rsid w:val="00595325"/>
    <w:rsid w:val="005A0AC3"/>
    <w:rsid w:val="005A1F87"/>
    <w:rsid w:val="005A6CF9"/>
    <w:rsid w:val="005B27E4"/>
    <w:rsid w:val="005D3A04"/>
    <w:rsid w:val="005E7470"/>
    <w:rsid w:val="006033DE"/>
    <w:rsid w:val="00622C19"/>
    <w:rsid w:val="0063372D"/>
    <w:rsid w:val="00645C23"/>
    <w:rsid w:val="006633D0"/>
    <w:rsid w:val="006816ED"/>
    <w:rsid w:val="006A0696"/>
    <w:rsid w:val="006C07D8"/>
    <w:rsid w:val="006D68E7"/>
    <w:rsid w:val="006E00BD"/>
    <w:rsid w:val="006E4FE5"/>
    <w:rsid w:val="006E6C46"/>
    <w:rsid w:val="006F274E"/>
    <w:rsid w:val="006F5CA7"/>
    <w:rsid w:val="00703ADE"/>
    <w:rsid w:val="007055E9"/>
    <w:rsid w:val="00707D77"/>
    <w:rsid w:val="00717A96"/>
    <w:rsid w:val="007200F5"/>
    <w:rsid w:val="00725871"/>
    <w:rsid w:val="0072676A"/>
    <w:rsid w:val="007270F4"/>
    <w:rsid w:val="00750385"/>
    <w:rsid w:val="00750F4E"/>
    <w:rsid w:val="00764F22"/>
    <w:rsid w:val="00780401"/>
    <w:rsid w:val="00781657"/>
    <w:rsid w:val="007858BF"/>
    <w:rsid w:val="00787052"/>
    <w:rsid w:val="00790A58"/>
    <w:rsid w:val="007953E7"/>
    <w:rsid w:val="007C4972"/>
    <w:rsid w:val="007E67D5"/>
    <w:rsid w:val="007E7F15"/>
    <w:rsid w:val="007F24D5"/>
    <w:rsid w:val="007F53B3"/>
    <w:rsid w:val="00801F5F"/>
    <w:rsid w:val="00807F08"/>
    <w:rsid w:val="00810BB0"/>
    <w:rsid w:val="00820186"/>
    <w:rsid w:val="00821BDA"/>
    <w:rsid w:val="008253FA"/>
    <w:rsid w:val="00834036"/>
    <w:rsid w:val="008352DC"/>
    <w:rsid w:val="0083620E"/>
    <w:rsid w:val="008425A3"/>
    <w:rsid w:val="00846FD6"/>
    <w:rsid w:val="00850FC6"/>
    <w:rsid w:val="00855736"/>
    <w:rsid w:val="00861A84"/>
    <w:rsid w:val="0086574E"/>
    <w:rsid w:val="0087005B"/>
    <w:rsid w:val="008833B8"/>
    <w:rsid w:val="00883A6A"/>
    <w:rsid w:val="008924DA"/>
    <w:rsid w:val="00894FE9"/>
    <w:rsid w:val="008A4C61"/>
    <w:rsid w:val="008A5CAC"/>
    <w:rsid w:val="008B752E"/>
    <w:rsid w:val="008C162F"/>
    <w:rsid w:val="008C4304"/>
    <w:rsid w:val="008C620F"/>
    <w:rsid w:val="008D0946"/>
    <w:rsid w:val="008D0B6D"/>
    <w:rsid w:val="008E33D1"/>
    <w:rsid w:val="008F3AA7"/>
    <w:rsid w:val="008F4E2F"/>
    <w:rsid w:val="0090049C"/>
    <w:rsid w:val="00902E08"/>
    <w:rsid w:val="00904449"/>
    <w:rsid w:val="00912170"/>
    <w:rsid w:val="0092132E"/>
    <w:rsid w:val="00933E3B"/>
    <w:rsid w:val="00934DF9"/>
    <w:rsid w:val="00950E7A"/>
    <w:rsid w:val="00953C0D"/>
    <w:rsid w:val="00957E82"/>
    <w:rsid w:val="0097744C"/>
    <w:rsid w:val="009911DD"/>
    <w:rsid w:val="009A2D16"/>
    <w:rsid w:val="009B5E06"/>
    <w:rsid w:val="009C288C"/>
    <w:rsid w:val="009C4E57"/>
    <w:rsid w:val="009E6406"/>
    <w:rsid w:val="009F3427"/>
    <w:rsid w:val="00A123F1"/>
    <w:rsid w:val="00A36F7C"/>
    <w:rsid w:val="00A45917"/>
    <w:rsid w:val="00A652B5"/>
    <w:rsid w:val="00A659C6"/>
    <w:rsid w:val="00A7060E"/>
    <w:rsid w:val="00A806E6"/>
    <w:rsid w:val="00A919CC"/>
    <w:rsid w:val="00A97964"/>
    <w:rsid w:val="00AC79A6"/>
    <w:rsid w:val="00AE0F43"/>
    <w:rsid w:val="00AE40CC"/>
    <w:rsid w:val="00AE4BE6"/>
    <w:rsid w:val="00AE6724"/>
    <w:rsid w:val="00AF42DC"/>
    <w:rsid w:val="00B07DB6"/>
    <w:rsid w:val="00B176AA"/>
    <w:rsid w:val="00B30938"/>
    <w:rsid w:val="00B427FB"/>
    <w:rsid w:val="00B46767"/>
    <w:rsid w:val="00B503BC"/>
    <w:rsid w:val="00B54DD9"/>
    <w:rsid w:val="00B61CFE"/>
    <w:rsid w:val="00B71658"/>
    <w:rsid w:val="00B80C5F"/>
    <w:rsid w:val="00B923D0"/>
    <w:rsid w:val="00BA2735"/>
    <w:rsid w:val="00BB4664"/>
    <w:rsid w:val="00BD0934"/>
    <w:rsid w:val="00BD3378"/>
    <w:rsid w:val="00BD3951"/>
    <w:rsid w:val="00BD4489"/>
    <w:rsid w:val="00BD63CF"/>
    <w:rsid w:val="00BD6E1D"/>
    <w:rsid w:val="00BE1464"/>
    <w:rsid w:val="00BE520A"/>
    <w:rsid w:val="00BE6CD4"/>
    <w:rsid w:val="00C01C9A"/>
    <w:rsid w:val="00C15F0A"/>
    <w:rsid w:val="00C164F2"/>
    <w:rsid w:val="00C22F37"/>
    <w:rsid w:val="00C23C79"/>
    <w:rsid w:val="00C36ADB"/>
    <w:rsid w:val="00C419AE"/>
    <w:rsid w:val="00C5070E"/>
    <w:rsid w:val="00C50784"/>
    <w:rsid w:val="00C556C2"/>
    <w:rsid w:val="00C64F50"/>
    <w:rsid w:val="00C74359"/>
    <w:rsid w:val="00C85954"/>
    <w:rsid w:val="00C90825"/>
    <w:rsid w:val="00C91890"/>
    <w:rsid w:val="00C91F22"/>
    <w:rsid w:val="00CA2170"/>
    <w:rsid w:val="00CA5CE2"/>
    <w:rsid w:val="00CB054F"/>
    <w:rsid w:val="00CB5A7D"/>
    <w:rsid w:val="00CB785A"/>
    <w:rsid w:val="00CC1D11"/>
    <w:rsid w:val="00CC26B4"/>
    <w:rsid w:val="00CC65E1"/>
    <w:rsid w:val="00CD63F6"/>
    <w:rsid w:val="00CD7086"/>
    <w:rsid w:val="00CE4E5B"/>
    <w:rsid w:val="00CE4F32"/>
    <w:rsid w:val="00CE58BD"/>
    <w:rsid w:val="00CF0B50"/>
    <w:rsid w:val="00CF48B7"/>
    <w:rsid w:val="00D0627B"/>
    <w:rsid w:val="00D1603F"/>
    <w:rsid w:val="00D16E2B"/>
    <w:rsid w:val="00D175BB"/>
    <w:rsid w:val="00D238B5"/>
    <w:rsid w:val="00D516F7"/>
    <w:rsid w:val="00D70A34"/>
    <w:rsid w:val="00D80D73"/>
    <w:rsid w:val="00D82B82"/>
    <w:rsid w:val="00D868DB"/>
    <w:rsid w:val="00D900D7"/>
    <w:rsid w:val="00D91182"/>
    <w:rsid w:val="00D97305"/>
    <w:rsid w:val="00DA1485"/>
    <w:rsid w:val="00DA20D9"/>
    <w:rsid w:val="00DA48B2"/>
    <w:rsid w:val="00DB22B5"/>
    <w:rsid w:val="00DC3BCC"/>
    <w:rsid w:val="00DC54E7"/>
    <w:rsid w:val="00DE117A"/>
    <w:rsid w:val="00DE71A7"/>
    <w:rsid w:val="00DF7028"/>
    <w:rsid w:val="00E0112A"/>
    <w:rsid w:val="00E14E55"/>
    <w:rsid w:val="00E24044"/>
    <w:rsid w:val="00E35A77"/>
    <w:rsid w:val="00E469F5"/>
    <w:rsid w:val="00E539D3"/>
    <w:rsid w:val="00E66D7F"/>
    <w:rsid w:val="00E67694"/>
    <w:rsid w:val="00E70C63"/>
    <w:rsid w:val="00E7152D"/>
    <w:rsid w:val="00E728E7"/>
    <w:rsid w:val="00E73CB2"/>
    <w:rsid w:val="00E7698F"/>
    <w:rsid w:val="00E76CC5"/>
    <w:rsid w:val="00EB70F0"/>
    <w:rsid w:val="00EC1764"/>
    <w:rsid w:val="00EC2EF4"/>
    <w:rsid w:val="00EC3AA4"/>
    <w:rsid w:val="00ED76E8"/>
    <w:rsid w:val="00EE097F"/>
    <w:rsid w:val="00EE4741"/>
    <w:rsid w:val="00EE6FA4"/>
    <w:rsid w:val="00EF244F"/>
    <w:rsid w:val="00F01D17"/>
    <w:rsid w:val="00F12CFC"/>
    <w:rsid w:val="00F23F93"/>
    <w:rsid w:val="00F25BBC"/>
    <w:rsid w:val="00F50CCF"/>
    <w:rsid w:val="00F51F10"/>
    <w:rsid w:val="00F8618E"/>
    <w:rsid w:val="00F93A78"/>
    <w:rsid w:val="00F94F1C"/>
    <w:rsid w:val="00F97AB7"/>
    <w:rsid w:val="00FA02E9"/>
    <w:rsid w:val="00FA0D61"/>
    <w:rsid w:val="00FA1CAC"/>
    <w:rsid w:val="00FC1444"/>
    <w:rsid w:val="00FD0296"/>
    <w:rsid w:val="00FD4AE3"/>
    <w:rsid w:val="00FD7AAE"/>
    <w:rsid w:val="00FF3481"/>
    <w:rsid w:val="1A06140B"/>
    <w:rsid w:val="2DC5591D"/>
    <w:rsid w:val="77D99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7C211"/>
  <w15:chartTrackingRefBased/>
  <w15:docId w15:val="{BC5AC55B-02C6-4826-837D-CB0C5F572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D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D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D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D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D6B"/>
    <w:rPr>
      <w:rFonts w:eastAsiaTheme="majorEastAsia" w:cstheme="majorBidi"/>
      <w:color w:val="272727" w:themeColor="text1" w:themeTint="D8"/>
    </w:rPr>
  </w:style>
  <w:style w:type="paragraph" w:styleId="Title">
    <w:name w:val="Title"/>
    <w:basedOn w:val="Normal"/>
    <w:next w:val="Normal"/>
    <w:link w:val="TitleChar"/>
    <w:uiPriority w:val="10"/>
    <w:qFormat/>
    <w:rsid w:val="00334D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D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D6B"/>
    <w:pPr>
      <w:spacing w:before="160"/>
      <w:jc w:val="center"/>
    </w:pPr>
    <w:rPr>
      <w:i/>
      <w:iCs/>
      <w:color w:val="404040" w:themeColor="text1" w:themeTint="BF"/>
    </w:rPr>
  </w:style>
  <w:style w:type="character" w:customStyle="1" w:styleId="QuoteChar">
    <w:name w:val="Quote Char"/>
    <w:basedOn w:val="DefaultParagraphFont"/>
    <w:link w:val="Quote"/>
    <w:uiPriority w:val="29"/>
    <w:rsid w:val="00334D6B"/>
    <w:rPr>
      <w:i/>
      <w:iCs/>
      <w:color w:val="404040" w:themeColor="text1" w:themeTint="BF"/>
    </w:rPr>
  </w:style>
  <w:style w:type="paragraph" w:styleId="ListParagraph">
    <w:name w:val="List Paragraph"/>
    <w:basedOn w:val="Normal"/>
    <w:uiPriority w:val="34"/>
    <w:qFormat/>
    <w:rsid w:val="00334D6B"/>
    <w:pPr>
      <w:ind w:left="720"/>
      <w:contextualSpacing/>
    </w:pPr>
  </w:style>
  <w:style w:type="character" w:styleId="IntenseEmphasis">
    <w:name w:val="Intense Emphasis"/>
    <w:basedOn w:val="DefaultParagraphFont"/>
    <w:uiPriority w:val="21"/>
    <w:qFormat/>
    <w:rsid w:val="00334D6B"/>
    <w:rPr>
      <w:i/>
      <w:iCs/>
      <w:color w:val="0F4761" w:themeColor="accent1" w:themeShade="BF"/>
    </w:rPr>
  </w:style>
  <w:style w:type="paragraph" w:styleId="IntenseQuote">
    <w:name w:val="Intense Quote"/>
    <w:basedOn w:val="Normal"/>
    <w:next w:val="Normal"/>
    <w:link w:val="IntenseQuoteChar"/>
    <w:uiPriority w:val="30"/>
    <w:qFormat/>
    <w:rsid w:val="00334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D6B"/>
    <w:rPr>
      <w:i/>
      <w:iCs/>
      <w:color w:val="0F4761" w:themeColor="accent1" w:themeShade="BF"/>
    </w:rPr>
  </w:style>
  <w:style w:type="character" w:styleId="IntenseReference">
    <w:name w:val="Intense Reference"/>
    <w:basedOn w:val="DefaultParagraphFont"/>
    <w:uiPriority w:val="32"/>
    <w:qFormat/>
    <w:rsid w:val="00334D6B"/>
    <w:rPr>
      <w:b/>
      <w:bCs/>
      <w:smallCaps/>
      <w:color w:val="0F4761" w:themeColor="accent1" w:themeShade="BF"/>
      <w:spacing w:val="5"/>
    </w:rPr>
  </w:style>
  <w:style w:type="character" w:styleId="Hyperlink">
    <w:name w:val="Hyperlink"/>
    <w:basedOn w:val="DefaultParagraphFont"/>
    <w:uiPriority w:val="99"/>
    <w:unhideWhenUsed/>
    <w:rsid w:val="00CC26B4"/>
    <w:rPr>
      <w:color w:val="467886" w:themeColor="hyperlink"/>
      <w:u w:val="single"/>
    </w:rPr>
  </w:style>
  <w:style w:type="character" w:styleId="UnresolvedMention">
    <w:name w:val="Unresolved Mention"/>
    <w:basedOn w:val="DefaultParagraphFont"/>
    <w:uiPriority w:val="99"/>
    <w:semiHidden/>
    <w:unhideWhenUsed/>
    <w:rsid w:val="00CC26B4"/>
    <w:rPr>
      <w:color w:val="605E5C"/>
      <w:shd w:val="clear" w:color="auto" w:fill="E1DFDD"/>
    </w:rPr>
  </w:style>
  <w:style w:type="paragraph" w:styleId="Header">
    <w:name w:val="header"/>
    <w:basedOn w:val="Normal"/>
    <w:link w:val="HeaderChar"/>
    <w:uiPriority w:val="99"/>
    <w:unhideWhenUsed/>
    <w:rsid w:val="00173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3D6"/>
  </w:style>
  <w:style w:type="paragraph" w:styleId="Footer">
    <w:name w:val="footer"/>
    <w:basedOn w:val="Normal"/>
    <w:link w:val="FooterChar"/>
    <w:uiPriority w:val="99"/>
    <w:unhideWhenUsed/>
    <w:rsid w:val="00173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3D6"/>
  </w:style>
  <w:style w:type="table" w:styleId="TableGrid">
    <w:name w:val="Table Grid"/>
    <w:basedOn w:val="TableNormal"/>
    <w:uiPriority w:val="39"/>
    <w:rsid w:val="002B3E3C"/>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ologs.com/social-learning-theory-by-albert-bandura/" TargetMode="External"/><Relationship Id="rId18" Type="http://schemas.openxmlformats.org/officeDocument/2006/relationships/hyperlink" Target="file:///C:\Users\littl\Downloads\Improvingteaching-Estyn%20(1).pdf" TargetMode="External"/><Relationship Id="rId26" Type="http://schemas.openxmlformats.org/officeDocument/2006/relationships/hyperlink" Target="https://doi.org/10.1007/BF00117714" TargetMode="External"/><Relationship Id="rId3" Type="http://schemas.openxmlformats.org/officeDocument/2006/relationships/settings" Target="settings.xml"/><Relationship Id="rId21" Type="http://schemas.openxmlformats.org/officeDocument/2006/relationships/hyperlink" Target="https://www.gov.uk/data-protection"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080/02602938.2018.1463354" TargetMode="External"/><Relationship Id="rId17" Type="http://schemas.openxmlformats.org/officeDocument/2006/relationships/hyperlink" Target="https://www.enago.com/academy/how-to-avoid-bias-in-qualitative-research/" TargetMode="External"/><Relationship Id="rId25" Type="http://schemas.openxmlformats.org/officeDocument/2006/relationships/hyperlink" Target="https://journals.sagepub.com/doi/full/10.1177/1609406920982148"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youtube.com/watch?v=E_6PskE3zfQ" TargetMode="External"/><Relationship Id="rId20" Type="http://schemas.openxmlformats.org/officeDocument/2006/relationships/hyperlink" Target="https://www.researchgate.net/publication/232599909_Metacognition_and_Cognitive_Monitoring_A_New_Area_of_Cognitive-Developmental_Inquiry" TargetMode="External"/><Relationship Id="rId29" Type="http://schemas.openxmlformats.org/officeDocument/2006/relationships/hyperlink" Target="https://www.unicef.org.uk/wp-content/uploads/2010/05/UNCRC_summary-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44836144_Inside_the_Black_Box_Raising_Standards_Through_Classroom_Assessment" TargetMode="External"/><Relationship Id="rId24" Type="http://schemas.openxmlformats.org/officeDocument/2006/relationships/hyperlink" Target="https://doi.org/10.1080/03075070600572090" TargetMode="External"/><Relationship Id="rId32" Type="http://schemas.openxmlformats.org/officeDocument/2006/relationships/hyperlink" Target="https://www.cambridgeassessment.org.uk/Images/166279-the-curriculum-and-the-entitlement-to-knowledge-prof-michael-young.pdf" TargetMode="External"/><Relationship Id="rId5" Type="http://schemas.openxmlformats.org/officeDocument/2006/relationships/footnotes" Target="footnotes.xml"/><Relationship Id="rId15" Type="http://schemas.openxmlformats.org/officeDocument/2006/relationships/hyperlink" Target="https://doi.org/10.2307/1319918" TargetMode="External"/><Relationship Id="rId23" Type="http://schemas.openxmlformats.org/officeDocument/2006/relationships/hyperlink" Target="https://www.simplypsychology.org/vygotsky.html" TargetMode="External"/><Relationship Id="rId28" Type="http://schemas.openxmlformats.org/officeDocument/2006/relationships/hyperlink" Target="https://www.tes.com/en-gb/for-schools/blog/article/why-staff-surveys-are-win-improving-wellbeing" TargetMode="External"/><Relationship Id="rId36" Type="http://schemas.openxmlformats.org/officeDocument/2006/relationships/theme" Target="theme/theme1.xml"/><Relationship Id="rId10" Type="http://schemas.openxmlformats.org/officeDocument/2006/relationships/hyperlink" Target="https://doi.org/10.1080/0969595980050102" TargetMode="External"/><Relationship Id="rId19" Type="http://schemas.openxmlformats.org/officeDocument/2006/relationships/hyperlink" Target="https://estyn.gov.wales/improvement-resources/striving-for-independent-learning-for-all-pupils/" TargetMode="External"/><Relationship Id="rId31" Type="http://schemas.openxmlformats.org/officeDocument/2006/relationships/hyperlink" Target="https://hwb.gov.wales/curriculum-for-wales/introduction-to-curriculum-for-wales-guidance/"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educationendowmentfoundation.org.uk/education-evidence/teaching-learning-toolkit/feedback" TargetMode="External"/><Relationship Id="rId22" Type="http://schemas.openxmlformats.org/officeDocument/2006/relationships/hyperlink" Target="https://www.gov.uk/guidance/mixed-methods-study" TargetMode="External"/><Relationship Id="rId27" Type="http://schemas.openxmlformats.org/officeDocument/2006/relationships/hyperlink" Target="https://doi.org/10.3102/0034654307313795" TargetMode="External"/><Relationship Id="rId30" Type="http://schemas.openxmlformats.org/officeDocument/2006/relationships/hyperlink" Target="https://www.gov.wales/sites/default/files/publications/2021-12/keeping-learners-safe.pdf" TargetMode="External"/><Relationship Id="rId35" Type="http://schemas.openxmlformats.org/officeDocument/2006/relationships/fontTable" Target="fontTable.xml"/><Relationship Id="rId8" Type="http://schemas.openxmlformats.org/officeDocument/2006/relationships/hyperlink" Target="https://www.tandfonline.com/doi/full/10.1080/02635143.2018.155762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4709</Words>
  <Characters>26845</Characters>
  <Application>Microsoft Office Word</Application>
  <DocSecurity>0</DocSecurity>
  <Lines>223</Lines>
  <Paragraphs>62</Paragraphs>
  <ScaleCrop>false</ScaleCrop>
  <Company/>
  <LinksUpToDate>false</LinksUpToDate>
  <CharactersWithSpaces>31492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may</dc:creator>
  <cp:keywords/>
  <dc:description/>
  <cp:lastModifiedBy>kelly may</cp:lastModifiedBy>
  <cp:revision>211</cp:revision>
  <dcterms:created xsi:type="dcterms:W3CDTF">2025-03-27T14:24:00Z</dcterms:created>
  <dcterms:modified xsi:type="dcterms:W3CDTF">2025-04-04T21:47:00Z</dcterms:modified>
</cp:coreProperties>
</file>