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24"/>
          <w:szCs w:val="24"/>
          <w:u w:val="single"/>
        </w:rPr>
      </w:pPr>
      <w:r w:rsidDel="00000000" w:rsidR="00000000" w:rsidRPr="00000000">
        <w:rPr>
          <w:sz w:val="24"/>
          <w:szCs w:val="24"/>
          <w:u w:val="single"/>
          <w:rtl w:val="0"/>
        </w:rPr>
        <w:t xml:space="preserve">Law assessment re-sit </w:t>
      </w:r>
    </w:p>
    <w:p w:rsidR="00000000" w:rsidDel="00000000" w:rsidP="00000000" w:rsidRDefault="00000000" w:rsidRPr="00000000" w14:paraId="00000002">
      <w:pPr>
        <w:rPr>
          <w:sz w:val="24"/>
          <w:szCs w:val="24"/>
          <w:u w:val="single"/>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Statutory interpretation is used to find meaning within a statute to understand how they may be applied within the court of law looking at text, purpose and context (Pey, n.d)</w:t>
      </w:r>
    </w:p>
    <w:p w:rsidR="00000000" w:rsidDel="00000000" w:rsidP="00000000" w:rsidRDefault="00000000" w:rsidRPr="00000000" w14:paraId="00000004">
      <w:pPr>
        <w:rPr>
          <w:sz w:val="24"/>
          <w:szCs w:val="24"/>
        </w:rPr>
      </w:pPr>
      <w:r w:rsidDel="00000000" w:rsidR="00000000" w:rsidRPr="00000000">
        <w:rPr>
          <w:sz w:val="24"/>
          <w:szCs w:val="24"/>
          <w:rtl w:val="0"/>
        </w:rPr>
        <w:t xml:space="preserve">Statutory interpretation is often seen as a fundamental part in the law process, with the use helping shape modern law, it is widely used in every court throughout the hierarchy (Getcaselaw.com, 2026). For this assessment the use of statutory interpretation and its five elements will be put into place to analyse a case study. </w:t>
      </w:r>
    </w:p>
    <w:p w:rsidR="00000000" w:rsidDel="00000000" w:rsidP="00000000" w:rsidRDefault="00000000" w:rsidRPr="00000000" w14:paraId="00000005">
      <w:pPr>
        <w:rPr>
          <w:sz w:val="24"/>
          <w:szCs w:val="24"/>
        </w:rPr>
      </w:pPr>
      <w:r w:rsidDel="00000000" w:rsidR="00000000" w:rsidRPr="00000000">
        <w:rPr>
          <w:sz w:val="24"/>
          <w:szCs w:val="24"/>
          <w:rtl w:val="0"/>
        </w:rPr>
        <w:t xml:space="preserve">The case revolves around a street artist who is accused of going against the pedestrian safety (fictitious) Act 2025. In this assessment, statutory interpretation will be used in order to understand and interpret this case. </w:t>
      </w:r>
    </w:p>
    <w:p w:rsidR="00000000" w:rsidDel="00000000" w:rsidP="00000000" w:rsidRDefault="00000000" w:rsidRPr="00000000" w14:paraId="00000006">
      <w:pPr>
        <w:rPr>
          <w:sz w:val="24"/>
          <w:szCs w:val="24"/>
        </w:rPr>
      </w:pPr>
      <w:r w:rsidDel="00000000" w:rsidR="00000000" w:rsidRPr="00000000">
        <w:rPr>
          <w:sz w:val="24"/>
          <w:szCs w:val="24"/>
          <w:rtl w:val="0"/>
        </w:rPr>
        <w:t xml:space="preserve">The provisions of this act goes under three different acts, firstly is section 1, is the offence of obstructing a public walkway, secondly section 2, is the definition of public walkway “A public walkway means any paved or designated pedestrian path accessible to the public and maintained by a local authority.” and finally section 3, which underlines exemptions being loading/unloading goods for a maximum of thirty minutes. </w:t>
      </w:r>
    </w:p>
    <w:p w:rsidR="00000000" w:rsidDel="00000000" w:rsidP="00000000" w:rsidRDefault="00000000" w:rsidRPr="00000000" w14:paraId="00000007">
      <w:pPr>
        <w:rPr>
          <w:sz w:val="24"/>
          <w:szCs w:val="24"/>
        </w:rPr>
      </w:pPr>
      <w:r w:rsidDel="00000000" w:rsidR="00000000" w:rsidRPr="00000000">
        <w:rPr>
          <w:sz w:val="24"/>
          <w:szCs w:val="24"/>
          <w:rtl w:val="0"/>
        </w:rPr>
        <w:t xml:space="preserve">Statutory interpretation goes under five methods of interpretation, these being the literal rule, the golden rule, the mischief rule, the purposive approach and lastly, aids of interpretation each in this assignment will be used to explain the case.</w:t>
      </w:r>
    </w:p>
    <w:p w:rsidR="00000000" w:rsidDel="00000000" w:rsidP="00000000" w:rsidRDefault="00000000" w:rsidRPr="00000000" w14:paraId="00000008">
      <w:pPr>
        <w:rPr>
          <w:sz w:val="24"/>
          <w:szCs w:val="24"/>
        </w:rPr>
      </w:pPr>
      <w:r w:rsidDel="00000000" w:rsidR="00000000" w:rsidRPr="00000000">
        <w:rPr>
          <w:sz w:val="24"/>
          <w:szCs w:val="24"/>
          <w:rtl w:val="0"/>
        </w:rPr>
        <w:t xml:space="preserve">Firstly, the literal rule, as articulated by Lord Esher in R v City of London Court Judge (1892), serves as an essential beginning  of statutory interpretation. This principle dictates that judges should follow strictly to the wording of the law, even if the outcomes may be seen as undesirable.</w:t>
      </w:r>
    </w:p>
    <w:p w:rsidR="00000000" w:rsidDel="00000000" w:rsidP="00000000" w:rsidRDefault="00000000" w:rsidRPr="00000000" w14:paraId="00000009">
      <w:pPr>
        <w:rPr>
          <w:sz w:val="24"/>
          <w:szCs w:val="24"/>
        </w:rPr>
      </w:pPr>
      <w:r w:rsidDel="00000000" w:rsidR="00000000" w:rsidRPr="00000000">
        <w:rPr>
          <w:sz w:val="24"/>
          <w:szCs w:val="24"/>
          <w:rtl w:val="0"/>
        </w:rPr>
        <w:t xml:space="preserve">A notable case where the literal rule was used is Whiteley V Chapel (1868), a controversial case balancing whether a person is entitled to vote if they are dead, even with impersonating a person, (Teach law , 2026)</w:t>
      </w:r>
    </w:p>
    <w:p w:rsidR="00000000" w:rsidDel="00000000" w:rsidP="00000000" w:rsidRDefault="00000000" w:rsidRPr="00000000" w14:paraId="0000000A">
      <w:pPr>
        <w:rPr>
          <w:sz w:val="24"/>
          <w:szCs w:val="24"/>
        </w:rPr>
      </w:pPr>
      <w:r w:rsidDel="00000000" w:rsidR="00000000" w:rsidRPr="00000000">
        <w:rPr>
          <w:sz w:val="24"/>
          <w:szCs w:val="24"/>
          <w:rtl w:val="0"/>
        </w:rPr>
        <w:t xml:space="preserve">When applied to the case involving Tariq, judges may need to interpret if his easel and display board are considered objects under the law, and did they have a direct impact on pedestrians traversing the pavement? </w:t>
      </w:r>
    </w:p>
    <w:p w:rsidR="00000000" w:rsidDel="00000000" w:rsidP="00000000" w:rsidRDefault="00000000" w:rsidRPr="00000000" w14:paraId="0000000B">
      <w:pPr>
        <w:rPr>
          <w:sz w:val="24"/>
          <w:szCs w:val="24"/>
        </w:rPr>
      </w:pPr>
      <w:r w:rsidDel="00000000" w:rsidR="00000000" w:rsidRPr="00000000">
        <w:rPr>
          <w:sz w:val="24"/>
          <w:szCs w:val="24"/>
          <w:rtl w:val="0"/>
        </w:rPr>
        <w:t xml:space="preserve">In this context, the large easel indeed constitutes an object, and so does the display board. According to the relevant act, any object or structure placed on a public walkway is deemed to obstruct the pathway. Furthermore, these items significantly affect pedestrian movement, forcing individuals to step onto the road to navigate around them. This situation also creates potential hazards not only for pedestrians but also for drivers who might not expect pedestrians veering onto the road. Thus, Tariq's actions directly affected pedestrian flow and safety and in accordance with the law, he obstructed pedestrian movement and many calls and complaints were made against him in support of the act. In further support of the literal rule, the exemption of the act is allowing loading and unloading of objects, within a thirty minute time frame, Tariq does not load or unload anything on his display while temporarily goes over that ime limit keeping his artwork there from 10 AM to 4 PM. This shows that section 3 of the act cannot be applied to him. </w:t>
      </w:r>
    </w:p>
    <w:p w:rsidR="00000000" w:rsidDel="00000000" w:rsidP="00000000" w:rsidRDefault="00000000" w:rsidRPr="00000000" w14:paraId="0000000C">
      <w:pPr>
        <w:rPr>
          <w:sz w:val="24"/>
          <w:szCs w:val="24"/>
        </w:rPr>
      </w:pPr>
      <w:r w:rsidDel="00000000" w:rsidR="00000000" w:rsidRPr="00000000">
        <w:rPr>
          <w:sz w:val="24"/>
          <w:szCs w:val="24"/>
          <w:rtl w:val="0"/>
        </w:rPr>
        <w:t xml:space="preserve">Secondly, the Golden rule is used in some cases where the literal rule cannot be applied and needs room for further interpretation that permits the court to assume that Parliament must have intended for the legislative provision it passed to have a broader definition than the literal interpretation of the word. To eliminate the inconsistency or absurdity that arises from the literal rule interpretation, the court may expand a word's grammatical or ordinary meaning, but not beyond that. (UOLLB, 2024)</w:t>
      </w:r>
    </w:p>
    <w:p w:rsidR="00000000" w:rsidDel="00000000" w:rsidP="00000000" w:rsidRDefault="00000000" w:rsidRPr="00000000" w14:paraId="0000000D">
      <w:pPr>
        <w:rPr>
          <w:sz w:val="24"/>
          <w:szCs w:val="24"/>
        </w:rPr>
      </w:pPr>
      <w:r w:rsidDel="00000000" w:rsidR="00000000" w:rsidRPr="00000000">
        <w:rPr>
          <w:sz w:val="24"/>
          <w:szCs w:val="24"/>
          <w:rtl w:val="0"/>
        </w:rPr>
        <w:t xml:space="preserve">A relevant case that used the golden rule is </w:t>
      </w:r>
      <w:r w:rsidDel="00000000" w:rsidR="00000000" w:rsidRPr="00000000">
        <w:rPr>
          <w:sz w:val="24"/>
          <w:szCs w:val="24"/>
          <w:rtl w:val="0"/>
        </w:rPr>
        <w:t xml:space="preserve">Adler v George (1964)</w:t>
      </w:r>
    </w:p>
    <w:p w:rsidR="00000000" w:rsidDel="00000000" w:rsidP="00000000" w:rsidRDefault="00000000" w:rsidRPr="00000000" w14:paraId="0000000E">
      <w:pPr>
        <w:rPr>
          <w:sz w:val="24"/>
          <w:szCs w:val="24"/>
        </w:rPr>
      </w:pPr>
      <w:r w:rsidDel="00000000" w:rsidR="00000000" w:rsidRPr="00000000">
        <w:rPr>
          <w:sz w:val="24"/>
          <w:szCs w:val="24"/>
          <w:rtl w:val="0"/>
        </w:rPr>
        <w:t xml:space="preserve">In the case of Tariq, he may be seen to use the golden room to interpret in defense of his case, arguing that his presumed ‘object’ was in fact neither an object nor a structure, moreover also defended how the pavement is in fact capable of dealing with passing pedestrians, which as we have seen in the case file, the pavement cannot tolerate oncoming pedestrian movement with his display also being there. Another measure to be considered is whether his actions may become a serious hazard, while it has not become a serious hazard yet, with pedestrians having to move off the road with moving vehicles, there is a potential for a hazard and a serious one at that. All in all the literal rule seems to be more appropriate in this case due to its relevance and the situation in general. </w:t>
      </w:r>
    </w:p>
    <w:p w:rsidR="00000000" w:rsidDel="00000000" w:rsidP="00000000" w:rsidRDefault="00000000" w:rsidRPr="00000000" w14:paraId="0000000F">
      <w:pPr>
        <w:rPr>
          <w:sz w:val="24"/>
          <w:szCs w:val="24"/>
        </w:rPr>
      </w:pPr>
      <w:r w:rsidDel="00000000" w:rsidR="00000000" w:rsidRPr="00000000">
        <w:rPr>
          <w:sz w:val="24"/>
          <w:szCs w:val="24"/>
          <w:rtl w:val="0"/>
        </w:rPr>
        <w:t xml:space="preserve">Thirdly, The mischief rule is a judicial interpretation principle that allows judges to interpret the laws passed by Parliament based on a central concern or "mischief “ that Parliament intended to address when the law was made. The courts interpret laws in a more thorough way than with the literal rule (interpreting laws solely using the language of the statute) by using an evaluation of the purpose of the statute to understand how the statute is worked and how to achieve a more flexible and just resolution. This approach allows judges to incorporate into their decisions the broader context and intention of the statute as a whole. </w:t>
      </w:r>
    </w:p>
    <w:p w:rsidR="00000000" w:rsidDel="00000000" w:rsidP="00000000" w:rsidRDefault="00000000" w:rsidRPr="00000000" w14:paraId="00000010">
      <w:pPr>
        <w:rPr>
          <w:sz w:val="24"/>
          <w:szCs w:val="24"/>
        </w:rPr>
      </w:pPr>
      <w:r w:rsidDel="00000000" w:rsidR="00000000" w:rsidRPr="00000000">
        <w:rPr>
          <w:sz w:val="24"/>
          <w:szCs w:val="24"/>
          <w:rtl w:val="0"/>
        </w:rPr>
        <w:t xml:space="preserve">The mischief rule originated from the 1584 Heydon's Case, which established a systematic approach to statutory interpretation and thus improved the effectiveness of legal remedies. However the rule seems to be outdated within the courts today, with people deeming it as less relevant, especially with the origin coming from 1584 however there are some more cases reported during this century such as the cases of (Royal college of Nursing of the united kingdom v. Department of Health and social security, 1981), and also Elliot V Grey (1960), (Record of Law, 2026). </w:t>
      </w:r>
    </w:p>
    <w:p w:rsidR="00000000" w:rsidDel="00000000" w:rsidP="00000000" w:rsidRDefault="00000000" w:rsidRPr="00000000" w14:paraId="00000011">
      <w:pPr>
        <w:rPr>
          <w:sz w:val="24"/>
          <w:szCs w:val="24"/>
        </w:rPr>
      </w:pPr>
      <w:r w:rsidDel="00000000" w:rsidR="00000000" w:rsidRPr="00000000">
        <w:rPr>
          <w:sz w:val="24"/>
          <w:szCs w:val="24"/>
          <w:rtl w:val="0"/>
        </w:rPr>
        <w:t xml:space="preserve">The application within the mischief rule to the case is quite similar to the other two rules i have previously mentioned where, his acts deliberately goes against the act on multiple occasions through the sections the pedestrian safety fictitious act 2024. However it may be argued under the mischief rule, that the law goes against his right to express his creativity and passion in the form of art, however, judges may not see this as a worthy enough argument in his case. </w:t>
      </w:r>
    </w:p>
    <w:p w:rsidR="00000000" w:rsidDel="00000000" w:rsidP="00000000" w:rsidRDefault="00000000" w:rsidRPr="00000000" w14:paraId="00000012">
      <w:pPr>
        <w:rPr>
          <w:sz w:val="24"/>
          <w:szCs w:val="24"/>
        </w:rPr>
      </w:pPr>
      <w:r w:rsidDel="00000000" w:rsidR="00000000" w:rsidRPr="00000000">
        <w:rPr>
          <w:sz w:val="24"/>
          <w:szCs w:val="24"/>
          <w:rtl w:val="0"/>
        </w:rPr>
        <w:t xml:space="preserve">Fourthly is the purposive approach, which is a technique that a judge may follow to interpret a law on a basis of the purpose for which the law has been enacted. He tries to interpret the law in a way that the purpose for which the law has been enacted is fulfilled, while looking to fix the statute and the interpretation itself. An example of the use of the purposive approach is pepper v hart 1993, which looked at the provisions from the finance act 1976. (Pepper v Hart, 2024). The purposive approach is widely known as a ‘modern approach’ within statutory interpretation lawprof.co (2025). </w:t>
      </w:r>
    </w:p>
    <w:p w:rsidR="00000000" w:rsidDel="00000000" w:rsidP="00000000" w:rsidRDefault="00000000" w:rsidRPr="00000000" w14:paraId="00000013">
      <w:pPr>
        <w:rPr>
          <w:sz w:val="24"/>
          <w:szCs w:val="24"/>
        </w:rPr>
      </w:pPr>
      <w:r w:rsidDel="00000000" w:rsidR="00000000" w:rsidRPr="00000000">
        <w:rPr>
          <w:sz w:val="24"/>
          <w:szCs w:val="24"/>
          <w:rtl w:val="0"/>
        </w:rPr>
        <w:t xml:space="preserve">The major advantage of the technique is that it attempts to avoid an unfair and unreasonable judgement, the purposive approach allows the court to consider the broader intention behind the act itself. </w:t>
      </w:r>
    </w:p>
    <w:p w:rsidR="00000000" w:rsidDel="00000000" w:rsidP="00000000" w:rsidRDefault="00000000" w:rsidRPr="00000000" w14:paraId="00000014">
      <w:pPr>
        <w:rPr>
          <w:sz w:val="24"/>
          <w:szCs w:val="24"/>
        </w:rPr>
      </w:pPr>
      <w:r w:rsidDel="00000000" w:rsidR="00000000" w:rsidRPr="00000000">
        <w:rPr>
          <w:sz w:val="24"/>
          <w:szCs w:val="24"/>
          <w:rtl w:val="0"/>
        </w:rPr>
        <w:t xml:space="preserve">Lastly is aids of interpretation, which uses multiple aids in order to interpret laws, firstly is the rules of language, 1. Ejusdem generis which means specific words into general words often in a group setting, 2. Expressio unius est exclusio alterius, only referring to specific things. 3. Noscitur a </w:t>
      </w:r>
      <w:r w:rsidDel="00000000" w:rsidR="00000000" w:rsidRPr="00000000">
        <w:rPr>
          <w:sz w:val="24"/>
          <w:szCs w:val="24"/>
          <w:rtl w:val="0"/>
        </w:rPr>
        <w:t xml:space="preserve">sociis</w:t>
      </w:r>
      <w:r w:rsidDel="00000000" w:rsidR="00000000" w:rsidRPr="00000000">
        <w:rPr>
          <w:sz w:val="24"/>
          <w:szCs w:val="24"/>
          <w:rtl w:val="0"/>
        </w:rPr>
        <w:t xml:space="preserve">, words that are grouped into categories. Expressio unius est exclusio alterius could be applied because while it says object or structure, it does not specifically call on what an object is or structure. Section 2 defines a public walkway as a paved path for pedestrians maintained by a local authority. The pavement outside the shopping centre is maintained by the council and is regularly used by pedestrians, so it clearly fits this definition. Section 3 provides an exception for items placed there for less than 30 minutes when loading or unloading goods. However, the display has been there for six hours, which means it doesn’t qualify for this exception. Because it has been there so long, the court may find that the display breaks the rules for public walkways. The court might also look at other sources, like parliamentary debates, to understand the law’s intention better. In those debates, MP Ayesha Khan stressed that the Act aims to keep walkways safe and accessible for everyone. This highlights that the law is meant to remove obstacles that might force pedestrians onto the road and increase their risk of accidents. Since Tariq’s display blocks the walkway and makes pedestrians step onto the road, these points support the idea that the display is not allowed. Ultimately, the main goal is public safety, and this display goes against that purpose.</w:t>
      </w:r>
    </w:p>
    <w:p w:rsidR="00000000" w:rsidDel="00000000" w:rsidP="00000000" w:rsidRDefault="00000000" w:rsidRPr="00000000" w14:paraId="00000015">
      <w:pPr>
        <w:rPr>
          <w:sz w:val="24"/>
          <w:szCs w:val="24"/>
        </w:rPr>
      </w:pPr>
      <w:r w:rsidDel="00000000" w:rsidR="00000000" w:rsidRPr="00000000">
        <w:rPr>
          <w:sz w:val="24"/>
          <w:szCs w:val="24"/>
          <w:rtl w:val="0"/>
        </w:rPr>
        <w:t xml:space="preserve">In conclusion, statutory interpretation plays a crucial role in determining how legislation should be applied within real‑world scenarios, and the case of Tariq under the Pedestrian Safety (Fictitious) Act 2025 demonstrates how each interpretive method guides judicial reasoning in different ways. By applying the literal rule, golden rule, mischief rule, purposive approach, and relevant aids to interpretation, it becomes clear that Tariq’s actions fall within the scope of obstructing a public walkway as defined by the Act. The literal meaning of “object or structure,” the purpose of ensuring pedestrian safety, and the mischief of preventing hazards on public walkways all point toward the same conclusion: the display significantly interfered with safe pedestrian movement. Even when considering broader interpretive approaches, such as purposive reasoning or contextual aids like parliamentary debates, the intention behind the Act remains focused on maintaining accessible and hazard‑free walkways. Moreover the literal rule may be best applied to tariq’s case due to its use of literal language </w:t>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u w:val="single"/>
        </w:rPr>
      </w:pPr>
      <w:r w:rsidDel="00000000" w:rsidR="00000000" w:rsidRPr="00000000">
        <w:rPr>
          <w:sz w:val="24"/>
          <w:szCs w:val="24"/>
          <w:u w:val="single"/>
          <w:rtl w:val="0"/>
        </w:rPr>
        <w:t xml:space="preserve">Reference list - </w:t>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spacing w:after="240" w:line="360" w:lineRule="auto"/>
        <w:rPr>
          <w:sz w:val="24"/>
          <w:szCs w:val="24"/>
        </w:rPr>
      </w:pPr>
      <w:r w:rsidDel="00000000" w:rsidR="00000000" w:rsidRPr="00000000">
        <w:rPr>
          <w:sz w:val="24"/>
          <w:szCs w:val="24"/>
          <w:rtl w:val="0"/>
        </w:rPr>
        <w:t xml:space="preserve">Getcaselaw.com. (2026a). </w:t>
      </w:r>
      <w:r w:rsidDel="00000000" w:rsidR="00000000" w:rsidRPr="00000000">
        <w:rPr>
          <w:i w:val="1"/>
          <w:iCs w:val="1"/>
          <w:sz w:val="24"/>
          <w:szCs w:val="24"/>
          <w:rtl w:val="0"/>
        </w:rPr>
        <w:t xml:space="preserve">Statutory interpretation</w:t>
      </w:r>
      <w:r w:rsidDel="00000000" w:rsidR="00000000" w:rsidRPr="00000000">
        <w:rPr>
          <w:sz w:val="24"/>
          <w:szCs w:val="24"/>
          <w:rtl w:val="0"/>
        </w:rPr>
        <w:t xml:space="preserve">. [online] Available at: https://www.getcaselaw.com/notes/oxford/introduction-to-law/week-3-statutory-interpretation [Accessed 10 July 2026a].</w:t>
      </w:r>
    </w:p>
    <w:p w:rsidR="00000000" w:rsidDel="00000000" w:rsidP="00000000" w:rsidRDefault="00000000" w:rsidRPr="00000000" w14:paraId="0000001B">
      <w:pPr>
        <w:spacing w:after="240" w:line="360" w:lineRule="auto"/>
        <w:rPr>
          <w:sz w:val="24"/>
          <w:szCs w:val="24"/>
        </w:rPr>
      </w:pPr>
      <w:r w:rsidDel="00000000" w:rsidR="00000000" w:rsidRPr="00000000">
        <w:rPr>
          <w:sz w:val="24"/>
          <w:szCs w:val="24"/>
          <w:rtl w:val="0"/>
        </w:rPr>
        <w:t xml:space="preserve">lawprof.co (2025). </w:t>
      </w:r>
      <w:r w:rsidDel="00000000" w:rsidR="00000000" w:rsidRPr="00000000">
        <w:rPr>
          <w:i w:val="1"/>
          <w:iCs w:val="1"/>
          <w:sz w:val="24"/>
          <w:szCs w:val="24"/>
          <w:rtl w:val="0"/>
        </w:rPr>
        <w:t xml:space="preserve">What is the purposive approach to statutory interpretation? - Lawprof.co</w:t>
      </w:r>
      <w:r w:rsidDel="00000000" w:rsidR="00000000" w:rsidRPr="00000000">
        <w:rPr>
          <w:sz w:val="24"/>
          <w:szCs w:val="24"/>
          <w:rtl w:val="0"/>
        </w:rPr>
        <w:t xml:space="preserve">. [online] </w:t>
      </w:r>
      <w:r w:rsidDel="00000000" w:rsidR="00000000" w:rsidRPr="00000000">
        <w:rPr>
          <w:i w:val="1"/>
          <w:iCs w:val="1"/>
          <w:sz w:val="24"/>
          <w:szCs w:val="24"/>
          <w:rtl w:val="0"/>
        </w:rPr>
        <w:t xml:space="preserve">lawprof.co</w:t>
      </w:r>
      <w:r w:rsidDel="00000000" w:rsidR="00000000" w:rsidRPr="00000000">
        <w:rPr>
          <w:sz w:val="24"/>
          <w:szCs w:val="24"/>
          <w:rtl w:val="0"/>
        </w:rPr>
        <w:t xml:space="preserve">. Available at: https://lawprof.co/flashcard/what-is-the-purposive-approach-to-statutory-interpretation/ [Accessed 14 July 2026].</w:t>
      </w:r>
    </w:p>
    <w:p w:rsidR="00000000" w:rsidDel="00000000" w:rsidP="00000000" w:rsidRDefault="00000000" w:rsidRPr="00000000" w14:paraId="0000001C">
      <w:pPr>
        <w:spacing w:after="240" w:line="360" w:lineRule="auto"/>
        <w:rPr>
          <w:sz w:val="24"/>
          <w:szCs w:val="24"/>
        </w:rPr>
      </w:pPr>
      <w:r w:rsidDel="00000000" w:rsidR="00000000" w:rsidRPr="00000000">
        <w:rPr>
          <w:sz w:val="24"/>
          <w:szCs w:val="24"/>
          <w:rtl w:val="0"/>
        </w:rPr>
        <w:t xml:space="preserve">Pepper v hart - erskine may - UK parliament. (2024). [online] </w:t>
      </w:r>
      <w:r w:rsidDel="00000000" w:rsidR="00000000" w:rsidRPr="00000000">
        <w:rPr>
          <w:i w:val="1"/>
          <w:iCs w:val="1"/>
          <w:sz w:val="24"/>
          <w:szCs w:val="24"/>
          <w:rtl w:val="0"/>
        </w:rPr>
        <w:t xml:space="preserve">Parliament.uk</w:t>
      </w:r>
      <w:r w:rsidDel="00000000" w:rsidR="00000000" w:rsidRPr="00000000">
        <w:rPr>
          <w:sz w:val="24"/>
          <w:szCs w:val="24"/>
          <w:rtl w:val="0"/>
        </w:rPr>
        <w:t xml:space="preserve">. Available at: https://erskinemay.parliament.uk/section/5052/pepper-v-hart/ [Accessed 11 July 2026].</w:t>
      </w:r>
    </w:p>
    <w:p w:rsidR="00000000" w:rsidDel="00000000" w:rsidP="00000000" w:rsidRDefault="00000000" w:rsidRPr="00000000" w14:paraId="0000001D">
      <w:pPr>
        <w:spacing w:after="240" w:line="360" w:lineRule="auto"/>
        <w:rPr>
          <w:sz w:val="24"/>
          <w:szCs w:val="24"/>
        </w:rPr>
      </w:pPr>
      <w:r w:rsidDel="00000000" w:rsidR="00000000" w:rsidRPr="00000000">
        <w:rPr>
          <w:sz w:val="24"/>
          <w:szCs w:val="24"/>
          <w:rtl w:val="0"/>
        </w:rPr>
        <w:t xml:space="preserve">Pey, R. (n.d.). </w:t>
      </w:r>
      <w:r w:rsidDel="00000000" w:rsidR="00000000" w:rsidRPr="00000000">
        <w:rPr>
          <w:i w:val="1"/>
          <w:iCs w:val="1"/>
          <w:sz w:val="24"/>
          <w:szCs w:val="24"/>
          <w:rtl w:val="0"/>
        </w:rPr>
        <w:t xml:space="preserve">Statutory interpretation explained - Ross R-S. pey (per incuriam) | cambridge university law society (CULS)</w:t>
      </w:r>
      <w:r w:rsidDel="00000000" w:rsidR="00000000" w:rsidRPr="00000000">
        <w:rPr>
          <w:sz w:val="24"/>
          <w:szCs w:val="24"/>
          <w:rtl w:val="0"/>
        </w:rPr>
        <w:t xml:space="preserve">. [online] </w:t>
      </w:r>
      <w:r w:rsidDel="00000000" w:rsidR="00000000" w:rsidRPr="00000000">
        <w:rPr>
          <w:i w:val="1"/>
          <w:iCs w:val="1"/>
          <w:sz w:val="24"/>
          <w:szCs w:val="24"/>
          <w:rtl w:val="0"/>
        </w:rPr>
        <w:t xml:space="preserve">www.culs.org.uk</w:t>
      </w:r>
      <w:r w:rsidDel="00000000" w:rsidR="00000000" w:rsidRPr="00000000">
        <w:rPr>
          <w:sz w:val="24"/>
          <w:szCs w:val="24"/>
          <w:rtl w:val="0"/>
        </w:rPr>
        <w:t xml:space="preserve">. Available at: https://www.culs.org.uk/per-incuriam/statutory-interpretation-explained [Accessed 12 July 2026].</w:t>
      </w:r>
    </w:p>
    <w:p w:rsidR="00000000" w:rsidDel="00000000" w:rsidP="00000000" w:rsidRDefault="00000000" w:rsidRPr="00000000" w14:paraId="0000001E">
      <w:pPr>
        <w:spacing w:after="240" w:line="360" w:lineRule="auto"/>
        <w:rPr>
          <w:sz w:val="24"/>
          <w:szCs w:val="24"/>
        </w:rPr>
      </w:pPr>
      <w:r w:rsidDel="00000000" w:rsidR="00000000" w:rsidRPr="00000000">
        <w:rPr>
          <w:sz w:val="24"/>
          <w:szCs w:val="24"/>
          <w:rtl w:val="0"/>
        </w:rPr>
        <w:t xml:space="preserve">Record of Law. (2026b). </w:t>
      </w:r>
      <w:r w:rsidDel="00000000" w:rsidR="00000000" w:rsidRPr="00000000">
        <w:rPr>
          <w:i w:val="1"/>
          <w:iCs w:val="1"/>
          <w:sz w:val="24"/>
          <w:szCs w:val="24"/>
          <w:rtl w:val="0"/>
        </w:rPr>
        <w:t xml:space="preserve">The mischief RULE of statutory interpretation</w:t>
      </w:r>
      <w:r w:rsidDel="00000000" w:rsidR="00000000" w:rsidRPr="00000000">
        <w:rPr>
          <w:sz w:val="24"/>
          <w:szCs w:val="24"/>
          <w:rtl w:val="0"/>
        </w:rPr>
        <w:t xml:space="preserve">. [online] Available at: https://recordoflaw.in/the-mischief-rule-of-statutory-interpretation/ [Accessed 12 July 2026b].</w:t>
      </w:r>
    </w:p>
    <w:p w:rsidR="00000000" w:rsidDel="00000000" w:rsidP="00000000" w:rsidRDefault="00000000" w:rsidRPr="00000000" w14:paraId="0000001F">
      <w:pPr>
        <w:spacing w:after="240" w:line="360" w:lineRule="auto"/>
        <w:rPr>
          <w:sz w:val="24"/>
          <w:szCs w:val="24"/>
        </w:rPr>
      </w:pPr>
      <w:r w:rsidDel="00000000" w:rsidR="00000000" w:rsidRPr="00000000">
        <w:rPr>
          <w:sz w:val="24"/>
          <w:szCs w:val="24"/>
          <w:rtl w:val="0"/>
        </w:rPr>
        <w:t xml:space="preserve">Royal college of Nursing of the united kingdom v. Department of Health and social security. (1981). </w:t>
      </w:r>
      <w:r w:rsidDel="00000000" w:rsidR="00000000" w:rsidRPr="00000000">
        <w:rPr>
          <w:i w:val="1"/>
          <w:iCs w:val="1"/>
          <w:sz w:val="24"/>
          <w:szCs w:val="24"/>
          <w:rtl w:val="0"/>
        </w:rPr>
        <w:t xml:space="preserve">The all England law reports</w:t>
      </w:r>
      <w:r w:rsidDel="00000000" w:rsidR="00000000" w:rsidRPr="00000000">
        <w:rPr>
          <w:sz w:val="24"/>
          <w:szCs w:val="24"/>
          <w:rtl w:val="0"/>
        </w:rPr>
        <w:t xml:space="preserve">, [online] 1, pp.545–578. Available at: https://pubmed.ncbi.nlm.nih.gov/11648331/ [Accessed 9 July 2026].</w:t>
      </w:r>
    </w:p>
    <w:p w:rsidR="00000000" w:rsidDel="00000000" w:rsidP="00000000" w:rsidRDefault="00000000" w:rsidRPr="00000000" w14:paraId="00000020">
      <w:pPr>
        <w:spacing w:after="240" w:line="360" w:lineRule="auto"/>
        <w:rPr>
          <w:sz w:val="24"/>
          <w:szCs w:val="24"/>
        </w:rPr>
      </w:pPr>
      <w:r w:rsidDel="00000000" w:rsidR="00000000" w:rsidRPr="00000000">
        <w:rPr>
          <w:sz w:val="24"/>
          <w:szCs w:val="24"/>
          <w:rtl w:val="0"/>
        </w:rPr>
        <w:t xml:space="preserve">Teach law (2026). </w:t>
      </w:r>
      <w:r w:rsidDel="00000000" w:rsidR="00000000" w:rsidRPr="00000000">
        <w:rPr>
          <w:i w:val="1"/>
          <w:iCs w:val="1"/>
          <w:sz w:val="24"/>
          <w:szCs w:val="24"/>
          <w:rtl w:val="0"/>
        </w:rPr>
        <w:t xml:space="preserve">Statutory interpretation</w:t>
      </w:r>
      <w:r w:rsidDel="00000000" w:rsidR="00000000" w:rsidRPr="00000000">
        <w:rPr>
          <w:sz w:val="24"/>
          <w:szCs w:val="24"/>
          <w:rtl w:val="0"/>
        </w:rPr>
        <w:t xml:space="preserve">. [online] </w:t>
      </w:r>
      <w:r w:rsidDel="00000000" w:rsidR="00000000" w:rsidRPr="00000000">
        <w:rPr>
          <w:i w:val="1"/>
          <w:iCs w:val="1"/>
          <w:sz w:val="24"/>
          <w:szCs w:val="24"/>
          <w:rtl w:val="0"/>
        </w:rPr>
        <w:t xml:space="preserve">Teach Law</w:t>
      </w:r>
      <w:r w:rsidDel="00000000" w:rsidR="00000000" w:rsidRPr="00000000">
        <w:rPr>
          <w:sz w:val="24"/>
          <w:szCs w:val="24"/>
          <w:rtl w:val="0"/>
        </w:rPr>
        <w:t xml:space="preserve">. Available at: https://www.teachlaw.net/post/statutory-interpretation [Accessed 13 July 2026].</w:t>
      </w:r>
    </w:p>
    <w:p w:rsidR="00000000" w:rsidDel="00000000" w:rsidP="00000000" w:rsidRDefault="00000000" w:rsidRPr="00000000" w14:paraId="00000021">
      <w:pPr>
        <w:spacing w:after="240" w:line="360" w:lineRule="auto"/>
        <w:rPr>
          <w:sz w:val="24"/>
          <w:szCs w:val="24"/>
        </w:rPr>
      </w:pPr>
      <w:r w:rsidDel="00000000" w:rsidR="00000000" w:rsidRPr="00000000">
        <w:rPr>
          <w:sz w:val="24"/>
          <w:szCs w:val="24"/>
          <w:rtl w:val="0"/>
        </w:rPr>
        <w:t xml:space="preserve">UOLLB (2024). </w:t>
      </w:r>
      <w:r w:rsidDel="00000000" w:rsidR="00000000" w:rsidRPr="00000000">
        <w:rPr>
          <w:i w:val="1"/>
          <w:iCs w:val="1"/>
          <w:sz w:val="24"/>
          <w:szCs w:val="24"/>
          <w:rtl w:val="0"/>
        </w:rPr>
        <w:t xml:space="preserve">Adler v george [1964]</w:t>
      </w:r>
      <w:r w:rsidDel="00000000" w:rsidR="00000000" w:rsidRPr="00000000">
        <w:rPr>
          <w:sz w:val="24"/>
          <w:szCs w:val="24"/>
          <w:rtl w:val="0"/>
        </w:rPr>
        <w:t xml:space="preserve">. [online] </w:t>
      </w:r>
      <w:r w:rsidDel="00000000" w:rsidR="00000000" w:rsidRPr="00000000">
        <w:rPr>
          <w:i w:val="1"/>
          <w:iCs w:val="1"/>
          <w:sz w:val="24"/>
          <w:szCs w:val="24"/>
          <w:rtl w:val="0"/>
        </w:rPr>
        <w:t xml:space="preserve">UOLLB First Class Law Notes</w:t>
      </w:r>
      <w:r w:rsidDel="00000000" w:rsidR="00000000" w:rsidRPr="00000000">
        <w:rPr>
          <w:sz w:val="24"/>
          <w:szCs w:val="24"/>
          <w:rtl w:val="0"/>
        </w:rPr>
        <w:t xml:space="preserve">. UOLLB First Class Law Notes. Available at: https://uollb.com/blogs/uol/adler-v-george-1964 [Accessed 13 July 2026].</w:t>
      </w:r>
    </w:p>
    <w:p w:rsidR="00000000" w:rsidDel="00000000" w:rsidP="00000000" w:rsidRDefault="00000000" w:rsidRPr="00000000" w14:paraId="00000022">
      <w:pPr>
        <w:spacing w:after="240" w:line="360" w:lineRule="auto"/>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