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diagrams/drawing1.xml" ContentType="application/vnd.ms-office.drawingml.diagramDrawing+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word/diagrams/layout2.xml" ContentType="application/vnd.openxmlformats-officedocument.drawingml.diagramLayout+xml"/>
  <Override PartName="/word/diagrams/data1.xml" ContentType="application/vnd.openxmlformats-officedocument.drawingml.diagramData+xml"/>
  <Override PartName="/word/diagrams/colors1.xml" ContentType="application/vnd.openxmlformats-officedocument.drawingml.diagramColors+xml"/>
  <Override PartName="/word/settings.xml" ContentType="application/vnd.openxmlformats-officedocument.wordprocessingml.settings+xml"/>
  <Override PartName="/docProps/custom.xml" ContentType="application/vnd.openxmlformats-officedocument.custom-properties+xml"/>
  <Override PartName="/word/diagrams/quickStyle2.xml" ContentType="application/vnd.openxmlformats-officedocument.drawingml.diagramStyle+xml"/>
  <Override PartName="/word/diagrams/layout1.xml" ContentType="application/vnd.openxmlformats-officedocument.drawingml.diagramLayout+xml"/>
  <Override PartName="/word/diagrams/drawing2.xml" ContentType="application/vnd.ms-office.drawingml.diagramDrawing+xml"/>
  <Override PartName="/word/document.xml" ContentType="application/vnd.openxmlformats-officedocument.wordprocessingml.document.main+xml"/>
  <Override PartName="/customXml/itemProps1.xml" ContentType="application/vnd.openxmlformats-officedocument.customXmlProperties+xml"/>
  <Override PartName="/word/diagrams/quickStyle1.xml" ContentType="application/vnd.openxmlformats-officedocument.drawingml.diagramStyle+xml"/>
  <Override PartName="/word/diagrams/data2.xml" ContentType="application/vnd.openxmlformats-officedocument.drawingml.diagramData+xml"/>
  <Override PartName="/word/diagrams/colors2.xml" ContentType="application/vnd.openxmlformats-officedocument.drawingml.diagramColor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259"/>
        <w:jc w:val="left"/>
        <w:rPr/>
      </w:pPr>
    </w:p>
    <w:p>
      <w:pPr>
        <w:pStyle w:val="style0"/>
        <w:spacing w:lineRule="auto" w:line="259"/>
        <w:jc w:val="left"/>
        <w:rPr/>
      </w:pPr>
      <w:r>
        <w:rPr>
          <w:lang w:val="en-US"/>
        </w:rPr>
        <w:t>Name.                         Simranjeet Kour</w:t>
      </w:r>
    </w:p>
    <w:p>
      <w:pPr>
        <w:pStyle w:val="style0"/>
        <w:spacing w:lineRule="auto" w:line="259"/>
        <w:jc w:val="left"/>
        <w:rPr/>
      </w:pPr>
      <w:r>
        <w:rPr>
          <w:lang w:val="en-US"/>
        </w:rPr>
        <w:t>Student id.                  2215780</w:t>
      </w:r>
    </w:p>
    <w:p>
      <w:pPr>
        <w:pStyle w:val="style0"/>
        <w:spacing w:lineRule="auto" w:line="259"/>
        <w:jc w:val="left"/>
        <w:rPr/>
      </w:pPr>
      <w:r>
        <w:rPr>
          <w:lang w:val="en-US"/>
        </w:rPr>
        <w:t>Programme.               MBA Master of Business Administration</w:t>
      </w:r>
    </w:p>
    <w:p>
      <w:pPr>
        <w:pStyle w:val="style0"/>
        <w:spacing w:lineRule="auto" w:line="259"/>
        <w:jc w:val="left"/>
        <w:rPr/>
      </w:pPr>
      <w:r>
        <w:rPr>
          <w:lang w:val="en-US"/>
        </w:rPr>
        <w:t xml:space="preserve">Module.                      Marketing management </w:t>
      </w:r>
    </w:p>
    <w:p>
      <w:pPr>
        <w:pStyle w:val="style0"/>
        <w:spacing w:lineRule="auto" w:line="259"/>
        <w:jc w:val="left"/>
        <w:rPr/>
      </w:pPr>
      <w:r>
        <w:rPr>
          <w:lang w:val="en-US"/>
        </w:rPr>
        <w:t>Module code.             LCMB7001</w:t>
      </w:r>
    </w:p>
    <w:p>
      <w:pPr>
        <w:pStyle w:val="style0"/>
        <w:spacing w:lineRule="auto" w:line="259"/>
        <w:jc w:val="left"/>
        <w:rPr/>
      </w:pPr>
      <w:r>
        <w:rPr>
          <w:lang w:val="en-US"/>
        </w:rPr>
        <w:t>Assignment tittle.     Marketing management Assessment 1</w:t>
      </w:r>
    </w:p>
    <w:p>
      <w:pPr>
        <w:pStyle w:val="style0"/>
        <w:spacing w:lineRule="auto" w:line="259"/>
        <w:jc w:val="left"/>
        <w:rPr/>
      </w:pPr>
      <w:r>
        <w:rPr>
          <w:lang w:val="en-US"/>
        </w:rPr>
        <w:t>Word counts.             3500</w:t>
      </w:r>
    </w:p>
    <w:p>
      <w:pPr>
        <w:pStyle w:val="style0"/>
        <w:spacing w:lineRule="auto" w:line="259"/>
        <w:jc w:val="left"/>
        <w:rPr/>
      </w:pPr>
    </w:p>
    <w:p>
      <w:pPr>
        <w:pStyle w:val="style0"/>
        <w:spacing w:lineRule="auto" w:line="259"/>
        <w:jc w:val="left"/>
        <w:rPr/>
      </w:pPr>
    </w:p>
    <w:p>
      <w:pPr>
        <w:pStyle w:val="style0"/>
        <w:spacing w:lineRule="auto" w:line="259"/>
        <w:jc w:val="left"/>
        <w:rPr/>
      </w:pPr>
    </w:p>
    <w:p>
      <w:pPr>
        <w:pStyle w:val="style0"/>
        <w:spacing w:lineRule="auto" w:line="259"/>
        <w:jc w:val="left"/>
        <w:rPr/>
      </w:pPr>
    </w:p>
    <w:p>
      <w:pPr>
        <w:pStyle w:val="style0"/>
        <w:spacing w:lineRule="auto" w:line="259"/>
        <w:jc w:val="left"/>
        <w:rPr/>
      </w:pPr>
    </w:p>
    <w:p>
      <w:pPr>
        <w:pStyle w:val="style0"/>
        <w:spacing w:lineRule="auto" w:line="259"/>
        <w:jc w:val="center"/>
        <w:rPr>
          <w:rFonts w:cs="宋体" w:eastAsia="宋体"/>
          <w:b/>
          <w:bCs/>
          <w:szCs w:val="32"/>
        </w:rPr>
      </w:pPr>
      <w:r>
        <w:rPr>
          <w:b/>
          <w:bCs/>
          <w:sz w:val="36"/>
          <w:szCs w:val="32"/>
        </w:rPr>
        <w:t>Customer Journey of OnePlus</w:t>
      </w:r>
      <w:r>
        <w:rPr>
          <w:b/>
          <w:bCs/>
        </w:rPr>
        <w:br w:type="page"/>
      </w:r>
    </w:p>
    <w:p>
      <w:pPr>
        <w:pStyle w:val="style266"/>
        <w:rPr/>
      </w:pPr>
      <w:r>
        <w:t>Table of Contents</w:t>
      </w:r>
    </w:p>
    <w:p>
      <w:pPr>
        <w:pStyle w:val="style19"/>
        <w:tabs>
          <w:tab w:val="right" w:leader="dot" w:pos="9350"/>
        </w:tabs>
        <w:rPr>
          <w:rFonts w:ascii="Calibri" w:eastAsia="宋体" w:hAnsi="Calibri"/>
          <w:noProof/>
          <w:sz w:val="22"/>
          <w:lang w:val="en-IN" w:eastAsia="en-IN"/>
        </w:rPr>
      </w:pPr>
      <w:r>
        <w:rPr/>
        <w:fldChar w:fldCharType="begin"/>
      </w:r>
      <w:r>
        <w:instrText xml:space="preserve"> TOC \o "1-3" \h \z \u </w:instrText>
      </w:r>
      <w:r>
        <w:rPr/>
        <w:fldChar w:fldCharType="separate"/>
      </w:r>
      <w:r>
        <w:rPr/>
        <w:fldChar w:fldCharType="begin"/>
      </w:r>
      <w:r>
        <w:instrText xml:space="preserve"> HYPERLINK \l "_Toc122728920"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_Toc122728920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rFonts w:ascii="Calibri" w:eastAsia="宋体" w:hAnsi="Calibri"/>
          <w:noProof/>
          <w:sz w:val="22"/>
          <w:lang w:val="en-IN" w:eastAsia="en-IN"/>
        </w:rPr>
      </w:pPr>
      <w:r>
        <w:rPr/>
        <w:fldChar w:fldCharType="begin"/>
      </w:r>
      <w:r>
        <w:instrText xml:space="preserve"> HYPERLINK \l "_Toc122728921" </w:instrText>
      </w:r>
      <w:r>
        <w:rPr/>
        <w:fldChar w:fldCharType="separate"/>
      </w:r>
      <w:r>
        <w:rPr>
          <w:rStyle w:val="style85"/>
          <w:noProof/>
        </w:rPr>
        <w:t>Communication</w:t>
      </w:r>
      <w:r>
        <w:rPr>
          <w:noProof/>
          <w:webHidden/>
        </w:rPr>
        <w:tab/>
      </w:r>
      <w:r>
        <w:rPr>
          <w:noProof/>
          <w:webHidden/>
        </w:rPr>
        <w:fldChar w:fldCharType="begin"/>
      </w:r>
      <w:r>
        <w:rPr>
          <w:noProof/>
          <w:webHidden/>
        </w:rPr>
        <w:instrText xml:space="preserve"> PAGEREF _Toc122728921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rFonts w:ascii="Calibri" w:eastAsia="宋体" w:hAnsi="Calibri"/>
          <w:noProof/>
          <w:sz w:val="22"/>
          <w:lang w:val="en-IN" w:eastAsia="en-IN"/>
        </w:rPr>
      </w:pPr>
      <w:r>
        <w:rPr/>
        <w:fldChar w:fldCharType="begin"/>
      </w:r>
      <w:r>
        <w:instrText xml:space="preserve"> HYPERLINK \l "_Toc122728922" </w:instrText>
      </w:r>
      <w:r>
        <w:rPr/>
        <w:fldChar w:fldCharType="separate"/>
      </w:r>
      <w:r>
        <w:rPr>
          <w:rStyle w:val="style85"/>
          <w:noProof/>
        </w:rPr>
        <w:t>Definition of communication</w:t>
      </w:r>
      <w:r>
        <w:rPr>
          <w:noProof/>
          <w:webHidden/>
        </w:rPr>
        <w:tab/>
      </w:r>
      <w:r>
        <w:rPr>
          <w:noProof/>
          <w:webHidden/>
        </w:rPr>
        <w:fldChar w:fldCharType="begin"/>
      </w:r>
      <w:r>
        <w:rPr>
          <w:noProof/>
          <w:webHidden/>
        </w:rPr>
        <w:instrText xml:space="preserve"> PAGEREF _Toc122728922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rPr>
          <w:rFonts w:ascii="Calibri" w:eastAsia="宋体" w:hAnsi="Calibri"/>
          <w:noProof/>
          <w:sz w:val="22"/>
          <w:lang w:val="en-IN" w:eastAsia="en-IN"/>
        </w:rPr>
      </w:pPr>
      <w:r>
        <w:rPr/>
        <w:fldChar w:fldCharType="begin"/>
      </w:r>
      <w:r>
        <w:instrText xml:space="preserve"> HYPERLINK \l "_Toc122728923" </w:instrText>
      </w:r>
      <w:r>
        <w:rPr/>
        <w:fldChar w:fldCharType="separate"/>
      </w:r>
      <w:r>
        <w:rPr>
          <w:rStyle w:val="style85"/>
          <w:noProof/>
        </w:rPr>
        <w:t>Shannon and weaver's communication model</w:t>
      </w:r>
      <w:r>
        <w:rPr>
          <w:noProof/>
          <w:webHidden/>
        </w:rPr>
        <w:tab/>
      </w:r>
      <w:r>
        <w:rPr>
          <w:noProof/>
          <w:webHidden/>
        </w:rPr>
        <w:fldChar w:fldCharType="begin"/>
      </w:r>
      <w:r>
        <w:rPr>
          <w:noProof/>
          <w:webHidden/>
        </w:rPr>
        <w:instrText xml:space="preserve"> PAGEREF _Toc122728923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rFonts w:ascii="Calibri" w:eastAsia="宋体" w:hAnsi="Calibri"/>
          <w:noProof/>
          <w:sz w:val="22"/>
          <w:lang w:val="en-IN" w:eastAsia="en-IN"/>
        </w:rPr>
      </w:pPr>
      <w:r>
        <w:rPr/>
        <w:fldChar w:fldCharType="begin"/>
      </w:r>
      <w:r>
        <w:instrText xml:space="preserve"> HYPERLINK \l "_Toc122728924" </w:instrText>
      </w:r>
      <w:r>
        <w:rPr/>
        <w:fldChar w:fldCharType="separate"/>
      </w:r>
      <w:r>
        <w:rPr>
          <w:rStyle w:val="style85"/>
          <w:noProof/>
        </w:rPr>
        <w:t>Integrated marketing communication</w:t>
      </w:r>
      <w:r>
        <w:rPr>
          <w:noProof/>
          <w:webHidden/>
        </w:rPr>
        <w:tab/>
      </w:r>
      <w:r>
        <w:rPr>
          <w:noProof/>
          <w:webHidden/>
        </w:rPr>
        <w:fldChar w:fldCharType="begin"/>
      </w:r>
      <w:r>
        <w:rPr>
          <w:noProof/>
          <w:webHidden/>
        </w:rPr>
        <w:instrText xml:space="preserve"> PAGEREF _Toc122728924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rPr>
          <w:rFonts w:ascii="Calibri" w:eastAsia="宋体" w:hAnsi="Calibri"/>
          <w:noProof/>
          <w:sz w:val="22"/>
          <w:lang w:val="en-IN" w:eastAsia="en-IN"/>
        </w:rPr>
      </w:pPr>
      <w:r>
        <w:rPr/>
        <w:fldChar w:fldCharType="begin"/>
      </w:r>
      <w:r>
        <w:instrText xml:space="preserve"> HYPERLINK \l "_Toc122728925" </w:instrText>
      </w:r>
      <w:r>
        <w:rPr/>
        <w:fldChar w:fldCharType="separate"/>
      </w:r>
      <w:r>
        <w:rPr>
          <w:rStyle w:val="style85"/>
          <w:noProof/>
        </w:rPr>
        <w:t>New promotional strategies</w:t>
      </w:r>
      <w:r>
        <w:rPr>
          <w:noProof/>
          <w:webHidden/>
        </w:rPr>
        <w:tab/>
      </w:r>
      <w:r>
        <w:rPr>
          <w:noProof/>
          <w:webHidden/>
        </w:rPr>
        <w:fldChar w:fldCharType="begin"/>
      </w:r>
      <w:r>
        <w:rPr>
          <w:noProof/>
          <w:webHidden/>
        </w:rPr>
        <w:instrText xml:space="preserve"> PAGEREF _Toc122728925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libri" w:eastAsia="宋体" w:hAnsi="Calibri"/>
          <w:noProof/>
          <w:sz w:val="22"/>
          <w:lang w:val="en-IN" w:eastAsia="en-IN"/>
        </w:rPr>
      </w:pPr>
      <w:r>
        <w:rPr/>
        <w:fldChar w:fldCharType="begin"/>
      </w:r>
      <w:r>
        <w:instrText xml:space="preserve"> HYPERLINK \l "_Toc122728926" </w:instrText>
      </w:r>
      <w:r>
        <w:rPr/>
        <w:fldChar w:fldCharType="separate"/>
      </w:r>
      <w:r>
        <w:rPr>
          <w:rStyle w:val="style85"/>
          <w:noProof/>
        </w:rPr>
        <w:t>Online promotion</w:t>
      </w:r>
      <w:r>
        <w:rPr>
          <w:noProof/>
          <w:webHidden/>
        </w:rPr>
        <w:tab/>
      </w:r>
      <w:r>
        <w:rPr>
          <w:noProof/>
          <w:webHidden/>
        </w:rPr>
        <w:fldChar w:fldCharType="begin"/>
      </w:r>
      <w:r>
        <w:rPr>
          <w:noProof/>
          <w:webHidden/>
        </w:rPr>
        <w:instrText xml:space="preserve"> PAGEREF _Toc122728926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rPr>
          <w:rFonts w:ascii="Calibri" w:eastAsia="宋体" w:hAnsi="Calibri"/>
          <w:noProof/>
          <w:sz w:val="22"/>
          <w:lang w:val="en-IN" w:eastAsia="en-IN"/>
        </w:rPr>
      </w:pPr>
      <w:r>
        <w:rPr/>
        <w:fldChar w:fldCharType="begin"/>
      </w:r>
      <w:r>
        <w:instrText xml:space="preserve"> HYPERLINK \l "_Toc122728927" </w:instrText>
      </w:r>
      <w:r>
        <w:rPr/>
        <w:fldChar w:fldCharType="separate"/>
      </w:r>
      <w:r>
        <w:rPr>
          <w:rStyle w:val="style85"/>
          <w:noProof/>
        </w:rPr>
        <w:t>Offline promotion</w:t>
      </w:r>
      <w:r>
        <w:rPr>
          <w:noProof/>
          <w:webHidden/>
        </w:rPr>
        <w:tab/>
      </w:r>
      <w:r>
        <w:rPr>
          <w:noProof/>
          <w:webHidden/>
        </w:rPr>
        <w:fldChar w:fldCharType="begin"/>
      </w:r>
      <w:r>
        <w:rPr>
          <w:noProof/>
          <w:webHidden/>
        </w:rPr>
        <w:instrText xml:space="preserve"> PAGEREF _Toc122728927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350"/>
        </w:tabs>
        <w:rPr>
          <w:rFonts w:ascii="Calibri" w:eastAsia="宋体" w:hAnsi="Calibri"/>
          <w:noProof/>
          <w:sz w:val="22"/>
          <w:lang w:val="en-IN" w:eastAsia="en-IN"/>
        </w:rPr>
      </w:pPr>
      <w:r>
        <w:rPr/>
        <w:fldChar w:fldCharType="begin"/>
      </w:r>
      <w:r>
        <w:instrText xml:space="preserve"> HYPERLINK \l "_Toc122728928" </w:instrText>
      </w:r>
      <w:r>
        <w:rPr/>
        <w:fldChar w:fldCharType="separate"/>
      </w:r>
      <w:r>
        <w:rPr>
          <w:rStyle w:val="style85"/>
          <w:noProof/>
        </w:rPr>
        <w:t>Branding and branding equity</w:t>
      </w:r>
      <w:r>
        <w:rPr>
          <w:noProof/>
          <w:webHidden/>
        </w:rPr>
        <w:tab/>
      </w:r>
      <w:r>
        <w:rPr>
          <w:noProof/>
          <w:webHidden/>
        </w:rPr>
        <w:fldChar w:fldCharType="begin"/>
      </w:r>
      <w:r>
        <w:rPr>
          <w:noProof/>
          <w:webHidden/>
        </w:rPr>
        <w:instrText xml:space="preserve"> PAGEREF _Toc122728928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libri" w:eastAsia="宋体" w:hAnsi="Calibri"/>
          <w:noProof/>
          <w:sz w:val="22"/>
          <w:lang w:val="en-IN" w:eastAsia="en-IN"/>
        </w:rPr>
      </w:pPr>
      <w:r>
        <w:rPr/>
        <w:fldChar w:fldCharType="begin"/>
      </w:r>
      <w:r>
        <w:instrText xml:space="preserve"> HYPERLINK \l "_Toc122728929" </w:instrText>
      </w:r>
      <w:r>
        <w:rPr/>
        <w:fldChar w:fldCharType="separate"/>
      </w:r>
      <w:r>
        <w:rPr>
          <w:rStyle w:val="style85"/>
          <w:noProof/>
        </w:rPr>
        <w:t>Keller’s brand equity model</w:t>
      </w:r>
      <w:r>
        <w:rPr>
          <w:noProof/>
          <w:webHidden/>
        </w:rPr>
        <w:tab/>
      </w:r>
      <w:r>
        <w:rPr>
          <w:noProof/>
          <w:webHidden/>
        </w:rPr>
        <w:fldChar w:fldCharType="begin"/>
      </w:r>
      <w:r>
        <w:rPr>
          <w:noProof/>
          <w:webHidden/>
        </w:rPr>
        <w:instrText xml:space="preserve"> PAGEREF _Toc122728929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rPr>
          <w:rFonts w:ascii="Calibri" w:eastAsia="宋体" w:hAnsi="Calibri"/>
          <w:noProof/>
          <w:sz w:val="22"/>
          <w:lang w:val="en-IN" w:eastAsia="en-IN"/>
        </w:rPr>
      </w:pPr>
      <w:r>
        <w:rPr/>
        <w:fldChar w:fldCharType="begin"/>
      </w:r>
      <w:r>
        <w:instrText xml:space="preserve"> HYPERLINK \l "_Toc122728930" </w:instrText>
      </w:r>
      <w:r>
        <w:rPr/>
        <w:fldChar w:fldCharType="separate"/>
      </w:r>
      <w:r>
        <w:rPr>
          <w:rStyle w:val="style85"/>
          <w:noProof/>
        </w:rPr>
        <w:t>Advantages and disadvantages of Keller’s brand equity model</w:t>
      </w:r>
      <w:r>
        <w:rPr>
          <w:noProof/>
          <w:webHidden/>
        </w:rPr>
        <w:tab/>
      </w:r>
      <w:r>
        <w:rPr>
          <w:noProof/>
          <w:webHidden/>
        </w:rPr>
        <w:fldChar w:fldCharType="begin"/>
      </w:r>
      <w:r>
        <w:rPr>
          <w:noProof/>
          <w:webHidden/>
        </w:rPr>
        <w:instrText xml:space="preserve"> PAGEREF _Toc122728930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350"/>
        </w:tabs>
        <w:rPr>
          <w:rFonts w:ascii="Calibri" w:eastAsia="宋体" w:hAnsi="Calibri"/>
          <w:noProof/>
          <w:sz w:val="22"/>
          <w:lang w:val="en-IN" w:eastAsia="en-IN"/>
        </w:rPr>
      </w:pPr>
      <w:r>
        <w:rPr/>
        <w:fldChar w:fldCharType="begin"/>
      </w:r>
      <w:r>
        <w:instrText xml:space="preserve"> HYPERLINK \l "_Toc122728931" </w:instrText>
      </w:r>
      <w:r>
        <w:rPr/>
        <w:fldChar w:fldCharType="separate"/>
      </w:r>
      <w:r>
        <w:rPr>
          <w:rStyle w:val="style85"/>
          <w:noProof/>
        </w:rPr>
        <w:t>5. Customer journey</w:t>
      </w:r>
      <w:r>
        <w:rPr>
          <w:noProof/>
          <w:webHidden/>
        </w:rPr>
        <w:tab/>
      </w:r>
      <w:r>
        <w:rPr>
          <w:noProof/>
          <w:webHidden/>
        </w:rPr>
        <w:fldChar w:fldCharType="begin"/>
      </w:r>
      <w:r>
        <w:rPr>
          <w:noProof/>
          <w:webHidden/>
        </w:rPr>
        <w:instrText xml:space="preserve"> PAGEREF _Toc122728931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350"/>
        </w:tabs>
        <w:rPr>
          <w:rFonts w:ascii="Calibri" w:eastAsia="宋体" w:hAnsi="Calibri"/>
          <w:noProof/>
          <w:sz w:val="22"/>
          <w:lang w:val="en-IN" w:eastAsia="en-IN"/>
        </w:rPr>
      </w:pPr>
      <w:r>
        <w:rPr/>
        <w:fldChar w:fldCharType="begin"/>
      </w:r>
      <w:r>
        <w:instrText xml:space="preserve"> HYPERLINK \l "_Toc122728932" </w:instrText>
      </w:r>
      <w:r>
        <w:rPr/>
        <w:fldChar w:fldCharType="separate"/>
      </w:r>
      <w:r>
        <w:rPr>
          <w:rStyle w:val="style85"/>
          <w:noProof/>
        </w:rPr>
        <w:t>6. Customer touch points</w:t>
      </w:r>
      <w:r>
        <w:rPr>
          <w:noProof/>
          <w:webHidden/>
        </w:rPr>
        <w:tab/>
      </w:r>
      <w:r>
        <w:rPr>
          <w:noProof/>
          <w:webHidden/>
        </w:rPr>
        <w:fldChar w:fldCharType="begin"/>
      </w:r>
      <w:r>
        <w:rPr>
          <w:noProof/>
          <w:webHidden/>
        </w:rPr>
        <w:instrText xml:space="preserve"> PAGEREF _Toc122728932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rFonts w:ascii="Calibri" w:eastAsia="宋体" w:hAnsi="Calibri"/>
          <w:noProof/>
          <w:sz w:val="22"/>
          <w:lang w:val="en-IN" w:eastAsia="en-IN"/>
        </w:rPr>
      </w:pPr>
      <w:r>
        <w:rPr/>
        <w:fldChar w:fldCharType="begin"/>
      </w:r>
      <w:r>
        <w:instrText xml:space="preserve"> HYPERLINK \l "_Toc122728933" </w:instrText>
      </w:r>
      <w:r>
        <w:rPr/>
        <w:fldChar w:fldCharType="separate"/>
      </w:r>
      <w:r>
        <w:rPr>
          <w:rStyle w:val="style85"/>
          <w:rFonts w:ascii="Arial" w:cs="Arial" w:hAnsi="Arial"/>
          <w:noProof/>
        </w:rPr>
        <w:t xml:space="preserve">• </w:t>
      </w:r>
      <w:r>
        <w:rPr>
          <w:rStyle w:val="style85"/>
          <w:noProof/>
        </w:rPr>
        <w:t>Pre – purchase</w:t>
      </w:r>
      <w:r>
        <w:rPr>
          <w:noProof/>
          <w:webHidden/>
        </w:rPr>
        <w:tab/>
      </w:r>
      <w:r>
        <w:rPr>
          <w:noProof/>
          <w:webHidden/>
        </w:rPr>
        <w:fldChar w:fldCharType="begin"/>
      </w:r>
      <w:r>
        <w:rPr>
          <w:noProof/>
          <w:webHidden/>
        </w:rPr>
        <w:instrText xml:space="preserve"> PAGEREF _Toc122728933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rFonts w:ascii="Calibri" w:eastAsia="宋体" w:hAnsi="Calibri"/>
          <w:noProof/>
          <w:sz w:val="22"/>
          <w:lang w:val="en-IN" w:eastAsia="en-IN"/>
        </w:rPr>
      </w:pPr>
      <w:r>
        <w:rPr/>
        <w:fldChar w:fldCharType="begin"/>
      </w:r>
      <w:r>
        <w:instrText xml:space="preserve"> HYPERLINK \l "_Toc122728934" </w:instrText>
      </w:r>
      <w:r>
        <w:rPr/>
        <w:fldChar w:fldCharType="separate"/>
      </w:r>
      <w:r>
        <w:rPr>
          <w:rStyle w:val="style85"/>
          <w:rFonts w:ascii="Arial" w:cs="Arial" w:hAnsi="Arial"/>
          <w:noProof/>
        </w:rPr>
        <w:t xml:space="preserve">• </w:t>
      </w:r>
      <w:r>
        <w:rPr>
          <w:rStyle w:val="style85"/>
          <w:noProof/>
        </w:rPr>
        <w:t>Purchase</w:t>
      </w:r>
      <w:r>
        <w:rPr>
          <w:noProof/>
          <w:webHidden/>
        </w:rPr>
        <w:tab/>
      </w:r>
      <w:r>
        <w:rPr>
          <w:noProof/>
          <w:webHidden/>
        </w:rPr>
        <w:fldChar w:fldCharType="begin"/>
      </w:r>
      <w:r>
        <w:rPr>
          <w:noProof/>
          <w:webHidden/>
        </w:rPr>
        <w:instrText xml:space="preserve"> PAGEREF _Toc122728934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rFonts w:ascii="Calibri" w:eastAsia="宋体" w:hAnsi="Calibri"/>
          <w:noProof/>
          <w:sz w:val="22"/>
          <w:lang w:val="en-IN" w:eastAsia="en-IN"/>
        </w:rPr>
      </w:pPr>
      <w:r>
        <w:rPr/>
        <w:fldChar w:fldCharType="begin"/>
      </w:r>
      <w:r>
        <w:instrText xml:space="preserve"> HYPERLINK \l "_Toc122728935" </w:instrText>
      </w:r>
      <w:r>
        <w:rPr/>
        <w:fldChar w:fldCharType="separate"/>
      </w:r>
      <w:r>
        <w:rPr>
          <w:rStyle w:val="style85"/>
          <w:rFonts w:ascii="Arial" w:cs="Arial" w:hAnsi="Arial"/>
          <w:noProof/>
        </w:rPr>
        <w:t xml:space="preserve">• </w:t>
      </w:r>
      <w:r>
        <w:rPr>
          <w:rStyle w:val="style85"/>
          <w:noProof/>
        </w:rPr>
        <w:t>Post purchase</w:t>
      </w:r>
      <w:r>
        <w:rPr>
          <w:noProof/>
          <w:webHidden/>
        </w:rPr>
        <w:tab/>
      </w:r>
      <w:r>
        <w:rPr>
          <w:noProof/>
          <w:webHidden/>
        </w:rPr>
        <w:fldChar w:fldCharType="begin"/>
      </w:r>
      <w:r>
        <w:rPr>
          <w:noProof/>
          <w:webHidden/>
        </w:rPr>
        <w:instrText xml:space="preserve"> PAGEREF _Toc122728935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350"/>
        </w:tabs>
        <w:rPr>
          <w:rFonts w:ascii="Calibri" w:eastAsia="宋体" w:hAnsi="Calibri"/>
          <w:noProof/>
          <w:sz w:val="22"/>
          <w:lang w:val="en-IN" w:eastAsia="en-IN"/>
        </w:rPr>
      </w:pPr>
      <w:r>
        <w:rPr/>
        <w:fldChar w:fldCharType="begin"/>
      </w:r>
      <w:r>
        <w:instrText xml:space="preserve"> HYPERLINK \l "_Toc122728936" </w:instrText>
      </w:r>
      <w:r>
        <w:rPr/>
        <w:fldChar w:fldCharType="separate"/>
      </w:r>
      <w:r>
        <w:rPr>
          <w:rStyle w:val="style85"/>
          <w:noProof/>
        </w:rPr>
        <w:t>7. Diagram and explain the customer journey map</w:t>
      </w:r>
      <w:r>
        <w:rPr>
          <w:noProof/>
          <w:webHidden/>
        </w:rPr>
        <w:tab/>
      </w:r>
      <w:r>
        <w:rPr>
          <w:noProof/>
          <w:webHidden/>
        </w:rPr>
        <w:fldChar w:fldCharType="begin"/>
      </w:r>
      <w:r>
        <w:rPr>
          <w:noProof/>
          <w:webHidden/>
        </w:rPr>
        <w:instrText xml:space="preserve"> PAGEREF _Toc122728936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350"/>
        </w:tabs>
        <w:rPr>
          <w:rFonts w:ascii="Calibri" w:eastAsia="宋体" w:hAnsi="Calibri"/>
          <w:noProof/>
          <w:sz w:val="22"/>
          <w:lang w:val="en-IN" w:eastAsia="en-IN"/>
        </w:rPr>
      </w:pPr>
      <w:r>
        <w:rPr/>
        <w:fldChar w:fldCharType="begin"/>
      </w:r>
      <w:r>
        <w:instrText xml:space="preserve"> HYPERLINK \l "_Toc122728937" </w:instrText>
      </w:r>
      <w:r>
        <w:rPr/>
        <w:fldChar w:fldCharType="separate"/>
      </w:r>
      <w:r>
        <w:rPr>
          <w:rStyle w:val="style85"/>
          <w:noProof/>
        </w:rPr>
        <w:t>8. Strengths &amp; weakness of customer journey map</w:t>
      </w:r>
      <w:r>
        <w:rPr>
          <w:noProof/>
          <w:webHidden/>
        </w:rPr>
        <w:tab/>
      </w:r>
      <w:r>
        <w:rPr>
          <w:noProof/>
          <w:webHidden/>
        </w:rPr>
        <w:fldChar w:fldCharType="begin"/>
      </w:r>
      <w:r>
        <w:rPr>
          <w:noProof/>
          <w:webHidden/>
        </w:rPr>
        <w:instrText xml:space="preserve"> PAGEREF _Toc122728937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350"/>
        </w:tabs>
        <w:rPr>
          <w:rFonts w:ascii="Calibri" w:eastAsia="宋体" w:hAnsi="Calibri"/>
          <w:noProof/>
          <w:sz w:val="22"/>
          <w:lang w:val="en-IN" w:eastAsia="en-IN"/>
        </w:rPr>
      </w:pPr>
      <w:r>
        <w:rPr/>
        <w:fldChar w:fldCharType="begin"/>
      </w:r>
      <w:r>
        <w:instrText xml:space="preserve"> HYPERLINK \l "_Toc122728938" </w:instrText>
      </w:r>
      <w:r>
        <w:rPr/>
        <w:fldChar w:fldCharType="separate"/>
      </w:r>
      <w:r>
        <w:rPr>
          <w:rStyle w:val="style85"/>
          <w:noProof/>
        </w:rPr>
        <w:t>9. The total engagement models</w:t>
      </w:r>
      <w:r>
        <w:rPr>
          <w:noProof/>
          <w:webHidden/>
        </w:rPr>
        <w:tab/>
      </w:r>
      <w:r>
        <w:rPr>
          <w:noProof/>
          <w:webHidden/>
        </w:rPr>
        <w:fldChar w:fldCharType="begin"/>
      </w:r>
      <w:r>
        <w:rPr>
          <w:noProof/>
          <w:webHidden/>
        </w:rPr>
        <w:instrText xml:space="preserve"> PAGEREF _Toc122728938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350"/>
        </w:tabs>
        <w:rPr>
          <w:rFonts w:ascii="Calibri" w:eastAsia="宋体" w:hAnsi="Calibri"/>
          <w:noProof/>
          <w:sz w:val="22"/>
          <w:lang w:val="en-IN" w:eastAsia="en-IN"/>
        </w:rPr>
      </w:pPr>
      <w:r>
        <w:rPr/>
        <w:fldChar w:fldCharType="begin"/>
      </w:r>
      <w:r>
        <w:instrText xml:space="preserve"> HYPERLINK \l "_Toc122728939" </w:instrText>
      </w:r>
      <w:r>
        <w:rPr/>
        <w:fldChar w:fldCharType="separate"/>
      </w:r>
      <w:r>
        <w:rPr>
          <w:rStyle w:val="style85"/>
          <w:noProof/>
        </w:rPr>
        <w:t>10. Conclusion</w:t>
      </w:r>
      <w:r>
        <w:rPr>
          <w:noProof/>
          <w:webHidden/>
        </w:rPr>
        <w:tab/>
      </w:r>
      <w:r>
        <w:rPr>
          <w:noProof/>
          <w:webHidden/>
        </w:rPr>
        <w:fldChar w:fldCharType="begin"/>
      </w:r>
      <w:r>
        <w:rPr>
          <w:noProof/>
          <w:webHidden/>
        </w:rPr>
        <w:instrText xml:space="preserve"> PAGEREF _Toc122728939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350"/>
        </w:tabs>
        <w:rPr>
          <w:rFonts w:ascii="Calibri" w:eastAsia="宋体" w:hAnsi="Calibri"/>
          <w:noProof/>
          <w:sz w:val="22"/>
          <w:lang w:val="en-IN" w:eastAsia="en-IN"/>
        </w:rPr>
      </w:pPr>
      <w:r>
        <w:rPr/>
        <w:fldChar w:fldCharType="begin"/>
      </w:r>
      <w:r>
        <w:instrText xml:space="preserve"> HYPERLINK \l "_Toc122728940" </w:instrText>
      </w:r>
      <w:r>
        <w:rPr/>
        <w:fldChar w:fldCharType="separate"/>
      </w:r>
      <w:r>
        <w:rPr>
          <w:rStyle w:val="style85"/>
          <w:noProof/>
        </w:rPr>
        <w:t>11. Recommendations</w:t>
      </w:r>
      <w:r>
        <w:rPr>
          <w:noProof/>
          <w:webHidden/>
        </w:rPr>
        <w:tab/>
      </w:r>
      <w:r>
        <w:rPr>
          <w:noProof/>
          <w:webHidden/>
        </w:rPr>
        <w:fldChar w:fldCharType="begin"/>
      </w:r>
      <w:r>
        <w:rPr>
          <w:noProof/>
          <w:webHidden/>
        </w:rPr>
        <w:instrText xml:space="preserve"> PAGEREF _Toc122728940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350"/>
        </w:tabs>
        <w:rPr>
          <w:rFonts w:ascii="Calibri" w:eastAsia="宋体" w:hAnsi="Calibri"/>
          <w:noProof/>
          <w:sz w:val="22"/>
          <w:lang w:val="en-IN" w:eastAsia="en-IN"/>
        </w:rPr>
      </w:pPr>
      <w:r>
        <w:rPr/>
        <w:fldChar w:fldCharType="begin"/>
      </w:r>
      <w:r>
        <w:instrText xml:space="preserve"> HYPERLINK \l "_Toc122728941"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_Toc122728941 \h </w:instrText>
      </w:r>
      <w:r>
        <w:rPr>
          <w:noProof/>
          <w:webHidden/>
        </w:rPr>
        <w:fldChar w:fldCharType="separate"/>
      </w:r>
      <w:r>
        <w:rPr>
          <w:noProof/>
          <w:webHidden/>
        </w:rPr>
        <w:t>14</w:t>
      </w:r>
      <w:r>
        <w:rPr>
          <w:noProof/>
          <w:webHidden/>
        </w:rPr>
        <w:fldChar w:fldCharType="end"/>
      </w:r>
      <w:r>
        <w:rPr/>
        <w:fldChar w:fldCharType="end"/>
      </w:r>
    </w:p>
    <w:p>
      <w:pPr>
        <w:pStyle w:val="style0"/>
        <w:rPr>
          <w:b/>
          <w:bCs/>
          <w:noProof/>
        </w:rPr>
      </w:pPr>
      <w:r>
        <w:rPr>
          <w:b/>
          <w:bCs/>
          <w:noProof/>
        </w:rPr>
        <w:fldChar w:fldCharType="end"/>
      </w:r>
    </w:p>
    <w:bookmarkStart w:id="0" w:name="_Toc122728920"/>
    <w:p>
      <w:pPr>
        <w:pStyle w:val="style1"/>
        <w:rPr/>
      </w:pPr>
      <w:r>
        <w:t>Introduction</w:t>
      </w:r>
      <w:bookmarkEnd w:id="0"/>
    </w:p>
    <w:p>
      <w:pPr>
        <w:pStyle w:val="style0"/>
        <w:rPr/>
      </w:pPr>
      <w:r>
        <w:t xml:space="preserve">The present report seeks to </w:t>
      </w:r>
      <w:r>
        <w:t xml:space="preserve">discuss </w:t>
      </w:r>
      <w:r>
        <w:t xml:space="preserve">how the organization can create </w:t>
      </w:r>
      <w:r>
        <w:t xml:space="preserve">innovative marketing strategies for generating awareness </w:t>
      </w:r>
      <w:r>
        <w:t>of the brand and managing as well as evaluating the customer journey across different communication channels</w:t>
      </w:r>
      <w:r>
        <w:t xml:space="preserve">. </w:t>
      </w:r>
      <w:r>
        <w:t>This will further analy</w:t>
      </w:r>
      <w:r>
        <w:t xml:space="preserve">se how the company fulfils the expectations of the stakeholders using several theories. </w:t>
      </w:r>
      <w:r>
        <w:t xml:space="preserve">Therefore, the report will focus on the touch points </w:t>
      </w:r>
      <w:r>
        <w:t xml:space="preserve">that are necessary for maximizing customer satisfaction. </w:t>
      </w:r>
      <w:r>
        <w:t xml:space="preserve">The chosen organization for this project is </w:t>
      </w:r>
      <w:r>
        <w:t>OnePlus</w:t>
      </w:r>
      <w:r>
        <w:t xml:space="preserve"> which is a </w:t>
      </w:r>
      <w:r>
        <w:t xml:space="preserve">Chinese </w:t>
      </w:r>
      <w:r>
        <w:t>consumer electronics. The fir</w:t>
      </w:r>
      <w:r>
        <w:t>m is headquartered in China and is a subsidiary of Oppo brand</w:t>
      </w:r>
      <w:r>
        <w:t xml:space="preserve"> (</w:t>
      </w:r>
      <w:r>
        <w:t>Panigrahi</w:t>
      </w:r>
      <w:r>
        <w:t>, 2019)</w:t>
      </w:r>
      <w:r>
        <w:t xml:space="preserve">. </w:t>
      </w:r>
      <w:r>
        <w:t xml:space="preserve">OnePlus has been founded by Pete Lau </w:t>
      </w:r>
      <w:r>
        <w:t>in the year 2013</w:t>
      </w:r>
      <w:r>
        <w:t xml:space="preserve"> and since them, it has received significant </w:t>
      </w:r>
      <w:r>
        <w:t xml:space="preserve">achievements. </w:t>
      </w:r>
      <w:r>
        <w:t xml:space="preserve">Besides, the company has a range of products and the demand for smartphones has increased over the years. The </w:t>
      </w:r>
      <w:r>
        <w:t xml:space="preserve">firm has a global foothold and </w:t>
      </w:r>
      <w:r>
        <w:t xml:space="preserve">has </w:t>
      </w:r>
      <w:r>
        <w:t xml:space="preserve">faced significant growth in the past few years. </w:t>
      </w:r>
      <w:r>
        <w:t>With time, the brand has diversified its product line</w:t>
      </w:r>
      <w:r>
        <w:t xml:space="preserve">. The </w:t>
      </w:r>
      <w:r>
        <w:t xml:space="preserve">company has entered the market of wearables and televisions and holds a </w:t>
      </w:r>
      <w:r>
        <w:t>strong market in the electronic industry. However, t</w:t>
      </w:r>
      <w:r>
        <w:t xml:space="preserve">o manage the demand and sales of the products, it is important to focus on effective marketing. </w:t>
      </w:r>
      <w:r>
        <w:t xml:space="preserve">Businesses across different sectors employ </w:t>
      </w:r>
      <w:r>
        <w:t xml:space="preserve">touchpoints to help the market and sales initiative. </w:t>
      </w:r>
      <w:r>
        <w:t xml:space="preserve">Hence, this report will discuss </w:t>
      </w:r>
      <w:r>
        <w:t xml:space="preserve">the touch point of OnePlus </w:t>
      </w:r>
      <w:r>
        <w:t xml:space="preserve">that help the company to evaluate consumer needs, drive sales and promote the brand. </w:t>
      </w:r>
    </w:p>
    <w:bookmarkStart w:id="1" w:name="_Toc122728921"/>
    <w:p>
      <w:pPr>
        <w:pStyle w:val="style1"/>
        <w:rPr/>
      </w:pPr>
      <w:r>
        <w:t>Communication</w:t>
      </w:r>
      <w:bookmarkEnd w:id="1"/>
    </w:p>
    <w:bookmarkStart w:id="2" w:name="_Toc122728922"/>
    <w:p>
      <w:pPr>
        <w:pStyle w:val="style2"/>
        <w:rPr/>
      </w:pPr>
      <w:r>
        <w:t>Definition of communication</w:t>
      </w:r>
      <w:bookmarkEnd w:id="2"/>
    </w:p>
    <w:p>
      <w:pPr>
        <w:pStyle w:val="style0"/>
        <w:rPr/>
      </w:pPr>
      <w:r>
        <w:t xml:space="preserve">The term </w:t>
      </w:r>
      <w:r>
        <w:t xml:space="preserve">'communication has been originated from the Latin word </w:t>
      </w:r>
      <w:r>
        <w:t>‘communis’</w:t>
      </w:r>
      <w:r>
        <w:t xml:space="preserve">. However, it </w:t>
      </w:r>
      <w:r>
        <w:t xml:space="preserve">asserts that the term means 'common' which indicates that there should be </w:t>
      </w:r>
      <w:r>
        <w:t xml:space="preserve">a common understanding between the two parties and the receiver </w:t>
      </w:r>
      <w:r>
        <w:t xml:space="preserve">with whom the message is being communicated. </w:t>
      </w:r>
      <w:r>
        <w:t xml:space="preserve">Again, communication has been defined as the </w:t>
      </w:r>
      <w:r>
        <w:t>field of study that focuses on the transmission of information and broadcasting</w:t>
      </w:r>
      <w:r>
        <w:t xml:space="preserve">. </w:t>
      </w:r>
      <w:r>
        <w:t xml:space="preserve">The </w:t>
      </w:r>
      <w:r>
        <w:t>Oxford Advanced Learner’s Dictionary</w:t>
      </w:r>
      <w:r>
        <w:t xml:space="preserve"> also defined </w:t>
      </w:r>
      <w:r>
        <w:t xml:space="preserve">communication as a process of sharing ideas and feelings and </w:t>
      </w:r>
      <w:r>
        <w:t>sharing information</w:t>
      </w:r>
      <w:r>
        <w:t xml:space="preserve"> (</w:t>
      </w:r>
      <w:r>
        <w:t>Fatimayin</w:t>
      </w:r>
      <w:r>
        <w:t>, 2018)</w:t>
      </w:r>
      <w:r>
        <w:t xml:space="preserve">. </w:t>
      </w:r>
      <w:r>
        <w:t xml:space="preserve">On the other side, </w:t>
      </w:r>
      <w:r>
        <w:t xml:space="preserve">communication is defined as </w:t>
      </w:r>
      <w:r>
        <w:t>a sum of things that an individual does in order to make people understand</w:t>
      </w:r>
      <w:r>
        <w:t>. It is more about listening, speaking and understanding</w:t>
      </w:r>
      <w:r>
        <w:t xml:space="preserve"> (Van Ruler, 2018)</w:t>
      </w:r>
      <w:r>
        <w:t xml:space="preserve">. </w:t>
      </w:r>
      <w:r>
        <w:t xml:space="preserve">Therefore, communication is </w:t>
      </w:r>
      <w:r>
        <w:t xml:space="preserve">regarded as an important part of the context of the organization and the organizations cannot operate without communication between different levels of </w:t>
      </w:r>
      <w:r>
        <w:t xml:space="preserve">departments or employees. </w:t>
      </w:r>
    </w:p>
    <w:bookmarkStart w:id="3" w:name="_Toc122728923"/>
    <w:p>
      <w:pPr>
        <w:pStyle w:val="style2"/>
        <w:rPr/>
      </w:pPr>
      <w:r>
        <w:t>Shannon and weaver's communication model</w:t>
      </w:r>
      <w:bookmarkEnd w:id="3"/>
    </w:p>
    <w:p>
      <w:pPr>
        <w:pStyle w:val="style0"/>
        <w:rPr/>
      </w:pPr>
      <w:r>
        <w:t xml:space="preserve">A number of models and theories have been employed to analyse the communication process and one of the most popular models </w:t>
      </w:r>
      <w:r>
        <w:t>among them is the Shannon and Weaver model of communication. The model was first</w:t>
      </w:r>
      <w:r>
        <w:t xml:space="preserve"> founded by Warren Weaver and Claude Sh</w:t>
      </w:r>
      <w:r>
        <w:t>a</w:t>
      </w:r>
      <w:r>
        <w:t>nnon in 1948</w:t>
      </w:r>
      <w:r>
        <w:t xml:space="preserve"> (Kubota, 2019)</w:t>
      </w:r>
      <w:r>
        <w:t xml:space="preserve">. </w:t>
      </w:r>
      <w:r>
        <w:t xml:space="preserve">This is recognized as a mathematical communication theory that helps in </w:t>
      </w:r>
      <w:r>
        <w:t>describing</w:t>
      </w:r>
      <w:r>
        <w:t xml:space="preserve"> </w:t>
      </w:r>
      <w:r>
        <w:t xml:space="preserve">how communication occurs between the sender and receiver. </w:t>
      </w:r>
      <w:r>
        <w:t xml:space="preserve">The theory mentions seven key components of communication </w:t>
      </w:r>
      <w:r>
        <w:t xml:space="preserve">that are sender, </w:t>
      </w:r>
      <w:r>
        <w:t xml:space="preserve">transmitter, channel, </w:t>
      </w:r>
      <w:r>
        <w:t xml:space="preserve">noise, </w:t>
      </w:r>
      <w:r>
        <w:t xml:space="preserve">decoder, receiver and feedback. </w:t>
      </w:r>
      <w:r>
        <w:t xml:space="preserve">A sender is a source of information and can be discussed as an individual who </w:t>
      </w:r>
      <w:r>
        <w:t xml:space="preserve">holds the information that is to be conveyed. Whereas, </w:t>
      </w:r>
      <w:r>
        <w:t>transmitters which are also known as encoders are individuals or machines used for conveying the message</w:t>
      </w:r>
      <w:r>
        <w:t xml:space="preserve"> (</w:t>
      </w:r>
      <w:r>
        <w:t>Kuznar</w:t>
      </w:r>
      <w:r>
        <w:t xml:space="preserve"> and </w:t>
      </w:r>
      <w:r>
        <w:t>Yager</w:t>
      </w:r>
      <w:r>
        <w:t>, 2020)</w:t>
      </w:r>
      <w:r>
        <w:t xml:space="preserve">. </w:t>
      </w:r>
      <w:r>
        <w:t xml:space="preserve">Channel refers to the medium </w:t>
      </w:r>
      <w:r>
        <w:t xml:space="preserve">through which communication is possible between </w:t>
      </w:r>
      <w:r>
        <w:t xml:space="preserve">people. </w:t>
      </w:r>
      <w:r>
        <w:t>Noise</w:t>
      </w:r>
      <w:r>
        <w:t xml:space="preserve"> is about the </w:t>
      </w:r>
      <w:r>
        <w:t xml:space="preserve">interruptions that are faced by the two parties and the decoder is the reception </w:t>
      </w:r>
      <w:r>
        <w:t xml:space="preserve">where the </w:t>
      </w:r>
      <w:r>
        <w:t xml:space="preserve">signal is converted into messages. </w:t>
      </w:r>
      <w:r>
        <w:t xml:space="preserve">Moreover, the receiver </w:t>
      </w:r>
      <w:r>
        <w:t xml:space="preserve">is the final destination and </w:t>
      </w:r>
      <w:r>
        <w:t>suggests the person who is supposed to receive the message</w:t>
      </w:r>
      <w:r>
        <w:t>. Finally</w:t>
      </w:r>
      <w:r>
        <w:t xml:space="preserve">, feedback is a response that is received from the </w:t>
      </w:r>
      <w:r>
        <w:t>receiver</w:t>
      </w:r>
      <w:r>
        <w:t xml:space="preserve">. </w:t>
      </w:r>
    </w:p>
    <w:p>
      <w:pPr>
        <w:pStyle w:val="style0"/>
        <w:keepNext/>
        <w:jc w:val="center"/>
        <w:rPr/>
      </w:pPr>
      <w:r>
        <w:rPr>
          <w:noProof/>
        </w:rPr>
        <w:drawing>
          <wp:inline distL="0" distT="0" distB="0" distR="0">
            <wp:extent cx="5943600" cy="3046095"/>
            <wp:effectExtent l="0" t="0" r="0" b="1905"/>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5943600" cy="3046095"/>
                    </a:xfrm>
                    <a:prstGeom prst="rect"/>
                  </pic:spPr>
                </pic:pic>
              </a:graphicData>
            </a:graphic>
          </wp:inline>
        </w:drawing>
      </w:r>
    </w:p>
    <w:p>
      <w:pPr>
        <w:pStyle w:val="style34"/>
        <w:jc w:val="center"/>
        <w:rPr/>
      </w:pPr>
      <w:r>
        <w:t xml:space="preserve">Figure </w:t>
      </w:r>
      <w:r>
        <w:rPr/>
        <w:fldChar w:fldCharType="begin"/>
      </w:r>
      <w:r>
        <w:instrText xml:space="preserve"> SEQ Figure \* ARABIC </w:instrText>
      </w:r>
      <w:r>
        <w:rPr/>
        <w:fldChar w:fldCharType="separate"/>
      </w:r>
      <w:r>
        <w:rPr>
          <w:noProof/>
        </w:rPr>
        <w:t>1</w:t>
      </w:r>
      <w:r>
        <w:rPr/>
        <w:fldChar w:fldCharType="end"/>
      </w:r>
      <w:r>
        <w:t>: Shannon and Weaver's model of communication</w:t>
      </w:r>
    </w:p>
    <w:p>
      <w:pPr>
        <w:pStyle w:val="style0"/>
        <w:jc w:val="center"/>
        <w:rPr/>
      </w:pPr>
      <w:r>
        <w:t>(Sou</w:t>
      </w:r>
      <w:r>
        <w:t>r</w:t>
      </w:r>
      <w:r>
        <w:t>ce: Kubota, 2019)</w:t>
      </w:r>
    </w:p>
    <w:p>
      <w:pPr>
        <w:pStyle w:val="style0"/>
        <w:rPr/>
      </w:pPr>
      <w:r>
        <w:t>In t</w:t>
      </w:r>
      <w:r>
        <w:t xml:space="preserve">he case of OnePlus, the sender is </w:t>
      </w:r>
      <w:r>
        <w:t>the company itself</w:t>
      </w:r>
      <w:r>
        <w:t xml:space="preserve"> and the </w:t>
      </w:r>
      <w:r>
        <w:t>encode</w:t>
      </w:r>
      <w:r>
        <w:t>r is the mobile phone</w:t>
      </w:r>
      <w:r>
        <w:t xml:space="preserve">, website and </w:t>
      </w:r>
      <w:r>
        <w:t xml:space="preserve">physical stores. </w:t>
      </w:r>
      <w:r>
        <w:t xml:space="preserve">Whereas, the channel in this case is </w:t>
      </w:r>
      <w:r>
        <w:t xml:space="preserve">platforms or </w:t>
      </w:r>
      <w:r>
        <w:t xml:space="preserve">areas where the company interacts with the </w:t>
      </w:r>
      <w:r>
        <w:t xml:space="preserve">consumers. Noise refers to the distraction in the </w:t>
      </w:r>
      <w:r>
        <w:t xml:space="preserve">process and </w:t>
      </w:r>
      <w:r>
        <w:t>the decoder is the management team</w:t>
      </w:r>
      <w:r>
        <w:t>. Finally, the receiver i</w:t>
      </w:r>
      <w:r>
        <w:t xml:space="preserve">s the consumer </w:t>
      </w:r>
      <w:r>
        <w:t xml:space="preserve">who receives the message from the OnePlus. </w:t>
      </w:r>
      <w:r>
        <w:t xml:space="preserve">Feedback is then provided by consumers for the products. </w:t>
      </w:r>
      <w:r>
        <w:t xml:space="preserve"> </w:t>
      </w:r>
    </w:p>
    <w:p>
      <w:pPr>
        <w:pStyle w:val="style0"/>
        <w:keepNext/>
        <w:jc w:val="center"/>
        <w:rPr/>
      </w:pPr>
      <w:r>
        <w:rPr>
          <w:noProof/>
        </w:rPr>
        <w:drawing>
          <wp:inline distL="0" distT="0" distB="0" distR="0">
            <wp:extent cx="6619875" cy="2114550"/>
            <wp:effectExtent l="19050" t="0" r="9525" b="0"/>
            <wp:docPr id="1027" name="Diagram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 r:lo="rId4" r:qs="rId5" r:cs="rId6"/>
              </a:graphicData>
            </a:graphic>
          </wp:inline>
        </w:drawing>
      </w:r>
    </w:p>
    <w:p>
      <w:pPr>
        <w:pStyle w:val="style34"/>
        <w:jc w:val="center"/>
        <w:rPr/>
      </w:pPr>
      <w:r>
        <w:t xml:space="preserve">Figure </w:t>
      </w:r>
      <w:r>
        <w:rPr/>
        <w:fldChar w:fldCharType="begin"/>
      </w:r>
      <w:r>
        <w:instrText xml:space="preserve"> SEQ Figure \* ARABIC </w:instrText>
      </w:r>
      <w:r>
        <w:rPr/>
        <w:fldChar w:fldCharType="separate"/>
      </w:r>
      <w:r>
        <w:rPr>
          <w:noProof/>
        </w:rPr>
        <w:t>2</w:t>
      </w:r>
      <w:r>
        <w:rPr/>
        <w:fldChar w:fldCharType="end"/>
      </w:r>
      <w:r>
        <w:t>: Seven components of communication of OnePlus using model</w:t>
      </w:r>
    </w:p>
    <w:p>
      <w:pPr>
        <w:pStyle w:val="style0"/>
        <w:jc w:val="center"/>
        <w:rPr/>
      </w:pPr>
      <w:r>
        <w:t>(Source: Created by author)</w:t>
      </w:r>
    </w:p>
    <w:bookmarkStart w:id="4" w:name="_Toc122728924"/>
    <w:p>
      <w:pPr>
        <w:pStyle w:val="style2"/>
        <w:rPr/>
      </w:pPr>
      <w:r>
        <w:t>Integrated marketing communication</w:t>
      </w:r>
      <w:bookmarkEnd w:id="4"/>
      <w:r>
        <w:t xml:space="preserve"> </w:t>
      </w:r>
    </w:p>
    <w:p>
      <w:pPr>
        <w:pStyle w:val="style0"/>
        <w:rPr/>
      </w:pPr>
      <w:r>
        <w:t xml:space="preserve">Integrated marketing </w:t>
      </w:r>
      <w:r>
        <w:t xml:space="preserve">communication is mainly defined as the process used to </w:t>
      </w:r>
      <w:r>
        <w:t xml:space="preserve">integrate marketing communication components like Public Relations, social media, business development principles and advertising </w:t>
      </w:r>
      <w:r>
        <w:t xml:space="preserve">into a brand identity that </w:t>
      </w:r>
      <w:r>
        <w:t>remains consistent across different media channels</w:t>
      </w:r>
      <w:r>
        <w:t xml:space="preserve"> (</w:t>
      </w:r>
      <w:r>
        <w:t>Muhammedrisaevna</w:t>
      </w:r>
      <w:r>
        <w:t xml:space="preserve"> et al. 2020)</w:t>
      </w:r>
      <w:r>
        <w:t xml:space="preserve">. </w:t>
      </w:r>
      <w:r>
        <w:t xml:space="preserve">It further allows private </w:t>
      </w:r>
      <w:r>
        <w:t xml:space="preserve">and public </w:t>
      </w:r>
      <w:r>
        <w:t xml:space="preserve">firms to </w:t>
      </w:r>
      <w:r>
        <w:t>provide an engaging and seamless consumer experience for the product or service</w:t>
      </w:r>
      <w:r>
        <w:t xml:space="preserve">. </w:t>
      </w:r>
      <w:r>
        <w:t xml:space="preserve">OnePlus uses a range of </w:t>
      </w:r>
      <w:r>
        <w:t>communication channels in order to market its products or smartphones</w:t>
      </w:r>
      <w:r>
        <w:t xml:space="preserve">. </w:t>
      </w:r>
      <w:r>
        <w:t>The primary objective for using integrated market communication is to reach as many customers as possible and accelerate the volume of sales</w:t>
      </w:r>
      <w:r>
        <w:t xml:space="preserve"> (Das, 2021)</w:t>
      </w:r>
      <w:r>
        <w:t>.</w:t>
      </w:r>
      <w:r>
        <w:t xml:space="preserve"> In the case of OnePlus, the company uses promotional and advertising </w:t>
      </w:r>
      <w:r>
        <w:t>tools in order to draw the attention, desire and interest of the consumers</w:t>
      </w:r>
      <w:r>
        <w:t>. On the other hand, direct marketing</w:t>
      </w:r>
      <w:r>
        <w:t>, public relations, sales promotional</w:t>
      </w:r>
      <w:r>
        <w:t xml:space="preserve"> and digital media are some of the integrated marketing communication channels that are used by OnePlus</w:t>
      </w:r>
      <w:r>
        <w:t xml:space="preserve"> (</w:t>
      </w:r>
      <w:r>
        <w:t>Camilleri</w:t>
      </w:r>
      <w:r>
        <w:t>, 2018)</w:t>
      </w:r>
      <w:r>
        <w:t xml:space="preserve">. </w:t>
      </w:r>
    </w:p>
    <w:bookmarkStart w:id="5" w:name="_Toc122728925"/>
    <w:p>
      <w:pPr>
        <w:pStyle w:val="style1"/>
        <w:rPr/>
      </w:pPr>
      <w:r>
        <w:t>New promotional strategies</w:t>
      </w:r>
      <w:bookmarkEnd w:id="5"/>
    </w:p>
    <w:bookmarkStart w:id="6" w:name="_Toc122728926"/>
    <w:p>
      <w:pPr>
        <w:pStyle w:val="style2"/>
        <w:rPr/>
      </w:pPr>
      <w:r>
        <w:t>Online promotion</w:t>
      </w:r>
      <w:bookmarkEnd w:id="6"/>
    </w:p>
    <w:p>
      <w:pPr>
        <w:pStyle w:val="style0"/>
        <w:rPr/>
      </w:pPr>
      <w:r>
        <w:t xml:space="preserve">Currently, the company focuses on </w:t>
      </w:r>
      <w:r>
        <w:t xml:space="preserve">influencer marketing, </w:t>
      </w:r>
      <w:r>
        <w:t>word of mouth</w:t>
      </w:r>
      <w:r>
        <w:t>, marketing campaigns</w:t>
      </w:r>
      <w:r>
        <w:t xml:space="preserve"> etc. for </w:t>
      </w:r>
      <w:r>
        <w:t xml:space="preserve">promoting the </w:t>
      </w:r>
      <w:r>
        <w:t>products</w:t>
      </w:r>
      <w:r>
        <w:t xml:space="preserve"> (Deng, 2021)</w:t>
      </w:r>
      <w:r>
        <w:t xml:space="preserve">. This has </w:t>
      </w:r>
      <w:r>
        <w:t xml:space="preserve">accelerated sales in different countries </w:t>
      </w:r>
      <w:r>
        <w:t>and increased huge awareness of OnePlus'</w:t>
      </w:r>
      <w:r>
        <w:t xml:space="preserve"> products. However, the company still lags behind rival companies like </w:t>
      </w:r>
      <w:r>
        <w:t xml:space="preserve">Samsung and </w:t>
      </w:r>
      <w:r>
        <w:t xml:space="preserve">Apple. </w:t>
      </w:r>
      <w:r>
        <w:t xml:space="preserve">The aggressive competition in the smartphone industry demands </w:t>
      </w:r>
      <w:r>
        <w:t>consistent marketing efforts. Therefore, the company c</w:t>
      </w:r>
      <w:r>
        <w:t xml:space="preserve">an </w:t>
      </w:r>
      <w:r>
        <w:t>add a new promotional strategy by focusing on</w:t>
      </w:r>
      <w:r>
        <w:t xml:space="preserve"> other features of social media</w:t>
      </w:r>
      <w:r>
        <w:t xml:space="preserve"> (</w:t>
      </w:r>
      <w:r>
        <w:t>Bala</w:t>
      </w:r>
      <w:r>
        <w:t xml:space="preserve"> and Verma, 2018)</w:t>
      </w:r>
      <w:r>
        <w:t xml:space="preserve">. The company has </w:t>
      </w:r>
      <w:r>
        <w:t>greatly used the social media strategy. However,</w:t>
      </w:r>
      <w:r>
        <w:t xml:space="preserve"> it has not yet exploited the opportunity </w:t>
      </w:r>
      <w:r>
        <w:t xml:space="preserve">of live content marketing. Content marketing can </w:t>
      </w:r>
      <w:r>
        <w:t xml:space="preserve">improve the promotional efforts of OnePlus. </w:t>
      </w:r>
      <w:r>
        <w:t xml:space="preserve">The company should focus on developing </w:t>
      </w:r>
      <w:r>
        <w:t xml:space="preserve">content that aligns with the </w:t>
      </w:r>
      <w:r>
        <w:t xml:space="preserve">expectations of the customers. </w:t>
      </w:r>
      <w:r>
        <w:t xml:space="preserve">Creating videos and </w:t>
      </w:r>
      <w:r>
        <w:t>posting unknown facts about smartphones would be beneficial for the company to increase overall awareness in the industry</w:t>
      </w:r>
      <w:r>
        <w:t xml:space="preserve"> (</w:t>
      </w:r>
      <w:r>
        <w:t>Hollebeek</w:t>
      </w:r>
      <w:r>
        <w:t xml:space="preserve"> and </w:t>
      </w:r>
      <w:r>
        <w:t>Macky</w:t>
      </w:r>
      <w:r>
        <w:t>, 2019)</w:t>
      </w:r>
      <w:r>
        <w:t xml:space="preserve">. </w:t>
      </w:r>
      <w:r>
        <w:t xml:space="preserve">Stories are fun, and engaging and keep people on their toes. </w:t>
      </w:r>
      <w:r>
        <w:t xml:space="preserve">Hence, the feature of ‘story’ </w:t>
      </w:r>
      <w:r>
        <w:t xml:space="preserve">on social media platforms such as Facebook and Instagram </w:t>
      </w:r>
      <w:r>
        <w:t>should be used by the company</w:t>
      </w:r>
      <w:r>
        <w:t xml:space="preserve">. Although images, videos and textual content are </w:t>
      </w:r>
      <w:r>
        <w:t>continuing to inform the target audience about the new product launch and other offerings</w:t>
      </w:r>
      <w:r>
        <w:t xml:space="preserve">, the stories </w:t>
      </w:r>
      <w:r>
        <w:t xml:space="preserve">are aimed to be more personal and informal which develops a deep bond between the </w:t>
      </w:r>
      <w:r>
        <w:t xml:space="preserve">users and the brand. </w:t>
      </w:r>
      <w:r>
        <w:t xml:space="preserve">On the other hand, user-generated content can be profitable for the business </w:t>
      </w:r>
      <w:r>
        <w:t xml:space="preserve">which will allow OnePlus to make the users feel valued. </w:t>
      </w:r>
    </w:p>
    <w:bookmarkStart w:id="7" w:name="_Toc122728927"/>
    <w:p>
      <w:pPr>
        <w:pStyle w:val="style2"/>
        <w:rPr/>
      </w:pPr>
      <w:r>
        <w:t>Offline promotion</w:t>
      </w:r>
      <w:bookmarkEnd w:id="7"/>
    </w:p>
    <w:p>
      <w:pPr>
        <w:pStyle w:val="style0"/>
        <w:rPr/>
      </w:pPr>
      <w:r>
        <w:t xml:space="preserve">OnePlus focuses on </w:t>
      </w:r>
      <w:r>
        <w:t>several</w:t>
      </w:r>
      <w:r>
        <w:t xml:space="preserve"> online</w:t>
      </w:r>
      <w:r>
        <w:t xml:space="preserve"> </w:t>
      </w:r>
      <w:r>
        <w:t>strategies,</w:t>
      </w:r>
      <w:r>
        <w:t xml:space="preserve"> however, it pays less heed to the </w:t>
      </w:r>
      <w:r>
        <w:t xml:space="preserve">offline </w:t>
      </w:r>
      <w:r>
        <w:t xml:space="preserve">promotional strategies that may hinder the communication between the </w:t>
      </w:r>
      <w:r>
        <w:t>user and the company</w:t>
      </w:r>
      <w:r>
        <w:t xml:space="preserve"> (</w:t>
      </w:r>
      <w:r>
        <w:t xml:space="preserve">Kumar, and </w:t>
      </w:r>
      <w:r>
        <w:t>Arthi</w:t>
      </w:r>
      <w:r>
        <w:t>, 2020)</w:t>
      </w:r>
      <w:r>
        <w:t xml:space="preserve">. Therefore, the company should </w:t>
      </w:r>
      <w:r>
        <w:t xml:space="preserve">focus on sponsoring community events that will raise </w:t>
      </w:r>
      <w:r>
        <w:t>awareness as well as build a positive image for the brand</w:t>
      </w:r>
      <w:r>
        <w:t xml:space="preserve"> (</w:t>
      </w:r>
      <w:r>
        <w:t>Lieberman</w:t>
      </w:r>
      <w:r>
        <w:t xml:space="preserve"> </w:t>
      </w:r>
      <w:r>
        <w:t>and Schroeder</w:t>
      </w:r>
      <w:r>
        <w:t>, 2020)</w:t>
      </w:r>
      <w:r>
        <w:t xml:space="preserve">. </w:t>
      </w:r>
      <w:r>
        <w:t>Sponsoring community event</w:t>
      </w:r>
      <w:r>
        <w:t xml:space="preserve">s will help the company to </w:t>
      </w:r>
      <w:r>
        <w:t xml:space="preserve">promote the brand and </w:t>
      </w:r>
      <w:r>
        <w:t xml:space="preserve">boost sales. </w:t>
      </w:r>
      <w:r>
        <w:t xml:space="preserve">Finding ways to engage with the community through donations, volunteer work and </w:t>
      </w:r>
      <w:r>
        <w:t xml:space="preserve">joining </w:t>
      </w:r>
      <w:r>
        <w:t>non-profit</w:t>
      </w:r>
      <w:r>
        <w:t xml:space="preserve"> organizations will </w:t>
      </w:r>
      <w:r>
        <w:t xml:space="preserve">help in spreading knowledge of the business. </w:t>
      </w:r>
      <w:r>
        <w:t xml:space="preserve">Asking for feedback through </w:t>
      </w:r>
      <w:r>
        <w:t xml:space="preserve">E-mail marketing will also help OnePlus to encourage communication between the </w:t>
      </w:r>
      <w:r>
        <w:t>company and the users</w:t>
      </w:r>
      <w:r>
        <w:t xml:space="preserve"> (</w:t>
      </w:r>
      <w:r>
        <w:t>Sadchenko</w:t>
      </w:r>
      <w:r>
        <w:t xml:space="preserve"> et al. 2020)</w:t>
      </w:r>
      <w:r>
        <w:t>. The brand can use</w:t>
      </w:r>
      <w:r>
        <w:t xml:space="preserve"> a direct mailing strategy for</w:t>
      </w:r>
      <w:r>
        <w:t xml:space="preserve"> boosting engagement. </w:t>
      </w:r>
    </w:p>
    <w:bookmarkStart w:id="8" w:name="_Toc122728928"/>
    <w:p>
      <w:pPr>
        <w:pStyle w:val="style1"/>
        <w:rPr/>
      </w:pPr>
      <w:r>
        <w:t>Branding and branding equity</w:t>
      </w:r>
      <w:bookmarkEnd w:id="8"/>
    </w:p>
    <w:bookmarkStart w:id="9" w:name="_Toc122728929"/>
    <w:p>
      <w:pPr>
        <w:pStyle w:val="style2"/>
        <w:rPr/>
      </w:pPr>
      <w:r>
        <w:t>Keller’s brand equity model</w:t>
      </w:r>
      <w:bookmarkEnd w:id="9"/>
    </w:p>
    <w:p>
      <w:pPr>
        <w:pStyle w:val="style0"/>
        <w:rPr/>
      </w:pPr>
      <w:r>
        <w:t>Keller’s brand equity model</w:t>
      </w:r>
      <w:r>
        <w:t xml:space="preserve"> suggests that </w:t>
      </w:r>
      <w:r>
        <w:t xml:space="preserve">firms should create the right brand image </w:t>
      </w:r>
      <w:r>
        <w:t xml:space="preserve">for </w:t>
      </w:r>
      <w:r>
        <w:t xml:space="preserve">having a strong </w:t>
      </w:r>
      <w:r>
        <w:t>brand</w:t>
      </w:r>
      <w:r>
        <w:t xml:space="preserve"> (</w:t>
      </w:r>
      <w:r>
        <w:t>Syafril</w:t>
      </w:r>
      <w:r>
        <w:t xml:space="preserve"> et al</w:t>
      </w:r>
      <w:r>
        <w:t>, 2020)</w:t>
      </w:r>
      <w:r>
        <w:t>. The model also suggests the constructing ideal brand encounters and experiences are important for businesses</w:t>
      </w:r>
      <w:r>
        <w:t xml:space="preserve"> because </w:t>
      </w:r>
      <w:r>
        <w:t xml:space="preserve">this help in spreading positive thoughts, emotions and conviction among consumers. </w:t>
      </w:r>
      <w:r>
        <w:t xml:space="preserve">The model proposes a pyramid </w:t>
      </w:r>
      <w:r>
        <w:t xml:space="preserve">which includes identity, meaning, response and relationships. </w:t>
      </w:r>
    </w:p>
    <w:p>
      <w:pPr>
        <w:pStyle w:val="style0"/>
        <w:keepNext/>
        <w:jc w:val="center"/>
        <w:rPr/>
      </w:pPr>
      <w:r>
        <w:rPr>
          <w:noProof/>
        </w:rPr>
        <w:drawing>
          <wp:inline distL="0" distT="0" distB="0" distR="0">
            <wp:extent cx="5792008" cy="2819794"/>
            <wp:effectExtent l="0" t="0" r="0" b="0"/>
            <wp:docPr id="1028"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7" cstate="print"/>
                    <a:srcRect l="0" t="0" r="0" b="0"/>
                    <a:stretch/>
                  </pic:blipFill>
                  <pic:spPr>
                    <a:xfrm rot="0">
                      <a:off x="0" y="0"/>
                      <a:ext cx="5792008" cy="2819794"/>
                    </a:xfrm>
                    <a:prstGeom prst="rect"/>
                  </pic:spPr>
                </pic:pic>
              </a:graphicData>
            </a:graphic>
          </wp:inline>
        </w:drawing>
      </w:r>
    </w:p>
    <w:p>
      <w:pPr>
        <w:pStyle w:val="style34"/>
        <w:jc w:val="center"/>
        <w:rPr/>
      </w:pPr>
      <w:r>
        <w:t xml:space="preserve">Figure </w:t>
      </w:r>
      <w:r>
        <w:rPr/>
        <w:fldChar w:fldCharType="begin"/>
      </w:r>
      <w:r>
        <w:instrText xml:space="preserve"> SEQ Figure \* ARABIC </w:instrText>
      </w:r>
      <w:r>
        <w:rPr/>
        <w:fldChar w:fldCharType="separate"/>
      </w:r>
      <w:r>
        <w:rPr>
          <w:noProof/>
        </w:rPr>
        <w:t>3</w:t>
      </w:r>
      <w:r>
        <w:rPr/>
        <w:fldChar w:fldCharType="end"/>
      </w:r>
      <w:r>
        <w:t>: Keller’s brand equity model</w:t>
      </w:r>
    </w:p>
    <w:p>
      <w:pPr>
        <w:pStyle w:val="style0"/>
        <w:jc w:val="center"/>
        <w:rPr/>
      </w:pPr>
      <w:r>
        <w:t xml:space="preserve">(Source: </w:t>
      </w:r>
      <w:r>
        <w:t>Syafril</w:t>
      </w:r>
      <w:r>
        <w:t xml:space="preserve"> et al. 2020)</w:t>
      </w:r>
    </w:p>
    <w:p>
      <w:pPr>
        <w:pStyle w:val="style0"/>
        <w:rPr/>
      </w:pPr>
      <w:r>
        <w:t xml:space="preserve">The identity in this model suggests the </w:t>
      </w:r>
      <w:r>
        <w:t>basis of th</w:t>
      </w:r>
      <w:r>
        <w:t xml:space="preserve">e communication and </w:t>
      </w:r>
      <w:r>
        <w:t xml:space="preserve">the brand itself. </w:t>
      </w:r>
      <w:r>
        <w:t xml:space="preserve">It is important to ensure that </w:t>
      </w:r>
      <w:r>
        <w:t>consumers or receivers of the message are getting the right message</w:t>
      </w:r>
      <w:r>
        <w:t xml:space="preserve"> (</w:t>
      </w:r>
      <w:r>
        <w:t>Stukalina</w:t>
      </w:r>
      <w:r>
        <w:t>, and Pavlyuk</w:t>
      </w:r>
      <w:r>
        <w:t>, 2021)</w:t>
      </w:r>
      <w:r>
        <w:t xml:space="preserve">. </w:t>
      </w:r>
      <w:r>
        <w:t xml:space="preserve">In the next step, the </w:t>
      </w:r>
      <w:r>
        <w:t xml:space="preserve">brand should </w:t>
      </w:r>
      <w:r>
        <w:t xml:space="preserve">build loyalty among the target audience. Brand meaning </w:t>
      </w:r>
      <w:r>
        <w:t>is beyond the quality of the product that the companies offer.</w:t>
      </w:r>
      <w:r>
        <w:t xml:space="preserve"> Therefore, brand meaning is important in building equity. </w:t>
      </w:r>
      <w:r>
        <w:t xml:space="preserve">The response indicates </w:t>
      </w:r>
      <w:r>
        <w:t>the response of the consumers after making purchases</w:t>
      </w:r>
      <w:r>
        <w:t xml:space="preserve"> (</w:t>
      </w:r>
      <w:r>
        <w:t>Świtała</w:t>
      </w:r>
      <w:r>
        <w:t xml:space="preserve"> et al. 2020)</w:t>
      </w:r>
      <w:r>
        <w:t xml:space="preserve">. </w:t>
      </w:r>
      <w:r>
        <w:t xml:space="preserve">Finally, the relationship in the pyramid </w:t>
      </w:r>
      <w:r>
        <w:t xml:space="preserve">discusses the relationship between the </w:t>
      </w:r>
      <w:r>
        <w:t xml:space="preserve">company and </w:t>
      </w:r>
      <w:r>
        <w:t xml:space="preserve">users that shapes brand image and equity. </w:t>
      </w:r>
      <w:r>
        <w:t>In the case of OnePlus</w:t>
      </w:r>
      <w:r>
        <w:t>, it is important for</w:t>
      </w:r>
      <w:r>
        <w:t xml:space="preserve"> understanding the four crucial components</w:t>
      </w:r>
      <w:r>
        <w:t xml:space="preserve">. Because building brand equity is a challenge, </w:t>
      </w:r>
      <w:r>
        <w:t xml:space="preserve">OnePlus should maintain its </w:t>
      </w:r>
      <w:r>
        <w:t xml:space="preserve">efforts towards the relationship with the consumers for maintaining brand equity. </w:t>
      </w:r>
    </w:p>
    <w:bookmarkStart w:id="10" w:name="_Toc122728930"/>
    <w:p>
      <w:pPr>
        <w:pStyle w:val="style2"/>
        <w:rPr/>
      </w:pPr>
      <w:r>
        <w:t>Advantages and disadvantages of Keller’s brand equity mode</w:t>
      </w:r>
      <w:r>
        <w:t>l</w:t>
      </w:r>
      <w:bookmarkEnd w:id="10"/>
    </w:p>
    <w:p>
      <w:pPr>
        <w:pStyle w:val="style0"/>
        <w:rPr/>
      </w:pPr>
      <w:r>
        <w:t xml:space="preserve">Keller’s brand equity model is advantageous because it </w:t>
      </w:r>
      <w:r>
        <w:t xml:space="preserve">depicts a brand about the stage in which the brand belongs and what it can do to </w:t>
      </w:r>
      <w:r>
        <w:t>advance the stage</w:t>
      </w:r>
      <w:r>
        <w:t xml:space="preserve"> (</w:t>
      </w:r>
      <w:r>
        <w:t>Chekalina</w:t>
      </w:r>
      <w:r>
        <w:t xml:space="preserve"> et al. 2018)</w:t>
      </w:r>
      <w:r>
        <w:t>. Here, the model helped in understanding the stage of OnePlus in terms of brand equity</w:t>
      </w:r>
      <w:r>
        <w:t xml:space="preserve">. </w:t>
      </w:r>
      <w:r>
        <w:t xml:space="preserve">Throughout, the processes, the company has </w:t>
      </w:r>
      <w:r>
        <w:t xml:space="preserve">developed a strong strategy that helped to </w:t>
      </w:r>
      <w:r>
        <w:t>gain brand equity</w:t>
      </w:r>
      <w:r>
        <w:t xml:space="preserve"> (</w:t>
      </w:r>
      <w:r>
        <w:t>PRASAD</w:t>
      </w:r>
      <w:r>
        <w:t xml:space="preserve"> 2020)</w:t>
      </w:r>
      <w:r>
        <w:t xml:space="preserve">. </w:t>
      </w:r>
      <w:r>
        <w:t xml:space="preserve">Again, it has been found that </w:t>
      </w:r>
      <w:r>
        <w:t xml:space="preserve">the model helps in improving the perception of product </w:t>
      </w:r>
      <w:r>
        <w:t xml:space="preserve">performance and fosters loyalty. </w:t>
      </w:r>
      <w:r>
        <w:t>It also helps in implementing strategies that fit the stage of the pyramid.</w:t>
      </w:r>
      <w:r>
        <w:t xml:space="preserve"> However, the advantage of Keller's brand equity model is that it </w:t>
      </w:r>
      <w:r>
        <w:t xml:space="preserve">focuses on </w:t>
      </w:r>
      <w:r>
        <w:t xml:space="preserve">brand knowledge and not on brand awareness which is important for </w:t>
      </w:r>
      <w:r>
        <w:t>informing people about the brand</w:t>
      </w:r>
      <w:r>
        <w:t xml:space="preserve"> (Switala</w:t>
      </w:r>
      <w:r>
        <w:t xml:space="preserve"> et al. 2018)</w:t>
      </w:r>
      <w:r>
        <w:t xml:space="preserve">. </w:t>
      </w:r>
      <w:r>
        <w:t xml:space="preserve">Brand knowledge arises </w:t>
      </w:r>
      <w:r>
        <w:t>from</w:t>
      </w:r>
      <w:r>
        <w:t xml:space="preserve"> brand image and brand awareness</w:t>
      </w:r>
      <w:r>
        <w:t xml:space="preserve">. Therefore, it does not </w:t>
      </w:r>
      <w:r>
        <w:t>focus</w:t>
      </w:r>
      <w:r>
        <w:t xml:space="preserve"> on </w:t>
      </w:r>
      <w:r>
        <w:t xml:space="preserve">brand awareness. </w:t>
      </w:r>
    </w:p>
    <w:bookmarkStart w:id="11" w:name="_Toc122728931"/>
    <w:p>
      <w:pPr>
        <w:pStyle w:val="style2"/>
        <w:rPr/>
      </w:pPr>
      <w:r>
        <w:t>5. Customer journey</w:t>
      </w:r>
      <w:bookmarkEnd w:id="11"/>
      <w:r>
        <w:t> </w:t>
      </w:r>
    </w:p>
    <w:p>
      <w:pPr>
        <w:pStyle w:val="style0"/>
        <w:rPr/>
      </w:pPr>
      <w:r>
        <w:t>The customer journey has become an important part of the understanding of the complexities of the consumer behaviours, for gaining insights into the experiences of the customers. The customer journey has five main themes, which include the satisfaction with the services, the failure and recovery of the services of the company, technological disruption, channels, and customer response to the customer journey. The analysis of the customer journeys helps with the identification of the critical touchpoints and service moments which are important for creating the customer experience (</w:t>
      </w:r>
      <w:r>
        <w:rPr>
          <w:shd w:val="clear" w:color="auto" w:fill="ffffff"/>
        </w:rPr>
        <w:t>Tueanrat</w:t>
      </w:r>
      <w:r>
        <w:rPr>
          <w:shd w:val="clear" w:color="auto" w:fill="ffffff"/>
        </w:rPr>
        <w:t xml:space="preserve">, </w:t>
      </w:r>
      <w:r>
        <w:rPr>
          <w:shd w:val="clear" w:color="auto" w:fill="ffffff"/>
        </w:rPr>
        <w:t>Papagiannidis</w:t>
      </w:r>
      <w:r>
        <w:rPr>
          <w:shd w:val="clear" w:color="auto" w:fill="ffffff"/>
        </w:rPr>
        <w:t xml:space="preserve"> and </w:t>
      </w:r>
      <w:r>
        <w:rPr>
          <w:shd w:val="clear" w:color="auto" w:fill="ffffff"/>
        </w:rPr>
        <w:t>Alamanos</w:t>
      </w:r>
      <w:r>
        <w:rPr>
          <w:shd w:val="clear" w:color="auto" w:fill="ffffff"/>
        </w:rPr>
        <w:t xml:space="preserve"> 2021)</w:t>
      </w:r>
      <w:r>
        <w:t xml:space="preserve">. The company has partnered with Croma, the larges and the most premium perceived electronics retail chain in the country for creating more offline touch points that can help with improving the purchase and the experience of the OnePlus products across the main cities of India. The company is highly customer oriented (India Retailing 2017). The OnePlus Experience Store, the first of which was launched with the partnership of Croma, helps the customers of the company as well as the people involved in the technology to touch and feel to learn more about the products of OnePlus. The customer feedback and the lessons learned from the experience store has allowed OnePlus to be able to launch more experience zones that work offline in the other major cities across India. The partnership with Croma is supposed to help the company in being able to learn from the consumer feedback and thus be able to launch more offline experience stores which can help the company in allowing the customers to have the best experience. The OnePlus products will be available at the Croma stores at the same price as the prices that are offered at the online channels, including the legitimate consumer offers. The customers would also be able to avail of the additional promotional campaigns that are run by these stores. The young people and the tech aficionados who have previously been interested in the brand are offered the chance to hold and experience the design of the product </w:t>
      </w:r>
      <w:r>
        <w:t>firsthand</w:t>
      </w:r>
      <w:r>
        <w:t>, which can help the company with gaining more brand awareness and consumer experience. The company has shown huge success in the market, but also shows a large amount of potential. The people are given the opportunity to touch, experience, and feel the product through the use of the new experiences (India Retailing 2017).</w:t>
      </w:r>
    </w:p>
    <w:p>
      <w:pPr>
        <w:pStyle w:val="style0"/>
        <w:rPr/>
      </w:pPr>
      <w:r>
        <w:t xml:space="preserve">The company has a unique way of giving the customers the experience that they deserve through the OnePlus Experience Stores. This allows the company to bring technology to all levels of the society. The company has been trying to increase the touchpoints while giving the customers a unique and interactive experience with the company. The company is expected to focus on the tech ecosystem, which can help the company in knowing about more technology immersive. The launch of the OnePlus 8 Series 5G meant that the company had been accomplishing the launch of quality features in terms of the display </w:t>
      </w:r>
      <w:r>
        <w:t>and</w:t>
      </w:r>
      <w:r>
        <w:t xml:space="preserve"> the camera that it was providing to the customers, and this was giving the </w:t>
      </w:r>
      <w:r>
        <w:t>customers</w:t>
      </w:r>
      <w:r>
        <w:t xml:space="preserve"> the ability to </w:t>
      </w:r>
      <w:r>
        <w:t>experience</w:t>
      </w:r>
      <w:r>
        <w:t xml:space="preserve"> a premium user experience, promoting potentially versatile options for the future. In India, according to a survey by </w:t>
      </w:r>
      <w:r>
        <w:t>CyberMedia</w:t>
      </w:r>
      <w:r>
        <w:t xml:space="preserve"> Research, the customer satisfaction levels of OnePlus </w:t>
      </w:r>
      <w:r>
        <w:t>was</w:t>
      </w:r>
      <w:r>
        <w:t xml:space="preserve"> more than even Apple in India. The survey showed that OnePlus received a high score on brand loyalty, along with trust and desirability, which allowed it to be the most wanted company in the long run. Most of the people have been found to agree with the choice regarding going with a OnePlus mobile. The hike in the price and the models of the product were found to be a drawback of the company and its </w:t>
      </w:r>
      <w:r>
        <w:t>products</w:t>
      </w:r>
      <w:r>
        <w:t xml:space="preserve">. This means that the people were able to take the </w:t>
      </w:r>
      <w:r>
        <w:t>decisions</w:t>
      </w:r>
      <w:r>
        <w:t xml:space="preserve"> that are likely to make them more effective. The organisation needs to take steps to </w:t>
      </w:r>
      <w:r>
        <w:t>increase</w:t>
      </w:r>
      <w:r>
        <w:t xml:space="preserve"> the customer awareness and ensure that the customers are satisfied with the kind of products that are being available to them (</w:t>
      </w:r>
      <w:r>
        <w:rPr>
          <w:shd w:val="clear" w:color="auto" w:fill="ffffff"/>
        </w:rPr>
        <w:t>MURUGANANTHAM and Naveen 2021)</w:t>
      </w:r>
      <w:r>
        <w:t>.</w:t>
      </w:r>
    </w:p>
    <w:p>
      <w:pPr>
        <w:pStyle w:val="style0"/>
        <w:rPr>
          <w:vertAlign w:val="subscript"/>
        </w:rPr>
      </w:pPr>
      <w:r>
        <w:t xml:space="preserve">In case of any faults or defects in the products that are purchased, the company allows the customers to have the ability to deal with the faults through the repair services that are provided to them in this situation. The customers can have their products shipped or can visit the service </w:t>
      </w:r>
      <w:r>
        <w:t>center</w:t>
      </w:r>
      <w:r>
        <w:t xml:space="preserve"> themselves in order to be more effective. The company can increase its ability to reach to the customers through the use of the repaired services which can help the company in recovering its services from the involvement of the company. The company can use its abilities to advertise more to the customers and give them offerings that will make it difficult to not be satisfied with the offerings of the company. This will help the company in being more </w:t>
      </w:r>
      <w:r>
        <w:t>profitable</w:t>
      </w:r>
      <w:r>
        <w:t xml:space="preserve"> and customer focused.</w:t>
      </w:r>
    </w:p>
    <w:bookmarkStart w:id="12" w:name="_Toc122728932"/>
    <w:p>
      <w:pPr>
        <w:pStyle w:val="style1"/>
        <w:rPr/>
      </w:pPr>
      <w:r>
        <w:t>6. Customer touch points</w:t>
      </w:r>
      <w:bookmarkEnd w:id="12"/>
      <w:r>
        <w:t> </w:t>
      </w:r>
    </w:p>
    <w:p>
      <w:pPr>
        <w:pStyle w:val="style0"/>
        <w:rPr/>
      </w:pPr>
      <w:r>
        <w:t>The customer touch points involve the number of points the customers have interacted with the company to be able to learn about it while also being able to reach the new customers.</w:t>
      </w:r>
    </w:p>
    <w:bookmarkStart w:id="13" w:name="_Toc122728933"/>
    <w:p>
      <w:pPr>
        <w:pStyle w:val="style2"/>
        <w:rPr/>
      </w:pPr>
      <w:r>
        <w:rPr>
          <w:rFonts w:ascii="Arial" w:cs="Arial" w:hAnsi="Arial"/>
        </w:rPr>
        <w:t xml:space="preserve">• </w:t>
      </w:r>
      <w:r>
        <w:t>Pre – purchase</w:t>
      </w:r>
      <w:bookmarkEnd w:id="13"/>
    </w:p>
    <w:p>
      <w:pPr>
        <w:pStyle w:val="style0"/>
        <w:rPr/>
      </w:pPr>
      <w:r>
        <w:t xml:space="preserve">The company markets on social media and on the television advertisements which could be responsible for interacting with the customers. The use of these advertisements </w:t>
      </w:r>
      <w:r>
        <w:t>create</w:t>
      </w:r>
      <w:r>
        <w:t xml:space="preserve"> the pre purchase environment for the company which can allow it to improve its position in the environment. The company can use the pre-purchasing period to give information regarding the company that the customers would be attracted to. This involves learning about the different technologies that the products will be offering, and can thus help with learning about the brand and the available technologies. The pre purchase behaviours of the customers help the company in being able to react to the brand and compare it with the offerings of the rival companies. This can help the companies in being able to improve its satisfaction levels for success in the market. The company can use its pre purchase behaviours for reaching to the customers and allowing them to react to the kind of products that they are receiving. This also enables the company in forming an early experience for the customers to be satisfied.</w:t>
      </w:r>
    </w:p>
    <w:bookmarkStart w:id="14" w:name="_Toc122728934"/>
    <w:p>
      <w:pPr>
        <w:pStyle w:val="style2"/>
        <w:rPr/>
      </w:pPr>
      <w:r>
        <w:rPr>
          <w:rFonts w:ascii="Arial" w:cs="Arial" w:hAnsi="Arial"/>
        </w:rPr>
        <w:t xml:space="preserve">• </w:t>
      </w:r>
      <w:r>
        <w:t>Purchase</w:t>
      </w:r>
      <w:bookmarkEnd w:id="14"/>
      <w:r>
        <w:t> </w:t>
      </w:r>
    </w:p>
    <w:p>
      <w:pPr>
        <w:pStyle w:val="style0"/>
        <w:rPr/>
      </w:pPr>
      <w:r>
        <w:t xml:space="preserve">During the purchase, the company would need to ensure high quality products are given to the customers. The company would need to have trained and competitive market, but still unique for the company’s requirements. The staff need to be well behaved, providing the customers with the required data and also interact with them for finding the best results. The company should be able to commit to the changes through the ability to purchase the best products while also being able to satisfy the customers. The company needs to focus on shifting the controls to give them more </w:t>
      </w:r>
      <w:r>
        <w:t>trsut</w:t>
      </w:r>
      <w:r>
        <w:t xml:space="preserve"> and confidence on their own selves. This would allow the company to have customers who are loyal and work together with the company in its operations. The purchase of the products would require the customers to trust the sales representatives. They need to be motivated so that they can satisfy the requirements of the customers, since having their own demands unfulfilled could mean that they are not able to serve the customers either.</w:t>
      </w:r>
    </w:p>
    <w:bookmarkStart w:id="15" w:name="_Toc122728935"/>
    <w:p>
      <w:pPr>
        <w:pStyle w:val="style2"/>
        <w:rPr/>
      </w:pPr>
      <w:r>
        <w:rPr>
          <w:rFonts w:ascii="Arial" w:cs="Arial" w:hAnsi="Arial"/>
        </w:rPr>
        <w:t xml:space="preserve">• </w:t>
      </w:r>
      <w:r>
        <w:t>Post purchase</w:t>
      </w:r>
      <w:bookmarkEnd w:id="15"/>
      <w:r>
        <w:t> </w:t>
      </w:r>
    </w:p>
    <w:p>
      <w:pPr>
        <w:pStyle w:val="style0"/>
        <w:rPr/>
      </w:pPr>
      <w:r>
        <w:t>The post purchase behaviours of the company show its inclination towards customer loyalty. The company uses the loyalty to be able to contribute to the customers staying back with the brand. The products have accompanying warranties which the company can also avail of for the best results to be reached. The company would need to be able to find the steps that can be used for the organisation to be able to increase its influence in the long run. The company can use its operations to be able to increase its ability to improve its hold over the customers and gain their loyalty over the long term. This can help the company in being able to reach the customers and gain their loyalty effectively. The company may have to face issues regarding the post purchase as the customers also need to be provided with the ability to have more longevity as customers since they are required to be sustainable consumers who are appealing to the company.</w:t>
      </w:r>
    </w:p>
    <w:bookmarkStart w:id="16" w:name="_Toc122728936"/>
    <w:p>
      <w:pPr>
        <w:pStyle w:val="style1"/>
        <w:rPr/>
      </w:pPr>
      <w:r>
        <w:t>7. Diagram and explain the customer journey map</w:t>
      </w:r>
      <w:bookmarkEnd w:id="16"/>
      <w:r>
        <w:t xml:space="preserve"> </w:t>
      </w:r>
    </w:p>
    <w:p>
      <w:pPr>
        <w:pStyle w:val="style34"/>
        <w:keepNext/>
        <w:jc w:val="center"/>
        <w:rPr/>
      </w:pPr>
      <w:r>
        <w:t xml:space="preserve">Figure </w:t>
      </w:r>
      <w:r>
        <w:rPr/>
        <w:fldChar w:fldCharType="begin"/>
      </w:r>
      <w:r>
        <w:instrText xml:space="preserve"> SEQ Figure \* ARABIC </w:instrText>
      </w:r>
      <w:r>
        <w:rPr/>
        <w:fldChar w:fldCharType="separate"/>
      </w:r>
      <w:r>
        <w:rPr>
          <w:noProof/>
        </w:rPr>
        <w:t>1</w:t>
      </w:r>
      <w:r>
        <w:rPr/>
        <w:fldChar w:fldCharType="end"/>
      </w:r>
      <w:r>
        <w:t>: The Customer Journey Map</w:t>
      </w:r>
    </w:p>
    <w:p>
      <w:pPr>
        <w:pStyle w:val="style0"/>
        <w:jc w:val="center"/>
        <w:rPr/>
      </w:pPr>
      <w:r>
        <w:rPr>
          <w:noProof/>
        </w:rPr>
        <w:drawing>
          <wp:inline distL="0" distT="0" distB="0" distR="0">
            <wp:extent cx="1767840" cy="3200400"/>
            <wp:effectExtent l="0" t="0" r="0" b="0"/>
            <wp:docPr id="1029" name="Diagram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pPr>
        <w:pStyle w:val="style0"/>
        <w:jc w:val="center"/>
        <w:rPr/>
      </w:pPr>
      <w:r>
        <w:t>(Source: Author-made)</w:t>
      </w:r>
    </w:p>
    <w:p>
      <w:pPr>
        <w:pStyle w:val="style0"/>
        <w:rPr/>
      </w:pPr>
      <w:r>
        <w:rPr>
          <w:b/>
          <w:bCs/>
        </w:rPr>
        <w:t xml:space="preserve">Awareness- </w:t>
      </w:r>
      <w:r>
        <w:t>In this stage, the customers are made aware of the offerings of the company. The customers of the company need to be aware through the use of advertisements which can cause the company to have been looking for the company in terms of the organisation. The company would need to make the customers aware of the products that they are being offered, which can help the company in being able to include the brand and its products as a part of the consumer preference. The company can use influencer marketing that can help with reaching the customers who are admirers of particular parts of the company and its operations. The company would also need to be aware of what they are being given as a part of the OnePlus community.</w:t>
      </w:r>
    </w:p>
    <w:p>
      <w:pPr>
        <w:pStyle w:val="style0"/>
        <w:rPr/>
      </w:pPr>
      <w:r>
        <w:rPr>
          <w:b/>
          <w:bCs/>
        </w:rPr>
        <w:t>Consideration</w:t>
      </w:r>
      <w:r>
        <w:rPr>
          <w:b/>
          <w:bCs/>
        </w:rPr>
        <w:t xml:space="preserve">- </w:t>
      </w:r>
      <w:r>
        <w:t>The customers would then take the steps that compare the products with those of rival companies. This will help the company in having the most success if it produces products if the company has adequate competitive advantage differentiating it from the rest of the company.</w:t>
      </w:r>
    </w:p>
    <w:p>
      <w:pPr>
        <w:pStyle w:val="style0"/>
        <w:rPr/>
      </w:pPr>
      <w:r>
        <w:rPr>
          <w:b/>
          <w:bCs/>
        </w:rPr>
        <w:t xml:space="preserve">Purchase- </w:t>
      </w:r>
      <w:r>
        <w:t>The company would also need to ensure that the purchases that are made by the consumers show the best experience for the consumers. This could be helped through encouraging and motivating salesmen who engage properly.</w:t>
      </w:r>
    </w:p>
    <w:p>
      <w:pPr>
        <w:pStyle w:val="style0"/>
        <w:rPr/>
      </w:pPr>
      <w:r>
        <w:rPr>
          <w:b/>
          <w:bCs/>
        </w:rPr>
        <w:t xml:space="preserve">Onboarding- </w:t>
      </w:r>
      <w:r>
        <w:t>The company would need to continue being a part of the project so that they are on board with the customers.</w:t>
      </w:r>
    </w:p>
    <w:p>
      <w:pPr>
        <w:pStyle w:val="style0"/>
        <w:rPr/>
      </w:pPr>
      <w:r>
        <w:rPr>
          <w:b/>
          <w:bCs/>
        </w:rPr>
        <w:t xml:space="preserve">Advocacy- </w:t>
      </w:r>
      <w:r>
        <w:t xml:space="preserve">The loyalty programs and </w:t>
      </w:r>
      <w:r>
        <w:t>high quality</w:t>
      </w:r>
      <w:r>
        <w:t xml:space="preserve"> products can help with advocacy being increased in the company. This can help with the advocacy of the customers to be increased.</w:t>
      </w:r>
    </w:p>
    <w:bookmarkStart w:id="17" w:name="_Toc122728937"/>
    <w:p>
      <w:pPr>
        <w:pStyle w:val="style1"/>
        <w:rPr/>
      </w:pPr>
      <w:r>
        <w:t>8. Strengths &amp; weakness of customer journey map</w:t>
      </w:r>
      <w:bookmarkEnd w:id="17"/>
      <w:r>
        <w:t xml:space="preserve"> </w:t>
      </w:r>
    </w:p>
    <w:p>
      <w:pPr>
        <w:pStyle w:val="style0"/>
        <w:rPr/>
      </w:pPr>
      <w:r>
        <w:t>The strengths of the customer journey include more customer value and improved retention of the customers. This can help with learning about the customer journey map.</w:t>
      </w:r>
    </w:p>
    <w:p>
      <w:pPr>
        <w:pStyle w:val="style0"/>
        <w:rPr/>
      </w:pPr>
      <w:r>
        <w:t>The customer journey map, however, require cross functional support from various departments to complete the customer journey and its success. The maps need to be acted upon fort being successful.</w:t>
      </w:r>
    </w:p>
    <w:bookmarkStart w:id="18" w:name="_Toc122728938"/>
    <w:p>
      <w:pPr>
        <w:pStyle w:val="style1"/>
        <w:rPr/>
      </w:pPr>
      <w:r>
        <w:t>9. The total engagement models</w:t>
      </w:r>
      <w:bookmarkEnd w:id="18"/>
      <w:r>
        <w:t> </w:t>
      </w:r>
    </w:p>
    <w:p>
      <w:pPr>
        <w:pStyle w:val="style0"/>
        <w:rPr>
          <w:lang w:val="en-IN"/>
        </w:rPr>
      </w:pPr>
      <w:r>
        <w:t>Total engagement model has prioritised the concepts of meeting the needs of the customers, brand advertising, employee engagement that would be able to enhance the overall customer experience. One Plus has focused to increase the market presence of the company by developing digital marketing strategies. The brand only has used internet sales for grow its customer base, which is now a growing community that has helped the brand to get the rec</w:t>
      </w:r>
      <w:r>
        <w:t>o</w:t>
      </w:r>
      <w:r>
        <w:t>gnition in the particular industry The current aim of OnePlus has involved with community involvement rather than community building. For an instance, The OnePlus Music Festival and other similar events fit within this category. For reaching towards the targeted customers of the company, the marketers have implemented unified for to engage the customers within the promotional attributes. The company also has utilised college ambassadors to align the initiatives of promotional activities as, the young ambassadors would be able to increase the customer engagement more effectively. The company also has motivated the employees to focus on solution of the customer issues so that, the customers can be able to get satisfaction from the service of the company (</w:t>
      </w:r>
      <w:r>
        <w:t>Kumar,  Paul</w:t>
      </w:r>
      <w:r>
        <w:t xml:space="preserve"> and </w:t>
      </w:r>
      <w:r>
        <w:t>Unnithan</w:t>
      </w:r>
      <w:r>
        <w:t xml:space="preserve"> 2020). </w:t>
      </w:r>
    </w:p>
    <w:bookmarkStart w:id="19" w:name="_Toc122728939"/>
    <w:p>
      <w:pPr>
        <w:pStyle w:val="style1"/>
        <w:rPr/>
      </w:pPr>
      <w:r>
        <w:t>10. Conclusion</w:t>
      </w:r>
      <w:bookmarkEnd w:id="19"/>
    </w:p>
    <w:p>
      <w:pPr>
        <w:pStyle w:val="style0"/>
        <w:rPr/>
      </w:pPr>
      <w:r>
        <w:t>In conclusion, the company needs to increase its brand equity and brand value for improving its access to various places. The customer journey map can help with the company having more success.</w:t>
      </w:r>
    </w:p>
    <w:bookmarkStart w:id="20" w:name="_Toc122728940"/>
    <w:p>
      <w:pPr>
        <w:pStyle w:val="style1"/>
        <w:rPr/>
      </w:pPr>
      <w:r>
        <w:t>11. Recommendations</w:t>
      </w:r>
      <w:bookmarkEnd w:id="20"/>
    </w:p>
    <w:p>
      <w:pPr>
        <w:pStyle w:val="style0"/>
        <w:rPr>
          <w:lang w:val="en-IN"/>
        </w:rPr>
      </w:pPr>
      <w:r>
        <w:t xml:space="preserve">For </w:t>
      </w:r>
      <w:r>
        <w:t>increasing</w:t>
      </w:r>
      <w:r>
        <w:t xml:space="preserve"> the customer engagement by engaging the process of total engagement, the company can use omni-channel marketing. The omni0channel management system has allowed the modern </w:t>
      </w:r>
      <w:r>
        <w:t>businesses</w:t>
      </w:r>
      <w:r>
        <w:t xml:space="preserve"> for applying integrated system within the business development process to simplify the complex process. Exactly as it sounds, multichannel marketing refers to marketing initiatives that span many channels. Even the company is unfamiliar with the term, there is a significant possibility that the company should engage in multichannel marketing. The use of Facebook, YouTube, Instagram etc within the </w:t>
      </w:r>
      <w:r>
        <w:t>marketing</w:t>
      </w:r>
      <w:r>
        <w:t xml:space="preserve"> process, the company can reach to the most potential customers from the international market effectively (</w:t>
      </w:r>
      <w:r>
        <w:t>Bijmolt</w:t>
      </w:r>
      <w:r>
        <w:t xml:space="preserve"> et al. 2021).</w:t>
      </w:r>
      <w:r>
        <w:t xml:space="preserve"> </w:t>
      </w:r>
    </w:p>
    <w:p>
      <w:pPr>
        <w:pStyle w:val="style1"/>
        <w:rPr/>
      </w:pPr>
    </w:p>
    <w:p>
      <w:pPr>
        <w:pStyle w:val="style0"/>
        <w:rPr/>
      </w:pPr>
    </w:p>
    <w:p>
      <w:pPr>
        <w:pStyle w:val="style0"/>
        <w:spacing w:lineRule="auto" w:line="259"/>
        <w:jc w:val="left"/>
        <w:rPr/>
      </w:pPr>
      <w:r>
        <w:br w:type="page"/>
      </w:r>
    </w:p>
    <w:bookmarkStart w:id="21" w:name="_Toc122728941"/>
    <w:p>
      <w:pPr>
        <w:pStyle w:val="style1"/>
        <w:rPr/>
      </w:pPr>
      <w:r>
        <w:t>References</w:t>
      </w:r>
      <w:bookmarkEnd w:id="21"/>
    </w:p>
    <w:p>
      <w:pPr>
        <w:pStyle w:val="style0"/>
        <w:rPr>
          <w:shd w:val="clear" w:color="auto" w:fill="ffffff"/>
        </w:rPr>
      </w:pPr>
      <w:r>
        <w:rPr>
          <w:shd w:val="clear" w:color="auto" w:fill="ffffff"/>
        </w:rPr>
        <w:t>Bala</w:t>
      </w:r>
      <w:r>
        <w:rPr>
          <w:shd w:val="clear" w:color="auto" w:fill="ffffff"/>
        </w:rPr>
        <w:t>, M. and Verma, D., 2018. A critical review of digital marketing. </w:t>
      </w:r>
      <w:r>
        <w:rPr>
          <w:i/>
          <w:iCs/>
          <w:shd w:val="clear" w:color="auto" w:fill="ffffff"/>
        </w:rPr>
        <w:t xml:space="preserve">M. </w:t>
      </w:r>
      <w:r>
        <w:rPr>
          <w:i/>
          <w:iCs/>
          <w:shd w:val="clear" w:color="auto" w:fill="ffffff"/>
        </w:rPr>
        <w:t>Bala</w:t>
      </w:r>
      <w:r>
        <w:rPr>
          <w:i/>
          <w:iCs/>
          <w:shd w:val="clear" w:color="auto" w:fill="ffffff"/>
        </w:rPr>
        <w:t>, D. Verma (2018). A Critical Review of Digital Marketing. International Journal of Management, IT &amp; Engineering</w:t>
      </w:r>
      <w:r>
        <w:rPr>
          <w:shd w:val="clear" w:color="auto" w:fill="ffffff"/>
        </w:rPr>
        <w:t>, </w:t>
      </w:r>
      <w:r>
        <w:rPr>
          <w:i/>
          <w:iCs/>
          <w:shd w:val="clear" w:color="auto" w:fill="ffffff"/>
        </w:rPr>
        <w:t>8</w:t>
      </w:r>
      <w:r>
        <w:rPr>
          <w:shd w:val="clear" w:color="auto" w:fill="ffffff"/>
        </w:rPr>
        <w:t>(10), pp.321-339.</w:t>
      </w:r>
    </w:p>
    <w:p>
      <w:pPr>
        <w:pStyle w:val="style0"/>
        <w:rPr>
          <w:lang w:val="en-IN"/>
        </w:rPr>
      </w:pPr>
      <w:r>
        <w:t>Bijmolt</w:t>
      </w:r>
      <w:r>
        <w:t xml:space="preserve">, T.H., </w:t>
      </w:r>
      <w:r>
        <w:t>Broekhuis</w:t>
      </w:r>
      <w:r>
        <w:t xml:space="preserve">, M., De Leeuw, S., </w:t>
      </w:r>
      <w:r>
        <w:t>Hirche</w:t>
      </w:r>
      <w:r>
        <w:t xml:space="preserve">, C., </w:t>
      </w:r>
      <w:r>
        <w:t>Rooderkerk</w:t>
      </w:r>
      <w:r>
        <w:t>, R.P., Sousa, R. and Zhu, S.X., 2021. Challenges at the marketing–operations interface in omni-channel retail environments. </w:t>
      </w:r>
      <w:r>
        <w:rPr>
          <w:i/>
          <w:iCs/>
        </w:rPr>
        <w:t>Journal of Business Research</w:t>
      </w:r>
      <w:r>
        <w:t>, </w:t>
      </w:r>
      <w:r>
        <w:rPr>
          <w:i/>
          <w:iCs/>
        </w:rPr>
        <w:t>122</w:t>
      </w:r>
      <w:r>
        <w:t>, pp.864-874.</w:t>
      </w:r>
    </w:p>
    <w:p>
      <w:pPr>
        <w:pStyle w:val="style0"/>
        <w:rPr>
          <w:shd w:val="clear" w:color="auto" w:fill="ffffff"/>
        </w:rPr>
      </w:pPr>
      <w:r>
        <w:rPr>
          <w:shd w:val="clear" w:color="auto" w:fill="ffffff"/>
        </w:rPr>
        <w:t>Camilleri, M.A., 2018. Integrated marketing communications. In </w:t>
      </w:r>
      <w:r>
        <w:rPr>
          <w:i/>
          <w:iCs/>
          <w:shd w:val="clear" w:color="auto" w:fill="ffffff"/>
        </w:rPr>
        <w:t>Travel marketing, tourism economics and the airline product</w:t>
      </w:r>
      <w:r>
        <w:rPr>
          <w:shd w:val="clear" w:color="auto" w:fill="ffffff"/>
        </w:rPr>
        <w:t> (pp. 85-103). Springer, Cham.</w:t>
      </w:r>
    </w:p>
    <w:p>
      <w:pPr>
        <w:pStyle w:val="style0"/>
        <w:rPr>
          <w:shd w:val="clear" w:color="auto" w:fill="ffffff"/>
        </w:rPr>
      </w:pPr>
      <w:r>
        <w:rPr>
          <w:shd w:val="clear" w:color="auto" w:fill="ffffff"/>
        </w:rPr>
        <w:t>Chekalina</w:t>
      </w:r>
      <w:r>
        <w:rPr>
          <w:shd w:val="clear" w:color="auto" w:fill="ffffff"/>
        </w:rPr>
        <w:t xml:space="preserve">, T., Fuchs, M. and </w:t>
      </w:r>
      <w:r>
        <w:rPr>
          <w:shd w:val="clear" w:color="auto" w:fill="ffffff"/>
        </w:rPr>
        <w:t>Lexhagen</w:t>
      </w:r>
      <w:r>
        <w:rPr>
          <w:shd w:val="clear" w:color="auto" w:fill="ffffff"/>
        </w:rPr>
        <w:t xml:space="preserve">, M., 2018. Customer-based destination brand equity </w:t>
      </w:r>
      <w:r>
        <w:rPr>
          <w:shd w:val="clear" w:color="auto" w:fill="ffffff"/>
        </w:rPr>
        <w:t>modeling</w:t>
      </w:r>
      <w:r>
        <w:rPr>
          <w:shd w:val="clear" w:color="auto" w:fill="ffffff"/>
        </w:rPr>
        <w:t>: The role of destination resources, value for money, and value in use. </w:t>
      </w:r>
      <w:r>
        <w:rPr>
          <w:i/>
          <w:iCs/>
          <w:shd w:val="clear" w:color="auto" w:fill="ffffff"/>
        </w:rPr>
        <w:t>Journal of travel research</w:t>
      </w:r>
      <w:r>
        <w:rPr>
          <w:shd w:val="clear" w:color="auto" w:fill="ffffff"/>
        </w:rPr>
        <w:t>, </w:t>
      </w:r>
      <w:r>
        <w:rPr>
          <w:i/>
          <w:iCs/>
          <w:shd w:val="clear" w:color="auto" w:fill="ffffff"/>
        </w:rPr>
        <w:t>57</w:t>
      </w:r>
      <w:r>
        <w:rPr>
          <w:shd w:val="clear" w:color="auto" w:fill="ffffff"/>
        </w:rPr>
        <w:t>(1), pp.31-51.</w:t>
      </w:r>
    </w:p>
    <w:p>
      <w:pPr>
        <w:pStyle w:val="style0"/>
        <w:rPr>
          <w:shd w:val="clear" w:color="auto" w:fill="ffffff"/>
        </w:rPr>
      </w:pPr>
      <w:r>
        <w:rPr>
          <w:shd w:val="clear" w:color="auto" w:fill="ffffff"/>
        </w:rPr>
        <w:t>Das, S., 2021. A systematic study of integrated marketing communication and content management system for millennial consumers. In </w:t>
      </w:r>
      <w:r>
        <w:rPr>
          <w:i/>
          <w:iCs/>
          <w:shd w:val="clear" w:color="auto" w:fill="ffffff"/>
        </w:rPr>
        <w:t>Innovations in digital branding and content marketing</w:t>
      </w:r>
      <w:r>
        <w:rPr>
          <w:shd w:val="clear" w:color="auto" w:fill="ffffff"/>
        </w:rPr>
        <w:t> (pp. 91-112). IGI Global.</w:t>
      </w:r>
    </w:p>
    <w:p>
      <w:pPr>
        <w:pStyle w:val="style0"/>
        <w:rPr>
          <w:shd w:val="clear" w:color="auto" w:fill="ffffff"/>
        </w:rPr>
      </w:pPr>
      <w:r>
        <w:rPr>
          <w:shd w:val="clear" w:color="auto" w:fill="ffffff"/>
        </w:rPr>
        <w:t xml:space="preserve">Deng, Z., 2021. Analysis on One </w:t>
      </w:r>
      <w:r>
        <w:rPr>
          <w:shd w:val="clear" w:color="auto" w:fill="ffffff"/>
        </w:rPr>
        <w:t>Plus'</w:t>
      </w:r>
      <w:r>
        <w:rPr>
          <w:shd w:val="clear" w:color="auto" w:fill="ffffff"/>
        </w:rPr>
        <w:t xml:space="preserve"> International Strategy. </w:t>
      </w:r>
      <w:r>
        <w:rPr>
          <w:i/>
          <w:iCs/>
          <w:shd w:val="clear" w:color="auto" w:fill="ffffff"/>
        </w:rPr>
        <w:t>International Journal of Frontiers in Sociology</w:t>
      </w:r>
      <w:r>
        <w:rPr>
          <w:shd w:val="clear" w:color="auto" w:fill="ffffff"/>
        </w:rPr>
        <w:t>, </w:t>
      </w:r>
      <w:r>
        <w:rPr>
          <w:i/>
          <w:iCs/>
          <w:shd w:val="clear" w:color="auto" w:fill="ffffff"/>
        </w:rPr>
        <w:t>3</w:t>
      </w:r>
      <w:r>
        <w:rPr>
          <w:shd w:val="clear" w:color="auto" w:fill="ffffff"/>
        </w:rPr>
        <w:t>(20).</w:t>
      </w:r>
    </w:p>
    <w:p>
      <w:pPr>
        <w:pStyle w:val="style0"/>
        <w:rPr>
          <w:shd w:val="clear" w:color="auto" w:fill="ffffff"/>
        </w:rPr>
      </w:pPr>
      <w:r>
        <w:rPr>
          <w:shd w:val="clear" w:color="auto" w:fill="ffffff"/>
        </w:rPr>
        <w:t>Fatimayin</w:t>
      </w:r>
      <w:r>
        <w:rPr>
          <w:shd w:val="clear" w:color="auto" w:fill="ffffff"/>
        </w:rPr>
        <w:t>, F., 2018. What is communication. </w:t>
      </w:r>
      <w:r>
        <w:rPr>
          <w:i/>
          <w:iCs/>
          <w:shd w:val="clear" w:color="auto" w:fill="ffffff"/>
        </w:rPr>
        <w:t>National Open University of Nigeria, Lagos</w:t>
      </w:r>
      <w:r>
        <w:rPr>
          <w:shd w:val="clear" w:color="auto" w:fill="ffffff"/>
        </w:rPr>
        <w:t>.</w:t>
      </w:r>
    </w:p>
    <w:p>
      <w:pPr>
        <w:pStyle w:val="style0"/>
        <w:rPr>
          <w:shd w:val="clear" w:color="auto" w:fill="ffffff"/>
        </w:rPr>
      </w:pPr>
      <w:r>
        <w:rPr>
          <w:shd w:val="clear" w:color="auto" w:fill="ffffff"/>
        </w:rPr>
        <w:t>Hollebeek</w:t>
      </w:r>
      <w:r>
        <w:rPr>
          <w:shd w:val="clear" w:color="auto" w:fill="ffffff"/>
        </w:rPr>
        <w:t xml:space="preserve">, L.D. and </w:t>
      </w:r>
      <w:r>
        <w:rPr>
          <w:shd w:val="clear" w:color="auto" w:fill="ffffff"/>
        </w:rPr>
        <w:t>Macky</w:t>
      </w:r>
      <w:r>
        <w:rPr>
          <w:shd w:val="clear" w:color="auto" w:fill="ffffff"/>
        </w:rPr>
        <w:t>, K., 2019. Digital content marketing's role in fostering consumer engagement, trust, and value: Framework, fundamental propositions, and implications. </w:t>
      </w:r>
      <w:r>
        <w:rPr>
          <w:i/>
          <w:iCs/>
          <w:shd w:val="clear" w:color="auto" w:fill="ffffff"/>
        </w:rPr>
        <w:t>Journal of interactive marketing</w:t>
      </w:r>
      <w:r>
        <w:rPr>
          <w:shd w:val="clear" w:color="auto" w:fill="ffffff"/>
        </w:rPr>
        <w:t>, </w:t>
      </w:r>
      <w:r>
        <w:rPr>
          <w:i/>
          <w:iCs/>
          <w:shd w:val="clear" w:color="auto" w:fill="ffffff"/>
        </w:rPr>
        <w:t>45</w:t>
      </w:r>
      <w:r>
        <w:rPr>
          <w:shd w:val="clear" w:color="auto" w:fill="ffffff"/>
        </w:rPr>
        <w:t>, pp.27-41.</w:t>
      </w:r>
    </w:p>
    <w:p>
      <w:pPr>
        <w:pStyle w:val="style0"/>
        <w:rPr/>
      </w:pPr>
      <w:r>
        <w:t xml:space="preserve">India Retailing (2017), </w:t>
      </w:r>
      <w:r>
        <w:rPr>
          <w:i/>
          <w:iCs/>
        </w:rPr>
        <w:t>OnePlus elevates customer experience in India; partners with Croma to offer premium experiential touch points</w:t>
      </w:r>
      <w:r>
        <w:t>, Available at: &lt;</w:t>
      </w:r>
      <w:r>
        <w:t xml:space="preserve"> https://www.indiaretailing.com/2017/09/20/retail/oneplus-elevates-customer-experience-india-partners-croma-offer-premium-experiential-touch-points/</w:t>
      </w:r>
      <w:r>
        <w:t>&gt; [Accessed 23 December 2022]</w:t>
      </w:r>
    </w:p>
    <w:p>
      <w:pPr>
        <w:pStyle w:val="style0"/>
        <w:rPr>
          <w:shd w:val="clear" w:color="auto" w:fill="ffffff"/>
        </w:rPr>
      </w:pPr>
      <w:r>
        <w:rPr>
          <w:shd w:val="clear" w:color="auto" w:fill="ffffff"/>
        </w:rPr>
        <w:t>Kubota, M., 2019. What is “Communication</w:t>
      </w:r>
      <w:r>
        <w:rPr>
          <w:shd w:val="clear" w:color="auto" w:fill="ffffff"/>
        </w:rPr>
        <w:t>”?―</w:t>
      </w:r>
      <w:r>
        <w:rPr>
          <w:shd w:val="clear" w:color="auto" w:fill="ffffff"/>
        </w:rPr>
        <w:t>Beyond the Shannon &amp; Weaver’s Model―. </w:t>
      </w:r>
      <w:r>
        <w:rPr>
          <w:i/>
          <w:iCs/>
          <w:shd w:val="clear" w:color="auto" w:fill="ffffff"/>
        </w:rPr>
        <w:t>International Journal</w:t>
      </w:r>
      <w:r>
        <w:rPr>
          <w:shd w:val="clear" w:color="auto" w:fill="ffffff"/>
        </w:rPr>
        <w:t>, </w:t>
      </w:r>
      <w:r>
        <w:rPr>
          <w:i/>
          <w:iCs/>
          <w:shd w:val="clear" w:color="auto" w:fill="ffffff"/>
        </w:rPr>
        <w:t>13</w:t>
      </w:r>
      <w:r>
        <w:rPr>
          <w:shd w:val="clear" w:color="auto" w:fill="ffffff"/>
        </w:rPr>
        <w:t>(1), pp.54-65.</w:t>
      </w:r>
    </w:p>
    <w:p>
      <w:pPr>
        <w:pStyle w:val="style0"/>
        <w:rPr/>
      </w:pPr>
      <w:r>
        <w:t xml:space="preserve">Kumar, A., Paul, J. and </w:t>
      </w:r>
      <w:r>
        <w:t>Unnithan</w:t>
      </w:r>
      <w:r>
        <w:t>, A.B., 2020. ‘</w:t>
      </w:r>
      <w:r>
        <w:t>Masstige’marketing</w:t>
      </w:r>
      <w:r>
        <w:t>: A review, synthesis and research agenda. </w:t>
      </w:r>
      <w:r>
        <w:rPr>
          <w:i/>
          <w:iCs/>
        </w:rPr>
        <w:t>Journal of Business Research</w:t>
      </w:r>
      <w:r>
        <w:t>, </w:t>
      </w:r>
      <w:r>
        <w:rPr>
          <w:i/>
          <w:iCs/>
        </w:rPr>
        <w:t>113</w:t>
      </w:r>
      <w:r>
        <w:t>, pp.384-398.</w:t>
      </w:r>
    </w:p>
    <w:p>
      <w:pPr>
        <w:pStyle w:val="style0"/>
        <w:rPr>
          <w:shd w:val="clear" w:color="auto" w:fill="ffffff"/>
        </w:rPr>
      </w:pPr>
      <w:r>
        <w:rPr>
          <w:shd w:val="clear" w:color="auto" w:fill="ffffff"/>
        </w:rPr>
        <w:t xml:space="preserve">Kumar, S.L. and </w:t>
      </w:r>
      <w:r>
        <w:rPr>
          <w:shd w:val="clear" w:color="auto" w:fill="ffffff"/>
        </w:rPr>
        <w:t>Arthi</w:t>
      </w:r>
      <w:r>
        <w:rPr>
          <w:shd w:val="clear" w:color="auto" w:fill="ffffff"/>
        </w:rPr>
        <w:t xml:space="preserve">, R., 2020. A Study on Brand Awareness of </w:t>
      </w:r>
      <w:r>
        <w:rPr>
          <w:shd w:val="clear" w:color="auto" w:fill="ffffff"/>
        </w:rPr>
        <w:t>Oneplus</w:t>
      </w:r>
      <w:r>
        <w:rPr>
          <w:shd w:val="clear" w:color="auto" w:fill="ffffff"/>
        </w:rPr>
        <w:t xml:space="preserve"> with Special Reference to Coimbatore District, </w:t>
      </w:r>
      <w:r>
        <w:rPr>
          <w:shd w:val="clear" w:color="auto" w:fill="ffffff"/>
        </w:rPr>
        <w:t>Tamilnadu</w:t>
      </w:r>
      <w:r>
        <w:rPr>
          <w:shd w:val="clear" w:color="auto" w:fill="ffffff"/>
        </w:rPr>
        <w:t>. </w:t>
      </w:r>
      <w:r>
        <w:rPr>
          <w:i/>
          <w:iCs/>
          <w:shd w:val="clear" w:color="auto" w:fill="ffffff"/>
        </w:rPr>
        <w:t>Mukt</w:t>
      </w:r>
      <w:r>
        <w:rPr>
          <w:i/>
          <w:iCs/>
          <w:shd w:val="clear" w:color="auto" w:fill="ffffff"/>
        </w:rPr>
        <w:t xml:space="preserve"> </w:t>
      </w:r>
      <w:r>
        <w:rPr>
          <w:i/>
          <w:iCs/>
          <w:shd w:val="clear" w:color="auto" w:fill="ffffff"/>
        </w:rPr>
        <w:t>Shadb</w:t>
      </w:r>
      <w:r>
        <w:rPr>
          <w:i/>
          <w:iCs/>
          <w:shd w:val="clear" w:color="auto" w:fill="ffffff"/>
        </w:rPr>
        <w:t xml:space="preserve"> Journal</w:t>
      </w:r>
      <w:r>
        <w:rPr>
          <w:shd w:val="clear" w:color="auto" w:fill="ffffff"/>
        </w:rPr>
        <w:t>, </w:t>
      </w:r>
      <w:r>
        <w:rPr>
          <w:i/>
          <w:iCs/>
          <w:shd w:val="clear" w:color="auto" w:fill="ffffff"/>
        </w:rPr>
        <w:t>9</w:t>
      </w:r>
      <w:r>
        <w:rPr>
          <w:shd w:val="clear" w:color="auto" w:fill="ffffff"/>
        </w:rPr>
        <w:t>(4), pp.718-727.</w:t>
      </w:r>
    </w:p>
    <w:p>
      <w:pPr>
        <w:pStyle w:val="style0"/>
        <w:rPr>
          <w:shd w:val="clear" w:color="auto" w:fill="ffffff"/>
        </w:rPr>
      </w:pPr>
      <w:r>
        <w:rPr>
          <w:shd w:val="clear" w:color="auto" w:fill="ffffff"/>
        </w:rPr>
        <w:t>Kuznar</w:t>
      </w:r>
      <w:r>
        <w:rPr>
          <w:shd w:val="clear" w:color="auto" w:fill="ffffff"/>
        </w:rPr>
        <w:t xml:space="preserve">, L.A. and </w:t>
      </w:r>
      <w:r>
        <w:rPr>
          <w:shd w:val="clear" w:color="auto" w:fill="ffffff"/>
        </w:rPr>
        <w:t>Yager</w:t>
      </w:r>
      <w:r>
        <w:rPr>
          <w:shd w:val="clear" w:color="auto" w:fill="ffffff"/>
        </w:rPr>
        <w:t>, M., 2020. </w:t>
      </w:r>
      <w:r>
        <w:rPr>
          <w:i/>
          <w:iCs/>
          <w:shd w:val="clear" w:color="auto" w:fill="ffffff"/>
        </w:rPr>
        <w:t>The Development of Communication Models, Quick Look</w:t>
      </w:r>
      <w:r>
        <w:rPr>
          <w:shd w:val="clear" w:color="auto" w:fill="ffffff"/>
        </w:rPr>
        <w:t>. Joint Staff J39, Strategic Multi-layer Assessment Washington, DC United States.</w:t>
      </w:r>
    </w:p>
    <w:p>
      <w:pPr>
        <w:pStyle w:val="style0"/>
        <w:rPr>
          <w:shd w:val="clear" w:color="auto" w:fill="ffffff"/>
        </w:rPr>
      </w:pPr>
      <w:r>
        <w:rPr>
          <w:shd w:val="clear" w:color="auto" w:fill="ffffff"/>
        </w:rPr>
        <w:t>Lieberman, A. and Schroeder, J., 2020. Two social lives: How differences between online and offline interaction influence social outcomes. </w:t>
      </w:r>
      <w:r>
        <w:rPr>
          <w:i/>
          <w:iCs/>
          <w:shd w:val="clear" w:color="auto" w:fill="ffffff"/>
        </w:rPr>
        <w:t>Current Opinion in Psychology</w:t>
      </w:r>
      <w:r>
        <w:rPr>
          <w:shd w:val="clear" w:color="auto" w:fill="ffffff"/>
        </w:rPr>
        <w:t>, </w:t>
      </w:r>
      <w:r>
        <w:rPr>
          <w:i/>
          <w:iCs/>
          <w:shd w:val="clear" w:color="auto" w:fill="ffffff"/>
        </w:rPr>
        <w:t>31</w:t>
      </w:r>
      <w:r>
        <w:rPr>
          <w:shd w:val="clear" w:color="auto" w:fill="ffffff"/>
        </w:rPr>
        <w:t>, pp.16-21.</w:t>
      </w:r>
    </w:p>
    <w:p>
      <w:pPr>
        <w:pStyle w:val="style0"/>
        <w:rPr>
          <w:shd w:val="clear" w:color="auto" w:fill="ffffff"/>
        </w:rPr>
      </w:pPr>
      <w:r>
        <w:rPr>
          <w:shd w:val="clear" w:color="auto" w:fill="ffffff"/>
        </w:rPr>
        <w:t>Muhammedrisaevna</w:t>
      </w:r>
      <w:r>
        <w:rPr>
          <w:shd w:val="clear" w:color="auto" w:fill="ffffff"/>
        </w:rPr>
        <w:t xml:space="preserve">, T.M.S., </w:t>
      </w:r>
      <w:r>
        <w:rPr>
          <w:shd w:val="clear" w:color="auto" w:fill="ffffff"/>
        </w:rPr>
        <w:t>Bayazovna</w:t>
      </w:r>
      <w:r>
        <w:rPr>
          <w:shd w:val="clear" w:color="auto" w:fill="ffffff"/>
        </w:rPr>
        <w:t xml:space="preserve">, G.N. and </w:t>
      </w:r>
      <w:r>
        <w:rPr>
          <w:shd w:val="clear" w:color="auto" w:fill="ffffff"/>
        </w:rPr>
        <w:t>Kakhramonovna</w:t>
      </w:r>
      <w:r>
        <w:rPr>
          <w:shd w:val="clear" w:color="auto" w:fill="ffffff"/>
        </w:rPr>
        <w:t>, D.A., 2020. Goal and objectives of integrated marketing communications. </w:t>
      </w:r>
      <w:r>
        <w:rPr>
          <w:i/>
          <w:iCs/>
          <w:shd w:val="clear" w:color="auto" w:fill="ffffff"/>
        </w:rPr>
        <w:t>Economics</w:t>
      </w:r>
      <w:r>
        <w:rPr>
          <w:shd w:val="clear" w:color="auto" w:fill="ffffff"/>
        </w:rPr>
        <w:t>, (2 (45)), pp.5-7.</w:t>
      </w:r>
    </w:p>
    <w:p>
      <w:pPr>
        <w:pStyle w:val="style0"/>
        <w:rPr/>
      </w:pPr>
      <w:r>
        <w:rPr>
          <w:shd w:val="clear" w:color="auto" w:fill="ffffff"/>
        </w:rPr>
        <w:t>MURUGANANTHAM, M.S. and Naveen, M.S., 2021. A STUDY ON CONSUMER BUYING BEHAVIOUR TOWARDS SMARTPHONES WITH SPECIAL REFERENCE TO TIRUPUR CITY. </w:t>
      </w:r>
      <w:r>
        <w:rPr>
          <w:i/>
          <w:iCs/>
          <w:shd w:val="clear" w:color="auto" w:fill="ffffff"/>
        </w:rPr>
        <w:t>EPRA International Journal of Multidisciplinary Research (IJMR)</w:t>
      </w:r>
      <w:r>
        <w:rPr>
          <w:shd w:val="clear" w:color="auto" w:fill="ffffff"/>
        </w:rPr>
        <w:t>, </w:t>
      </w:r>
      <w:r>
        <w:rPr>
          <w:i/>
          <w:iCs/>
          <w:shd w:val="clear" w:color="auto" w:fill="ffffff"/>
        </w:rPr>
        <w:t>1</w:t>
      </w:r>
      <w:r>
        <w:rPr>
          <w:shd w:val="clear" w:color="auto" w:fill="ffffff"/>
        </w:rPr>
        <w:t>, p.533.</w:t>
      </w:r>
    </w:p>
    <w:p>
      <w:pPr>
        <w:pStyle w:val="style0"/>
        <w:rPr>
          <w:shd w:val="clear" w:color="auto" w:fill="ffffff"/>
        </w:rPr>
      </w:pPr>
      <w:r>
        <w:rPr>
          <w:shd w:val="clear" w:color="auto" w:fill="ffffff"/>
        </w:rPr>
        <w:t>Panigrahi</w:t>
      </w:r>
      <w:r>
        <w:rPr>
          <w:shd w:val="clear" w:color="auto" w:fill="ffffff"/>
        </w:rPr>
        <w:t>, C.M.A., 2019. Designing a Perfect Business Model-Lessons from Success Stories. </w:t>
      </w:r>
      <w:r>
        <w:rPr>
          <w:i/>
          <w:iCs/>
          <w:shd w:val="clear" w:color="auto" w:fill="ffffff"/>
        </w:rPr>
        <w:t>International Journal of Management, Technology, and Social Sciences (IJMTS), ISSN</w:t>
      </w:r>
      <w:r>
        <w:rPr>
          <w:shd w:val="clear" w:color="auto" w:fill="ffffff"/>
        </w:rPr>
        <w:t>, pp.2581-6012.</w:t>
      </w:r>
    </w:p>
    <w:p>
      <w:pPr>
        <w:pStyle w:val="style0"/>
        <w:rPr>
          <w:shd w:val="clear" w:color="auto" w:fill="ffffff"/>
        </w:rPr>
      </w:pPr>
      <w:r>
        <w:rPr>
          <w:shd w:val="clear" w:color="auto" w:fill="ffffff"/>
        </w:rPr>
        <w:t>PRASAD, N.H., ROLE OF ONLINE COMMUNITIES IN BUILDING CUSTOMER LOYALTY.</w:t>
      </w:r>
    </w:p>
    <w:p>
      <w:pPr>
        <w:pStyle w:val="style0"/>
        <w:rPr>
          <w:shd w:val="clear" w:color="auto" w:fill="ffffff"/>
        </w:rPr>
      </w:pPr>
      <w:r>
        <w:rPr>
          <w:shd w:val="clear" w:color="auto" w:fill="ffffff"/>
        </w:rPr>
        <w:t>Sadchenko</w:t>
      </w:r>
      <w:r>
        <w:rPr>
          <w:shd w:val="clear" w:color="auto" w:fill="ffffff"/>
        </w:rPr>
        <w:t xml:space="preserve">, О., </w:t>
      </w:r>
      <w:r>
        <w:rPr>
          <w:shd w:val="clear" w:color="auto" w:fill="ffffff"/>
        </w:rPr>
        <w:t>Lagodiienko</w:t>
      </w:r>
      <w:r>
        <w:rPr>
          <w:shd w:val="clear" w:color="auto" w:fill="ffffff"/>
        </w:rPr>
        <w:t xml:space="preserve">, V., </w:t>
      </w:r>
      <w:r>
        <w:rPr>
          <w:shd w:val="clear" w:color="auto" w:fill="ffffff"/>
        </w:rPr>
        <w:t>Novykova</w:t>
      </w:r>
      <w:r>
        <w:rPr>
          <w:shd w:val="clear" w:color="auto" w:fill="ffffff"/>
        </w:rPr>
        <w:t xml:space="preserve">, I., </w:t>
      </w:r>
      <w:r>
        <w:rPr>
          <w:shd w:val="clear" w:color="auto" w:fill="ffffff"/>
        </w:rPr>
        <w:t>Feshchenko</w:t>
      </w:r>
      <w:r>
        <w:rPr>
          <w:shd w:val="clear" w:color="auto" w:fill="ffffff"/>
        </w:rPr>
        <w:t xml:space="preserve">, O., </w:t>
      </w:r>
      <w:r>
        <w:rPr>
          <w:shd w:val="clear" w:color="auto" w:fill="ffffff"/>
        </w:rPr>
        <w:t>Ruzhynska</w:t>
      </w:r>
      <w:r>
        <w:rPr>
          <w:shd w:val="clear" w:color="auto" w:fill="ffffff"/>
        </w:rPr>
        <w:t>, N. and Bogdanov, O., 2020. Marketing tools in stimulating innovative activity of enterprises. </w:t>
      </w:r>
      <w:r>
        <w:rPr>
          <w:i/>
          <w:iCs/>
          <w:shd w:val="clear" w:color="auto" w:fill="ffffff"/>
        </w:rPr>
        <w:t>International journal of management</w:t>
      </w:r>
      <w:r>
        <w:rPr>
          <w:shd w:val="clear" w:color="auto" w:fill="ffffff"/>
        </w:rPr>
        <w:t>, </w:t>
      </w:r>
      <w:r>
        <w:rPr>
          <w:i/>
          <w:iCs/>
          <w:shd w:val="clear" w:color="auto" w:fill="ffffff"/>
        </w:rPr>
        <w:t>11</w:t>
      </w:r>
      <w:r>
        <w:rPr>
          <w:shd w:val="clear" w:color="auto" w:fill="ffffff"/>
        </w:rPr>
        <w:t>(6).</w:t>
      </w:r>
    </w:p>
    <w:p>
      <w:pPr>
        <w:pStyle w:val="style0"/>
        <w:rPr>
          <w:shd w:val="clear" w:color="auto" w:fill="ffffff"/>
        </w:rPr>
      </w:pPr>
      <w:r>
        <w:rPr>
          <w:shd w:val="clear" w:color="auto" w:fill="ffffff"/>
        </w:rPr>
        <w:t>Stukalina</w:t>
      </w:r>
      <w:r>
        <w:rPr>
          <w:shd w:val="clear" w:color="auto" w:fill="ffffff"/>
        </w:rPr>
        <w:t>, Y. and Pavlyuk, D., 2021. Using customer-based brand equity model in the higher education context: simulating the current university’s brand. </w:t>
      </w:r>
      <w:r>
        <w:rPr>
          <w:i/>
          <w:iCs/>
          <w:shd w:val="clear" w:color="auto" w:fill="ffffff"/>
        </w:rPr>
        <w:t>Business, Management and Economics Engineering</w:t>
      </w:r>
      <w:r>
        <w:rPr>
          <w:shd w:val="clear" w:color="auto" w:fill="ffffff"/>
        </w:rPr>
        <w:t>, </w:t>
      </w:r>
      <w:r>
        <w:rPr>
          <w:i/>
          <w:iCs/>
          <w:shd w:val="clear" w:color="auto" w:fill="ffffff"/>
        </w:rPr>
        <w:t>19</w:t>
      </w:r>
      <w:r>
        <w:rPr>
          <w:shd w:val="clear" w:color="auto" w:fill="ffffff"/>
        </w:rPr>
        <w:t>(2), pp.272-288.</w:t>
      </w:r>
    </w:p>
    <w:p>
      <w:pPr>
        <w:pStyle w:val="style0"/>
        <w:rPr>
          <w:shd w:val="clear" w:color="auto" w:fill="ffffff"/>
        </w:rPr>
      </w:pPr>
      <w:r>
        <w:rPr>
          <w:shd w:val="clear" w:color="auto" w:fill="ffffff"/>
        </w:rPr>
        <w:t>Świtała</w:t>
      </w:r>
      <w:r>
        <w:rPr>
          <w:shd w:val="clear" w:color="auto" w:fill="ffffff"/>
        </w:rPr>
        <w:t xml:space="preserve">, M., </w:t>
      </w:r>
      <w:r>
        <w:rPr>
          <w:shd w:val="clear" w:color="auto" w:fill="ffffff"/>
        </w:rPr>
        <w:t>Gamrot</w:t>
      </w:r>
      <w:r>
        <w:rPr>
          <w:shd w:val="clear" w:color="auto" w:fill="ffffff"/>
        </w:rPr>
        <w:t xml:space="preserve">, W., Reformat, B. and </w:t>
      </w:r>
      <w:r>
        <w:rPr>
          <w:shd w:val="clear" w:color="auto" w:fill="ffffff"/>
        </w:rPr>
        <w:t>Bilińska</w:t>
      </w:r>
      <w:r>
        <w:rPr>
          <w:shd w:val="clear" w:color="auto" w:fill="ffffff"/>
        </w:rPr>
        <w:t>-Reformat, K., 2018. The influence of brand awareness and brand image on brand equity–an empirical study of logistics service providers. </w:t>
      </w:r>
      <w:r>
        <w:rPr>
          <w:i/>
          <w:iCs/>
          <w:shd w:val="clear" w:color="auto" w:fill="ffffff"/>
        </w:rPr>
        <w:t>Journal of Economics &amp; Management</w:t>
      </w:r>
      <w:r>
        <w:rPr>
          <w:shd w:val="clear" w:color="auto" w:fill="ffffff"/>
        </w:rPr>
        <w:t>, </w:t>
      </w:r>
      <w:r>
        <w:rPr>
          <w:i/>
          <w:iCs/>
          <w:shd w:val="clear" w:color="auto" w:fill="ffffff"/>
        </w:rPr>
        <w:t>33</w:t>
      </w:r>
      <w:r>
        <w:rPr>
          <w:shd w:val="clear" w:color="auto" w:fill="ffffff"/>
        </w:rPr>
        <w:t>, pp.96-119.</w:t>
      </w:r>
    </w:p>
    <w:p>
      <w:pPr>
        <w:pStyle w:val="style0"/>
        <w:rPr>
          <w:shd w:val="clear" w:color="auto" w:fill="ffffff"/>
        </w:rPr>
      </w:pPr>
      <w:r>
        <w:rPr>
          <w:shd w:val="clear" w:color="auto" w:fill="ffffff"/>
        </w:rPr>
        <w:t>Syafril</w:t>
      </w:r>
      <w:r>
        <w:rPr>
          <w:shd w:val="clear" w:color="auto" w:fill="ffffff"/>
        </w:rPr>
        <w:t xml:space="preserve">, S., </w:t>
      </w:r>
      <w:r>
        <w:rPr>
          <w:shd w:val="clear" w:color="auto" w:fill="ffffff"/>
        </w:rPr>
        <w:t>Hudayah</w:t>
      </w:r>
      <w:r>
        <w:rPr>
          <w:shd w:val="clear" w:color="auto" w:fill="ffffff"/>
        </w:rPr>
        <w:t xml:space="preserve">, S., </w:t>
      </w:r>
      <w:r>
        <w:rPr>
          <w:shd w:val="clear" w:color="auto" w:fill="ffffff"/>
        </w:rPr>
        <w:t>Hariadi</w:t>
      </w:r>
      <w:r>
        <w:rPr>
          <w:shd w:val="clear" w:color="auto" w:fill="ffffff"/>
        </w:rPr>
        <w:t xml:space="preserve">, S. and </w:t>
      </w:r>
      <w:r>
        <w:rPr>
          <w:shd w:val="clear" w:color="auto" w:fill="ffffff"/>
        </w:rPr>
        <w:t>Hidayati</w:t>
      </w:r>
      <w:r>
        <w:rPr>
          <w:shd w:val="clear" w:color="auto" w:fill="ffffff"/>
        </w:rPr>
        <w:t>, T., BUILDING BRAND-COMMITMENT.</w:t>
      </w:r>
    </w:p>
    <w:p>
      <w:pPr>
        <w:pStyle w:val="style0"/>
        <w:rPr>
          <w:shd w:val="clear" w:color="auto" w:fill="ffffff"/>
        </w:rPr>
      </w:pPr>
      <w:r>
        <w:rPr>
          <w:shd w:val="clear" w:color="auto" w:fill="ffffff"/>
        </w:rPr>
        <w:t>Tueanrat</w:t>
      </w:r>
      <w:r>
        <w:rPr>
          <w:shd w:val="clear" w:color="auto" w:fill="ffffff"/>
        </w:rPr>
        <w:t xml:space="preserve">, Y., </w:t>
      </w:r>
      <w:r>
        <w:rPr>
          <w:shd w:val="clear" w:color="auto" w:fill="ffffff"/>
        </w:rPr>
        <w:t>Papagiannidis</w:t>
      </w:r>
      <w:r>
        <w:rPr>
          <w:shd w:val="clear" w:color="auto" w:fill="ffffff"/>
        </w:rPr>
        <w:t xml:space="preserve">, S. and </w:t>
      </w:r>
      <w:r>
        <w:rPr>
          <w:shd w:val="clear" w:color="auto" w:fill="ffffff"/>
        </w:rPr>
        <w:t>Alamanos</w:t>
      </w:r>
      <w:r>
        <w:rPr>
          <w:shd w:val="clear" w:color="auto" w:fill="ffffff"/>
        </w:rPr>
        <w:t>, E., 2021. Going on a journey: A review of the customer journey literature. </w:t>
      </w:r>
      <w:r>
        <w:rPr>
          <w:i/>
          <w:iCs/>
          <w:shd w:val="clear" w:color="auto" w:fill="ffffff"/>
        </w:rPr>
        <w:t>Journal of Business Research</w:t>
      </w:r>
      <w:r>
        <w:rPr>
          <w:shd w:val="clear" w:color="auto" w:fill="ffffff"/>
        </w:rPr>
        <w:t>, </w:t>
      </w:r>
      <w:r>
        <w:rPr>
          <w:i/>
          <w:iCs/>
          <w:shd w:val="clear" w:color="auto" w:fill="ffffff"/>
        </w:rPr>
        <w:t>125</w:t>
      </w:r>
      <w:r>
        <w:rPr>
          <w:shd w:val="clear" w:color="auto" w:fill="ffffff"/>
        </w:rPr>
        <w:t>, pp.336-353.</w:t>
      </w:r>
    </w:p>
    <w:p>
      <w:pPr>
        <w:pStyle w:val="style0"/>
        <w:rPr>
          <w:shd w:val="clear" w:color="auto" w:fill="ffffff"/>
        </w:rPr>
      </w:pPr>
      <w:r>
        <w:rPr>
          <w:shd w:val="clear" w:color="auto" w:fill="ffffff"/>
        </w:rPr>
        <w:t>Van Ruler, B., 2018. Communication theory: An underrated pillar on which strategic communication rests. </w:t>
      </w:r>
      <w:r>
        <w:rPr>
          <w:i/>
          <w:iCs/>
          <w:shd w:val="clear" w:color="auto" w:fill="ffffff"/>
        </w:rPr>
        <w:t>International Journal of Strategic Communication</w:t>
      </w:r>
      <w:r>
        <w:rPr>
          <w:shd w:val="clear" w:color="auto" w:fill="ffffff"/>
        </w:rPr>
        <w:t>, </w:t>
      </w:r>
      <w:r>
        <w:rPr>
          <w:i/>
          <w:iCs/>
          <w:shd w:val="clear" w:color="auto" w:fill="ffffff"/>
        </w:rPr>
        <w:t>12</w:t>
      </w:r>
      <w:r>
        <w:rPr>
          <w:shd w:val="clear" w:color="auto" w:fill="ffffff"/>
        </w:rPr>
        <w:t>(4), pp.367-381.</w:t>
      </w:r>
    </w:p>
    <w:sectPr>
      <w:headerReference w:type="default" r:id="rId13"/>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0030204"/>
    <w:charset w:val="00"/>
    <w:family w:val="swiss"/>
    <w:pitch w:val="variable"/>
    <w:sig w:usb0="E4002EFF" w:usb1="C200247B" w:usb2="00000009" w:usb3="00000000" w:csb0="000001FF" w:csb1="00000000"/>
  </w:font>
  <w:font w:name="Times New Roman">
    <w:altName w:val="Times New Roman"/>
    <w:panose1 w:val="02020603050000020304"/>
    <w:charset w:val="00"/>
    <w:family w:val="roman"/>
    <w:pitch w:val="variable"/>
    <w:sig w:usb0="E0002EFF" w:usb1="C000785B" w:usb2="00000009" w:usb3="00000000" w:csb0="000001FF" w:csb1="00000000"/>
  </w:font>
  <w:font w:name="Calibri Light">
    <w:altName w:val="Calibri Light"/>
    <w:panose1 w:val="020f0302020000030204"/>
    <w:charset w:val="00"/>
    <w:family w:val="swiss"/>
    <w:pitch w:val="variable"/>
    <w:sig w:usb0="E4002EFF" w:usb1="C200247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s>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pPr>
    <w:r>
      <w:rPr/>
      <w:fldChar w:fldCharType="begin"/>
    </w:r>
    <w:r>
      <w:instrText xml:space="preserve"> PAGE   \* MERGEFORMAT </w:instrText>
    </w:r>
    <w:r>
      <w:rPr/>
      <w:fldChar w:fldCharType="separate"/>
    </w:r>
    <w:r>
      <w:rPr>
        <w:noProof/>
      </w:rPr>
      <w:t>2</w:t>
    </w:r>
    <w:r>
      <w:rPr>
        <w:noProof/>
      </w:rPr>
      <w:fldChar w:fldCharType="end"/>
    </w:r>
  </w:p>
  <w:p>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hAnsi="Times New Roman"/>
      <w:sz w:val="24"/>
      <w:lang w:val="en-GB"/>
    </w:rPr>
  </w:style>
  <w:style w:type="paragraph" w:styleId="style1">
    <w:name w:val="heading 1"/>
    <w:basedOn w:val="style0"/>
    <w:next w:val="style0"/>
    <w:link w:val="style4097"/>
    <w:qFormat/>
    <w:uiPriority w:val="9"/>
    <w:pPr>
      <w:keepNext/>
      <w:keepLines/>
      <w:spacing w:before="240" w:after="0"/>
      <w:outlineLvl w:val="0"/>
    </w:pPr>
    <w:rPr>
      <w:rFonts w:cs="宋体" w:eastAsia="宋体"/>
      <w:b/>
      <w:szCs w:val="32"/>
    </w:rPr>
  </w:style>
  <w:style w:type="paragraph" w:styleId="style2">
    <w:name w:val="heading 2"/>
    <w:basedOn w:val="style0"/>
    <w:next w:val="style0"/>
    <w:link w:val="style4098"/>
    <w:qFormat/>
    <w:uiPriority w:val="9"/>
    <w:pPr>
      <w:keepNext/>
      <w:keepLines/>
      <w:spacing w:before="40" w:after="0"/>
      <w:outlineLvl w:val="1"/>
    </w:pPr>
    <w:rPr>
      <w:rFonts w:cs="宋体" w:eastAsia="宋体"/>
      <w:b/>
      <w:szCs w:val="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141886e7-994e-4700-a439-ee56439c0ba7"/>
    <w:basedOn w:val="style65"/>
    <w:next w:val="style4097"/>
    <w:link w:val="style1"/>
    <w:uiPriority w:val="9"/>
    <w:rPr>
      <w:rFonts w:ascii="Times New Roman" w:cs="宋体" w:eastAsia="宋体" w:hAnsi="Times New Roman"/>
      <w:b/>
      <w:sz w:val="24"/>
      <w:szCs w:val="32"/>
      <w:lang w:val="en-GB"/>
    </w:rPr>
  </w:style>
  <w:style w:type="character" w:customStyle="1" w:styleId="style4098">
    <w:name w:val="Heading 2 Char_24c26157-7d2b-42b4-ad3e-521610d1f656"/>
    <w:basedOn w:val="style65"/>
    <w:next w:val="style4098"/>
    <w:link w:val="style2"/>
    <w:uiPriority w:val="9"/>
    <w:rPr>
      <w:rFonts w:ascii="Times New Roman" w:cs="宋体" w:eastAsia="宋体" w:hAnsi="Times New Roman"/>
      <w:b/>
      <w:sz w:val="24"/>
      <w:szCs w:val="26"/>
      <w:lang w:val="en-GB"/>
    </w:rPr>
  </w:style>
  <w:style w:type="paragraph" w:styleId="style34">
    <w:name w:val="caption"/>
    <w:basedOn w:val="style0"/>
    <w:next w:val="style0"/>
    <w:qFormat/>
    <w:uiPriority w:val="35"/>
    <w:pPr>
      <w:spacing w:after="200" w:lineRule="auto" w:line="240"/>
    </w:pPr>
    <w:rPr>
      <w:i/>
      <w:iCs/>
      <w:color w:val="44546a"/>
      <w:sz w:val="18"/>
      <w:szCs w:val="18"/>
    </w:rPr>
  </w:style>
  <w:style w:type="paragraph" w:styleId="style266">
    <w:name w:val="TOC Heading"/>
    <w:basedOn w:val="style1"/>
    <w:next w:val="style0"/>
    <w:qFormat/>
    <w:uiPriority w:val="39"/>
    <w:pPr>
      <w:spacing w:lineRule="auto" w:line="259"/>
      <w:jc w:val="left"/>
      <w:outlineLvl w:val="9"/>
    </w:pPr>
    <w:rPr>
      <w:rFonts w:ascii="Calibri Light" w:hAnsi="Calibri Light"/>
      <w:b w:val="false"/>
      <w:color w:val="2f5496"/>
      <w:sz w:val="32"/>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 w:type="paragraph" w:styleId="style31">
    <w:name w:val="header"/>
    <w:basedOn w:val="style0"/>
    <w:next w:val="style31"/>
    <w:link w:val="style4099"/>
    <w:uiPriority w:val="99"/>
    <w:pPr>
      <w:tabs>
        <w:tab w:val="center" w:leader="none" w:pos="4513"/>
        <w:tab w:val="right" w:leader="none" w:pos="9026"/>
      </w:tabs>
      <w:spacing w:after="0" w:lineRule="auto" w:line="240"/>
    </w:pPr>
    <w:rPr/>
  </w:style>
  <w:style w:type="character" w:customStyle="1" w:styleId="style4099">
    <w:name w:val="Header Char_8f237d15-b31e-499b-9ffe-69cf0de7323e"/>
    <w:basedOn w:val="style65"/>
    <w:next w:val="style4099"/>
    <w:link w:val="style31"/>
    <w:uiPriority w:val="99"/>
    <w:rPr>
      <w:rFonts w:ascii="Times New Roman" w:hAnsi="Times New Roman"/>
      <w:sz w:val="24"/>
      <w:lang w:val="en-GB"/>
    </w:rPr>
  </w:style>
  <w:style w:type="paragraph" w:styleId="style32">
    <w:name w:val="footer"/>
    <w:basedOn w:val="style0"/>
    <w:next w:val="style32"/>
    <w:link w:val="style4100"/>
    <w:uiPriority w:val="99"/>
    <w:pPr>
      <w:tabs>
        <w:tab w:val="center" w:leader="none" w:pos="4513"/>
        <w:tab w:val="right" w:leader="none" w:pos="9026"/>
      </w:tabs>
      <w:spacing w:after="0" w:lineRule="auto" w:line="240"/>
    </w:pPr>
    <w:rPr/>
  </w:style>
  <w:style w:type="character" w:customStyle="1" w:styleId="style4100">
    <w:name w:val="Footer Char_157e24bf-3580-4eae-81fb-76e70fe56fd1"/>
    <w:basedOn w:val="style65"/>
    <w:next w:val="style4100"/>
    <w:link w:val="style32"/>
    <w:uiPriority w:val="99"/>
    <w:rPr>
      <w:rFonts w:ascii="Times New Roman" w:hAnsi="Times New Roman"/>
      <w:sz w:val="24"/>
      <w:lang w:val="en-GB"/>
    </w:rPr>
  </w:style>
</w:styles>
</file>

<file path=word/_rels/document.xml.rels><?xml version="1.0" encoding="UTF-8"?>
<Relationships xmlns="http://schemas.openxmlformats.org/package/2006/relationships"><Relationship Id="rId11" Type="http://schemas.openxmlformats.org/officeDocument/2006/relationships/diagramColors" Target="diagrams/colors2.xml"/><Relationship Id="rId10" Type="http://schemas.openxmlformats.org/officeDocument/2006/relationships/diagramQuickStyle" Target="diagrams/quickStyle2.xml"/><Relationship Id="rId13" Type="http://schemas.openxmlformats.org/officeDocument/2006/relationships/header" Target="header1.xml"/><Relationship Id="rId12" Type="http://schemas.microsoft.com/office/2007/relationships/diagramDrawing" Target="diagrams/drawing1.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diagramData" Target="diagrams/data1.xml"/><Relationship Id="rId4" Type="http://schemas.openxmlformats.org/officeDocument/2006/relationships/diagramLayout" Target="diagrams/layout1.xml"/><Relationship Id="rId9" Type="http://schemas.openxmlformats.org/officeDocument/2006/relationships/diagramLayout" Target="diagrams/layout2.xml"/><Relationship Id="rId15" Type="http://schemas.openxmlformats.org/officeDocument/2006/relationships/fontTable" Target="fontTable.xml"/><Relationship Id="rId14" Type="http://schemas.openxmlformats.org/officeDocument/2006/relationships/styles" Target="styles.xml"/><Relationship Id="rId17" Type="http://schemas.openxmlformats.org/officeDocument/2006/relationships/theme" Target="theme/theme1.xml"/><Relationship Id="rId16" Type="http://schemas.openxmlformats.org/officeDocument/2006/relationships/settings" Target="settings.xml"/><Relationship Id="rId5" Type="http://schemas.openxmlformats.org/officeDocument/2006/relationships/diagramQuickStyle" Target="diagrams/quickStyle1.xml"/><Relationship Id="rId19" Type="http://schemas.openxmlformats.org/officeDocument/2006/relationships/customXml" Target="../customXml/item1.xml"/><Relationship Id="rId6" Type="http://schemas.openxmlformats.org/officeDocument/2006/relationships/diagramColors" Target="diagrams/colors1.xml"/><Relationship Id="rId18" Type="http://schemas.microsoft.com/office/2007/relationships/diagramDrawing" Target="diagrams/drawing2.xml"/><Relationship Id="rId7" Type="http://schemas.openxmlformats.org/officeDocument/2006/relationships/image" Target="media/image2.png"/><Relationship Id="rId8" Type="http://schemas.openxmlformats.org/officeDocument/2006/relationships/diagramData" Target="diagrams/data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E4F171-A6DC-471E-B8B1-2D54D0E95153}" type="doc">
      <dgm:prSet loTypeId="urn:microsoft.com/office/officeart/2005/8/layout/chevronAccent+Icon" loCatId="process" qsTypeId="urn:microsoft.com/office/officeart/2005/8/quickstyle/simple1" qsCatId="simple" csTypeId="urn:microsoft.com/office/officeart/2005/8/colors/colorful1" csCatId="colorful" phldr="1"/>
      <dgm:spPr/>
    </dgm:pt>
    <dgm:pt modelId="{5E034587-4570-4C28-8607-3FBC15EEC20B}">
      <dgm:prSet phldrT="[Text]" custT="1"/>
      <dgm:spPr/>
      <dgm:t>
        <a:bodyPr/>
        <a:lstStyle/>
        <a:p>
          <a:r>
            <a:rPr lang="en-US" sz="1100">
              <a:latin typeface="Times New Roman" panose="02020603050405020304" pitchFamily="18" charset="0"/>
              <a:cs typeface="Times New Roman" panose="02020603050405020304" pitchFamily="18" charset="0"/>
            </a:rPr>
            <a:t>OnePlus</a:t>
          </a:r>
        </a:p>
      </dgm:t>
    </dgm:pt>
    <dgm:pt modelId="{2EC33C49-A148-412F-8FA0-198A16BBB96E}" type="parTrans" cxnId="{910F97DD-80F3-454E-81CD-7259D64C20EC}">
      <dgm:prSet/>
      <dgm:spPr/>
      <dgm:t>
        <a:bodyPr/>
        <a:lstStyle/>
        <a:p>
          <a:endParaRPr lang="en-US" sz="4400">
            <a:latin typeface="Times New Roman" panose="02020603050405020304" pitchFamily="18" charset="0"/>
            <a:cs typeface="Times New Roman" panose="02020603050405020304" pitchFamily="18" charset="0"/>
          </a:endParaRPr>
        </a:p>
      </dgm:t>
    </dgm:pt>
    <dgm:pt modelId="{77F9F44F-1146-4C2C-9E1A-04A61499DE52}" type="sibTrans" cxnId="{910F97DD-80F3-454E-81CD-7259D64C20EC}">
      <dgm:prSet/>
      <dgm:spPr/>
      <dgm:t>
        <a:bodyPr/>
        <a:lstStyle/>
        <a:p>
          <a:endParaRPr lang="en-US" sz="4400">
            <a:latin typeface="Times New Roman" panose="02020603050405020304" pitchFamily="18" charset="0"/>
            <a:cs typeface="Times New Roman" panose="02020603050405020304" pitchFamily="18" charset="0"/>
          </a:endParaRPr>
        </a:p>
      </dgm:t>
    </dgm:pt>
    <dgm:pt modelId="{F1B6137E-CDBB-4D5C-A013-CCB5B138F6E1}">
      <dgm:prSet phldrT="[Text]" custT="1"/>
      <dgm:spPr/>
      <dgm:t>
        <a:bodyPr/>
        <a:lstStyle/>
        <a:p>
          <a:r>
            <a:rPr lang="en-US" sz="1100">
              <a:latin typeface="Times New Roman" panose="02020603050405020304" pitchFamily="18" charset="0"/>
              <a:cs typeface="Times New Roman" panose="02020603050405020304" pitchFamily="18" charset="0"/>
            </a:rPr>
            <a:t>Sales person and internet</a:t>
          </a:r>
        </a:p>
      </dgm:t>
    </dgm:pt>
    <dgm:pt modelId="{456EEF73-7A9F-4C27-93B4-D1E5FAF7D14D}" type="parTrans" cxnId="{DB5C6759-D43E-4C0B-AFD7-9DAD3103EA4E}">
      <dgm:prSet/>
      <dgm:spPr/>
      <dgm:t>
        <a:bodyPr/>
        <a:lstStyle/>
        <a:p>
          <a:endParaRPr lang="en-US" sz="4400">
            <a:latin typeface="Times New Roman" panose="02020603050405020304" pitchFamily="18" charset="0"/>
            <a:cs typeface="Times New Roman" panose="02020603050405020304" pitchFamily="18" charset="0"/>
          </a:endParaRPr>
        </a:p>
      </dgm:t>
    </dgm:pt>
    <dgm:pt modelId="{8B4FAAB3-AF37-45ED-B303-EC377BD21598}" type="sibTrans" cxnId="{DB5C6759-D43E-4C0B-AFD7-9DAD3103EA4E}">
      <dgm:prSet/>
      <dgm:spPr/>
      <dgm:t>
        <a:bodyPr/>
        <a:lstStyle/>
        <a:p>
          <a:endParaRPr lang="en-US" sz="4400">
            <a:latin typeface="Times New Roman" panose="02020603050405020304" pitchFamily="18" charset="0"/>
            <a:cs typeface="Times New Roman" panose="02020603050405020304" pitchFamily="18" charset="0"/>
          </a:endParaRPr>
        </a:p>
      </dgm:t>
    </dgm:pt>
    <dgm:pt modelId="{110964B4-9F55-4DAB-8EAD-D67F3AAEF54C}">
      <dgm:prSet phldrT="[Text]" custT="1"/>
      <dgm:spPr/>
      <dgm:t>
        <a:bodyPr/>
        <a:lstStyle/>
        <a:p>
          <a:r>
            <a:rPr lang="en-US" sz="1100">
              <a:latin typeface="Times New Roman" panose="02020603050405020304" pitchFamily="18" charset="0"/>
              <a:cs typeface="Times New Roman" panose="02020603050405020304" pitchFamily="18" charset="0"/>
            </a:rPr>
            <a:t>offline and online channels</a:t>
          </a:r>
        </a:p>
      </dgm:t>
    </dgm:pt>
    <dgm:pt modelId="{E625D531-56AA-44CD-BC1A-189124D60AE7}" type="parTrans" cxnId="{FE327D11-48EE-4431-8EA6-1EC2DD70C6B2}">
      <dgm:prSet/>
      <dgm:spPr/>
      <dgm:t>
        <a:bodyPr/>
        <a:lstStyle/>
        <a:p>
          <a:endParaRPr lang="en-US" sz="4400">
            <a:latin typeface="Times New Roman" panose="02020603050405020304" pitchFamily="18" charset="0"/>
            <a:cs typeface="Times New Roman" panose="02020603050405020304" pitchFamily="18" charset="0"/>
          </a:endParaRPr>
        </a:p>
      </dgm:t>
    </dgm:pt>
    <dgm:pt modelId="{D0A16BE4-1448-4E9B-B096-B11C79BD32EF}" type="sibTrans" cxnId="{FE327D11-48EE-4431-8EA6-1EC2DD70C6B2}">
      <dgm:prSet/>
      <dgm:spPr/>
      <dgm:t>
        <a:bodyPr/>
        <a:lstStyle/>
        <a:p>
          <a:endParaRPr lang="en-US" sz="4400">
            <a:latin typeface="Times New Roman" panose="02020603050405020304" pitchFamily="18" charset="0"/>
            <a:cs typeface="Times New Roman" panose="02020603050405020304" pitchFamily="18" charset="0"/>
          </a:endParaRPr>
        </a:p>
      </dgm:t>
    </dgm:pt>
    <dgm:pt modelId="{136876AF-1511-4C10-B9AD-3B9E41BEC092}">
      <dgm:prSet phldrT="[Text]" custT="1"/>
      <dgm:spPr/>
      <dgm:t>
        <a:bodyPr/>
        <a:lstStyle/>
        <a:p>
          <a:r>
            <a:rPr lang="en-US" sz="1100">
              <a:latin typeface="Times New Roman" panose="02020603050405020304" pitchFamily="18" charset="0"/>
              <a:cs typeface="Times New Roman" panose="02020603050405020304" pitchFamily="18" charset="0"/>
            </a:rPr>
            <a:t>Noise</a:t>
          </a:r>
        </a:p>
      </dgm:t>
    </dgm:pt>
    <dgm:pt modelId="{CC54124C-A115-43AF-8550-0E378F002DB7}" type="parTrans" cxnId="{1EC555FF-FF14-4631-AE1C-E36C831C19F9}">
      <dgm:prSet/>
      <dgm:spPr/>
      <dgm:t>
        <a:bodyPr/>
        <a:lstStyle/>
        <a:p>
          <a:endParaRPr lang="en-US" sz="4400">
            <a:latin typeface="Times New Roman" panose="02020603050405020304" pitchFamily="18" charset="0"/>
            <a:cs typeface="Times New Roman" panose="02020603050405020304" pitchFamily="18" charset="0"/>
          </a:endParaRPr>
        </a:p>
      </dgm:t>
    </dgm:pt>
    <dgm:pt modelId="{A9FBC66D-8C17-4899-8714-E748AF74E909}" type="sibTrans" cxnId="{1EC555FF-FF14-4631-AE1C-E36C831C19F9}">
      <dgm:prSet/>
      <dgm:spPr/>
      <dgm:t>
        <a:bodyPr/>
        <a:lstStyle/>
        <a:p>
          <a:endParaRPr lang="en-US" sz="4400">
            <a:latin typeface="Times New Roman" panose="02020603050405020304" pitchFamily="18" charset="0"/>
            <a:cs typeface="Times New Roman" panose="02020603050405020304" pitchFamily="18" charset="0"/>
          </a:endParaRPr>
        </a:p>
      </dgm:t>
    </dgm:pt>
    <dgm:pt modelId="{722B18C8-5328-473D-946E-3D236E28CFAE}">
      <dgm:prSet phldrT="[Text]" custT="1"/>
      <dgm:spPr/>
      <dgm:t>
        <a:bodyPr/>
        <a:lstStyle/>
        <a:p>
          <a:r>
            <a:rPr lang="en-US" sz="1100">
              <a:latin typeface="Times New Roman" panose="02020603050405020304" pitchFamily="18" charset="0"/>
              <a:cs typeface="Times New Roman" panose="02020603050405020304" pitchFamily="18" charset="0"/>
            </a:rPr>
            <a:t>Marketing team</a:t>
          </a:r>
        </a:p>
      </dgm:t>
    </dgm:pt>
    <dgm:pt modelId="{6091A3AE-95A7-4811-8B18-046BB69E02E8}" type="parTrans" cxnId="{3E5D6C75-9CF2-48EF-BFEA-323557A1FA27}">
      <dgm:prSet/>
      <dgm:spPr/>
      <dgm:t>
        <a:bodyPr/>
        <a:lstStyle/>
        <a:p>
          <a:endParaRPr lang="en-US" sz="4400">
            <a:latin typeface="Times New Roman" panose="02020603050405020304" pitchFamily="18" charset="0"/>
            <a:cs typeface="Times New Roman" panose="02020603050405020304" pitchFamily="18" charset="0"/>
          </a:endParaRPr>
        </a:p>
      </dgm:t>
    </dgm:pt>
    <dgm:pt modelId="{DF51AE5D-D6FD-41CE-AD0E-25453A90ACE5}" type="sibTrans" cxnId="{3E5D6C75-9CF2-48EF-BFEA-323557A1FA27}">
      <dgm:prSet/>
      <dgm:spPr/>
      <dgm:t>
        <a:bodyPr/>
        <a:lstStyle/>
        <a:p>
          <a:endParaRPr lang="en-US" sz="4400">
            <a:latin typeface="Times New Roman" panose="02020603050405020304" pitchFamily="18" charset="0"/>
            <a:cs typeface="Times New Roman" panose="02020603050405020304" pitchFamily="18" charset="0"/>
          </a:endParaRPr>
        </a:p>
      </dgm:t>
    </dgm:pt>
    <dgm:pt modelId="{8912D992-8D49-4129-8AE1-EB2523400CD1}">
      <dgm:prSet phldrT="[Text]" custT="1"/>
      <dgm:spPr/>
      <dgm:t>
        <a:bodyPr/>
        <a:lstStyle/>
        <a:p>
          <a:r>
            <a:rPr lang="en-US" sz="1100">
              <a:latin typeface="Times New Roman" panose="02020603050405020304" pitchFamily="18" charset="0"/>
              <a:cs typeface="Times New Roman" panose="02020603050405020304" pitchFamily="18" charset="0"/>
            </a:rPr>
            <a:t>consumer</a:t>
          </a:r>
        </a:p>
      </dgm:t>
    </dgm:pt>
    <dgm:pt modelId="{E6B4EAE3-B7D1-4585-AA47-564172F0923F}" type="parTrans" cxnId="{7D53E4FA-0564-42A4-ADD5-A5E8740BC16D}">
      <dgm:prSet/>
      <dgm:spPr/>
      <dgm:t>
        <a:bodyPr/>
        <a:lstStyle/>
        <a:p>
          <a:endParaRPr lang="en-US" sz="4400">
            <a:latin typeface="Times New Roman" panose="02020603050405020304" pitchFamily="18" charset="0"/>
            <a:cs typeface="Times New Roman" panose="02020603050405020304" pitchFamily="18" charset="0"/>
          </a:endParaRPr>
        </a:p>
      </dgm:t>
    </dgm:pt>
    <dgm:pt modelId="{EE814952-54D1-49CF-900C-64B825BCE14C}" type="sibTrans" cxnId="{7D53E4FA-0564-42A4-ADD5-A5E8740BC16D}">
      <dgm:prSet/>
      <dgm:spPr/>
      <dgm:t>
        <a:bodyPr/>
        <a:lstStyle/>
        <a:p>
          <a:endParaRPr lang="en-US" sz="4400">
            <a:latin typeface="Times New Roman" panose="02020603050405020304" pitchFamily="18" charset="0"/>
            <a:cs typeface="Times New Roman" panose="02020603050405020304" pitchFamily="18" charset="0"/>
          </a:endParaRPr>
        </a:p>
      </dgm:t>
    </dgm:pt>
    <dgm:pt modelId="{9A8AF3AE-7856-4685-864D-DE6A1417D39A}">
      <dgm:prSet phldrT="[Text]" custT="1"/>
      <dgm:spPr/>
      <dgm:t>
        <a:bodyPr/>
        <a:lstStyle/>
        <a:p>
          <a:r>
            <a:rPr lang="en-US" sz="1100">
              <a:latin typeface="Times New Roman" panose="02020603050405020304" pitchFamily="18" charset="0"/>
              <a:cs typeface="Times New Roman" panose="02020603050405020304" pitchFamily="18" charset="0"/>
            </a:rPr>
            <a:t>feedback</a:t>
          </a:r>
        </a:p>
      </dgm:t>
    </dgm:pt>
    <dgm:pt modelId="{79B7C742-D7B5-4F11-BC54-191189A3AC61}" type="parTrans" cxnId="{ECFC74A0-176F-4790-99DF-ED0F640D4B83}">
      <dgm:prSet/>
      <dgm:spPr/>
      <dgm:t>
        <a:bodyPr/>
        <a:lstStyle/>
        <a:p>
          <a:endParaRPr lang="en-US" sz="4400">
            <a:latin typeface="Times New Roman" panose="02020603050405020304" pitchFamily="18" charset="0"/>
            <a:cs typeface="Times New Roman" panose="02020603050405020304" pitchFamily="18" charset="0"/>
          </a:endParaRPr>
        </a:p>
      </dgm:t>
    </dgm:pt>
    <dgm:pt modelId="{CC04E65F-92AB-41F4-9097-E350C9E56041}" type="sibTrans" cxnId="{ECFC74A0-176F-4790-99DF-ED0F640D4B83}">
      <dgm:prSet/>
      <dgm:spPr/>
      <dgm:t>
        <a:bodyPr/>
        <a:lstStyle/>
        <a:p>
          <a:endParaRPr lang="en-US" sz="4400">
            <a:latin typeface="Times New Roman" panose="02020603050405020304" pitchFamily="18" charset="0"/>
            <a:cs typeface="Times New Roman" panose="02020603050405020304" pitchFamily="18" charset="0"/>
          </a:endParaRPr>
        </a:p>
      </dgm:t>
    </dgm:pt>
    <dgm:pt modelId="{F7BC1C16-D696-4B2F-9C22-94CECF7A5D7C}" type="pres">
      <dgm:prSet presAssocID="{40E4F171-A6DC-471E-B8B1-2D54D0E95153}" presName="Name0" presStyleCnt="0">
        <dgm:presLayoutVars>
          <dgm:dir/>
          <dgm:resizeHandles val="exact"/>
        </dgm:presLayoutVars>
      </dgm:prSet>
      <dgm:spPr/>
    </dgm:pt>
    <dgm:pt modelId="{7A559E9F-A9FE-4507-A127-CA78FA0B6EBA}" type="pres">
      <dgm:prSet presAssocID="{5E034587-4570-4C28-8607-3FBC15EEC20B}" presName="composite" presStyleCnt="0"/>
      <dgm:spPr/>
    </dgm:pt>
    <dgm:pt modelId="{D20A35F2-6864-4CAA-ADE1-40024F958808}" type="pres">
      <dgm:prSet presAssocID="{5E034587-4570-4C28-8607-3FBC15EEC20B}" presName="bgChev" presStyleLbl="node1" presStyleIdx="0" presStyleCnt="7"/>
      <dgm:spPr/>
    </dgm:pt>
    <dgm:pt modelId="{E0B53621-2611-434D-B308-1694CAFEEAE8}" type="pres">
      <dgm:prSet presAssocID="{5E034587-4570-4C28-8607-3FBC15EEC20B}" presName="txNode" presStyleLbl="fgAcc1" presStyleIdx="0" presStyleCnt="7" custScaleX="113982" custScaleY="148360">
        <dgm:presLayoutVars>
          <dgm:bulletEnabled val="1"/>
        </dgm:presLayoutVars>
      </dgm:prSet>
      <dgm:spPr/>
    </dgm:pt>
    <dgm:pt modelId="{5574C126-C5AF-46E8-B543-D6A5C85730D6}" type="pres">
      <dgm:prSet presAssocID="{77F9F44F-1146-4C2C-9E1A-04A61499DE52}" presName="compositeSpace" presStyleCnt="0"/>
      <dgm:spPr/>
    </dgm:pt>
    <dgm:pt modelId="{875EA0CC-8190-4540-8878-F7782B3BADBF}" type="pres">
      <dgm:prSet presAssocID="{F1B6137E-CDBB-4D5C-A013-CCB5B138F6E1}" presName="composite" presStyleCnt="0"/>
      <dgm:spPr/>
    </dgm:pt>
    <dgm:pt modelId="{1F115BDC-940A-4366-B78B-876019FE788D}" type="pres">
      <dgm:prSet presAssocID="{F1B6137E-CDBB-4D5C-A013-CCB5B138F6E1}" presName="bgChev" presStyleLbl="node1" presStyleIdx="1" presStyleCnt="7"/>
      <dgm:spPr/>
    </dgm:pt>
    <dgm:pt modelId="{12930C39-AC8B-4AE4-B33F-E79B43221F81}" type="pres">
      <dgm:prSet presAssocID="{F1B6137E-CDBB-4D5C-A013-CCB5B138F6E1}" presName="txNode" presStyleLbl="fgAcc1" presStyleIdx="1" presStyleCnt="7" custScaleX="122417" custScaleY="150393">
        <dgm:presLayoutVars>
          <dgm:bulletEnabled val="1"/>
        </dgm:presLayoutVars>
      </dgm:prSet>
      <dgm:spPr/>
    </dgm:pt>
    <dgm:pt modelId="{9375778D-B9D6-4453-8F57-244925261449}" type="pres">
      <dgm:prSet presAssocID="{8B4FAAB3-AF37-45ED-B303-EC377BD21598}" presName="compositeSpace" presStyleCnt="0"/>
      <dgm:spPr/>
    </dgm:pt>
    <dgm:pt modelId="{56C9CE1A-7F8B-4045-8FEC-DEADBE897DCE}" type="pres">
      <dgm:prSet presAssocID="{110964B4-9F55-4DAB-8EAD-D67F3AAEF54C}" presName="composite" presStyleCnt="0"/>
      <dgm:spPr/>
    </dgm:pt>
    <dgm:pt modelId="{025C20DE-ADC5-402F-A0EF-E96D54976267}" type="pres">
      <dgm:prSet presAssocID="{110964B4-9F55-4DAB-8EAD-D67F3AAEF54C}" presName="bgChev" presStyleLbl="node1" presStyleIdx="2" presStyleCnt="7"/>
      <dgm:spPr/>
    </dgm:pt>
    <dgm:pt modelId="{50AF9B2B-67BE-4D93-8D3B-4130A6A583FE}" type="pres">
      <dgm:prSet presAssocID="{110964B4-9F55-4DAB-8EAD-D67F3AAEF54C}" presName="txNode" presStyleLbl="fgAcc1" presStyleIdx="2" presStyleCnt="7" custScaleX="123980" custScaleY="146478">
        <dgm:presLayoutVars>
          <dgm:bulletEnabled val="1"/>
        </dgm:presLayoutVars>
      </dgm:prSet>
      <dgm:spPr/>
    </dgm:pt>
    <dgm:pt modelId="{8E3DB454-3583-4719-800E-89B801D41CEE}" type="pres">
      <dgm:prSet presAssocID="{D0A16BE4-1448-4E9B-B096-B11C79BD32EF}" presName="compositeSpace" presStyleCnt="0"/>
      <dgm:spPr/>
    </dgm:pt>
    <dgm:pt modelId="{B3FDC3F1-9E8E-47A6-B0E0-CB4BF3F51107}" type="pres">
      <dgm:prSet presAssocID="{136876AF-1511-4C10-B9AD-3B9E41BEC092}" presName="composite" presStyleCnt="0"/>
      <dgm:spPr/>
    </dgm:pt>
    <dgm:pt modelId="{47172501-DA41-453E-8ECD-17BA3396FEE3}" type="pres">
      <dgm:prSet presAssocID="{136876AF-1511-4C10-B9AD-3B9E41BEC092}" presName="bgChev" presStyleLbl="node1" presStyleIdx="3" presStyleCnt="7"/>
      <dgm:spPr/>
    </dgm:pt>
    <dgm:pt modelId="{7E7080D0-5532-4C20-829C-4D25B47E8519}" type="pres">
      <dgm:prSet presAssocID="{136876AF-1511-4C10-B9AD-3B9E41BEC092}" presName="txNode" presStyleLbl="fgAcc1" presStyleIdx="3" presStyleCnt="7" custScaleX="100859" custScaleY="141117">
        <dgm:presLayoutVars>
          <dgm:bulletEnabled val="1"/>
        </dgm:presLayoutVars>
      </dgm:prSet>
      <dgm:spPr/>
    </dgm:pt>
    <dgm:pt modelId="{CC062276-AB05-4A46-90F7-6C69835ABD32}" type="pres">
      <dgm:prSet presAssocID="{A9FBC66D-8C17-4899-8714-E748AF74E909}" presName="compositeSpace" presStyleCnt="0"/>
      <dgm:spPr/>
    </dgm:pt>
    <dgm:pt modelId="{82C84E12-C396-4BE6-B9DB-3B58D6A3967E}" type="pres">
      <dgm:prSet presAssocID="{722B18C8-5328-473D-946E-3D236E28CFAE}" presName="composite" presStyleCnt="0"/>
      <dgm:spPr/>
    </dgm:pt>
    <dgm:pt modelId="{AA29B5E1-2D86-447C-AB1A-E9E78804837B}" type="pres">
      <dgm:prSet presAssocID="{722B18C8-5328-473D-946E-3D236E28CFAE}" presName="bgChev" presStyleLbl="node1" presStyleIdx="4" presStyleCnt="7"/>
      <dgm:spPr/>
    </dgm:pt>
    <dgm:pt modelId="{6FCBB3A9-97C3-49EA-BB65-9DF5F249D804}" type="pres">
      <dgm:prSet presAssocID="{722B18C8-5328-473D-946E-3D236E28CFAE}" presName="txNode" presStyleLbl="fgAcc1" presStyleIdx="4" presStyleCnt="7" custScaleX="133607" custScaleY="149224">
        <dgm:presLayoutVars>
          <dgm:bulletEnabled val="1"/>
        </dgm:presLayoutVars>
      </dgm:prSet>
      <dgm:spPr/>
    </dgm:pt>
    <dgm:pt modelId="{28263A85-9B28-4527-B00E-69701EAE617E}" type="pres">
      <dgm:prSet presAssocID="{DF51AE5D-D6FD-41CE-AD0E-25453A90ACE5}" presName="compositeSpace" presStyleCnt="0"/>
      <dgm:spPr/>
    </dgm:pt>
    <dgm:pt modelId="{A3B521E2-EDE3-4E15-A6BD-CB2E99EA29A6}" type="pres">
      <dgm:prSet presAssocID="{8912D992-8D49-4129-8AE1-EB2523400CD1}" presName="composite" presStyleCnt="0"/>
      <dgm:spPr/>
    </dgm:pt>
    <dgm:pt modelId="{4837F4A7-D8E3-4C9E-9D62-671689B251A7}" type="pres">
      <dgm:prSet presAssocID="{8912D992-8D49-4129-8AE1-EB2523400CD1}" presName="bgChev" presStyleLbl="node1" presStyleIdx="5" presStyleCnt="7"/>
      <dgm:spPr/>
    </dgm:pt>
    <dgm:pt modelId="{0790376B-CA64-4E71-9AB2-5040A876D4BF}" type="pres">
      <dgm:prSet presAssocID="{8912D992-8D49-4129-8AE1-EB2523400CD1}" presName="txNode" presStyleLbl="fgAcc1" presStyleIdx="5" presStyleCnt="7" custScaleX="140447" custScaleY="144788">
        <dgm:presLayoutVars>
          <dgm:bulletEnabled val="1"/>
        </dgm:presLayoutVars>
      </dgm:prSet>
      <dgm:spPr/>
    </dgm:pt>
    <dgm:pt modelId="{C427B6DE-6FAB-451B-9DB6-4EB1B797D210}" type="pres">
      <dgm:prSet presAssocID="{EE814952-54D1-49CF-900C-64B825BCE14C}" presName="compositeSpace" presStyleCnt="0"/>
      <dgm:spPr/>
    </dgm:pt>
    <dgm:pt modelId="{46982EB5-8AFC-4BDF-89A4-900BAA56F6A8}" type="pres">
      <dgm:prSet presAssocID="{9A8AF3AE-7856-4685-864D-DE6A1417D39A}" presName="composite" presStyleCnt="0"/>
      <dgm:spPr/>
    </dgm:pt>
    <dgm:pt modelId="{22FB5671-3A1D-4D59-BA28-D5FF6146423C}" type="pres">
      <dgm:prSet presAssocID="{9A8AF3AE-7856-4685-864D-DE6A1417D39A}" presName="bgChev" presStyleLbl="node1" presStyleIdx="6" presStyleCnt="7"/>
      <dgm:spPr/>
    </dgm:pt>
    <dgm:pt modelId="{71667E38-C7D0-4532-8EBB-15E8EB21129C}" type="pres">
      <dgm:prSet presAssocID="{9A8AF3AE-7856-4685-864D-DE6A1417D39A}" presName="txNode" presStyleLbl="fgAcc1" presStyleIdx="6" presStyleCnt="7" custScaleX="110116" custScaleY="137148">
        <dgm:presLayoutVars>
          <dgm:bulletEnabled val="1"/>
        </dgm:presLayoutVars>
      </dgm:prSet>
      <dgm:spPr/>
    </dgm:pt>
  </dgm:ptLst>
  <dgm:cxnLst>
    <dgm:cxn modelId="{8782CB05-422A-4A6A-BE08-0EE0F1C3CFD1}" type="presOf" srcId="{9A8AF3AE-7856-4685-864D-DE6A1417D39A}" destId="{71667E38-C7D0-4532-8EBB-15E8EB21129C}" srcOrd="0" destOrd="0" presId="urn:microsoft.com/office/officeart/2005/8/layout/chevronAccent+Icon"/>
    <dgm:cxn modelId="{FE327D11-48EE-4431-8EA6-1EC2DD70C6B2}" srcId="{40E4F171-A6DC-471E-B8B1-2D54D0E95153}" destId="{110964B4-9F55-4DAB-8EAD-D67F3AAEF54C}" srcOrd="2" destOrd="0" parTransId="{E625D531-56AA-44CD-BC1A-189124D60AE7}" sibTransId="{D0A16BE4-1448-4E9B-B096-B11C79BD32EF}"/>
    <dgm:cxn modelId="{42D9091E-1508-4441-A1FC-9F138AC23C5B}" type="presOf" srcId="{8912D992-8D49-4129-8AE1-EB2523400CD1}" destId="{0790376B-CA64-4E71-9AB2-5040A876D4BF}" srcOrd="0" destOrd="0" presId="urn:microsoft.com/office/officeart/2005/8/layout/chevronAccent+Icon"/>
    <dgm:cxn modelId="{8CA95463-E1A1-4F8C-868D-EDF0E7F4F082}" type="presOf" srcId="{136876AF-1511-4C10-B9AD-3B9E41BEC092}" destId="{7E7080D0-5532-4C20-829C-4D25B47E8519}" srcOrd="0" destOrd="0" presId="urn:microsoft.com/office/officeart/2005/8/layout/chevronAccent+Icon"/>
    <dgm:cxn modelId="{A2D33B45-CA81-41D4-A8C5-A67A0A0531DF}" type="presOf" srcId="{5E034587-4570-4C28-8607-3FBC15EEC20B}" destId="{E0B53621-2611-434D-B308-1694CAFEEAE8}" srcOrd="0" destOrd="0" presId="urn:microsoft.com/office/officeart/2005/8/layout/chevronAccent+Icon"/>
    <dgm:cxn modelId="{2D3D6C67-4755-42D4-B68E-1B95E2C6A546}" type="presOf" srcId="{40E4F171-A6DC-471E-B8B1-2D54D0E95153}" destId="{F7BC1C16-D696-4B2F-9C22-94CECF7A5D7C}" srcOrd="0" destOrd="0" presId="urn:microsoft.com/office/officeart/2005/8/layout/chevronAccent+Icon"/>
    <dgm:cxn modelId="{1E87426C-F7B6-4A78-BC5F-7478A623BEF6}" type="presOf" srcId="{722B18C8-5328-473D-946E-3D236E28CFAE}" destId="{6FCBB3A9-97C3-49EA-BB65-9DF5F249D804}" srcOrd="0" destOrd="0" presId="urn:microsoft.com/office/officeart/2005/8/layout/chevronAccent+Icon"/>
    <dgm:cxn modelId="{3E5D6C75-9CF2-48EF-BFEA-323557A1FA27}" srcId="{40E4F171-A6DC-471E-B8B1-2D54D0E95153}" destId="{722B18C8-5328-473D-946E-3D236E28CFAE}" srcOrd="4" destOrd="0" parTransId="{6091A3AE-95A7-4811-8B18-046BB69E02E8}" sibTransId="{DF51AE5D-D6FD-41CE-AD0E-25453A90ACE5}"/>
    <dgm:cxn modelId="{DB5C6759-D43E-4C0B-AFD7-9DAD3103EA4E}" srcId="{40E4F171-A6DC-471E-B8B1-2D54D0E95153}" destId="{F1B6137E-CDBB-4D5C-A013-CCB5B138F6E1}" srcOrd="1" destOrd="0" parTransId="{456EEF73-7A9F-4C27-93B4-D1E5FAF7D14D}" sibTransId="{8B4FAAB3-AF37-45ED-B303-EC377BD21598}"/>
    <dgm:cxn modelId="{ECFC74A0-176F-4790-99DF-ED0F640D4B83}" srcId="{40E4F171-A6DC-471E-B8B1-2D54D0E95153}" destId="{9A8AF3AE-7856-4685-864D-DE6A1417D39A}" srcOrd="6" destOrd="0" parTransId="{79B7C742-D7B5-4F11-BC54-191189A3AC61}" sibTransId="{CC04E65F-92AB-41F4-9097-E350C9E56041}"/>
    <dgm:cxn modelId="{BF7935AC-886F-424A-A977-D65E87A173FD}" type="presOf" srcId="{110964B4-9F55-4DAB-8EAD-D67F3AAEF54C}" destId="{50AF9B2B-67BE-4D93-8D3B-4130A6A583FE}" srcOrd="0" destOrd="0" presId="urn:microsoft.com/office/officeart/2005/8/layout/chevronAccent+Icon"/>
    <dgm:cxn modelId="{910F97DD-80F3-454E-81CD-7259D64C20EC}" srcId="{40E4F171-A6DC-471E-B8B1-2D54D0E95153}" destId="{5E034587-4570-4C28-8607-3FBC15EEC20B}" srcOrd="0" destOrd="0" parTransId="{2EC33C49-A148-412F-8FA0-198A16BBB96E}" sibTransId="{77F9F44F-1146-4C2C-9E1A-04A61499DE52}"/>
    <dgm:cxn modelId="{146DB3E1-ACF4-4E6F-9E32-E4B5D962EABD}" type="presOf" srcId="{F1B6137E-CDBB-4D5C-A013-CCB5B138F6E1}" destId="{12930C39-AC8B-4AE4-B33F-E79B43221F81}" srcOrd="0" destOrd="0" presId="urn:microsoft.com/office/officeart/2005/8/layout/chevronAccent+Icon"/>
    <dgm:cxn modelId="{7D53E4FA-0564-42A4-ADD5-A5E8740BC16D}" srcId="{40E4F171-A6DC-471E-B8B1-2D54D0E95153}" destId="{8912D992-8D49-4129-8AE1-EB2523400CD1}" srcOrd="5" destOrd="0" parTransId="{E6B4EAE3-B7D1-4585-AA47-564172F0923F}" sibTransId="{EE814952-54D1-49CF-900C-64B825BCE14C}"/>
    <dgm:cxn modelId="{1EC555FF-FF14-4631-AE1C-E36C831C19F9}" srcId="{40E4F171-A6DC-471E-B8B1-2D54D0E95153}" destId="{136876AF-1511-4C10-B9AD-3B9E41BEC092}" srcOrd="3" destOrd="0" parTransId="{CC54124C-A115-43AF-8550-0E378F002DB7}" sibTransId="{A9FBC66D-8C17-4899-8714-E748AF74E909}"/>
    <dgm:cxn modelId="{F76131BB-9CAC-4236-8099-9825E534DFAF}" type="presParOf" srcId="{F7BC1C16-D696-4B2F-9C22-94CECF7A5D7C}" destId="{7A559E9F-A9FE-4507-A127-CA78FA0B6EBA}" srcOrd="0" destOrd="0" presId="urn:microsoft.com/office/officeart/2005/8/layout/chevronAccent+Icon"/>
    <dgm:cxn modelId="{010D5C36-1789-489A-A3C6-C2EE29E40CF9}" type="presParOf" srcId="{7A559E9F-A9FE-4507-A127-CA78FA0B6EBA}" destId="{D20A35F2-6864-4CAA-ADE1-40024F958808}" srcOrd="0" destOrd="0" presId="urn:microsoft.com/office/officeart/2005/8/layout/chevronAccent+Icon"/>
    <dgm:cxn modelId="{E6F6335C-EF7A-4657-A188-1F4F9F394EF9}" type="presParOf" srcId="{7A559E9F-A9FE-4507-A127-CA78FA0B6EBA}" destId="{E0B53621-2611-434D-B308-1694CAFEEAE8}" srcOrd="1" destOrd="0" presId="urn:microsoft.com/office/officeart/2005/8/layout/chevronAccent+Icon"/>
    <dgm:cxn modelId="{727A593D-3125-48DE-97B9-7E868C65F727}" type="presParOf" srcId="{F7BC1C16-D696-4B2F-9C22-94CECF7A5D7C}" destId="{5574C126-C5AF-46E8-B543-D6A5C85730D6}" srcOrd="1" destOrd="0" presId="urn:microsoft.com/office/officeart/2005/8/layout/chevronAccent+Icon"/>
    <dgm:cxn modelId="{4F367EEF-7ECC-4229-BCDF-30B9D9390BAC}" type="presParOf" srcId="{F7BC1C16-D696-4B2F-9C22-94CECF7A5D7C}" destId="{875EA0CC-8190-4540-8878-F7782B3BADBF}" srcOrd="2" destOrd="0" presId="urn:microsoft.com/office/officeart/2005/8/layout/chevronAccent+Icon"/>
    <dgm:cxn modelId="{9CD40CD2-0523-4BCB-92E1-3CE241FF9866}" type="presParOf" srcId="{875EA0CC-8190-4540-8878-F7782B3BADBF}" destId="{1F115BDC-940A-4366-B78B-876019FE788D}" srcOrd="0" destOrd="0" presId="urn:microsoft.com/office/officeart/2005/8/layout/chevronAccent+Icon"/>
    <dgm:cxn modelId="{CA0FF258-EE2A-4658-813E-8C4A7CFF5B6A}" type="presParOf" srcId="{875EA0CC-8190-4540-8878-F7782B3BADBF}" destId="{12930C39-AC8B-4AE4-B33F-E79B43221F81}" srcOrd="1" destOrd="0" presId="urn:microsoft.com/office/officeart/2005/8/layout/chevronAccent+Icon"/>
    <dgm:cxn modelId="{6D333B73-4BD1-4042-8711-C1784C639E56}" type="presParOf" srcId="{F7BC1C16-D696-4B2F-9C22-94CECF7A5D7C}" destId="{9375778D-B9D6-4453-8F57-244925261449}" srcOrd="3" destOrd="0" presId="urn:microsoft.com/office/officeart/2005/8/layout/chevronAccent+Icon"/>
    <dgm:cxn modelId="{E85F2C44-6B96-46F2-8749-F6C03C817764}" type="presParOf" srcId="{F7BC1C16-D696-4B2F-9C22-94CECF7A5D7C}" destId="{56C9CE1A-7F8B-4045-8FEC-DEADBE897DCE}" srcOrd="4" destOrd="0" presId="urn:microsoft.com/office/officeart/2005/8/layout/chevronAccent+Icon"/>
    <dgm:cxn modelId="{FB8616CD-82BF-4D67-A43D-E2DFFAC8CC51}" type="presParOf" srcId="{56C9CE1A-7F8B-4045-8FEC-DEADBE897DCE}" destId="{025C20DE-ADC5-402F-A0EF-E96D54976267}" srcOrd="0" destOrd="0" presId="urn:microsoft.com/office/officeart/2005/8/layout/chevronAccent+Icon"/>
    <dgm:cxn modelId="{8DA07C08-3D3B-400C-872A-8F927526B1E4}" type="presParOf" srcId="{56C9CE1A-7F8B-4045-8FEC-DEADBE897DCE}" destId="{50AF9B2B-67BE-4D93-8D3B-4130A6A583FE}" srcOrd="1" destOrd="0" presId="urn:microsoft.com/office/officeart/2005/8/layout/chevronAccent+Icon"/>
    <dgm:cxn modelId="{FEDF5B85-107D-491E-B1E0-AEF05F54454D}" type="presParOf" srcId="{F7BC1C16-D696-4B2F-9C22-94CECF7A5D7C}" destId="{8E3DB454-3583-4719-800E-89B801D41CEE}" srcOrd="5" destOrd="0" presId="urn:microsoft.com/office/officeart/2005/8/layout/chevronAccent+Icon"/>
    <dgm:cxn modelId="{979450C7-665B-4A9F-B80C-E02AC79118DD}" type="presParOf" srcId="{F7BC1C16-D696-4B2F-9C22-94CECF7A5D7C}" destId="{B3FDC3F1-9E8E-47A6-B0E0-CB4BF3F51107}" srcOrd="6" destOrd="0" presId="urn:microsoft.com/office/officeart/2005/8/layout/chevronAccent+Icon"/>
    <dgm:cxn modelId="{ECAA3526-FEC5-427C-9A62-48C063058E42}" type="presParOf" srcId="{B3FDC3F1-9E8E-47A6-B0E0-CB4BF3F51107}" destId="{47172501-DA41-453E-8ECD-17BA3396FEE3}" srcOrd="0" destOrd="0" presId="urn:microsoft.com/office/officeart/2005/8/layout/chevronAccent+Icon"/>
    <dgm:cxn modelId="{AE3FE368-BC41-4F7A-B53D-9D0E72C00016}" type="presParOf" srcId="{B3FDC3F1-9E8E-47A6-B0E0-CB4BF3F51107}" destId="{7E7080D0-5532-4C20-829C-4D25B47E8519}" srcOrd="1" destOrd="0" presId="urn:microsoft.com/office/officeart/2005/8/layout/chevronAccent+Icon"/>
    <dgm:cxn modelId="{EEE8DCA9-FF32-4A18-97F1-C49B55D9A138}" type="presParOf" srcId="{F7BC1C16-D696-4B2F-9C22-94CECF7A5D7C}" destId="{CC062276-AB05-4A46-90F7-6C69835ABD32}" srcOrd="7" destOrd="0" presId="urn:microsoft.com/office/officeart/2005/8/layout/chevronAccent+Icon"/>
    <dgm:cxn modelId="{AEC5FB24-7CB4-4E0D-B8DA-660491E1F06D}" type="presParOf" srcId="{F7BC1C16-D696-4B2F-9C22-94CECF7A5D7C}" destId="{82C84E12-C396-4BE6-B9DB-3B58D6A3967E}" srcOrd="8" destOrd="0" presId="urn:microsoft.com/office/officeart/2005/8/layout/chevronAccent+Icon"/>
    <dgm:cxn modelId="{1ED36B57-5990-4B6B-9F69-0BD140413FB7}" type="presParOf" srcId="{82C84E12-C396-4BE6-B9DB-3B58D6A3967E}" destId="{AA29B5E1-2D86-447C-AB1A-E9E78804837B}" srcOrd="0" destOrd="0" presId="urn:microsoft.com/office/officeart/2005/8/layout/chevronAccent+Icon"/>
    <dgm:cxn modelId="{EAE519F6-E4F0-4EE3-98E9-B22D8475BF1B}" type="presParOf" srcId="{82C84E12-C396-4BE6-B9DB-3B58D6A3967E}" destId="{6FCBB3A9-97C3-49EA-BB65-9DF5F249D804}" srcOrd="1" destOrd="0" presId="urn:microsoft.com/office/officeart/2005/8/layout/chevronAccent+Icon"/>
    <dgm:cxn modelId="{079AF33B-C41E-454A-9701-1B3A2C9060CC}" type="presParOf" srcId="{F7BC1C16-D696-4B2F-9C22-94CECF7A5D7C}" destId="{28263A85-9B28-4527-B00E-69701EAE617E}" srcOrd="9" destOrd="0" presId="urn:microsoft.com/office/officeart/2005/8/layout/chevronAccent+Icon"/>
    <dgm:cxn modelId="{66CD10A9-0EED-4711-84AE-9D979EC03173}" type="presParOf" srcId="{F7BC1C16-D696-4B2F-9C22-94CECF7A5D7C}" destId="{A3B521E2-EDE3-4E15-A6BD-CB2E99EA29A6}" srcOrd="10" destOrd="0" presId="urn:microsoft.com/office/officeart/2005/8/layout/chevronAccent+Icon"/>
    <dgm:cxn modelId="{23355519-EE21-4735-A4B5-5A3D9943DC58}" type="presParOf" srcId="{A3B521E2-EDE3-4E15-A6BD-CB2E99EA29A6}" destId="{4837F4A7-D8E3-4C9E-9D62-671689B251A7}" srcOrd="0" destOrd="0" presId="urn:microsoft.com/office/officeart/2005/8/layout/chevronAccent+Icon"/>
    <dgm:cxn modelId="{16563E19-72E9-43B2-B28E-9D576A5D807A}" type="presParOf" srcId="{A3B521E2-EDE3-4E15-A6BD-CB2E99EA29A6}" destId="{0790376B-CA64-4E71-9AB2-5040A876D4BF}" srcOrd="1" destOrd="0" presId="urn:microsoft.com/office/officeart/2005/8/layout/chevronAccent+Icon"/>
    <dgm:cxn modelId="{C042E908-7616-4D58-AA99-0DD3F4EF471F}" type="presParOf" srcId="{F7BC1C16-D696-4B2F-9C22-94CECF7A5D7C}" destId="{C427B6DE-6FAB-451B-9DB6-4EB1B797D210}" srcOrd="11" destOrd="0" presId="urn:microsoft.com/office/officeart/2005/8/layout/chevronAccent+Icon"/>
    <dgm:cxn modelId="{76399023-167C-4417-BFDF-A2A4B62CEDB3}" type="presParOf" srcId="{F7BC1C16-D696-4B2F-9C22-94CECF7A5D7C}" destId="{46982EB5-8AFC-4BDF-89A4-900BAA56F6A8}" srcOrd="12" destOrd="0" presId="urn:microsoft.com/office/officeart/2005/8/layout/chevronAccent+Icon"/>
    <dgm:cxn modelId="{F3F0574B-6CE7-4AD5-BD18-BD8A07A55630}" type="presParOf" srcId="{46982EB5-8AFC-4BDF-89A4-900BAA56F6A8}" destId="{22FB5671-3A1D-4D59-BA28-D5FF6146423C}" srcOrd="0" destOrd="0" presId="urn:microsoft.com/office/officeart/2005/8/layout/chevronAccent+Icon"/>
    <dgm:cxn modelId="{8ADAEE85-2440-4B7A-853F-01F1D68B5676}" type="presParOf" srcId="{46982EB5-8AFC-4BDF-89A4-900BAA56F6A8}" destId="{71667E38-C7D0-4532-8EBB-15E8EB21129C}" srcOrd="1" destOrd="0" presId="urn:microsoft.com/office/officeart/2005/8/layout/chevronAccent+Icon"/>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1672771-C8C3-4CEB-950B-62889CF88138}" type="doc">
      <dgm:prSet loTypeId="urn:microsoft.com/office/officeart/2009/layout/CircleArrowProcess" loCatId="process" qsTypeId="urn:microsoft.com/office/officeart/2005/8/quickstyle/simple5" qsCatId="simple" csTypeId="urn:microsoft.com/office/officeart/2005/8/colors/colorful3" csCatId="colorful" phldr="1"/>
      <dgm:spPr/>
      <dgm:t>
        <a:bodyPr/>
        <a:lstStyle/>
        <a:p>
          <a:endParaRPr lang="en-IN"/>
        </a:p>
      </dgm:t>
    </dgm:pt>
    <dgm:pt modelId="{1E30894F-45F5-4AA8-B5E9-079E82865D10}">
      <dgm:prSet phldrT="[Text]"/>
      <dgm:spPr/>
      <dgm:t>
        <a:bodyPr/>
        <a:lstStyle/>
        <a:p>
          <a:r>
            <a:rPr lang="en-IN"/>
            <a:t>Awareness</a:t>
          </a:r>
        </a:p>
      </dgm:t>
    </dgm:pt>
    <dgm:pt modelId="{5C5F330F-A25B-4574-BD6C-204D3CD01C7E}" type="parTrans" cxnId="{0C05BEB5-08E8-4481-90D3-D07A37986BFC}">
      <dgm:prSet/>
      <dgm:spPr/>
      <dgm:t>
        <a:bodyPr/>
        <a:lstStyle/>
        <a:p>
          <a:endParaRPr lang="en-IN"/>
        </a:p>
      </dgm:t>
    </dgm:pt>
    <dgm:pt modelId="{A1933FF0-4A20-4B0C-BA8E-FFEC7791D31C}" type="sibTrans" cxnId="{0C05BEB5-08E8-4481-90D3-D07A37986BFC}">
      <dgm:prSet/>
      <dgm:spPr/>
      <dgm:t>
        <a:bodyPr/>
        <a:lstStyle/>
        <a:p>
          <a:endParaRPr lang="en-IN"/>
        </a:p>
      </dgm:t>
    </dgm:pt>
    <dgm:pt modelId="{7722F9E2-97AA-4698-8449-6ECF4F8BD865}">
      <dgm:prSet phldrT="[Text]"/>
      <dgm:spPr/>
      <dgm:t>
        <a:bodyPr/>
        <a:lstStyle/>
        <a:p>
          <a:r>
            <a:rPr lang="en-IN"/>
            <a:t>Consideration</a:t>
          </a:r>
        </a:p>
      </dgm:t>
    </dgm:pt>
    <dgm:pt modelId="{161BFBB5-D45A-4E0C-A3B9-C5D5D1E86651}" type="parTrans" cxnId="{CBB6A2C6-1545-4996-9DF8-781C3AC0481D}">
      <dgm:prSet/>
      <dgm:spPr/>
      <dgm:t>
        <a:bodyPr/>
        <a:lstStyle/>
        <a:p>
          <a:endParaRPr lang="en-IN"/>
        </a:p>
      </dgm:t>
    </dgm:pt>
    <dgm:pt modelId="{24231763-FCDF-41BD-9DB1-2F756CFB4CB1}" type="sibTrans" cxnId="{CBB6A2C6-1545-4996-9DF8-781C3AC0481D}">
      <dgm:prSet/>
      <dgm:spPr/>
      <dgm:t>
        <a:bodyPr/>
        <a:lstStyle/>
        <a:p>
          <a:endParaRPr lang="en-IN"/>
        </a:p>
      </dgm:t>
    </dgm:pt>
    <dgm:pt modelId="{7FA5F733-B8B2-4BCA-9C8A-D5C93A9DDF2F}">
      <dgm:prSet phldrT="[Text]"/>
      <dgm:spPr/>
      <dgm:t>
        <a:bodyPr/>
        <a:lstStyle/>
        <a:p>
          <a:r>
            <a:rPr lang="en-IN"/>
            <a:t>Purchase</a:t>
          </a:r>
        </a:p>
      </dgm:t>
    </dgm:pt>
    <dgm:pt modelId="{61078A18-3958-44D9-9DA3-495D38071F38}" type="parTrans" cxnId="{A5BD5933-2C57-47A5-AC15-009D17EF6754}">
      <dgm:prSet/>
      <dgm:spPr/>
      <dgm:t>
        <a:bodyPr/>
        <a:lstStyle/>
        <a:p>
          <a:endParaRPr lang="en-IN"/>
        </a:p>
      </dgm:t>
    </dgm:pt>
    <dgm:pt modelId="{2BE41766-6593-460A-BC81-4B82C45C1259}" type="sibTrans" cxnId="{A5BD5933-2C57-47A5-AC15-009D17EF6754}">
      <dgm:prSet/>
      <dgm:spPr/>
      <dgm:t>
        <a:bodyPr/>
        <a:lstStyle/>
        <a:p>
          <a:endParaRPr lang="en-IN"/>
        </a:p>
      </dgm:t>
    </dgm:pt>
    <dgm:pt modelId="{927EFBC0-33CB-4F32-BE72-100696B0DFBC}">
      <dgm:prSet phldrT="[Text]"/>
      <dgm:spPr/>
      <dgm:t>
        <a:bodyPr/>
        <a:lstStyle/>
        <a:p>
          <a:r>
            <a:rPr lang="en-IN"/>
            <a:t>Onboarding</a:t>
          </a:r>
        </a:p>
      </dgm:t>
    </dgm:pt>
    <dgm:pt modelId="{8DF23BFB-1659-4D37-8D99-038077F65599}" type="parTrans" cxnId="{B730839A-1D9C-4A67-9C1E-ACF0CAE640EC}">
      <dgm:prSet/>
      <dgm:spPr/>
      <dgm:t>
        <a:bodyPr/>
        <a:lstStyle/>
        <a:p>
          <a:endParaRPr lang="en-IN"/>
        </a:p>
      </dgm:t>
    </dgm:pt>
    <dgm:pt modelId="{5741826A-CDFB-4CA6-8F19-2FBBF68B5A4E}" type="sibTrans" cxnId="{B730839A-1D9C-4A67-9C1E-ACF0CAE640EC}">
      <dgm:prSet/>
      <dgm:spPr/>
      <dgm:t>
        <a:bodyPr/>
        <a:lstStyle/>
        <a:p>
          <a:endParaRPr lang="en-IN"/>
        </a:p>
      </dgm:t>
    </dgm:pt>
    <dgm:pt modelId="{2D38CE74-747C-49C9-8D01-5F28B24ADF96}">
      <dgm:prSet phldrT="[Text]"/>
      <dgm:spPr/>
      <dgm:t>
        <a:bodyPr/>
        <a:lstStyle/>
        <a:p>
          <a:r>
            <a:rPr lang="en-IN"/>
            <a:t>Advocay</a:t>
          </a:r>
        </a:p>
      </dgm:t>
    </dgm:pt>
    <dgm:pt modelId="{67304188-FB0D-4F91-9275-ADD67E894C8C}" type="parTrans" cxnId="{862BBE2A-A72F-42D7-B691-214E14ED5754}">
      <dgm:prSet/>
      <dgm:spPr/>
      <dgm:t>
        <a:bodyPr/>
        <a:lstStyle/>
        <a:p>
          <a:endParaRPr lang="en-IN"/>
        </a:p>
      </dgm:t>
    </dgm:pt>
    <dgm:pt modelId="{6C6FD947-E4E8-4F61-BD30-A9F6932A2A92}" type="sibTrans" cxnId="{862BBE2A-A72F-42D7-B691-214E14ED5754}">
      <dgm:prSet/>
      <dgm:spPr/>
      <dgm:t>
        <a:bodyPr/>
        <a:lstStyle/>
        <a:p>
          <a:endParaRPr lang="en-IN"/>
        </a:p>
      </dgm:t>
    </dgm:pt>
    <dgm:pt modelId="{91E2E8BD-100A-4531-9713-2C9586E76ECB}" type="pres">
      <dgm:prSet presAssocID="{71672771-C8C3-4CEB-950B-62889CF88138}" presName="Name0" presStyleCnt="0">
        <dgm:presLayoutVars>
          <dgm:chMax val="7"/>
          <dgm:chPref val="7"/>
          <dgm:dir/>
          <dgm:animLvl val="lvl"/>
        </dgm:presLayoutVars>
      </dgm:prSet>
      <dgm:spPr/>
    </dgm:pt>
    <dgm:pt modelId="{362ED925-F927-45BA-A096-898C7E5BFDFB}" type="pres">
      <dgm:prSet presAssocID="{1E30894F-45F5-4AA8-B5E9-079E82865D10}" presName="Accent1" presStyleCnt="0"/>
      <dgm:spPr/>
    </dgm:pt>
    <dgm:pt modelId="{906C7AC6-44B5-461A-BC63-C08BA0CE8EBC}" type="pres">
      <dgm:prSet presAssocID="{1E30894F-45F5-4AA8-B5E9-079E82865D10}" presName="Accent" presStyleLbl="node1" presStyleIdx="0" presStyleCnt="5"/>
      <dgm:spPr/>
    </dgm:pt>
    <dgm:pt modelId="{44DC6ECD-6CD2-45C7-BCCB-6F3C8CA545B5}" type="pres">
      <dgm:prSet presAssocID="{1E30894F-45F5-4AA8-B5E9-079E82865D10}" presName="Parent1" presStyleLbl="revTx" presStyleIdx="0" presStyleCnt="5">
        <dgm:presLayoutVars>
          <dgm:chMax val="1"/>
          <dgm:chPref val="1"/>
          <dgm:bulletEnabled val="1"/>
        </dgm:presLayoutVars>
      </dgm:prSet>
      <dgm:spPr/>
    </dgm:pt>
    <dgm:pt modelId="{71D9B5F7-879B-41D8-96FC-74E75A41E968}" type="pres">
      <dgm:prSet presAssocID="{7722F9E2-97AA-4698-8449-6ECF4F8BD865}" presName="Accent2" presStyleCnt="0"/>
      <dgm:spPr/>
    </dgm:pt>
    <dgm:pt modelId="{E60C75F3-63ED-464B-AF73-60498095EE9E}" type="pres">
      <dgm:prSet presAssocID="{7722F9E2-97AA-4698-8449-6ECF4F8BD865}" presName="Accent" presStyleLbl="node1" presStyleIdx="1" presStyleCnt="5"/>
      <dgm:spPr/>
    </dgm:pt>
    <dgm:pt modelId="{49CE2EB3-DBC2-4DC1-ADFF-6BFE1E209A4D}" type="pres">
      <dgm:prSet presAssocID="{7722F9E2-97AA-4698-8449-6ECF4F8BD865}" presName="Parent2" presStyleLbl="revTx" presStyleIdx="1" presStyleCnt="5">
        <dgm:presLayoutVars>
          <dgm:chMax val="1"/>
          <dgm:chPref val="1"/>
          <dgm:bulletEnabled val="1"/>
        </dgm:presLayoutVars>
      </dgm:prSet>
      <dgm:spPr/>
    </dgm:pt>
    <dgm:pt modelId="{74C1957C-FCF2-414F-AF03-A22A52C2379D}" type="pres">
      <dgm:prSet presAssocID="{7FA5F733-B8B2-4BCA-9C8A-D5C93A9DDF2F}" presName="Accent3" presStyleCnt="0"/>
      <dgm:spPr/>
    </dgm:pt>
    <dgm:pt modelId="{2BF03FD4-8644-4EA7-9E3A-54A86FF5307E}" type="pres">
      <dgm:prSet presAssocID="{7FA5F733-B8B2-4BCA-9C8A-D5C93A9DDF2F}" presName="Accent" presStyleLbl="node1" presStyleIdx="2" presStyleCnt="5"/>
      <dgm:spPr/>
    </dgm:pt>
    <dgm:pt modelId="{F47DACE4-0E99-454B-B278-981BB99D354A}" type="pres">
      <dgm:prSet presAssocID="{7FA5F733-B8B2-4BCA-9C8A-D5C93A9DDF2F}" presName="Parent3" presStyleLbl="revTx" presStyleIdx="2" presStyleCnt="5">
        <dgm:presLayoutVars>
          <dgm:chMax val="1"/>
          <dgm:chPref val="1"/>
          <dgm:bulletEnabled val="1"/>
        </dgm:presLayoutVars>
      </dgm:prSet>
      <dgm:spPr/>
    </dgm:pt>
    <dgm:pt modelId="{96D66C91-3079-460D-8DED-1437BE5F95F0}" type="pres">
      <dgm:prSet presAssocID="{927EFBC0-33CB-4F32-BE72-100696B0DFBC}" presName="Accent4" presStyleCnt="0"/>
      <dgm:spPr/>
    </dgm:pt>
    <dgm:pt modelId="{54FDF54F-A0A2-412A-A71E-C2ADB92793DA}" type="pres">
      <dgm:prSet presAssocID="{927EFBC0-33CB-4F32-BE72-100696B0DFBC}" presName="Accent" presStyleLbl="node1" presStyleIdx="3" presStyleCnt="5"/>
      <dgm:spPr/>
    </dgm:pt>
    <dgm:pt modelId="{5B482C37-DAD8-471B-9482-9BEF99CC30AE}" type="pres">
      <dgm:prSet presAssocID="{927EFBC0-33CB-4F32-BE72-100696B0DFBC}" presName="Parent4" presStyleLbl="revTx" presStyleIdx="3" presStyleCnt="5">
        <dgm:presLayoutVars>
          <dgm:chMax val="1"/>
          <dgm:chPref val="1"/>
          <dgm:bulletEnabled val="1"/>
        </dgm:presLayoutVars>
      </dgm:prSet>
      <dgm:spPr/>
    </dgm:pt>
    <dgm:pt modelId="{309431D0-42AC-4966-89B7-067D35DAA3A1}" type="pres">
      <dgm:prSet presAssocID="{2D38CE74-747C-49C9-8D01-5F28B24ADF96}" presName="Accent5" presStyleCnt="0"/>
      <dgm:spPr/>
    </dgm:pt>
    <dgm:pt modelId="{58DC8D74-1613-4CC4-B222-BDD0219663DB}" type="pres">
      <dgm:prSet presAssocID="{2D38CE74-747C-49C9-8D01-5F28B24ADF96}" presName="Accent" presStyleLbl="node1" presStyleIdx="4" presStyleCnt="5"/>
      <dgm:spPr/>
    </dgm:pt>
    <dgm:pt modelId="{4147CB53-ED1B-4D54-A613-C4467D6D79E0}" type="pres">
      <dgm:prSet presAssocID="{2D38CE74-747C-49C9-8D01-5F28B24ADF96}" presName="Parent5" presStyleLbl="revTx" presStyleIdx="4" presStyleCnt="5">
        <dgm:presLayoutVars>
          <dgm:chMax val="1"/>
          <dgm:chPref val="1"/>
          <dgm:bulletEnabled val="1"/>
        </dgm:presLayoutVars>
      </dgm:prSet>
      <dgm:spPr/>
    </dgm:pt>
  </dgm:ptLst>
  <dgm:cxnLst>
    <dgm:cxn modelId="{862BBE2A-A72F-42D7-B691-214E14ED5754}" srcId="{71672771-C8C3-4CEB-950B-62889CF88138}" destId="{2D38CE74-747C-49C9-8D01-5F28B24ADF96}" srcOrd="4" destOrd="0" parTransId="{67304188-FB0D-4F91-9275-ADD67E894C8C}" sibTransId="{6C6FD947-E4E8-4F61-BD30-A9F6932A2A92}"/>
    <dgm:cxn modelId="{A5BD5933-2C57-47A5-AC15-009D17EF6754}" srcId="{71672771-C8C3-4CEB-950B-62889CF88138}" destId="{7FA5F733-B8B2-4BCA-9C8A-D5C93A9DDF2F}" srcOrd="2" destOrd="0" parTransId="{61078A18-3958-44D9-9DA3-495D38071F38}" sibTransId="{2BE41766-6593-460A-BC81-4B82C45C1259}"/>
    <dgm:cxn modelId="{DA05993E-CED1-48DD-BE9F-F37AEE77264F}" type="presOf" srcId="{1E30894F-45F5-4AA8-B5E9-079E82865D10}" destId="{44DC6ECD-6CD2-45C7-BCCB-6F3C8CA545B5}" srcOrd="0" destOrd="0" presId="urn:microsoft.com/office/officeart/2009/layout/CircleArrowProcess"/>
    <dgm:cxn modelId="{F806064B-6C78-462C-B948-01E5E9B1B99F}" type="presOf" srcId="{7FA5F733-B8B2-4BCA-9C8A-D5C93A9DDF2F}" destId="{F47DACE4-0E99-454B-B278-981BB99D354A}" srcOrd="0" destOrd="0" presId="urn:microsoft.com/office/officeart/2009/layout/CircleArrowProcess"/>
    <dgm:cxn modelId="{B730839A-1D9C-4A67-9C1E-ACF0CAE640EC}" srcId="{71672771-C8C3-4CEB-950B-62889CF88138}" destId="{927EFBC0-33CB-4F32-BE72-100696B0DFBC}" srcOrd="3" destOrd="0" parTransId="{8DF23BFB-1659-4D37-8D99-038077F65599}" sibTransId="{5741826A-CDFB-4CA6-8F19-2FBBF68B5A4E}"/>
    <dgm:cxn modelId="{45A571A9-EF6E-4DDD-9347-A070D6D8CB95}" type="presOf" srcId="{927EFBC0-33CB-4F32-BE72-100696B0DFBC}" destId="{5B482C37-DAD8-471B-9482-9BEF99CC30AE}" srcOrd="0" destOrd="0" presId="urn:microsoft.com/office/officeart/2009/layout/CircleArrowProcess"/>
    <dgm:cxn modelId="{0C05BEB5-08E8-4481-90D3-D07A37986BFC}" srcId="{71672771-C8C3-4CEB-950B-62889CF88138}" destId="{1E30894F-45F5-4AA8-B5E9-079E82865D10}" srcOrd="0" destOrd="0" parTransId="{5C5F330F-A25B-4574-BD6C-204D3CD01C7E}" sibTransId="{A1933FF0-4A20-4B0C-BA8E-FFEC7791D31C}"/>
    <dgm:cxn modelId="{CBB6A2C6-1545-4996-9DF8-781C3AC0481D}" srcId="{71672771-C8C3-4CEB-950B-62889CF88138}" destId="{7722F9E2-97AA-4698-8449-6ECF4F8BD865}" srcOrd="1" destOrd="0" parTransId="{161BFBB5-D45A-4E0C-A3B9-C5D5D1E86651}" sibTransId="{24231763-FCDF-41BD-9DB1-2F756CFB4CB1}"/>
    <dgm:cxn modelId="{8AABF5F2-93E3-4E20-B33B-1950D9ABC4DB}" type="presOf" srcId="{2D38CE74-747C-49C9-8D01-5F28B24ADF96}" destId="{4147CB53-ED1B-4D54-A613-C4467D6D79E0}" srcOrd="0" destOrd="0" presId="urn:microsoft.com/office/officeart/2009/layout/CircleArrowProcess"/>
    <dgm:cxn modelId="{2FC94DF4-20FD-44A1-89E5-D802619C5CBB}" type="presOf" srcId="{71672771-C8C3-4CEB-950B-62889CF88138}" destId="{91E2E8BD-100A-4531-9713-2C9586E76ECB}" srcOrd="0" destOrd="0" presId="urn:microsoft.com/office/officeart/2009/layout/CircleArrowProcess"/>
    <dgm:cxn modelId="{5185A4F8-0864-4840-A831-5F83178685FF}" type="presOf" srcId="{7722F9E2-97AA-4698-8449-6ECF4F8BD865}" destId="{49CE2EB3-DBC2-4DC1-ADFF-6BFE1E209A4D}" srcOrd="0" destOrd="0" presId="urn:microsoft.com/office/officeart/2009/layout/CircleArrowProcess"/>
    <dgm:cxn modelId="{C399B91B-741B-40B8-BF5B-7B201C70D3C5}" type="presParOf" srcId="{91E2E8BD-100A-4531-9713-2C9586E76ECB}" destId="{362ED925-F927-45BA-A096-898C7E5BFDFB}" srcOrd="0" destOrd="0" presId="urn:microsoft.com/office/officeart/2009/layout/CircleArrowProcess"/>
    <dgm:cxn modelId="{E8A20BEB-A37D-46F7-9040-F084997AA23E}" type="presParOf" srcId="{362ED925-F927-45BA-A096-898C7E5BFDFB}" destId="{906C7AC6-44B5-461A-BC63-C08BA0CE8EBC}" srcOrd="0" destOrd="0" presId="urn:microsoft.com/office/officeart/2009/layout/CircleArrowProcess"/>
    <dgm:cxn modelId="{124CB526-4771-489E-A3B7-AA1390269ACB}" type="presParOf" srcId="{91E2E8BD-100A-4531-9713-2C9586E76ECB}" destId="{44DC6ECD-6CD2-45C7-BCCB-6F3C8CA545B5}" srcOrd="1" destOrd="0" presId="urn:microsoft.com/office/officeart/2009/layout/CircleArrowProcess"/>
    <dgm:cxn modelId="{28A0280F-36B0-4270-9DC3-883E3E10FF34}" type="presParOf" srcId="{91E2E8BD-100A-4531-9713-2C9586E76ECB}" destId="{71D9B5F7-879B-41D8-96FC-74E75A41E968}" srcOrd="2" destOrd="0" presId="urn:microsoft.com/office/officeart/2009/layout/CircleArrowProcess"/>
    <dgm:cxn modelId="{47163BCE-58DC-4E81-810D-DF4C776B6009}" type="presParOf" srcId="{71D9B5F7-879B-41D8-96FC-74E75A41E968}" destId="{E60C75F3-63ED-464B-AF73-60498095EE9E}" srcOrd="0" destOrd="0" presId="urn:microsoft.com/office/officeart/2009/layout/CircleArrowProcess"/>
    <dgm:cxn modelId="{A33CF256-C5B5-4668-94ED-3EC6531F6584}" type="presParOf" srcId="{91E2E8BD-100A-4531-9713-2C9586E76ECB}" destId="{49CE2EB3-DBC2-4DC1-ADFF-6BFE1E209A4D}" srcOrd="3" destOrd="0" presId="urn:microsoft.com/office/officeart/2009/layout/CircleArrowProcess"/>
    <dgm:cxn modelId="{FDE8A5AA-360F-414C-A7CB-F87E147E576F}" type="presParOf" srcId="{91E2E8BD-100A-4531-9713-2C9586E76ECB}" destId="{74C1957C-FCF2-414F-AF03-A22A52C2379D}" srcOrd="4" destOrd="0" presId="urn:microsoft.com/office/officeart/2009/layout/CircleArrowProcess"/>
    <dgm:cxn modelId="{523A0F50-A494-452B-BC71-C5CD2E8131A4}" type="presParOf" srcId="{74C1957C-FCF2-414F-AF03-A22A52C2379D}" destId="{2BF03FD4-8644-4EA7-9E3A-54A86FF5307E}" srcOrd="0" destOrd="0" presId="urn:microsoft.com/office/officeart/2009/layout/CircleArrowProcess"/>
    <dgm:cxn modelId="{4712E795-9D41-42BC-A29E-3D608F179D5C}" type="presParOf" srcId="{91E2E8BD-100A-4531-9713-2C9586E76ECB}" destId="{F47DACE4-0E99-454B-B278-981BB99D354A}" srcOrd="5" destOrd="0" presId="urn:microsoft.com/office/officeart/2009/layout/CircleArrowProcess"/>
    <dgm:cxn modelId="{2ADAF866-AE8E-4AFE-AE81-25E97085CD1B}" type="presParOf" srcId="{91E2E8BD-100A-4531-9713-2C9586E76ECB}" destId="{96D66C91-3079-460D-8DED-1437BE5F95F0}" srcOrd="6" destOrd="0" presId="urn:microsoft.com/office/officeart/2009/layout/CircleArrowProcess"/>
    <dgm:cxn modelId="{22B37033-F0FD-436D-97C1-AD91B87D4971}" type="presParOf" srcId="{96D66C91-3079-460D-8DED-1437BE5F95F0}" destId="{54FDF54F-A0A2-412A-A71E-C2ADB92793DA}" srcOrd="0" destOrd="0" presId="urn:microsoft.com/office/officeart/2009/layout/CircleArrowProcess"/>
    <dgm:cxn modelId="{F3780796-F6C8-43A5-8570-8B3506C2F469}" type="presParOf" srcId="{91E2E8BD-100A-4531-9713-2C9586E76ECB}" destId="{5B482C37-DAD8-471B-9482-9BEF99CC30AE}" srcOrd="7" destOrd="0" presId="urn:microsoft.com/office/officeart/2009/layout/CircleArrowProcess"/>
    <dgm:cxn modelId="{4FB22912-3C09-42EE-9BE7-17237C9D14FC}" type="presParOf" srcId="{91E2E8BD-100A-4531-9713-2C9586E76ECB}" destId="{309431D0-42AC-4966-89B7-067D35DAA3A1}" srcOrd="8" destOrd="0" presId="urn:microsoft.com/office/officeart/2009/layout/CircleArrowProcess"/>
    <dgm:cxn modelId="{B01CBAEC-9684-4393-9712-2B6E08758BDC}" type="presParOf" srcId="{309431D0-42AC-4966-89B7-067D35DAA3A1}" destId="{58DC8D74-1613-4CC4-B222-BDD0219663DB}" srcOrd="0" destOrd="0" presId="urn:microsoft.com/office/officeart/2009/layout/CircleArrowProcess"/>
    <dgm:cxn modelId="{848BDDD6-86D1-498F-A07B-EECCEA98DE82}" type="presParOf" srcId="{91E2E8BD-100A-4531-9713-2C9586E76ECB}" destId="{4147CB53-ED1B-4D54-A613-C4467D6D79E0}" srcOrd="9" destOrd="0" presId="urn:microsoft.com/office/officeart/2009/layout/CircleArrowProcess"/>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20A35F2-6864-4CAA-ADE1-40024F958808}">
      <dsp:nvSpPr>
        <dsp:cNvPr id="0" name=""/>
        <dsp:cNvSpPr/>
      </dsp:nvSpPr>
      <dsp:spPr>
        <a:xfrm>
          <a:off x="3319" y="835314"/>
          <a:ext cx="770918" cy="297574"/>
        </a:xfrm>
        <a:prstGeom prst="chevron">
          <a:avLst>
            <a:gd name="adj" fmla="val 4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0B53621-2611-434D-B308-1694CAFEEAE8}">
      <dsp:nvSpPr>
        <dsp:cNvPr id="0" name=""/>
        <dsp:cNvSpPr/>
      </dsp:nvSpPr>
      <dsp:spPr>
        <a:xfrm>
          <a:off x="163386" y="837754"/>
          <a:ext cx="742019" cy="441481"/>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OnePlus</a:t>
          </a:r>
        </a:p>
      </dsp:txBody>
      <dsp:txXfrm>
        <a:off x="176317" y="850685"/>
        <a:ext cx="716157" cy="415619"/>
      </dsp:txXfrm>
    </dsp:sp>
    <dsp:sp modelId="{1F115BDC-940A-4366-B78B-876019FE788D}">
      <dsp:nvSpPr>
        <dsp:cNvPr id="0" name=""/>
        <dsp:cNvSpPr/>
      </dsp:nvSpPr>
      <dsp:spPr>
        <a:xfrm>
          <a:off x="929390" y="834094"/>
          <a:ext cx="770918" cy="297574"/>
        </a:xfrm>
        <a:prstGeom prst="chevron">
          <a:avLst>
            <a:gd name="adj" fmla="val 4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2930C39-AC8B-4AE4-B33F-E79B43221F81}">
      <dsp:nvSpPr>
        <dsp:cNvPr id="0" name=""/>
        <dsp:cNvSpPr/>
      </dsp:nvSpPr>
      <dsp:spPr>
        <a:xfrm>
          <a:off x="1062001" y="833509"/>
          <a:ext cx="796931" cy="447531"/>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Sales person and internet</a:t>
          </a:r>
        </a:p>
      </dsp:txBody>
      <dsp:txXfrm>
        <a:off x="1075109" y="846617"/>
        <a:ext cx="770715" cy="421315"/>
      </dsp:txXfrm>
    </dsp:sp>
    <dsp:sp modelId="{025C20DE-ADC5-402F-A0EF-E96D54976267}">
      <dsp:nvSpPr>
        <dsp:cNvPr id="0" name=""/>
        <dsp:cNvSpPr/>
      </dsp:nvSpPr>
      <dsp:spPr>
        <a:xfrm>
          <a:off x="1882917" y="836714"/>
          <a:ext cx="770918" cy="297574"/>
        </a:xfrm>
        <a:prstGeom prst="chevron">
          <a:avLst>
            <a:gd name="adj" fmla="val 4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0AF9B2B-67BE-4D93-8D3B-4130A6A583FE}">
      <dsp:nvSpPr>
        <dsp:cNvPr id="0" name=""/>
        <dsp:cNvSpPr/>
      </dsp:nvSpPr>
      <dsp:spPr>
        <a:xfrm>
          <a:off x="2010441" y="841954"/>
          <a:ext cx="807106" cy="435880"/>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offline and online channels</a:t>
          </a:r>
        </a:p>
      </dsp:txBody>
      <dsp:txXfrm>
        <a:off x="2023207" y="854720"/>
        <a:ext cx="781574" cy="410348"/>
      </dsp:txXfrm>
    </dsp:sp>
    <dsp:sp modelId="{47172501-DA41-453E-8ECD-17BA3396FEE3}">
      <dsp:nvSpPr>
        <dsp:cNvPr id="0" name=""/>
        <dsp:cNvSpPr/>
      </dsp:nvSpPr>
      <dsp:spPr>
        <a:xfrm>
          <a:off x="2841531" y="840702"/>
          <a:ext cx="770918" cy="297574"/>
        </a:xfrm>
        <a:prstGeom prst="chevron">
          <a:avLst>
            <a:gd name="adj" fmla="val 4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E7080D0-5532-4C20-829C-4D25B47E8519}">
      <dsp:nvSpPr>
        <dsp:cNvPr id="0" name=""/>
        <dsp:cNvSpPr/>
      </dsp:nvSpPr>
      <dsp:spPr>
        <a:xfrm>
          <a:off x="3044314" y="853919"/>
          <a:ext cx="656589" cy="4199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Noise</a:t>
          </a:r>
        </a:p>
      </dsp:txBody>
      <dsp:txXfrm>
        <a:off x="3056613" y="866218"/>
        <a:ext cx="631991" cy="395330"/>
      </dsp:txXfrm>
    </dsp:sp>
    <dsp:sp modelId="{AA29B5E1-2D86-447C-AB1A-E9E78804837B}">
      <dsp:nvSpPr>
        <dsp:cNvPr id="0" name=""/>
        <dsp:cNvSpPr/>
      </dsp:nvSpPr>
      <dsp:spPr>
        <a:xfrm>
          <a:off x="3724887" y="834671"/>
          <a:ext cx="770918" cy="297574"/>
        </a:xfrm>
        <a:prstGeom prst="chevron">
          <a:avLst>
            <a:gd name="adj" fmla="val 4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FCBB3A9-97C3-49EA-BB65-9DF5F249D804}">
      <dsp:nvSpPr>
        <dsp:cNvPr id="0" name=""/>
        <dsp:cNvSpPr/>
      </dsp:nvSpPr>
      <dsp:spPr>
        <a:xfrm>
          <a:off x="3821075" y="835826"/>
          <a:ext cx="869778" cy="444052"/>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Marketing team</a:t>
          </a:r>
        </a:p>
      </dsp:txBody>
      <dsp:txXfrm>
        <a:off x="3834081" y="848832"/>
        <a:ext cx="843766" cy="418040"/>
      </dsp:txXfrm>
    </dsp:sp>
    <dsp:sp modelId="{4837F4A7-D8E3-4C9E-9D62-671689B251A7}">
      <dsp:nvSpPr>
        <dsp:cNvPr id="0" name=""/>
        <dsp:cNvSpPr/>
      </dsp:nvSpPr>
      <dsp:spPr>
        <a:xfrm>
          <a:off x="4714837" y="837971"/>
          <a:ext cx="770918" cy="297574"/>
        </a:xfrm>
        <a:prstGeom prst="chevron">
          <a:avLst>
            <a:gd name="adj" fmla="val 4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790376B-CA64-4E71-9AB2-5040A876D4BF}">
      <dsp:nvSpPr>
        <dsp:cNvPr id="0" name=""/>
        <dsp:cNvSpPr/>
      </dsp:nvSpPr>
      <dsp:spPr>
        <a:xfrm>
          <a:off x="4788761" y="845726"/>
          <a:ext cx="914306" cy="430851"/>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consumer</a:t>
          </a:r>
        </a:p>
      </dsp:txBody>
      <dsp:txXfrm>
        <a:off x="4801380" y="858345"/>
        <a:ext cx="889068" cy="405613"/>
      </dsp:txXfrm>
    </dsp:sp>
    <dsp:sp modelId="{22FB5671-3A1D-4D59-BA28-D5FF6146423C}">
      <dsp:nvSpPr>
        <dsp:cNvPr id="0" name=""/>
        <dsp:cNvSpPr/>
      </dsp:nvSpPr>
      <dsp:spPr>
        <a:xfrm>
          <a:off x="5727052" y="843655"/>
          <a:ext cx="770918" cy="297574"/>
        </a:xfrm>
        <a:prstGeom prst="chevron">
          <a:avLst>
            <a:gd name="adj" fmla="val 4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1667E38-C7D0-4532-8EBB-15E8EB21129C}">
      <dsp:nvSpPr>
        <dsp:cNvPr id="0" name=""/>
        <dsp:cNvSpPr/>
      </dsp:nvSpPr>
      <dsp:spPr>
        <a:xfrm>
          <a:off x="5899702" y="862777"/>
          <a:ext cx="716852" cy="408117"/>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feedback</a:t>
          </a:r>
        </a:p>
      </dsp:txBody>
      <dsp:txXfrm>
        <a:off x="5911655" y="874730"/>
        <a:ext cx="692946" cy="38421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6C7AC6-44B5-461A-BC63-C08BA0CE8EBC}">
      <dsp:nvSpPr>
        <dsp:cNvPr id="0" name=""/>
        <dsp:cNvSpPr/>
      </dsp:nvSpPr>
      <dsp:spPr>
        <a:xfrm>
          <a:off x="543610" y="79084"/>
          <a:ext cx="942435" cy="942482"/>
        </a:xfrm>
        <a:prstGeom prst="circularArrow">
          <a:avLst>
            <a:gd name="adj1" fmla="val 10980"/>
            <a:gd name="adj2" fmla="val 1142322"/>
            <a:gd name="adj3" fmla="val 4500000"/>
            <a:gd name="adj4" fmla="val 10800000"/>
            <a:gd name="adj5" fmla="val 125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4DC6ECD-6CD2-45C7-BCCB-6F3C8CA545B5}">
      <dsp:nvSpPr>
        <dsp:cNvPr id="0" name=""/>
        <dsp:cNvSpPr/>
      </dsp:nvSpPr>
      <dsp:spPr>
        <a:xfrm>
          <a:off x="751685" y="420423"/>
          <a:ext cx="525932" cy="2628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t>Awareness</a:t>
          </a:r>
        </a:p>
      </dsp:txBody>
      <dsp:txXfrm>
        <a:off x="751685" y="420423"/>
        <a:ext cx="525932" cy="262848"/>
      </dsp:txXfrm>
    </dsp:sp>
    <dsp:sp modelId="{E60C75F3-63ED-464B-AF73-60498095EE9E}">
      <dsp:nvSpPr>
        <dsp:cNvPr id="0" name=""/>
        <dsp:cNvSpPr/>
      </dsp:nvSpPr>
      <dsp:spPr>
        <a:xfrm>
          <a:off x="281793" y="620601"/>
          <a:ext cx="942435" cy="942482"/>
        </a:xfrm>
        <a:prstGeom prst="leftCircularArrow">
          <a:avLst>
            <a:gd name="adj1" fmla="val 10980"/>
            <a:gd name="adj2" fmla="val 1142322"/>
            <a:gd name="adj3" fmla="val 6300000"/>
            <a:gd name="adj4" fmla="val 18900000"/>
            <a:gd name="adj5" fmla="val 12500"/>
          </a:avLst>
        </a:prstGeom>
        <a:gradFill rotWithShape="0">
          <a:gsLst>
            <a:gs pos="0">
              <a:schemeClr val="accent3">
                <a:hueOff val="677650"/>
                <a:satOff val="25000"/>
                <a:lumOff val="-3676"/>
                <a:alphaOff val="0"/>
                <a:satMod val="103000"/>
                <a:lumMod val="102000"/>
                <a:tint val="94000"/>
              </a:schemeClr>
            </a:gs>
            <a:gs pos="50000">
              <a:schemeClr val="accent3">
                <a:hueOff val="677650"/>
                <a:satOff val="25000"/>
                <a:lumOff val="-3676"/>
                <a:alphaOff val="0"/>
                <a:satMod val="110000"/>
                <a:lumMod val="100000"/>
                <a:shade val="100000"/>
              </a:schemeClr>
            </a:gs>
            <a:gs pos="100000">
              <a:schemeClr val="accent3">
                <a:hueOff val="677650"/>
                <a:satOff val="25000"/>
                <a:lumOff val="-367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9CE2EB3-DBC2-4DC1-ADFF-6BFE1E209A4D}">
      <dsp:nvSpPr>
        <dsp:cNvPr id="0" name=""/>
        <dsp:cNvSpPr/>
      </dsp:nvSpPr>
      <dsp:spPr>
        <a:xfrm>
          <a:off x="488807" y="963156"/>
          <a:ext cx="525932" cy="2628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t>Consideration</a:t>
          </a:r>
        </a:p>
      </dsp:txBody>
      <dsp:txXfrm>
        <a:off x="488807" y="963156"/>
        <a:ext cx="525932" cy="262848"/>
      </dsp:txXfrm>
    </dsp:sp>
    <dsp:sp modelId="{2BF03FD4-8644-4EA7-9E3A-54A86FF5307E}">
      <dsp:nvSpPr>
        <dsp:cNvPr id="0" name=""/>
        <dsp:cNvSpPr/>
      </dsp:nvSpPr>
      <dsp:spPr>
        <a:xfrm>
          <a:off x="543610" y="1164552"/>
          <a:ext cx="942435" cy="942482"/>
        </a:xfrm>
        <a:prstGeom prst="circularArrow">
          <a:avLst>
            <a:gd name="adj1" fmla="val 10980"/>
            <a:gd name="adj2" fmla="val 1142322"/>
            <a:gd name="adj3" fmla="val 4500000"/>
            <a:gd name="adj4" fmla="val 13500000"/>
            <a:gd name="adj5" fmla="val 12500"/>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F47DACE4-0E99-454B-B278-981BB99D354A}">
      <dsp:nvSpPr>
        <dsp:cNvPr id="0" name=""/>
        <dsp:cNvSpPr/>
      </dsp:nvSpPr>
      <dsp:spPr>
        <a:xfrm>
          <a:off x="751685" y="1505586"/>
          <a:ext cx="525932" cy="2628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t>Purchase</a:t>
          </a:r>
        </a:p>
      </dsp:txBody>
      <dsp:txXfrm>
        <a:off x="751685" y="1505586"/>
        <a:ext cx="525932" cy="262848"/>
      </dsp:txXfrm>
    </dsp:sp>
    <dsp:sp modelId="{54FDF54F-A0A2-412A-A71E-C2ADB92793DA}">
      <dsp:nvSpPr>
        <dsp:cNvPr id="0" name=""/>
        <dsp:cNvSpPr/>
      </dsp:nvSpPr>
      <dsp:spPr>
        <a:xfrm>
          <a:off x="281793" y="1706982"/>
          <a:ext cx="942435" cy="942482"/>
        </a:xfrm>
        <a:prstGeom prst="leftCircularArrow">
          <a:avLst>
            <a:gd name="adj1" fmla="val 10980"/>
            <a:gd name="adj2" fmla="val 1142322"/>
            <a:gd name="adj3" fmla="val 6300000"/>
            <a:gd name="adj4" fmla="val 18900000"/>
            <a:gd name="adj5" fmla="val 12500"/>
          </a:avLst>
        </a:prstGeom>
        <a:gradFill rotWithShape="0">
          <a:gsLst>
            <a:gs pos="0">
              <a:schemeClr val="accent3">
                <a:hueOff val="2032949"/>
                <a:satOff val="75000"/>
                <a:lumOff val="-11029"/>
                <a:alphaOff val="0"/>
                <a:satMod val="103000"/>
                <a:lumMod val="102000"/>
                <a:tint val="94000"/>
              </a:schemeClr>
            </a:gs>
            <a:gs pos="50000">
              <a:schemeClr val="accent3">
                <a:hueOff val="2032949"/>
                <a:satOff val="75000"/>
                <a:lumOff val="-11029"/>
                <a:alphaOff val="0"/>
                <a:satMod val="110000"/>
                <a:lumMod val="100000"/>
                <a:shade val="100000"/>
              </a:schemeClr>
            </a:gs>
            <a:gs pos="100000">
              <a:schemeClr val="accent3">
                <a:hueOff val="2032949"/>
                <a:satOff val="75000"/>
                <a:lumOff val="-1102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B482C37-DAD8-471B-9482-9BEF99CC30AE}">
      <dsp:nvSpPr>
        <dsp:cNvPr id="0" name=""/>
        <dsp:cNvSpPr/>
      </dsp:nvSpPr>
      <dsp:spPr>
        <a:xfrm>
          <a:off x="488807" y="2048320"/>
          <a:ext cx="525932" cy="2628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t>Onboarding</a:t>
          </a:r>
        </a:p>
      </dsp:txBody>
      <dsp:txXfrm>
        <a:off x="488807" y="2048320"/>
        <a:ext cx="525932" cy="262848"/>
      </dsp:txXfrm>
    </dsp:sp>
    <dsp:sp modelId="{58DC8D74-1613-4CC4-B222-BDD0219663DB}">
      <dsp:nvSpPr>
        <dsp:cNvPr id="0" name=""/>
        <dsp:cNvSpPr/>
      </dsp:nvSpPr>
      <dsp:spPr>
        <a:xfrm>
          <a:off x="610611" y="2311169"/>
          <a:ext cx="809670" cy="810145"/>
        </a:xfrm>
        <a:prstGeom prst="blockArc">
          <a:avLst>
            <a:gd name="adj1" fmla="val 13500000"/>
            <a:gd name="adj2" fmla="val 10800000"/>
            <a:gd name="adj3" fmla="val 12740"/>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147CB53-ED1B-4D54-A613-C4467D6D79E0}">
      <dsp:nvSpPr>
        <dsp:cNvPr id="0" name=""/>
        <dsp:cNvSpPr/>
      </dsp:nvSpPr>
      <dsp:spPr>
        <a:xfrm>
          <a:off x="751685" y="2591054"/>
          <a:ext cx="525932" cy="2628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t>Advocay</a:t>
          </a:r>
        </a:p>
      </dsp:txBody>
      <dsp:txXfrm>
        <a:off x="751685" y="2591054"/>
        <a:ext cx="525932" cy="262848"/>
      </dsp:txXfrm>
    </dsp:sp>
  </dsp:spTree>
</dsp:drawing>
</file>

<file path=word/diagrams/layout1.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952E0B-EB0B-437C-A2EE-D87E59378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Words>4325</Words>
  <Pages>16</Pages>
  <Characters>23673</Characters>
  <Application>WPS Office</Application>
  <DocSecurity>0</DocSecurity>
  <Paragraphs>129</Paragraphs>
  <ScaleCrop>false</ScaleCrop>
  <LinksUpToDate>false</LinksUpToDate>
  <CharactersWithSpaces>28018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2022-12-23T05:37:00Z</dcterms:created>
  <dc:creator>user user</dc:creator>
  <lastModifiedBy>RMX3261</lastModifiedBy>
  <dcterms:modified xsi:type="dcterms:W3CDTF">2023-01-09T09:20:54Z</dcterms:modified>
  <revision>378</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b2ef4b1e176b42069b75871954b652ed</vt:lpwstr>
  </property>
</Properties>
</file>