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CA61D4" w14:textId="5D08ACB7" w:rsidR="00887624" w:rsidRDefault="00887624" w:rsidP="00887624">
      <w:pPr>
        <w:ind w:left="49"/>
        <w:jc w:val="center"/>
      </w:pPr>
    </w:p>
    <w:p w14:paraId="74533629" w14:textId="77777777" w:rsidR="009B72A0" w:rsidRDefault="009B72A0" w:rsidP="00887624">
      <w:pPr>
        <w:ind w:left="49"/>
        <w:jc w:val="center"/>
      </w:pPr>
    </w:p>
    <w:p w14:paraId="5D17D496" w14:textId="77777777" w:rsidR="00887624" w:rsidRDefault="00887624" w:rsidP="00887624">
      <w:pPr>
        <w:spacing w:after="158"/>
        <w:ind w:left="49"/>
        <w:jc w:val="center"/>
      </w:pPr>
      <w:r>
        <w:rPr>
          <w:noProof/>
        </w:rPr>
        <w:drawing>
          <wp:inline distT="0" distB="0" distL="0" distR="0" wp14:anchorId="5335B38F" wp14:editId="6FAF9072">
            <wp:extent cx="1980000" cy="824400"/>
            <wp:effectExtent l="0" t="0" r="1270" b="0"/>
            <wp:docPr id="1726830939" name="Picture 1726830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76435EC6" w14:textId="77777777" w:rsidR="00887624" w:rsidRDefault="00887624" w:rsidP="00887624">
      <w:pPr>
        <w:ind w:left="49"/>
        <w:jc w:val="center"/>
      </w:pPr>
      <w:r>
        <w:rPr>
          <w:rFonts w:ascii="Calibri" w:eastAsia="Calibri" w:hAnsi="Calibri" w:cs="Calibri"/>
        </w:rPr>
        <w:t xml:space="preserve"> </w:t>
      </w:r>
    </w:p>
    <w:p w14:paraId="1197BB6F" w14:textId="77777777" w:rsidR="00887624" w:rsidRDefault="00887624" w:rsidP="00887624">
      <w:pPr>
        <w:spacing w:after="287"/>
        <w:ind w:left="49"/>
        <w:jc w:val="center"/>
      </w:pPr>
      <w:r>
        <w:rPr>
          <w:rFonts w:ascii="Calibri" w:eastAsia="Calibri" w:hAnsi="Calibri" w:cs="Calibri"/>
        </w:rPr>
        <w:t xml:space="preserve"> </w:t>
      </w:r>
    </w:p>
    <w:p w14:paraId="04FE3B37" w14:textId="773C6379" w:rsidR="00887624" w:rsidRPr="00F97E3E" w:rsidRDefault="00887624" w:rsidP="00887624">
      <w:pPr>
        <w:spacing w:before="100" w:after="80" w:line="360" w:lineRule="auto"/>
        <w:jc w:val="center"/>
        <w:rPr>
          <w:rFonts w:ascii="Arial" w:hAnsi="Arial" w:cs="Arial"/>
        </w:rPr>
      </w:pPr>
      <w:r w:rsidRPr="00F97E3E">
        <w:rPr>
          <w:rFonts w:ascii="Arial" w:eastAsia="Arial" w:hAnsi="Arial" w:cs="Arial"/>
          <w:b/>
          <w:bCs/>
          <w:color w:val="003087"/>
          <w:sz w:val="36"/>
          <w:szCs w:val="36"/>
        </w:rPr>
        <w:t>An Analysis of Barriers to Accessing Primary Healthcare Services Among Homeless Adults (Aged 18 and</w:t>
      </w:r>
      <w:r w:rsidR="000751A5">
        <w:rPr>
          <w:rFonts w:ascii="Arial" w:eastAsia="Arial" w:hAnsi="Arial" w:cs="Arial"/>
          <w:b/>
          <w:bCs/>
          <w:color w:val="003087"/>
          <w:sz w:val="36"/>
          <w:szCs w:val="36"/>
        </w:rPr>
        <w:t xml:space="preserve"> </w:t>
      </w:r>
      <w:r w:rsidRPr="000751A5">
        <w:rPr>
          <w:rFonts w:ascii="Arial" w:eastAsia="Arial" w:hAnsi="Arial" w:cs="Arial"/>
          <w:b/>
          <w:bCs/>
          <w:color w:val="003087"/>
          <w:sz w:val="36"/>
          <w:szCs w:val="36"/>
        </w:rPr>
        <w:t>Over</w:t>
      </w:r>
      <w:r w:rsidRPr="00F97E3E">
        <w:rPr>
          <w:rFonts w:ascii="Arial" w:eastAsia="Arial" w:hAnsi="Arial" w:cs="Arial"/>
          <w:b/>
          <w:bCs/>
          <w:color w:val="003087"/>
          <w:sz w:val="36"/>
          <w:szCs w:val="36"/>
        </w:rPr>
        <w:t>) in England:</w:t>
      </w:r>
    </w:p>
    <w:p w14:paraId="28324EB3" w14:textId="77777777" w:rsidR="00887624" w:rsidRPr="007F3292" w:rsidRDefault="00887624" w:rsidP="00887624">
      <w:pPr>
        <w:spacing w:after="157"/>
        <w:ind w:left="89"/>
        <w:jc w:val="center"/>
        <w:rPr>
          <w:rFonts w:asciiTheme="minorBidi" w:hAnsiTheme="minorBidi"/>
        </w:rPr>
      </w:pPr>
      <w:r w:rsidRPr="00F97E3E">
        <w:rPr>
          <w:rFonts w:ascii="Arial" w:eastAsia="Arial" w:hAnsi="Arial" w:cs="Arial"/>
          <w:b/>
          <w:bCs/>
          <w:i/>
          <w:iCs/>
          <w:color w:val="003087"/>
          <w:sz w:val="36"/>
          <w:szCs w:val="36"/>
        </w:rPr>
        <w:t>A Systematic Review</w:t>
      </w:r>
    </w:p>
    <w:p w14:paraId="2D01F8D4" w14:textId="77777777" w:rsidR="00887624" w:rsidRDefault="00887624" w:rsidP="00887624">
      <w:pPr>
        <w:spacing w:after="42"/>
        <w:ind w:left="89"/>
        <w:jc w:val="center"/>
      </w:pPr>
      <w:r>
        <w:rPr>
          <w:sz w:val="36"/>
        </w:rPr>
        <w:t xml:space="preserve"> </w:t>
      </w:r>
    </w:p>
    <w:p w14:paraId="3FB3A1A6" w14:textId="77777777" w:rsidR="00887624" w:rsidRPr="00D826BE" w:rsidRDefault="00887624" w:rsidP="00887624">
      <w:pPr>
        <w:spacing w:after="157"/>
        <w:ind w:left="2367" w:right="2358"/>
        <w:jc w:val="center"/>
        <w:rPr>
          <w:rFonts w:ascii="Arial" w:hAnsi="Arial" w:cs="Arial"/>
          <w:sz w:val="22"/>
          <w:szCs w:val="22"/>
        </w:rPr>
      </w:pPr>
      <w:r w:rsidRPr="00D826BE">
        <w:rPr>
          <w:rFonts w:ascii="Arial" w:hAnsi="Arial" w:cs="Arial"/>
          <w:sz w:val="22"/>
          <w:szCs w:val="22"/>
        </w:rPr>
        <w:t xml:space="preserve">by </w:t>
      </w:r>
    </w:p>
    <w:p w14:paraId="694D45D4" w14:textId="77777777" w:rsidR="00887624" w:rsidRPr="007F3292" w:rsidRDefault="00887624" w:rsidP="00887624">
      <w:pPr>
        <w:spacing w:after="158"/>
        <w:ind w:left="59"/>
        <w:jc w:val="center"/>
        <w:rPr>
          <w:rFonts w:asciiTheme="minorBidi" w:hAnsiTheme="minorBidi"/>
        </w:rPr>
      </w:pPr>
      <w:r w:rsidRPr="007F3292">
        <w:rPr>
          <w:rFonts w:asciiTheme="minorBidi" w:hAnsiTheme="minorBidi"/>
        </w:rPr>
        <w:t xml:space="preserve"> </w:t>
      </w:r>
    </w:p>
    <w:p w14:paraId="547CBEC4" w14:textId="77777777" w:rsidR="00887624" w:rsidRPr="003D0720" w:rsidRDefault="00887624" w:rsidP="00887624">
      <w:pPr>
        <w:spacing w:after="157"/>
        <w:ind w:left="2367" w:right="2359"/>
        <w:jc w:val="center"/>
        <w:rPr>
          <w:rFonts w:asciiTheme="minorBidi" w:hAnsiTheme="minorBidi"/>
          <w:u w:val="single"/>
        </w:rPr>
      </w:pPr>
      <w:r w:rsidRPr="003D0720">
        <w:rPr>
          <w:rFonts w:ascii="Arial" w:eastAsia="Arial" w:hAnsi="Arial" w:cs="Arial"/>
          <w:color w:val="1A1A1A"/>
          <w:sz w:val="22"/>
          <w:szCs w:val="22"/>
          <w:u w:val="single"/>
        </w:rPr>
        <w:t xml:space="preserve">Krishna </w:t>
      </w:r>
      <w:proofErr w:type="spellStart"/>
      <w:r w:rsidRPr="003D0720">
        <w:rPr>
          <w:rFonts w:ascii="Arial" w:eastAsia="Arial" w:hAnsi="Arial" w:cs="Arial"/>
          <w:color w:val="1A1A1A"/>
          <w:sz w:val="22"/>
          <w:szCs w:val="22"/>
          <w:u w:val="single"/>
        </w:rPr>
        <w:t>Snehalgiri</w:t>
      </w:r>
      <w:proofErr w:type="spellEnd"/>
      <w:r w:rsidRPr="003D0720">
        <w:rPr>
          <w:rFonts w:ascii="Arial" w:eastAsia="Arial" w:hAnsi="Arial" w:cs="Arial"/>
          <w:color w:val="1A1A1A"/>
          <w:sz w:val="22"/>
          <w:szCs w:val="22"/>
          <w:u w:val="single"/>
        </w:rPr>
        <w:t xml:space="preserve"> Goswami</w:t>
      </w:r>
    </w:p>
    <w:p w14:paraId="50AF3C7E" w14:textId="77777777" w:rsidR="00887624" w:rsidRDefault="00887624" w:rsidP="00887624">
      <w:pPr>
        <w:spacing w:after="158"/>
        <w:ind w:left="59"/>
        <w:jc w:val="center"/>
      </w:pPr>
      <w:r>
        <w:t xml:space="preserve"> </w:t>
      </w:r>
    </w:p>
    <w:p w14:paraId="6DB09F10" w14:textId="77777777" w:rsidR="00887624" w:rsidRDefault="00887624" w:rsidP="00887624">
      <w:pPr>
        <w:spacing w:after="156"/>
        <w:ind w:left="59"/>
      </w:pPr>
      <w:r>
        <w:t xml:space="preserve"> </w:t>
      </w:r>
    </w:p>
    <w:p w14:paraId="2BD31B3B" w14:textId="77777777" w:rsidR="00887624" w:rsidRDefault="00887624" w:rsidP="00887624">
      <w:pPr>
        <w:spacing w:after="158"/>
        <w:ind w:left="59"/>
        <w:jc w:val="center"/>
      </w:pPr>
      <w:r>
        <w:t xml:space="preserve">  </w:t>
      </w:r>
    </w:p>
    <w:p w14:paraId="5CC867FF" w14:textId="77777777" w:rsidR="00887624" w:rsidRPr="007F3292" w:rsidRDefault="00887624" w:rsidP="00887624">
      <w:pPr>
        <w:spacing w:after="158"/>
        <w:ind w:left="59"/>
        <w:jc w:val="center"/>
        <w:rPr>
          <w:rFonts w:asciiTheme="minorBidi" w:hAnsiTheme="minorBidi"/>
        </w:rPr>
      </w:pPr>
      <w:r w:rsidRPr="007F3292">
        <w:rPr>
          <w:rFonts w:asciiTheme="minorBidi" w:hAnsiTheme="minorBidi"/>
        </w:rPr>
        <w:t xml:space="preserve"> </w:t>
      </w:r>
    </w:p>
    <w:p w14:paraId="0F4A7902" w14:textId="77777777" w:rsidR="00887624" w:rsidRPr="00805B0C" w:rsidRDefault="00887624" w:rsidP="00887624">
      <w:pPr>
        <w:spacing w:after="156"/>
        <w:ind w:left="59"/>
        <w:jc w:val="center"/>
        <w:rPr>
          <w:rFonts w:ascii="Arial" w:hAnsi="Arial" w:cs="Arial"/>
          <w:sz w:val="24"/>
          <w:szCs w:val="24"/>
        </w:rPr>
      </w:pPr>
      <w:r w:rsidRPr="00805B0C">
        <w:rPr>
          <w:rFonts w:ascii="Arial" w:hAnsi="Arial" w:cs="Arial"/>
          <w:sz w:val="24"/>
          <w:szCs w:val="24"/>
        </w:rPr>
        <w:t>A Dissertation submitted in partial fulfilment of the requirements for the degree of Masters of Science in Public Health and Social Care in Practice</w:t>
      </w:r>
    </w:p>
    <w:p w14:paraId="3710ED43" w14:textId="77777777" w:rsidR="00887624" w:rsidRPr="007F3292" w:rsidRDefault="00887624" w:rsidP="00887624">
      <w:pPr>
        <w:spacing w:after="156"/>
        <w:ind w:left="59"/>
        <w:rPr>
          <w:rFonts w:asciiTheme="minorBidi" w:hAnsiTheme="minorBidi"/>
        </w:rPr>
      </w:pPr>
    </w:p>
    <w:p w14:paraId="1F6AEB46" w14:textId="77777777" w:rsidR="00887624" w:rsidRPr="007F3292" w:rsidRDefault="00887624" w:rsidP="00887624">
      <w:pPr>
        <w:spacing w:after="169"/>
        <w:jc w:val="center"/>
        <w:rPr>
          <w:rFonts w:asciiTheme="minorBidi" w:hAnsiTheme="minorBidi"/>
          <w:b/>
          <w:bCs/>
        </w:rPr>
      </w:pPr>
    </w:p>
    <w:p w14:paraId="63D09E4A" w14:textId="77777777" w:rsidR="00887624" w:rsidRPr="007F3292" w:rsidRDefault="00887624" w:rsidP="00887624">
      <w:pPr>
        <w:spacing w:after="169"/>
        <w:jc w:val="center"/>
        <w:rPr>
          <w:rFonts w:asciiTheme="minorBidi" w:hAnsiTheme="minorBidi"/>
          <w:b/>
          <w:bCs/>
        </w:rPr>
      </w:pPr>
    </w:p>
    <w:p w14:paraId="5555701F" w14:textId="77777777" w:rsidR="00887624" w:rsidRPr="00D63400" w:rsidRDefault="00887624" w:rsidP="00887624">
      <w:pPr>
        <w:spacing w:after="169"/>
        <w:jc w:val="center"/>
        <w:rPr>
          <w:rFonts w:ascii="Arial" w:hAnsi="Arial" w:cs="Arial"/>
          <w:b/>
          <w:bCs/>
          <w:sz w:val="24"/>
          <w:szCs w:val="24"/>
        </w:rPr>
      </w:pPr>
      <w:r w:rsidRPr="00D63400">
        <w:rPr>
          <w:rFonts w:ascii="Arial" w:hAnsi="Arial" w:cs="Arial"/>
          <w:b/>
          <w:bCs/>
          <w:sz w:val="24"/>
          <w:szCs w:val="24"/>
        </w:rPr>
        <w:t>The Institute of Inner-City Learning</w:t>
      </w:r>
    </w:p>
    <w:p w14:paraId="49BB3D0A" w14:textId="77777777" w:rsidR="00887624" w:rsidRPr="00D63400" w:rsidRDefault="00887624" w:rsidP="00887624">
      <w:pPr>
        <w:spacing w:after="169"/>
        <w:jc w:val="center"/>
        <w:rPr>
          <w:rFonts w:ascii="Arial" w:hAnsi="Arial" w:cs="Arial"/>
          <w:b/>
          <w:bCs/>
          <w:sz w:val="24"/>
          <w:szCs w:val="24"/>
        </w:rPr>
      </w:pPr>
      <w:r w:rsidRPr="00D63400">
        <w:rPr>
          <w:rFonts w:ascii="Arial" w:hAnsi="Arial" w:cs="Arial"/>
          <w:b/>
          <w:bCs/>
          <w:sz w:val="24"/>
          <w:szCs w:val="24"/>
        </w:rPr>
        <w:t>University of Wales Trinity Saint David – London Campus</w:t>
      </w:r>
    </w:p>
    <w:p w14:paraId="2F217210" w14:textId="77777777" w:rsidR="00887624" w:rsidRPr="007F3292" w:rsidRDefault="00887624" w:rsidP="00887624">
      <w:pPr>
        <w:spacing w:after="157"/>
        <w:ind w:left="2367" w:right="2357"/>
        <w:jc w:val="center"/>
        <w:rPr>
          <w:rFonts w:asciiTheme="minorBidi" w:hAnsiTheme="minorBidi"/>
          <w:b/>
          <w:bCs/>
          <w:sz w:val="24"/>
          <w:szCs w:val="24"/>
        </w:rPr>
      </w:pPr>
    </w:p>
    <w:p w14:paraId="3121A9F4" w14:textId="77777777" w:rsidR="00887624" w:rsidRPr="007F3292" w:rsidRDefault="00887624" w:rsidP="00887624">
      <w:pPr>
        <w:spacing w:after="157"/>
        <w:ind w:left="2367" w:right="2357"/>
        <w:jc w:val="center"/>
        <w:rPr>
          <w:rFonts w:asciiTheme="minorBidi" w:hAnsiTheme="minorBidi"/>
          <w:b/>
          <w:bCs/>
          <w:sz w:val="24"/>
          <w:szCs w:val="24"/>
        </w:rPr>
      </w:pPr>
    </w:p>
    <w:p w14:paraId="7381BCD2" w14:textId="185319B0" w:rsidR="00887624" w:rsidRPr="006822F3" w:rsidRDefault="00406831" w:rsidP="00887624">
      <w:pPr>
        <w:spacing w:after="157"/>
        <w:ind w:left="2367" w:right="2357"/>
        <w:jc w:val="center"/>
        <w:rPr>
          <w:rFonts w:ascii="Arial" w:hAnsi="Arial" w:cs="Arial"/>
          <w:b/>
          <w:bCs/>
          <w:sz w:val="24"/>
          <w:szCs w:val="24"/>
        </w:rPr>
      </w:pPr>
      <w:r>
        <w:rPr>
          <w:rFonts w:ascii="Arial" w:hAnsi="Arial" w:cs="Arial"/>
          <w:b/>
          <w:bCs/>
          <w:sz w:val="24"/>
          <w:szCs w:val="24"/>
        </w:rPr>
        <w:t>[</w:t>
      </w:r>
      <w:r w:rsidR="003D0720">
        <w:rPr>
          <w:rFonts w:ascii="Arial" w:hAnsi="Arial" w:cs="Arial"/>
          <w:b/>
          <w:bCs/>
          <w:sz w:val="24"/>
          <w:szCs w:val="24"/>
        </w:rPr>
        <w:t>October 2025-2026</w:t>
      </w:r>
      <w:r>
        <w:rPr>
          <w:rFonts w:ascii="Arial" w:hAnsi="Arial" w:cs="Arial"/>
          <w:b/>
          <w:bCs/>
          <w:sz w:val="24"/>
          <w:szCs w:val="24"/>
        </w:rPr>
        <w:t>]</w:t>
      </w:r>
    </w:p>
    <w:p w14:paraId="5B4C888D" w14:textId="77777777" w:rsidR="00870A90" w:rsidRDefault="00DC4B6E" w:rsidP="00AE6DE5">
      <w:pPr>
        <w:spacing w:after="160" w:line="259" w:lineRule="auto"/>
        <w:ind w:left="720"/>
        <w:rPr>
          <w:rFonts w:ascii="Arial" w:hAnsi="Arial" w:cs="Arial"/>
          <w:b/>
          <w:bCs/>
          <w:sz w:val="28"/>
          <w:szCs w:val="28"/>
        </w:rPr>
      </w:pPr>
      <w:r w:rsidRPr="002A6268">
        <w:rPr>
          <w:rFonts w:ascii="Arial" w:hAnsi="Arial" w:cs="Arial"/>
          <w:sz w:val="28"/>
          <w:szCs w:val="28"/>
        </w:rPr>
        <w:br w:type="page"/>
      </w:r>
      <w:r w:rsidR="00870A90" w:rsidRPr="002A6268">
        <w:rPr>
          <w:rFonts w:ascii="Arial" w:hAnsi="Arial" w:cs="Arial"/>
          <w:b/>
          <w:bCs/>
          <w:sz w:val="28"/>
          <w:szCs w:val="28"/>
        </w:rPr>
        <w:t>DECLARATION</w:t>
      </w:r>
    </w:p>
    <w:p w14:paraId="7F79163F" w14:textId="77777777" w:rsidR="002A6268" w:rsidRPr="002A6268" w:rsidRDefault="002A6268" w:rsidP="00AE6DE5">
      <w:pPr>
        <w:spacing w:after="160" w:line="259" w:lineRule="auto"/>
        <w:ind w:left="720"/>
        <w:rPr>
          <w:rFonts w:ascii="Arial" w:hAnsi="Arial" w:cs="Arial"/>
          <w:sz w:val="28"/>
          <w:szCs w:val="28"/>
        </w:rPr>
      </w:pPr>
    </w:p>
    <w:p w14:paraId="221F76FF" w14:textId="218B1E8B" w:rsidR="00870A90" w:rsidRDefault="00870A90" w:rsidP="00AE6DE5">
      <w:pPr>
        <w:spacing w:after="160" w:line="360" w:lineRule="auto"/>
        <w:ind w:left="720"/>
        <w:jc w:val="both"/>
        <w:rPr>
          <w:rFonts w:ascii="Arial" w:hAnsi="Arial" w:cs="Arial"/>
          <w:sz w:val="22"/>
          <w:szCs w:val="22"/>
        </w:rPr>
      </w:pPr>
      <w:r w:rsidRPr="00457F66">
        <w:rPr>
          <w:rFonts w:ascii="Arial" w:hAnsi="Arial" w:cs="Arial"/>
          <w:sz w:val="22"/>
          <w:szCs w:val="22"/>
        </w:rPr>
        <w:t xml:space="preserve">I, </w:t>
      </w:r>
      <w:r w:rsidRPr="00457F66">
        <w:rPr>
          <w:rFonts w:ascii="Arial" w:hAnsi="Arial" w:cs="Arial"/>
          <w:b/>
          <w:bCs/>
          <w:sz w:val="22"/>
          <w:szCs w:val="22"/>
        </w:rPr>
        <w:t xml:space="preserve">Krishna </w:t>
      </w:r>
      <w:proofErr w:type="spellStart"/>
      <w:r w:rsidRPr="00457F66">
        <w:rPr>
          <w:rFonts w:ascii="Arial" w:hAnsi="Arial" w:cs="Arial"/>
          <w:b/>
          <w:bCs/>
          <w:sz w:val="22"/>
          <w:szCs w:val="22"/>
        </w:rPr>
        <w:t>Snehalgiri</w:t>
      </w:r>
      <w:proofErr w:type="spellEnd"/>
      <w:r w:rsidRPr="00457F66">
        <w:rPr>
          <w:rFonts w:ascii="Arial" w:hAnsi="Arial" w:cs="Arial"/>
          <w:b/>
          <w:bCs/>
          <w:sz w:val="22"/>
          <w:szCs w:val="22"/>
        </w:rPr>
        <w:t xml:space="preserve"> Goswami</w:t>
      </w:r>
      <w:r w:rsidR="004058D0">
        <w:rPr>
          <w:rFonts w:ascii="Arial" w:hAnsi="Arial" w:cs="Arial"/>
          <w:b/>
          <w:bCs/>
          <w:sz w:val="22"/>
          <w:szCs w:val="22"/>
        </w:rPr>
        <w:t xml:space="preserve"> </w:t>
      </w:r>
      <w:r w:rsidR="00DA568E">
        <w:rPr>
          <w:rFonts w:ascii="Arial" w:hAnsi="Arial" w:cs="Arial"/>
          <w:b/>
          <w:bCs/>
          <w:sz w:val="22"/>
          <w:szCs w:val="22"/>
        </w:rPr>
        <w:t>(</w:t>
      </w:r>
      <w:r w:rsidR="00451380">
        <w:rPr>
          <w:rFonts w:ascii="Arial" w:hAnsi="Arial" w:cs="Arial"/>
          <w:sz w:val="22"/>
          <w:szCs w:val="22"/>
        </w:rPr>
        <w:t>Student Id</w:t>
      </w:r>
      <w:r w:rsidR="006455BB">
        <w:rPr>
          <w:rFonts w:ascii="Arial" w:hAnsi="Arial" w:cs="Arial"/>
          <w:sz w:val="22"/>
          <w:szCs w:val="22"/>
        </w:rPr>
        <w:t xml:space="preserve"> -</w:t>
      </w:r>
      <w:r w:rsidR="00DA568E">
        <w:rPr>
          <w:rFonts w:ascii="Arial" w:hAnsi="Arial" w:cs="Arial"/>
          <w:sz w:val="22"/>
          <w:szCs w:val="22"/>
        </w:rPr>
        <w:t xml:space="preserve"> 24</w:t>
      </w:r>
      <w:r w:rsidR="00682516">
        <w:rPr>
          <w:rFonts w:ascii="Arial" w:hAnsi="Arial" w:cs="Arial"/>
          <w:sz w:val="22"/>
          <w:szCs w:val="22"/>
        </w:rPr>
        <w:t>36890)</w:t>
      </w:r>
      <w:r w:rsidR="00AE6DE5" w:rsidRPr="00457F66">
        <w:rPr>
          <w:rFonts w:ascii="Arial" w:hAnsi="Arial" w:cs="Arial"/>
          <w:b/>
          <w:bCs/>
          <w:sz w:val="22"/>
          <w:szCs w:val="22"/>
        </w:rPr>
        <w:t>,</w:t>
      </w:r>
      <w:r w:rsidRPr="00457F66">
        <w:rPr>
          <w:rFonts w:ascii="Arial" w:hAnsi="Arial" w:cs="Arial"/>
          <w:sz w:val="22"/>
          <w:szCs w:val="22"/>
        </w:rPr>
        <w:t xml:space="preserve"> declare that this dissertation has been composed by </w:t>
      </w:r>
      <w:r w:rsidR="002B2559">
        <w:rPr>
          <w:rFonts w:ascii="Arial" w:hAnsi="Arial" w:cs="Arial"/>
          <w:sz w:val="22"/>
          <w:szCs w:val="22"/>
        </w:rPr>
        <w:t>me</w:t>
      </w:r>
      <w:r w:rsidRPr="00457F66">
        <w:rPr>
          <w:rFonts w:ascii="Arial" w:hAnsi="Arial" w:cs="Arial"/>
          <w:sz w:val="22"/>
          <w:szCs w:val="22"/>
        </w:rPr>
        <w:t>, that the work contained herein is entirely my own except where explicitly stated otherwise in the text, and that this work has not been submitted for any other degree or qualification, in whole or in part, except as specified.</w:t>
      </w:r>
    </w:p>
    <w:p w14:paraId="3677E50D" w14:textId="77777777" w:rsidR="002A6268" w:rsidRDefault="002A6268" w:rsidP="00AE6DE5">
      <w:pPr>
        <w:spacing w:after="160" w:line="360" w:lineRule="auto"/>
        <w:ind w:left="720"/>
        <w:jc w:val="both"/>
        <w:rPr>
          <w:rFonts w:ascii="Arial" w:hAnsi="Arial" w:cs="Arial"/>
          <w:sz w:val="22"/>
          <w:szCs w:val="22"/>
        </w:rPr>
      </w:pPr>
    </w:p>
    <w:p w14:paraId="42B6C93D" w14:textId="77777777" w:rsidR="002A6268" w:rsidRPr="00457F66" w:rsidRDefault="002A6268" w:rsidP="00AE6DE5">
      <w:pPr>
        <w:spacing w:after="160" w:line="360" w:lineRule="auto"/>
        <w:ind w:left="720"/>
        <w:jc w:val="both"/>
        <w:rPr>
          <w:rFonts w:ascii="Arial" w:hAnsi="Arial" w:cs="Arial"/>
          <w:sz w:val="22"/>
          <w:szCs w:val="22"/>
        </w:rPr>
      </w:pPr>
    </w:p>
    <w:p w14:paraId="2C24CC16" w14:textId="16BE3493" w:rsidR="00870A90" w:rsidRPr="00EB0E36" w:rsidRDefault="00870A90" w:rsidP="00AE6DE5">
      <w:pPr>
        <w:spacing w:after="160" w:line="360" w:lineRule="auto"/>
        <w:ind w:left="720"/>
        <w:jc w:val="both"/>
        <w:rPr>
          <w:rFonts w:ascii="Arial" w:hAnsi="Arial" w:cs="Arial"/>
          <w:sz w:val="22"/>
          <w:szCs w:val="22"/>
          <w:u w:val="single"/>
        </w:rPr>
      </w:pPr>
      <w:r w:rsidRPr="00457F66">
        <w:rPr>
          <w:rFonts w:ascii="Arial" w:hAnsi="Arial" w:cs="Arial"/>
          <w:sz w:val="22"/>
          <w:szCs w:val="22"/>
        </w:rPr>
        <w:t xml:space="preserve">Signed: </w:t>
      </w:r>
      <w:r w:rsidR="00EB0E36">
        <w:rPr>
          <w:rFonts w:ascii="Arial" w:hAnsi="Arial" w:cs="Arial"/>
          <w:sz w:val="22"/>
          <w:szCs w:val="22"/>
          <w:u w:val="single"/>
        </w:rPr>
        <w:t xml:space="preserve">Krishna </w:t>
      </w:r>
    </w:p>
    <w:p w14:paraId="1BE26414" w14:textId="5616ED7F" w:rsidR="002F272E" w:rsidRPr="00C13556" w:rsidRDefault="00870A90" w:rsidP="003B7774">
      <w:pPr>
        <w:spacing w:after="160" w:line="360" w:lineRule="auto"/>
        <w:ind w:left="720"/>
        <w:jc w:val="both"/>
        <w:rPr>
          <w:rFonts w:ascii="Arial" w:hAnsi="Arial" w:cs="Arial"/>
          <w:sz w:val="22"/>
          <w:szCs w:val="22"/>
        </w:rPr>
      </w:pPr>
      <w:r w:rsidRPr="00457F66">
        <w:rPr>
          <w:rFonts w:ascii="Arial" w:hAnsi="Arial" w:cs="Arial"/>
          <w:sz w:val="22"/>
          <w:szCs w:val="22"/>
        </w:rPr>
        <w:t>Date:</w:t>
      </w:r>
      <w:r w:rsidR="00C13556">
        <w:rPr>
          <w:rFonts w:ascii="Arial" w:hAnsi="Arial" w:cs="Arial"/>
          <w:sz w:val="22"/>
          <w:szCs w:val="22"/>
        </w:rPr>
        <w:t xml:space="preserve"> </w:t>
      </w:r>
      <w:r w:rsidR="00C16C91">
        <w:rPr>
          <w:rFonts w:ascii="Arial" w:hAnsi="Arial" w:cs="Arial"/>
          <w:sz w:val="22"/>
          <w:szCs w:val="22"/>
          <w:u w:val="single"/>
        </w:rPr>
        <w:t>24 September 2026</w:t>
      </w:r>
    </w:p>
    <w:p w14:paraId="342A4AE1" w14:textId="77777777" w:rsidR="003B7774" w:rsidRPr="00457F66" w:rsidRDefault="003B7774">
      <w:pPr>
        <w:spacing w:after="160" w:line="259" w:lineRule="auto"/>
        <w:rPr>
          <w:rFonts w:ascii="Arial" w:hAnsi="Arial" w:cs="Arial"/>
          <w:b/>
          <w:color w:val="000000"/>
          <w:kern w:val="2"/>
          <w:sz w:val="24"/>
          <w:szCs w:val="22"/>
          <w:lang w:val="en-GB" w:eastAsia="zh-CN"/>
          <w14:ligatures w14:val="standardContextual"/>
        </w:rPr>
      </w:pPr>
      <w:r w:rsidRPr="00457F66">
        <w:rPr>
          <w:rFonts w:ascii="Arial" w:hAnsi="Arial" w:cs="Arial"/>
          <w:b/>
          <w:color w:val="000000"/>
          <w:kern w:val="2"/>
          <w:sz w:val="24"/>
          <w:szCs w:val="22"/>
          <w:lang w:val="en-GB" w:eastAsia="zh-CN"/>
          <w14:ligatures w14:val="standardContextual"/>
        </w:rPr>
        <w:br w:type="page"/>
      </w:r>
    </w:p>
    <w:p w14:paraId="696F3590" w14:textId="7A76A1CE" w:rsidR="002F272E" w:rsidRPr="002A6268" w:rsidRDefault="002F272E" w:rsidP="002A6268">
      <w:pPr>
        <w:rPr>
          <w:rStyle w:val="Strong"/>
          <w:rFonts w:ascii="Arial" w:hAnsi="Arial" w:cs="Arial"/>
          <w:sz w:val="28"/>
          <w:szCs w:val="28"/>
        </w:rPr>
      </w:pPr>
      <w:r w:rsidRPr="002A6268">
        <w:rPr>
          <w:rStyle w:val="Strong"/>
          <w:rFonts w:ascii="Arial" w:hAnsi="Arial" w:cs="Arial"/>
          <w:sz w:val="28"/>
          <w:szCs w:val="28"/>
        </w:rPr>
        <w:t xml:space="preserve">Acknowledgements </w:t>
      </w:r>
    </w:p>
    <w:p w14:paraId="220A0A52" w14:textId="48B261BC" w:rsidR="002A6268" w:rsidRPr="002A6268" w:rsidRDefault="002A6268" w:rsidP="002A6268">
      <w:pPr>
        <w:pStyle w:val="NormalWeb"/>
        <w:spacing w:line="360" w:lineRule="auto"/>
        <w:jc w:val="both"/>
        <w:rPr>
          <w:rFonts w:ascii="Arial" w:hAnsi="Arial" w:cs="Arial"/>
          <w:sz w:val="22"/>
          <w:szCs w:val="22"/>
        </w:rPr>
      </w:pPr>
      <w:r w:rsidRPr="002A6268">
        <w:rPr>
          <w:rFonts w:ascii="Arial" w:hAnsi="Arial" w:cs="Arial"/>
          <w:sz w:val="22"/>
          <w:szCs w:val="22"/>
        </w:rPr>
        <w:t>I want to thank my dissertation supervisor, Dr Odette Jack, who was professional in guiding, giving feedback, and supporting me during my research. Her observations have proved priceless in guiding the direction and quality of this systematic review.</w:t>
      </w:r>
    </w:p>
    <w:p w14:paraId="763AA9D4" w14:textId="289FDD83" w:rsidR="002A6268" w:rsidRPr="002A6268" w:rsidRDefault="002A6268" w:rsidP="002A6268">
      <w:pPr>
        <w:pStyle w:val="NormalWeb"/>
        <w:spacing w:line="360" w:lineRule="auto"/>
        <w:jc w:val="both"/>
        <w:rPr>
          <w:rFonts w:ascii="Arial" w:hAnsi="Arial" w:cs="Arial"/>
          <w:sz w:val="22"/>
          <w:szCs w:val="22"/>
        </w:rPr>
      </w:pPr>
      <w:r w:rsidRPr="002A6268">
        <w:rPr>
          <w:rFonts w:ascii="Arial" w:hAnsi="Arial" w:cs="Arial"/>
          <w:sz w:val="22"/>
          <w:szCs w:val="22"/>
        </w:rPr>
        <w:t>I also owe the faculty of the Faculty of Health, Education, and Professional Studies of the University of Wales Trinity Saint David a great academic foundation during this programme.</w:t>
      </w:r>
    </w:p>
    <w:p w14:paraId="43921324" w14:textId="36F26B95" w:rsidR="002A6268" w:rsidRPr="002A6268" w:rsidRDefault="002A6268" w:rsidP="002A6268">
      <w:pPr>
        <w:pStyle w:val="NormalWeb"/>
        <w:spacing w:line="360" w:lineRule="auto"/>
        <w:jc w:val="both"/>
        <w:rPr>
          <w:rFonts w:ascii="Arial" w:hAnsi="Arial" w:cs="Arial"/>
          <w:sz w:val="22"/>
          <w:szCs w:val="22"/>
        </w:rPr>
      </w:pPr>
      <w:r w:rsidRPr="002A6268">
        <w:rPr>
          <w:rFonts w:ascii="Arial" w:hAnsi="Arial" w:cs="Arial"/>
          <w:sz w:val="22"/>
          <w:szCs w:val="22"/>
        </w:rPr>
        <w:t xml:space="preserve">It is </w:t>
      </w:r>
      <w:r w:rsidR="00B84144">
        <w:rPr>
          <w:rFonts w:ascii="Arial" w:hAnsi="Arial" w:cs="Arial"/>
          <w:sz w:val="22"/>
          <w:szCs w:val="22"/>
        </w:rPr>
        <w:t xml:space="preserve">with </w:t>
      </w:r>
      <w:r w:rsidRPr="002A6268">
        <w:rPr>
          <w:rFonts w:ascii="Arial" w:hAnsi="Arial" w:cs="Arial"/>
          <w:sz w:val="22"/>
          <w:szCs w:val="22"/>
        </w:rPr>
        <w:t>my most sincere gratitude and appreciation to my family and friends</w:t>
      </w:r>
      <w:r w:rsidR="00B84144">
        <w:rPr>
          <w:rFonts w:ascii="Arial" w:hAnsi="Arial" w:cs="Arial"/>
          <w:sz w:val="22"/>
          <w:szCs w:val="22"/>
        </w:rPr>
        <w:t>,</w:t>
      </w:r>
      <w:r w:rsidRPr="002A6268">
        <w:rPr>
          <w:rFonts w:ascii="Arial" w:hAnsi="Arial" w:cs="Arial"/>
          <w:sz w:val="22"/>
          <w:szCs w:val="22"/>
        </w:rPr>
        <w:t xml:space="preserve"> who were so consistent and tolerant during this heavy load of study.</w:t>
      </w:r>
    </w:p>
    <w:p w14:paraId="568EA659" w14:textId="55E973E7" w:rsidR="003B7774" w:rsidRPr="00457F66" w:rsidRDefault="002A6268" w:rsidP="002A6268">
      <w:pPr>
        <w:pStyle w:val="NormalWeb"/>
        <w:spacing w:line="360" w:lineRule="auto"/>
        <w:jc w:val="both"/>
        <w:rPr>
          <w:rFonts w:ascii="Arial" w:hAnsi="Arial" w:cs="Arial"/>
        </w:rPr>
      </w:pPr>
      <w:r w:rsidRPr="002A6268">
        <w:rPr>
          <w:rFonts w:ascii="Arial" w:hAnsi="Arial" w:cs="Arial"/>
          <w:sz w:val="22"/>
          <w:szCs w:val="22"/>
        </w:rPr>
        <w:t>Lastly, I would like to dedicate this piece to all the homeless adult population in England who still experience avoidable and unfair obstacles to healthcare. Hopefully, this review will help in some minor way to better policy and practice in this marginalised population.</w:t>
      </w:r>
    </w:p>
    <w:p w14:paraId="61459631" w14:textId="3FD9F366" w:rsidR="00870A90" w:rsidRDefault="004E6FCA" w:rsidP="003B7774">
      <w:pPr>
        <w:spacing w:after="160" w:line="360" w:lineRule="auto"/>
        <w:jc w:val="both"/>
        <w:rPr>
          <w:rFonts w:ascii="Arial" w:hAnsi="Arial" w:cs="Arial"/>
          <w:sz w:val="22"/>
          <w:szCs w:val="22"/>
        </w:rPr>
      </w:pPr>
      <w:r>
        <w:rPr>
          <w:rFonts w:ascii="Arial" w:hAnsi="Arial" w:cs="Arial"/>
          <w:sz w:val="22"/>
          <w:szCs w:val="22"/>
        </w:rPr>
        <w:tab/>
        <w:t xml:space="preserve"> </w:t>
      </w:r>
    </w:p>
    <w:p w14:paraId="762E8810" w14:textId="77777777" w:rsidR="004E6FCA" w:rsidRPr="00457F66" w:rsidRDefault="004E6FCA" w:rsidP="003B7774">
      <w:pPr>
        <w:spacing w:after="160" w:line="360" w:lineRule="auto"/>
        <w:jc w:val="both"/>
        <w:rPr>
          <w:rFonts w:ascii="Arial" w:hAnsi="Arial" w:cs="Arial"/>
          <w:sz w:val="22"/>
          <w:szCs w:val="22"/>
        </w:rPr>
      </w:pPr>
    </w:p>
    <w:p w14:paraId="1DC0840E" w14:textId="59AA00D9" w:rsidR="00870A90" w:rsidRPr="00457F66" w:rsidRDefault="00870A90" w:rsidP="00AE6DE5">
      <w:pPr>
        <w:spacing w:after="160" w:line="259" w:lineRule="auto"/>
        <w:ind w:left="720"/>
        <w:rPr>
          <w:rFonts w:ascii="Arial" w:hAnsi="Arial" w:cs="Arial"/>
        </w:rPr>
      </w:pPr>
      <w:r w:rsidRPr="00457F66">
        <w:rPr>
          <w:rFonts w:ascii="Arial" w:hAnsi="Arial" w:cs="Arial"/>
        </w:rPr>
        <w:br w:type="page"/>
      </w:r>
    </w:p>
    <w:p w14:paraId="580D8EC6" w14:textId="62C0E93C" w:rsidR="002D6309" w:rsidRPr="00457F66" w:rsidRDefault="002D6309" w:rsidP="008452C0">
      <w:pPr>
        <w:pStyle w:val="Heading1"/>
        <w:spacing w:line="360" w:lineRule="auto"/>
        <w:jc w:val="both"/>
      </w:pPr>
      <w:bookmarkStart w:id="0" w:name="_Toc240922923"/>
      <w:r w:rsidRPr="00457F66">
        <w:t>ABSTRACT</w:t>
      </w:r>
      <w:bookmarkEnd w:id="0"/>
    </w:p>
    <w:p w14:paraId="5EE970D7" w14:textId="77777777" w:rsidR="002D6309" w:rsidRPr="00457F66" w:rsidRDefault="002D6309" w:rsidP="008452C0">
      <w:pPr>
        <w:spacing w:before="100" w:beforeAutospacing="1" w:after="100" w:afterAutospacing="1" w:line="360" w:lineRule="auto"/>
        <w:jc w:val="both"/>
        <w:rPr>
          <w:rFonts w:ascii="Arial" w:hAnsi="Arial" w:cs="Arial"/>
          <w:sz w:val="22"/>
          <w:szCs w:val="22"/>
        </w:rPr>
      </w:pPr>
      <w:r w:rsidRPr="00457F66">
        <w:rPr>
          <w:rFonts w:ascii="Arial" w:hAnsi="Arial" w:cs="Arial"/>
          <w:b/>
          <w:bCs/>
          <w:sz w:val="22"/>
          <w:szCs w:val="22"/>
        </w:rPr>
        <w:t>Background:</w:t>
      </w:r>
      <w:r w:rsidRPr="00457F66">
        <w:rPr>
          <w:rFonts w:ascii="Arial" w:hAnsi="Arial" w:cs="Arial"/>
          <w:sz w:val="22"/>
          <w:szCs w:val="22"/>
        </w:rPr>
        <w:t xml:space="preserve"> Homeless adults in England face extensive and avoidable health disparities, with standardised mortality ratios eight to twelve times higher than those of the general population. Homeless adults have a legal right to NHS primary healthcare but are experiencing significant obstacles to accessing general practice and community health services. This systematic review summarises the current evidence on the structural, institutional, and individual-level factors affecting access to primary healthcare among homeless adults in England.</w:t>
      </w:r>
    </w:p>
    <w:p w14:paraId="3C9AE084" w14:textId="5631DBEE" w:rsidR="002D6309" w:rsidRPr="00457F66" w:rsidRDefault="002D6309" w:rsidP="008452C0">
      <w:pPr>
        <w:spacing w:before="100" w:beforeAutospacing="1" w:after="100" w:afterAutospacing="1" w:line="360" w:lineRule="auto"/>
        <w:jc w:val="both"/>
        <w:rPr>
          <w:rFonts w:ascii="Arial" w:hAnsi="Arial" w:cs="Arial"/>
          <w:sz w:val="22"/>
          <w:szCs w:val="22"/>
        </w:rPr>
      </w:pPr>
      <w:r w:rsidRPr="00457F66">
        <w:rPr>
          <w:rFonts w:ascii="Arial" w:hAnsi="Arial" w:cs="Arial"/>
          <w:b/>
          <w:bCs/>
          <w:sz w:val="22"/>
          <w:szCs w:val="22"/>
        </w:rPr>
        <w:t>Methods:</w:t>
      </w:r>
      <w:r w:rsidRPr="00457F66">
        <w:rPr>
          <w:rFonts w:ascii="Arial" w:hAnsi="Arial" w:cs="Arial"/>
          <w:sz w:val="22"/>
          <w:szCs w:val="22"/>
        </w:rPr>
        <w:t xml:space="preserve"> A </w:t>
      </w:r>
      <w:r w:rsidR="00F00C7F" w:rsidRPr="00457F66">
        <w:rPr>
          <w:rFonts w:ascii="Arial" w:hAnsi="Arial" w:cs="Arial"/>
          <w:sz w:val="22"/>
          <w:szCs w:val="22"/>
        </w:rPr>
        <w:t>PRISMA 2020-compliant</w:t>
      </w:r>
      <w:r w:rsidRPr="00457F66">
        <w:rPr>
          <w:rFonts w:ascii="Arial" w:hAnsi="Arial" w:cs="Arial"/>
          <w:sz w:val="22"/>
          <w:szCs w:val="22"/>
        </w:rPr>
        <w:t xml:space="preserve"> systematic review was carried out in five electronic databases: MEDLINE, CINAHL, PsycINFO, EMBASE, and Google Scholar and specific grey literature searches of official national websites, namely NHS England, NICE, ONS, Crisis, and Homeless Link. Only English-language publications published from January 2010 up to June 2026 were searched. After fifteen studies met the predetermined inclusion criteria, they were formally appraised with design-appropriate tools such as </w:t>
      </w:r>
      <w:r w:rsidR="005B3A5C" w:rsidRPr="00457F66">
        <w:rPr>
          <w:rFonts w:ascii="Arial" w:hAnsi="Arial" w:cs="Arial"/>
          <w:sz w:val="22"/>
          <w:szCs w:val="22"/>
        </w:rPr>
        <w:t>CASP and JBI checklists</w:t>
      </w:r>
      <w:r w:rsidRPr="00457F66">
        <w:rPr>
          <w:rFonts w:ascii="Arial" w:hAnsi="Arial" w:cs="Arial"/>
          <w:sz w:val="22"/>
          <w:szCs w:val="22"/>
        </w:rPr>
        <w:t>. Findings were synthesised using narrative synthesis.</w:t>
      </w:r>
    </w:p>
    <w:p w14:paraId="1CA3FDD3" w14:textId="2241646A" w:rsidR="002D6309" w:rsidRPr="00457F66" w:rsidRDefault="002D6309" w:rsidP="008452C0">
      <w:pPr>
        <w:spacing w:before="100" w:beforeAutospacing="1" w:after="100" w:afterAutospacing="1" w:line="360" w:lineRule="auto"/>
        <w:jc w:val="both"/>
        <w:rPr>
          <w:rFonts w:ascii="Arial" w:hAnsi="Arial" w:cs="Arial"/>
          <w:sz w:val="22"/>
          <w:szCs w:val="22"/>
        </w:rPr>
      </w:pPr>
      <w:r w:rsidRPr="00457F66">
        <w:rPr>
          <w:rFonts w:ascii="Arial" w:hAnsi="Arial" w:cs="Arial"/>
          <w:b/>
          <w:bCs/>
          <w:sz w:val="22"/>
          <w:szCs w:val="22"/>
        </w:rPr>
        <w:t xml:space="preserve">Findings: </w:t>
      </w:r>
      <w:r w:rsidR="005B3A5C" w:rsidRPr="00457F66">
        <w:rPr>
          <w:rFonts w:ascii="Arial" w:hAnsi="Arial" w:cs="Arial"/>
          <w:sz w:val="22"/>
          <w:szCs w:val="22"/>
        </w:rPr>
        <w:t>Five themes were identified</w:t>
      </w:r>
      <w:r w:rsidRPr="00457F66">
        <w:rPr>
          <w:rFonts w:ascii="Arial" w:hAnsi="Arial" w:cs="Arial"/>
          <w:sz w:val="22"/>
          <w:szCs w:val="22"/>
        </w:rPr>
        <w:t xml:space="preserve">, including GP registration barriers; stigma and discrimination; structural poverty and housing instability; </w:t>
      </w:r>
      <w:r w:rsidR="00817239" w:rsidRPr="00457F66">
        <w:rPr>
          <w:rFonts w:ascii="Arial" w:hAnsi="Arial" w:cs="Arial"/>
          <w:sz w:val="22"/>
          <w:szCs w:val="22"/>
        </w:rPr>
        <w:t>service design, commissioning failures, and digital exclusion driven by COVID-19; and health inequalities</w:t>
      </w:r>
      <w:r w:rsidRPr="00457F66">
        <w:rPr>
          <w:rFonts w:ascii="Arial" w:hAnsi="Arial" w:cs="Arial"/>
          <w:sz w:val="22"/>
          <w:szCs w:val="22"/>
        </w:rPr>
        <w:t xml:space="preserve"> and mortality outcomes. It was repeatedly shown that the mainstream primary care services were structurally inadequate to the needs of homeless adults, which were complex and multiple, and 30.2% of homeless deaths were due to factors which could be addressed through timely healthcare services.</w:t>
      </w:r>
    </w:p>
    <w:p w14:paraId="5A4D4145" w14:textId="7085B1FB" w:rsidR="002D6309" w:rsidRPr="00457F66" w:rsidRDefault="002D6309" w:rsidP="008452C0">
      <w:pPr>
        <w:spacing w:before="100" w:beforeAutospacing="1" w:after="100" w:afterAutospacing="1" w:line="360" w:lineRule="auto"/>
        <w:jc w:val="both"/>
        <w:rPr>
          <w:rFonts w:ascii="Arial" w:hAnsi="Arial" w:cs="Arial"/>
          <w:sz w:val="22"/>
          <w:szCs w:val="22"/>
        </w:rPr>
      </w:pPr>
      <w:r w:rsidRPr="00457F66">
        <w:rPr>
          <w:rFonts w:ascii="Arial" w:hAnsi="Arial" w:cs="Arial"/>
          <w:b/>
          <w:bCs/>
          <w:sz w:val="22"/>
          <w:szCs w:val="22"/>
        </w:rPr>
        <w:t>Discussion and Conclusions:</w:t>
      </w:r>
      <w:r w:rsidRPr="00457F66">
        <w:rPr>
          <w:rFonts w:ascii="Arial" w:hAnsi="Arial" w:cs="Arial"/>
          <w:sz w:val="22"/>
          <w:szCs w:val="22"/>
        </w:rPr>
        <w:t xml:space="preserve"> Barriers act dynamically on structural, institutional and individual levels and give rise to a multi-layered exclusion pattern analysed with the </w:t>
      </w:r>
      <w:r w:rsidR="005B3A5C" w:rsidRPr="00457F66">
        <w:rPr>
          <w:rFonts w:ascii="Arial" w:hAnsi="Arial" w:cs="Arial"/>
          <w:sz w:val="22"/>
          <w:szCs w:val="22"/>
        </w:rPr>
        <w:t>social determinants model (Dahlgren and Whitehead, 1991), patient-centred access model (Levesque et al., 2013), and Behavioural Model of Health Services Use (Andersen, 1995)</w:t>
      </w:r>
      <w:r w:rsidRPr="00457F66">
        <w:rPr>
          <w:rFonts w:ascii="Arial" w:hAnsi="Arial" w:cs="Arial"/>
          <w:sz w:val="22"/>
          <w:szCs w:val="22"/>
        </w:rPr>
        <w:t>. The conclusion recommends the immediate implementation of the current NHS registration rights, investment in specialist homeless health care, and concerted policy action to tackle the structural causes of homelessness. The major emphasis in future research must be on co-produced longitudinal designs that include lived-experience perspectives.</w:t>
      </w:r>
    </w:p>
    <w:p w14:paraId="203A6211" w14:textId="77777777" w:rsidR="008452C0" w:rsidRPr="00457F66" w:rsidRDefault="002D6309" w:rsidP="008452C0">
      <w:pPr>
        <w:spacing w:before="100" w:beforeAutospacing="1" w:after="100" w:afterAutospacing="1" w:line="360" w:lineRule="auto"/>
        <w:jc w:val="both"/>
        <w:rPr>
          <w:rFonts w:ascii="Arial" w:hAnsi="Arial" w:cs="Arial"/>
          <w:sz w:val="22"/>
          <w:szCs w:val="22"/>
        </w:rPr>
      </w:pPr>
      <w:r w:rsidRPr="00457F66">
        <w:rPr>
          <w:rFonts w:ascii="Arial" w:hAnsi="Arial" w:cs="Arial"/>
          <w:b/>
          <w:bCs/>
          <w:sz w:val="22"/>
          <w:szCs w:val="22"/>
        </w:rPr>
        <w:t>Keywords:</w:t>
      </w:r>
      <w:r w:rsidRPr="00457F66">
        <w:rPr>
          <w:rFonts w:ascii="Arial" w:hAnsi="Arial" w:cs="Arial"/>
          <w:sz w:val="22"/>
          <w:szCs w:val="22"/>
        </w:rPr>
        <w:t xml:space="preserve"> homelessness, primary healthcare, access barriers, health inequalities, systematic review, England, general practice, inclusion health</w:t>
      </w:r>
    </w:p>
    <w:sdt>
      <w:sdtPr>
        <w:rPr>
          <w:rFonts w:ascii="Arial" w:eastAsia="Times New Roman" w:hAnsi="Arial" w:cs="Arial"/>
          <w:b/>
          <w:bCs/>
          <w:color w:val="auto"/>
          <w:sz w:val="22"/>
          <w:szCs w:val="22"/>
          <w:lang w:val="en-IN" w:eastAsia="en-IN"/>
        </w:rPr>
        <w:id w:val="-590316353"/>
        <w:docPartObj>
          <w:docPartGallery w:val="Table of Contents"/>
          <w:docPartUnique/>
        </w:docPartObj>
      </w:sdtPr>
      <w:sdtEndPr>
        <w:rPr>
          <w:noProof/>
        </w:rPr>
      </w:sdtEndPr>
      <w:sdtContent>
        <w:p w14:paraId="4A390E29" w14:textId="4857E13C" w:rsidR="008452C0" w:rsidRPr="00BE7091" w:rsidRDefault="008452C0" w:rsidP="009536B9">
          <w:pPr>
            <w:pStyle w:val="TOCHeading"/>
            <w:spacing w:line="360" w:lineRule="auto"/>
            <w:rPr>
              <w:rFonts w:ascii="Arial" w:hAnsi="Arial" w:cs="Arial"/>
              <w:b/>
              <w:bCs/>
              <w:sz w:val="22"/>
              <w:szCs w:val="22"/>
            </w:rPr>
          </w:pPr>
          <w:r w:rsidRPr="00BE7091">
            <w:rPr>
              <w:rFonts w:ascii="Arial" w:hAnsi="Arial" w:cs="Arial"/>
              <w:b/>
              <w:bCs/>
              <w:sz w:val="22"/>
              <w:szCs w:val="22"/>
            </w:rPr>
            <w:t>Table of Contents</w:t>
          </w:r>
        </w:p>
        <w:p w14:paraId="67846758" w14:textId="440F89CA" w:rsidR="000879FF" w:rsidRPr="00BE7091" w:rsidRDefault="008452C0" w:rsidP="009536B9">
          <w:pPr>
            <w:pStyle w:val="TOC1"/>
            <w:rPr>
              <w:rFonts w:ascii="Arial" w:eastAsiaTheme="minorEastAsia" w:hAnsi="Arial" w:cs="Arial"/>
              <w:kern w:val="2"/>
              <w:sz w:val="22"/>
              <w:szCs w:val="22"/>
              <w14:ligatures w14:val="standardContextual"/>
            </w:rPr>
          </w:pPr>
          <w:r w:rsidRPr="00BE7091">
            <w:rPr>
              <w:rFonts w:ascii="Arial" w:hAnsi="Arial" w:cs="Arial"/>
              <w:noProof w:val="0"/>
              <w:sz w:val="22"/>
              <w:szCs w:val="22"/>
            </w:rPr>
            <w:fldChar w:fldCharType="begin"/>
          </w:r>
          <w:r w:rsidRPr="00BE7091">
            <w:rPr>
              <w:rFonts w:ascii="Arial" w:hAnsi="Arial" w:cs="Arial"/>
              <w:sz w:val="22"/>
              <w:szCs w:val="22"/>
            </w:rPr>
            <w:instrText xml:space="preserve"> TOC \o "1-3" \h \z \u </w:instrText>
          </w:r>
          <w:r w:rsidRPr="00BE7091">
            <w:rPr>
              <w:rFonts w:ascii="Arial" w:hAnsi="Arial" w:cs="Arial"/>
              <w:noProof w:val="0"/>
              <w:sz w:val="22"/>
              <w:szCs w:val="22"/>
            </w:rPr>
            <w:fldChar w:fldCharType="separate"/>
          </w:r>
          <w:hyperlink w:anchor="_Toc240922923" w:history="1">
            <w:r w:rsidR="000879FF" w:rsidRPr="00BE7091">
              <w:rPr>
                <w:rStyle w:val="Hyperlink"/>
                <w:rFonts w:ascii="Arial" w:hAnsi="Arial" w:cs="Arial"/>
                <w:sz w:val="22"/>
                <w:szCs w:val="22"/>
              </w:rPr>
              <w:t>ABSTRACT</w:t>
            </w:r>
            <w:r w:rsidR="000879FF" w:rsidRPr="00BE7091">
              <w:rPr>
                <w:rFonts w:ascii="Arial" w:hAnsi="Arial" w:cs="Arial"/>
                <w:webHidden/>
                <w:sz w:val="22"/>
                <w:szCs w:val="22"/>
              </w:rPr>
              <w:tab/>
            </w:r>
            <w:r w:rsidR="000879FF" w:rsidRPr="00BE7091">
              <w:rPr>
                <w:rFonts w:ascii="Arial" w:hAnsi="Arial" w:cs="Arial"/>
                <w:webHidden/>
                <w:sz w:val="22"/>
                <w:szCs w:val="22"/>
              </w:rPr>
              <w:fldChar w:fldCharType="begin"/>
            </w:r>
            <w:r w:rsidR="000879FF" w:rsidRPr="00BE7091">
              <w:rPr>
                <w:rFonts w:ascii="Arial" w:hAnsi="Arial" w:cs="Arial"/>
                <w:webHidden/>
                <w:sz w:val="22"/>
                <w:szCs w:val="22"/>
              </w:rPr>
              <w:instrText xml:space="preserve"> PAGEREF _Toc240922923 \h </w:instrText>
            </w:r>
            <w:r w:rsidR="000879FF" w:rsidRPr="00BE7091">
              <w:rPr>
                <w:rFonts w:ascii="Arial" w:hAnsi="Arial" w:cs="Arial"/>
                <w:webHidden/>
                <w:sz w:val="22"/>
                <w:szCs w:val="22"/>
              </w:rPr>
            </w:r>
            <w:r w:rsidR="000879FF" w:rsidRPr="00BE7091">
              <w:rPr>
                <w:rFonts w:ascii="Arial" w:hAnsi="Arial" w:cs="Arial"/>
                <w:webHidden/>
                <w:sz w:val="22"/>
                <w:szCs w:val="22"/>
              </w:rPr>
              <w:fldChar w:fldCharType="separate"/>
            </w:r>
            <w:r w:rsidR="000879FF" w:rsidRPr="00BE7091">
              <w:rPr>
                <w:rFonts w:ascii="Arial" w:hAnsi="Arial" w:cs="Arial"/>
                <w:webHidden/>
                <w:sz w:val="22"/>
                <w:szCs w:val="22"/>
              </w:rPr>
              <w:t>3</w:t>
            </w:r>
            <w:r w:rsidR="000879FF" w:rsidRPr="00BE7091">
              <w:rPr>
                <w:rFonts w:ascii="Arial" w:hAnsi="Arial" w:cs="Arial"/>
                <w:webHidden/>
                <w:sz w:val="22"/>
                <w:szCs w:val="22"/>
              </w:rPr>
              <w:fldChar w:fldCharType="end"/>
            </w:r>
          </w:hyperlink>
        </w:p>
        <w:p w14:paraId="5D7D946D" w14:textId="57BDD9A7" w:rsidR="000879FF" w:rsidRPr="00BE7091" w:rsidRDefault="000879FF" w:rsidP="009536B9">
          <w:pPr>
            <w:pStyle w:val="TOC1"/>
            <w:rPr>
              <w:rFonts w:ascii="Arial" w:eastAsiaTheme="minorEastAsia" w:hAnsi="Arial" w:cs="Arial"/>
              <w:kern w:val="2"/>
              <w:sz w:val="22"/>
              <w:szCs w:val="22"/>
              <w14:ligatures w14:val="standardContextual"/>
            </w:rPr>
          </w:pPr>
          <w:hyperlink w:anchor="_Toc240922924" w:history="1">
            <w:r w:rsidRPr="00BE7091">
              <w:rPr>
                <w:rStyle w:val="Hyperlink"/>
                <w:rFonts w:ascii="Arial" w:hAnsi="Arial" w:cs="Arial"/>
                <w:sz w:val="22"/>
                <w:szCs w:val="22"/>
              </w:rPr>
              <w:t>CHAPTER 1 — INTRODUCTION</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_Toc240922924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6</w:t>
            </w:r>
            <w:r w:rsidRPr="00BE7091">
              <w:rPr>
                <w:rFonts w:ascii="Arial" w:hAnsi="Arial" w:cs="Arial"/>
                <w:webHidden/>
                <w:sz w:val="22"/>
                <w:szCs w:val="22"/>
              </w:rPr>
              <w:fldChar w:fldCharType="end"/>
            </w:r>
          </w:hyperlink>
        </w:p>
        <w:p w14:paraId="35B4044C" w14:textId="0B8D09F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25" w:history="1">
            <w:r w:rsidRPr="00BE7091">
              <w:rPr>
                <w:rStyle w:val="Hyperlink"/>
                <w:rFonts w:ascii="Arial" w:hAnsi="Arial" w:cs="Arial"/>
                <w:noProof/>
                <w:sz w:val="22"/>
                <w:szCs w:val="22"/>
              </w:rPr>
              <w:t>1.1 Introduction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_Toc240922925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6</w:t>
            </w:r>
            <w:r w:rsidRPr="00BE7091">
              <w:rPr>
                <w:rFonts w:ascii="Arial" w:hAnsi="Arial" w:cs="Arial"/>
                <w:noProof/>
                <w:webHidden/>
                <w:sz w:val="22"/>
                <w:szCs w:val="22"/>
              </w:rPr>
              <w:fldChar w:fldCharType="end"/>
            </w:r>
          </w:hyperlink>
        </w:p>
        <w:p w14:paraId="5615A443" w14:textId="7982765A"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26" w:history="1">
            <w:r w:rsidRPr="00BE7091">
              <w:rPr>
                <w:rStyle w:val="Hyperlink"/>
                <w:rFonts w:ascii="Arial" w:hAnsi="Arial" w:cs="Arial"/>
                <w:noProof/>
                <w:sz w:val="22"/>
                <w:szCs w:val="22"/>
              </w:rPr>
              <w:t>1.2 Background</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_Toc240922926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6</w:t>
            </w:r>
            <w:r w:rsidRPr="00BE7091">
              <w:rPr>
                <w:rFonts w:ascii="Arial" w:hAnsi="Arial" w:cs="Arial"/>
                <w:noProof/>
                <w:webHidden/>
                <w:sz w:val="22"/>
                <w:szCs w:val="22"/>
              </w:rPr>
              <w:fldChar w:fldCharType="end"/>
            </w:r>
          </w:hyperlink>
        </w:p>
        <w:p w14:paraId="174B7137" w14:textId="650A7B0D"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27" w:history="1">
            <w:r w:rsidRPr="00BE7091">
              <w:rPr>
                <w:rStyle w:val="Hyperlink"/>
                <w:rFonts w:ascii="Arial" w:hAnsi="Arial" w:cs="Arial"/>
                <w:noProof/>
                <w:sz w:val="22"/>
                <w:szCs w:val="22"/>
              </w:rPr>
              <w:t>1.3 Statement of the Problem</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_Toc240922927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8</w:t>
            </w:r>
            <w:r w:rsidRPr="00BE7091">
              <w:rPr>
                <w:rFonts w:ascii="Arial" w:hAnsi="Arial" w:cs="Arial"/>
                <w:noProof/>
                <w:webHidden/>
                <w:sz w:val="22"/>
                <w:szCs w:val="22"/>
              </w:rPr>
              <w:fldChar w:fldCharType="end"/>
            </w:r>
          </w:hyperlink>
        </w:p>
        <w:p w14:paraId="4442FA69" w14:textId="7AB96C8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28" w:history="1">
            <w:r w:rsidRPr="00BE7091">
              <w:rPr>
                <w:rStyle w:val="Hyperlink"/>
                <w:rFonts w:ascii="Arial" w:hAnsi="Arial" w:cs="Arial"/>
                <w:noProof/>
                <w:sz w:val="22"/>
                <w:szCs w:val="22"/>
              </w:rPr>
              <w:t>1.4 Rationale of Research</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_Toc240922928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9</w:t>
            </w:r>
            <w:r w:rsidRPr="00BE7091">
              <w:rPr>
                <w:rFonts w:ascii="Arial" w:hAnsi="Arial" w:cs="Arial"/>
                <w:noProof/>
                <w:webHidden/>
                <w:sz w:val="22"/>
                <w:szCs w:val="22"/>
              </w:rPr>
              <w:fldChar w:fldCharType="end"/>
            </w:r>
          </w:hyperlink>
        </w:p>
        <w:p w14:paraId="588D6728" w14:textId="214456C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29" w:history="1">
            <w:r w:rsidRPr="00BE7091">
              <w:rPr>
                <w:rStyle w:val="Hyperlink"/>
                <w:rFonts w:ascii="Arial" w:hAnsi="Arial" w:cs="Arial"/>
                <w:noProof/>
                <w:sz w:val="22"/>
                <w:szCs w:val="22"/>
              </w:rPr>
              <w:t>1.5 Research Question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_Toc240922929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10</w:t>
            </w:r>
            <w:r w:rsidRPr="00BE7091">
              <w:rPr>
                <w:rFonts w:ascii="Arial" w:hAnsi="Arial" w:cs="Arial"/>
                <w:noProof/>
                <w:webHidden/>
                <w:sz w:val="22"/>
                <w:szCs w:val="22"/>
              </w:rPr>
              <w:fldChar w:fldCharType="end"/>
            </w:r>
          </w:hyperlink>
        </w:p>
        <w:p w14:paraId="43BB61A4" w14:textId="228977B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0" w:history="1">
            <w:r w:rsidRPr="00BE7091">
              <w:rPr>
                <w:rStyle w:val="Hyperlink"/>
                <w:rFonts w:ascii="Arial" w:hAnsi="Arial" w:cs="Arial"/>
                <w:noProof/>
                <w:sz w:val="22"/>
                <w:szCs w:val="22"/>
              </w:rPr>
              <w:t>1.6 Research Aim</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10</w:t>
            </w:r>
            <w:r w:rsidRPr="00BE7091">
              <w:rPr>
                <w:rFonts w:ascii="Arial" w:hAnsi="Arial" w:cs="Arial"/>
                <w:noProof/>
                <w:webHidden/>
                <w:sz w:val="22"/>
                <w:szCs w:val="22"/>
              </w:rPr>
              <w:fldChar w:fldCharType="end"/>
            </w:r>
          </w:hyperlink>
        </w:p>
        <w:p w14:paraId="069DB0F1" w14:textId="770E885F"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1" w:history="1">
            <w:r w:rsidRPr="00BE7091">
              <w:rPr>
                <w:rStyle w:val="Hyperlink"/>
                <w:rFonts w:ascii="Arial" w:hAnsi="Arial" w:cs="Arial"/>
                <w:noProof/>
                <w:sz w:val="22"/>
                <w:szCs w:val="22"/>
              </w:rPr>
              <w:t>1.7 Research Objectives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10</w:t>
            </w:r>
            <w:r w:rsidRPr="00BE7091">
              <w:rPr>
                <w:rFonts w:ascii="Arial" w:hAnsi="Arial" w:cs="Arial"/>
                <w:noProof/>
                <w:webHidden/>
                <w:sz w:val="22"/>
                <w:szCs w:val="22"/>
              </w:rPr>
              <w:fldChar w:fldCharType="end"/>
            </w:r>
          </w:hyperlink>
        </w:p>
        <w:p w14:paraId="6A99B14A" w14:textId="7AF6776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2" w:history="1">
            <w:r w:rsidRPr="00BE7091">
              <w:rPr>
                <w:rStyle w:val="Hyperlink"/>
                <w:rFonts w:ascii="Arial" w:hAnsi="Arial" w:cs="Arial"/>
                <w:noProof/>
                <w:sz w:val="22"/>
                <w:szCs w:val="22"/>
              </w:rPr>
              <w:t>1.8 Summary of Chapter</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10</w:t>
            </w:r>
            <w:r w:rsidRPr="00BE7091">
              <w:rPr>
                <w:rFonts w:ascii="Arial" w:hAnsi="Arial" w:cs="Arial"/>
                <w:noProof/>
                <w:webHidden/>
                <w:sz w:val="22"/>
                <w:szCs w:val="22"/>
              </w:rPr>
              <w:fldChar w:fldCharType="end"/>
            </w:r>
          </w:hyperlink>
        </w:p>
        <w:p w14:paraId="25335660" w14:textId="04C86553" w:rsidR="000879FF" w:rsidRPr="00BE7091" w:rsidRDefault="000879FF" w:rsidP="009536B9">
          <w:pPr>
            <w:pStyle w:val="TOC1"/>
            <w:rPr>
              <w:rFonts w:ascii="Arial" w:eastAsiaTheme="minorEastAsia" w:hAnsi="Arial" w:cs="Arial"/>
              <w:kern w:val="2"/>
              <w:sz w:val="22"/>
              <w:szCs w:val="22"/>
              <w14:ligatures w14:val="standardContextual"/>
            </w:rPr>
          </w:pPr>
          <w:hyperlink w:anchor="_Toc240922933" w:history="1">
            <w:r w:rsidRPr="00BE7091">
              <w:rPr>
                <w:rStyle w:val="Hyperlink"/>
                <w:rFonts w:ascii="Arial" w:hAnsi="Arial" w:cs="Arial"/>
                <w:sz w:val="22"/>
                <w:szCs w:val="22"/>
              </w:rPr>
              <w:t>CHAPTER 2 — LITERATURE REVIEW</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_Toc240922933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12</w:t>
            </w:r>
            <w:r w:rsidRPr="00BE7091">
              <w:rPr>
                <w:rFonts w:ascii="Arial" w:hAnsi="Arial" w:cs="Arial"/>
                <w:webHidden/>
                <w:sz w:val="22"/>
                <w:szCs w:val="22"/>
              </w:rPr>
              <w:fldChar w:fldCharType="end"/>
            </w:r>
          </w:hyperlink>
        </w:p>
        <w:p w14:paraId="3D856955" w14:textId="4193395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4" w:history="1">
            <w:r w:rsidRPr="00BE7091">
              <w:rPr>
                <w:rStyle w:val="Hyperlink"/>
                <w:rFonts w:ascii="Arial" w:hAnsi="Arial" w:cs="Arial"/>
                <w:noProof/>
                <w:sz w:val="22"/>
                <w:szCs w:val="22"/>
              </w:rPr>
              <w:t>2.1 Introduction to the Literature Review</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12</w:t>
            </w:r>
            <w:r w:rsidRPr="00BE7091">
              <w:rPr>
                <w:rFonts w:ascii="Arial" w:hAnsi="Arial" w:cs="Arial"/>
                <w:noProof/>
                <w:webHidden/>
                <w:sz w:val="22"/>
                <w:szCs w:val="22"/>
              </w:rPr>
              <w:fldChar w:fldCharType="end"/>
            </w:r>
          </w:hyperlink>
        </w:p>
        <w:p w14:paraId="4226AE28" w14:textId="28BEEC69"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5" w:history="1">
            <w:r w:rsidRPr="00BE7091">
              <w:rPr>
                <w:rStyle w:val="Hyperlink"/>
                <w:rFonts w:ascii="Arial" w:hAnsi="Arial" w:cs="Arial"/>
                <w:noProof/>
                <w:sz w:val="22"/>
                <w:szCs w:val="22"/>
              </w:rPr>
              <w:t>2.2 Defining Homelessness in England</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_Toc240922935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12</w:t>
            </w:r>
            <w:r w:rsidRPr="00BE7091">
              <w:rPr>
                <w:rFonts w:ascii="Arial" w:hAnsi="Arial" w:cs="Arial"/>
                <w:noProof/>
                <w:webHidden/>
                <w:sz w:val="22"/>
                <w:szCs w:val="22"/>
              </w:rPr>
              <w:fldChar w:fldCharType="end"/>
            </w:r>
          </w:hyperlink>
        </w:p>
        <w:p w14:paraId="60F40AEC" w14:textId="75E8D738"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6" w:history="1">
            <w:r w:rsidRPr="00BE7091">
              <w:rPr>
                <w:rStyle w:val="Hyperlink"/>
                <w:rFonts w:ascii="Arial" w:hAnsi="Arial" w:cs="Arial"/>
                <w:noProof/>
                <w:sz w:val="22"/>
                <w:szCs w:val="22"/>
              </w:rPr>
              <w:t>2.3 Scale of Homelessness and Health Burden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_Toc240922936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13</w:t>
            </w:r>
            <w:r w:rsidRPr="00BE7091">
              <w:rPr>
                <w:rFonts w:ascii="Arial" w:hAnsi="Arial" w:cs="Arial"/>
                <w:noProof/>
                <w:webHidden/>
                <w:sz w:val="22"/>
                <w:szCs w:val="22"/>
              </w:rPr>
              <w:fldChar w:fldCharType="end"/>
            </w:r>
          </w:hyperlink>
        </w:p>
        <w:p w14:paraId="0D53EA23" w14:textId="2599A640"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7" w:history="1">
            <w:r w:rsidRPr="00BE7091">
              <w:rPr>
                <w:rStyle w:val="Hyperlink"/>
                <w:rFonts w:ascii="Arial" w:hAnsi="Arial" w:cs="Arial"/>
                <w:noProof/>
                <w:sz w:val="22"/>
                <w:szCs w:val="22"/>
              </w:rPr>
              <w:t>2.4 Primary Healthcare Policy Context in England</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14</w:t>
            </w:r>
            <w:r w:rsidRPr="00BE7091">
              <w:rPr>
                <w:rFonts w:ascii="Arial" w:hAnsi="Arial" w:cs="Arial"/>
                <w:noProof/>
                <w:webHidden/>
                <w:sz w:val="22"/>
                <w:szCs w:val="22"/>
              </w:rPr>
              <w:fldChar w:fldCharType="end"/>
            </w:r>
          </w:hyperlink>
        </w:p>
        <w:p w14:paraId="6749F17E" w14:textId="5ACA740D"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8" w:history="1">
            <w:r w:rsidRPr="00BE7091">
              <w:rPr>
                <w:rStyle w:val="Hyperlink"/>
                <w:rFonts w:ascii="Arial" w:hAnsi="Arial" w:cs="Arial"/>
                <w:noProof/>
                <w:sz w:val="22"/>
                <w:szCs w:val="22"/>
              </w:rPr>
              <w:t>2.5 Structural Barriers to Primary Healthcare</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14</w:t>
            </w:r>
            <w:r w:rsidRPr="00BE7091">
              <w:rPr>
                <w:rFonts w:ascii="Arial" w:hAnsi="Arial" w:cs="Arial"/>
                <w:noProof/>
                <w:webHidden/>
                <w:sz w:val="22"/>
                <w:szCs w:val="22"/>
              </w:rPr>
              <w:fldChar w:fldCharType="end"/>
            </w:r>
          </w:hyperlink>
        </w:p>
        <w:p w14:paraId="1AC25222" w14:textId="14616D32"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39" w:history="1">
            <w:r w:rsidRPr="00BE7091">
              <w:rPr>
                <w:rStyle w:val="Hyperlink"/>
                <w:rFonts w:ascii="Arial" w:hAnsi="Arial" w:cs="Arial"/>
                <w:noProof/>
                <w:sz w:val="22"/>
                <w:szCs w:val="22"/>
              </w:rPr>
              <w:t>2.6 Institutional Barriers to Primary Healthcare</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_Toc240922939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15</w:t>
            </w:r>
            <w:r w:rsidRPr="00BE7091">
              <w:rPr>
                <w:rFonts w:ascii="Arial" w:hAnsi="Arial" w:cs="Arial"/>
                <w:noProof/>
                <w:webHidden/>
                <w:sz w:val="22"/>
                <w:szCs w:val="22"/>
              </w:rPr>
              <w:fldChar w:fldCharType="end"/>
            </w:r>
          </w:hyperlink>
        </w:p>
        <w:p w14:paraId="2BD59049" w14:textId="6F5AA92A"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0" w:history="1">
            <w:r w:rsidRPr="00BE7091">
              <w:rPr>
                <w:rStyle w:val="Hyperlink"/>
                <w:rFonts w:ascii="Arial" w:hAnsi="Arial" w:cs="Arial"/>
                <w:noProof/>
                <w:sz w:val="22"/>
                <w:szCs w:val="22"/>
              </w:rPr>
              <w:t>2.7 Individual-Level Barriers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16</w:t>
            </w:r>
            <w:r w:rsidRPr="00BE7091">
              <w:rPr>
                <w:rFonts w:ascii="Arial" w:hAnsi="Arial" w:cs="Arial"/>
                <w:noProof/>
                <w:webHidden/>
                <w:sz w:val="22"/>
                <w:szCs w:val="22"/>
              </w:rPr>
              <w:fldChar w:fldCharType="end"/>
            </w:r>
          </w:hyperlink>
        </w:p>
        <w:p w14:paraId="3B0D0142" w14:textId="3C42A4BC"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1" w:history="1">
            <w:r w:rsidRPr="00BE7091">
              <w:rPr>
                <w:rStyle w:val="Hyperlink"/>
                <w:rFonts w:ascii="Arial" w:hAnsi="Arial" w:cs="Arial"/>
                <w:noProof/>
                <w:sz w:val="22"/>
                <w:szCs w:val="22"/>
              </w:rPr>
              <w:t>2.8 Impact of COVID-19 and Digital Exclusion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17</w:t>
            </w:r>
            <w:r w:rsidRPr="00BE7091">
              <w:rPr>
                <w:rFonts w:ascii="Arial" w:hAnsi="Arial" w:cs="Arial"/>
                <w:noProof/>
                <w:webHidden/>
                <w:sz w:val="22"/>
                <w:szCs w:val="22"/>
              </w:rPr>
              <w:fldChar w:fldCharType="end"/>
            </w:r>
          </w:hyperlink>
        </w:p>
        <w:p w14:paraId="7CF6186A" w14:textId="250F4FC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2" w:history="1">
            <w:r w:rsidRPr="00BE7091">
              <w:rPr>
                <w:rStyle w:val="Hyperlink"/>
                <w:rFonts w:ascii="Arial" w:hAnsi="Arial" w:cs="Arial"/>
                <w:noProof/>
                <w:sz w:val="22"/>
                <w:szCs w:val="22"/>
              </w:rPr>
              <w:t>2.9 Health Inequalities and Social Determinants of Health</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18</w:t>
            </w:r>
            <w:r w:rsidRPr="00BE7091">
              <w:rPr>
                <w:rFonts w:ascii="Arial" w:hAnsi="Arial" w:cs="Arial"/>
                <w:noProof/>
                <w:webHidden/>
                <w:sz w:val="22"/>
                <w:szCs w:val="22"/>
              </w:rPr>
              <w:fldChar w:fldCharType="end"/>
            </w:r>
          </w:hyperlink>
        </w:p>
        <w:p w14:paraId="081399BD" w14:textId="22E1055C"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3" w:history="1">
            <w:r w:rsidRPr="00BE7091">
              <w:rPr>
                <w:rStyle w:val="Hyperlink"/>
                <w:rFonts w:ascii="Arial" w:hAnsi="Arial" w:cs="Arial"/>
                <w:noProof/>
                <w:sz w:val="22"/>
                <w:szCs w:val="22"/>
              </w:rPr>
              <w:t>2.10 Theoretical Framework</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18</w:t>
            </w:r>
            <w:r w:rsidRPr="00BE7091">
              <w:rPr>
                <w:rFonts w:ascii="Arial" w:hAnsi="Arial" w:cs="Arial"/>
                <w:noProof/>
                <w:webHidden/>
                <w:sz w:val="22"/>
                <w:szCs w:val="22"/>
              </w:rPr>
              <w:fldChar w:fldCharType="end"/>
            </w:r>
          </w:hyperlink>
        </w:p>
        <w:p w14:paraId="72FDAB9E" w14:textId="3984BFCA"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4" w:history="1">
            <w:r w:rsidRPr="00BE7091">
              <w:rPr>
                <w:rStyle w:val="Hyperlink"/>
                <w:rFonts w:ascii="Arial" w:hAnsi="Arial" w:cs="Arial"/>
                <w:noProof/>
                <w:sz w:val="22"/>
                <w:szCs w:val="22"/>
              </w:rPr>
              <w:t>2.11 Gap in Literature and Rationale for the Review</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19</w:t>
            </w:r>
            <w:r w:rsidRPr="00BE7091">
              <w:rPr>
                <w:rFonts w:ascii="Arial" w:hAnsi="Arial" w:cs="Arial"/>
                <w:noProof/>
                <w:webHidden/>
                <w:sz w:val="22"/>
                <w:szCs w:val="22"/>
              </w:rPr>
              <w:fldChar w:fldCharType="end"/>
            </w:r>
          </w:hyperlink>
        </w:p>
        <w:p w14:paraId="08ADC2F0" w14:textId="4855EC3A" w:rsidR="000879FF" w:rsidRPr="00BE7091" w:rsidRDefault="000879FF" w:rsidP="009536B9">
          <w:pPr>
            <w:pStyle w:val="TOC1"/>
            <w:rPr>
              <w:rFonts w:ascii="Arial" w:eastAsiaTheme="minorEastAsia" w:hAnsi="Arial" w:cs="Arial"/>
              <w:kern w:val="2"/>
              <w:sz w:val="22"/>
              <w:szCs w:val="22"/>
              <w14:ligatures w14:val="standardContextual"/>
            </w:rPr>
          </w:pPr>
          <w:hyperlink w:anchor="_Toc240922945" w:history="1">
            <w:r w:rsidRPr="00BE7091">
              <w:rPr>
                <w:rStyle w:val="Hyperlink"/>
                <w:rFonts w:ascii="Arial" w:hAnsi="Arial" w:cs="Arial"/>
                <w:sz w:val="22"/>
                <w:szCs w:val="22"/>
              </w:rPr>
              <w:t>CHAPTER 3 — METHODOLOGY</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_Toc240922945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21</w:t>
            </w:r>
            <w:r w:rsidRPr="00BE7091">
              <w:rPr>
                <w:rFonts w:ascii="Arial" w:hAnsi="Arial" w:cs="Arial"/>
                <w:webHidden/>
                <w:sz w:val="22"/>
                <w:szCs w:val="22"/>
              </w:rPr>
              <w:fldChar w:fldCharType="end"/>
            </w:r>
          </w:hyperlink>
        </w:p>
        <w:p w14:paraId="0D1C3274" w14:textId="010593BF"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6" w:history="1">
            <w:r w:rsidRPr="00BE7091">
              <w:rPr>
                <w:rStyle w:val="Hyperlink"/>
                <w:rFonts w:ascii="Arial" w:hAnsi="Arial" w:cs="Arial"/>
                <w:noProof/>
                <w:sz w:val="22"/>
                <w:szCs w:val="22"/>
              </w:rPr>
              <w:t>3.1 Introduction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_Toc240922946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21</w:t>
            </w:r>
            <w:r w:rsidRPr="00BE7091">
              <w:rPr>
                <w:rFonts w:ascii="Arial" w:hAnsi="Arial" w:cs="Arial"/>
                <w:noProof/>
                <w:webHidden/>
                <w:sz w:val="22"/>
                <w:szCs w:val="22"/>
              </w:rPr>
              <w:fldChar w:fldCharType="end"/>
            </w:r>
          </w:hyperlink>
        </w:p>
        <w:p w14:paraId="0DC847A3" w14:textId="4AFA7369"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7" w:history="1">
            <w:r w:rsidRPr="00BE7091">
              <w:rPr>
                <w:rStyle w:val="Hyperlink"/>
                <w:rFonts w:ascii="Arial" w:hAnsi="Arial" w:cs="Arial"/>
                <w:noProof/>
                <w:sz w:val="22"/>
                <w:szCs w:val="22"/>
              </w:rPr>
              <w:t>3.2 Research Design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21</w:t>
            </w:r>
            <w:r w:rsidRPr="00BE7091">
              <w:rPr>
                <w:rFonts w:ascii="Arial" w:hAnsi="Arial" w:cs="Arial"/>
                <w:noProof/>
                <w:webHidden/>
                <w:sz w:val="22"/>
                <w:szCs w:val="22"/>
              </w:rPr>
              <w:fldChar w:fldCharType="end"/>
            </w:r>
          </w:hyperlink>
        </w:p>
        <w:p w14:paraId="5770F43B" w14:textId="7E9B653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8" w:history="1">
            <w:r w:rsidRPr="00BE7091">
              <w:rPr>
                <w:rStyle w:val="Hyperlink"/>
                <w:rFonts w:ascii="Arial" w:hAnsi="Arial" w:cs="Arial"/>
                <w:noProof/>
                <w:sz w:val="22"/>
                <w:szCs w:val="22"/>
              </w:rPr>
              <w:t>3.3 Search Strategy</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22</w:t>
            </w:r>
            <w:r w:rsidRPr="00BE7091">
              <w:rPr>
                <w:rFonts w:ascii="Arial" w:hAnsi="Arial" w:cs="Arial"/>
                <w:noProof/>
                <w:webHidden/>
                <w:sz w:val="22"/>
                <w:szCs w:val="22"/>
              </w:rPr>
              <w:fldChar w:fldCharType="end"/>
            </w:r>
          </w:hyperlink>
        </w:p>
        <w:p w14:paraId="2356683B" w14:textId="66C282BB"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49" w:history="1">
            <w:r w:rsidRPr="00BE7091">
              <w:rPr>
                <w:rStyle w:val="Hyperlink"/>
                <w:rFonts w:ascii="Arial" w:hAnsi="Arial" w:cs="Arial"/>
                <w:noProof/>
                <w:sz w:val="22"/>
                <w:szCs w:val="22"/>
              </w:rPr>
              <w:t>3.4 Inclusion and Exclusion Criteria</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_Toc240922949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24</w:t>
            </w:r>
            <w:r w:rsidRPr="00BE7091">
              <w:rPr>
                <w:rFonts w:ascii="Arial" w:hAnsi="Arial" w:cs="Arial"/>
                <w:noProof/>
                <w:webHidden/>
                <w:sz w:val="22"/>
                <w:szCs w:val="22"/>
              </w:rPr>
              <w:fldChar w:fldCharType="end"/>
            </w:r>
          </w:hyperlink>
        </w:p>
        <w:p w14:paraId="44E96F62" w14:textId="02A2F29A"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0" w:history="1">
            <w:r w:rsidRPr="00BE7091">
              <w:rPr>
                <w:rStyle w:val="Hyperlink"/>
                <w:rFonts w:ascii="Arial" w:hAnsi="Arial" w:cs="Arial"/>
                <w:noProof/>
                <w:sz w:val="22"/>
                <w:szCs w:val="22"/>
              </w:rPr>
              <w:t>3.5 Screening Process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25</w:t>
            </w:r>
            <w:r w:rsidRPr="00BE7091">
              <w:rPr>
                <w:rFonts w:ascii="Arial" w:hAnsi="Arial" w:cs="Arial"/>
                <w:noProof/>
                <w:webHidden/>
                <w:sz w:val="22"/>
                <w:szCs w:val="22"/>
              </w:rPr>
              <w:fldChar w:fldCharType="end"/>
            </w:r>
          </w:hyperlink>
        </w:p>
        <w:p w14:paraId="4A62D52C" w14:textId="07F320E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1" w:history="1">
            <w:r w:rsidRPr="00BE7091">
              <w:rPr>
                <w:rStyle w:val="Hyperlink"/>
                <w:rFonts w:ascii="Arial" w:hAnsi="Arial" w:cs="Arial"/>
                <w:noProof/>
                <w:sz w:val="22"/>
                <w:szCs w:val="22"/>
              </w:rPr>
              <w:t>3.6 Quality Appraisal</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26</w:t>
            </w:r>
            <w:r w:rsidRPr="00BE7091">
              <w:rPr>
                <w:rFonts w:ascii="Arial" w:hAnsi="Arial" w:cs="Arial"/>
                <w:noProof/>
                <w:webHidden/>
                <w:sz w:val="22"/>
                <w:szCs w:val="22"/>
              </w:rPr>
              <w:fldChar w:fldCharType="end"/>
            </w:r>
          </w:hyperlink>
        </w:p>
        <w:p w14:paraId="4C98D944" w14:textId="73FFD444"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2" w:history="1">
            <w:r w:rsidRPr="00BE7091">
              <w:rPr>
                <w:rStyle w:val="Hyperlink"/>
                <w:rFonts w:ascii="Arial" w:hAnsi="Arial" w:cs="Arial"/>
                <w:noProof/>
                <w:sz w:val="22"/>
                <w:szCs w:val="22"/>
              </w:rPr>
              <w:t>3.7 Data Extraction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27</w:t>
            </w:r>
            <w:r w:rsidRPr="00BE7091">
              <w:rPr>
                <w:rFonts w:ascii="Arial" w:hAnsi="Arial" w:cs="Arial"/>
                <w:noProof/>
                <w:webHidden/>
                <w:sz w:val="22"/>
                <w:szCs w:val="22"/>
              </w:rPr>
              <w:fldChar w:fldCharType="end"/>
            </w:r>
          </w:hyperlink>
        </w:p>
        <w:p w14:paraId="1ED3EF34" w14:textId="720EBCA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3" w:history="1">
            <w:r w:rsidRPr="00BE7091">
              <w:rPr>
                <w:rStyle w:val="Hyperlink"/>
                <w:rFonts w:ascii="Arial" w:hAnsi="Arial" w:cs="Arial"/>
                <w:noProof/>
                <w:sz w:val="22"/>
                <w:szCs w:val="22"/>
                <w:lang w:val="en-GB"/>
              </w:rPr>
              <w:t>3.8 Data Analysis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27</w:t>
            </w:r>
            <w:r w:rsidRPr="00BE7091">
              <w:rPr>
                <w:rFonts w:ascii="Arial" w:hAnsi="Arial" w:cs="Arial"/>
                <w:noProof/>
                <w:webHidden/>
                <w:sz w:val="22"/>
                <w:szCs w:val="22"/>
              </w:rPr>
              <w:fldChar w:fldCharType="end"/>
            </w:r>
          </w:hyperlink>
        </w:p>
        <w:p w14:paraId="438C6E24" w14:textId="0FB218F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4" w:history="1">
            <w:r w:rsidRPr="00BE7091">
              <w:rPr>
                <w:rStyle w:val="Hyperlink"/>
                <w:rFonts w:ascii="Arial" w:hAnsi="Arial" w:cs="Arial"/>
                <w:noProof/>
                <w:sz w:val="22"/>
                <w:szCs w:val="22"/>
              </w:rPr>
              <w:t>3.9 Ethical Considerations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28</w:t>
            </w:r>
            <w:r w:rsidRPr="00BE7091">
              <w:rPr>
                <w:rFonts w:ascii="Arial" w:hAnsi="Arial" w:cs="Arial"/>
                <w:noProof/>
                <w:webHidden/>
                <w:sz w:val="22"/>
                <w:szCs w:val="22"/>
              </w:rPr>
              <w:fldChar w:fldCharType="end"/>
            </w:r>
          </w:hyperlink>
        </w:p>
        <w:p w14:paraId="7D6A2328" w14:textId="6CAC42C5"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5" w:history="1">
            <w:r w:rsidRPr="00BE7091">
              <w:rPr>
                <w:rStyle w:val="Hyperlink"/>
                <w:rFonts w:ascii="Arial" w:hAnsi="Arial" w:cs="Arial"/>
                <w:noProof/>
                <w:sz w:val="22"/>
                <w:szCs w:val="22"/>
              </w:rPr>
              <w:t>3.10 Methodological Limitations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_Toc240922955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29</w:t>
            </w:r>
            <w:r w:rsidRPr="00BE7091">
              <w:rPr>
                <w:rFonts w:ascii="Arial" w:hAnsi="Arial" w:cs="Arial"/>
                <w:noProof/>
                <w:webHidden/>
                <w:sz w:val="22"/>
                <w:szCs w:val="22"/>
              </w:rPr>
              <w:fldChar w:fldCharType="end"/>
            </w:r>
          </w:hyperlink>
        </w:p>
        <w:p w14:paraId="6BD3ABB1" w14:textId="73130A47" w:rsidR="000879FF" w:rsidRPr="00BE7091" w:rsidRDefault="000879FF" w:rsidP="009536B9">
          <w:pPr>
            <w:pStyle w:val="TOC1"/>
            <w:rPr>
              <w:rFonts w:ascii="Arial" w:eastAsiaTheme="minorEastAsia" w:hAnsi="Arial" w:cs="Arial"/>
              <w:kern w:val="2"/>
              <w:sz w:val="22"/>
              <w:szCs w:val="22"/>
              <w14:ligatures w14:val="standardContextual"/>
            </w:rPr>
          </w:pPr>
          <w:hyperlink w:anchor="_Toc240922956" w:history="1">
            <w:r w:rsidRPr="00BE7091">
              <w:rPr>
                <w:rStyle w:val="Hyperlink"/>
                <w:rFonts w:ascii="Arial" w:hAnsi="Arial" w:cs="Arial"/>
                <w:sz w:val="22"/>
                <w:szCs w:val="22"/>
              </w:rPr>
              <w:t>CHAPTER 4 — FINDINGS</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_Toc240922956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30</w:t>
            </w:r>
            <w:r w:rsidRPr="00BE7091">
              <w:rPr>
                <w:rFonts w:ascii="Arial" w:hAnsi="Arial" w:cs="Arial"/>
                <w:webHidden/>
                <w:sz w:val="22"/>
                <w:szCs w:val="22"/>
              </w:rPr>
              <w:fldChar w:fldCharType="end"/>
            </w:r>
          </w:hyperlink>
        </w:p>
        <w:p w14:paraId="326E9060" w14:textId="38CBC6BA"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7" w:history="1">
            <w:r w:rsidRPr="00BE7091">
              <w:rPr>
                <w:rStyle w:val="Hyperlink"/>
                <w:rFonts w:ascii="Arial" w:hAnsi="Arial" w:cs="Arial"/>
                <w:noProof/>
                <w:sz w:val="22"/>
                <w:szCs w:val="22"/>
              </w:rPr>
              <w:t>4.1 Introduction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30</w:t>
            </w:r>
            <w:r w:rsidRPr="00BE7091">
              <w:rPr>
                <w:rFonts w:ascii="Arial" w:hAnsi="Arial" w:cs="Arial"/>
                <w:noProof/>
                <w:webHidden/>
                <w:sz w:val="22"/>
                <w:szCs w:val="22"/>
              </w:rPr>
              <w:fldChar w:fldCharType="end"/>
            </w:r>
          </w:hyperlink>
        </w:p>
        <w:p w14:paraId="56A57C14" w14:textId="5E2269C6"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58" w:history="1">
            <w:r w:rsidRPr="00BE7091">
              <w:rPr>
                <w:rStyle w:val="Hyperlink"/>
                <w:rFonts w:ascii="Arial" w:hAnsi="Arial" w:cs="Arial"/>
                <w:noProof/>
                <w:sz w:val="22"/>
                <w:szCs w:val="22"/>
              </w:rPr>
              <w:t>4.2 Theme 1: GP Registration and Structural Access Barriers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30</w:t>
            </w:r>
            <w:r w:rsidRPr="00BE7091">
              <w:rPr>
                <w:rFonts w:ascii="Arial" w:hAnsi="Arial" w:cs="Arial"/>
                <w:noProof/>
                <w:webHidden/>
                <w:sz w:val="22"/>
                <w:szCs w:val="22"/>
              </w:rPr>
              <w:fldChar w:fldCharType="end"/>
            </w:r>
          </w:hyperlink>
        </w:p>
        <w:p w14:paraId="2595F6DD" w14:textId="22B1CDDB"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59" w:history="1">
            <w:r w:rsidRPr="00BE7091">
              <w:rPr>
                <w:rStyle w:val="Hyperlink"/>
                <w:rFonts w:ascii="Arial" w:hAnsi="Arial" w:cs="Arial"/>
                <w:noProof/>
                <w:sz w:val="22"/>
                <w:szCs w:val="22"/>
              </w:rPr>
              <w:t>4.2.1 Unlawful Documentation Requirements and Registration Refusal</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_Toc240922959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31</w:t>
            </w:r>
            <w:r w:rsidRPr="00BE7091">
              <w:rPr>
                <w:rFonts w:ascii="Arial" w:hAnsi="Arial" w:cs="Arial"/>
                <w:noProof/>
                <w:webHidden/>
                <w:sz w:val="22"/>
                <w:szCs w:val="22"/>
              </w:rPr>
              <w:fldChar w:fldCharType="end"/>
            </w:r>
          </w:hyperlink>
        </w:p>
        <w:p w14:paraId="052C4FD6" w14:textId="3ED76A63"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0" w:history="1">
            <w:r w:rsidRPr="00BE7091">
              <w:rPr>
                <w:rStyle w:val="Hyperlink"/>
                <w:rFonts w:ascii="Arial" w:hAnsi="Arial" w:cs="Arial"/>
                <w:noProof/>
                <w:sz w:val="22"/>
                <w:szCs w:val="22"/>
              </w:rPr>
              <w:t>4.2.2 Impact on Healthcare Utilisation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31</w:t>
            </w:r>
            <w:r w:rsidRPr="00BE7091">
              <w:rPr>
                <w:rFonts w:ascii="Arial" w:hAnsi="Arial" w:cs="Arial"/>
                <w:noProof/>
                <w:webHidden/>
                <w:sz w:val="22"/>
                <w:szCs w:val="22"/>
              </w:rPr>
              <w:fldChar w:fldCharType="end"/>
            </w:r>
          </w:hyperlink>
        </w:p>
        <w:p w14:paraId="0FFF662A" w14:textId="2F56E1C0"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61" w:history="1">
            <w:r w:rsidRPr="00BE7091">
              <w:rPr>
                <w:rStyle w:val="Hyperlink"/>
                <w:rFonts w:ascii="Arial" w:hAnsi="Arial" w:cs="Arial"/>
                <w:noProof/>
                <w:sz w:val="22"/>
                <w:szCs w:val="22"/>
              </w:rPr>
              <w:t>4.3 Theme 2: Stigma, Discrimination, and Institutional Exclusion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32</w:t>
            </w:r>
            <w:r w:rsidRPr="00BE7091">
              <w:rPr>
                <w:rFonts w:ascii="Arial" w:hAnsi="Arial" w:cs="Arial"/>
                <w:noProof/>
                <w:webHidden/>
                <w:sz w:val="22"/>
                <w:szCs w:val="22"/>
              </w:rPr>
              <w:fldChar w:fldCharType="end"/>
            </w:r>
          </w:hyperlink>
        </w:p>
        <w:p w14:paraId="53FF0D2F" w14:textId="3ACDE214"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2" w:history="1">
            <w:r w:rsidRPr="00BE7091">
              <w:rPr>
                <w:rStyle w:val="Hyperlink"/>
                <w:rFonts w:ascii="Arial" w:hAnsi="Arial" w:cs="Arial"/>
                <w:noProof/>
                <w:sz w:val="22"/>
                <w:szCs w:val="22"/>
              </w:rPr>
              <w:t>4.3.1 Healthcare Provider Attitudes and Behaviours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32</w:t>
            </w:r>
            <w:r w:rsidRPr="00BE7091">
              <w:rPr>
                <w:rFonts w:ascii="Arial" w:hAnsi="Arial" w:cs="Arial"/>
                <w:noProof/>
                <w:webHidden/>
                <w:sz w:val="22"/>
                <w:szCs w:val="22"/>
              </w:rPr>
              <w:fldChar w:fldCharType="end"/>
            </w:r>
          </w:hyperlink>
        </w:p>
        <w:p w14:paraId="7AA99931" w14:textId="4CCC5D4C"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3" w:history="1">
            <w:r w:rsidRPr="00BE7091">
              <w:rPr>
                <w:rStyle w:val="Hyperlink"/>
                <w:rFonts w:ascii="Arial" w:hAnsi="Arial" w:cs="Arial"/>
                <w:noProof/>
                <w:sz w:val="22"/>
                <w:szCs w:val="22"/>
              </w:rPr>
              <w:t>4.3.2 Impact on Help-Seeking and Future Engagement</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32</w:t>
            </w:r>
            <w:r w:rsidRPr="00BE7091">
              <w:rPr>
                <w:rFonts w:ascii="Arial" w:hAnsi="Arial" w:cs="Arial"/>
                <w:noProof/>
                <w:webHidden/>
                <w:sz w:val="22"/>
                <w:szCs w:val="22"/>
              </w:rPr>
              <w:fldChar w:fldCharType="end"/>
            </w:r>
          </w:hyperlink>
        </w:p>
        <w:p w14:paraId="5766D3D3" w14:textId="7E15C54B"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64" w:history="1">
            <w:r w:rsidRPr="00BE7091">
              <w:rPr>
                <w:rStyle w:val="Hyperlink"/>
                <w:rFonts w:ascii="Arial" w:hAnsi="Arial" w:cs="Arial"/>
                <w:noProof/>
                <w:sz w:val="22"/>
                <w:szCs w:val="22"/>
              </w:rPr>
              <w:t>4.4 Theme 3: Structural Poverty, Housing Instability, and Individual-Level Barriers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33</w:t>
            </w:r>
            <w:r w:rsidRPr="00BE7091">
              <w:rPr>
                <w:rFonts w:ascii="Arial" w:hAnsi="Arial" w:cs="Arial"/>
                <w:noProof/>
                <w:webHidden/>
                <w:sz w:val="22"/>
                <w:szCs w:val="22"/>
              </w:rPr>
              <w:fldChar w:fldCharType="end"/>
            </w:r>
          </w:hyperlink>
        </w:p>
        <w:p w14:paraId="1ED93C91" w14:textId="09EFECC0"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5" w:history="1">
            <w:r w:rsidRPr="00BE7091">
              <w:rPr>
                <w:rStyle w:val="Hyperlink"/>
                <w:rFonts w:ascii="Arial" w:hAnsi="Arial" w:cs="Arial"/>
                <w:noProof/>
                <w:sz w:val="22"/>
                <w:szCs w:val="22"/>
              </w:rPr>
              <w:t>4.4.1 Structural Poverty and Competing Survival Priorities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_Toc240922965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33</w:t>
            </w:r>
            <w:r w:rsidRPr="00BE7091">
              <w:rPr>
                <w:rFonts w:ascii="Arial" w:hAnsi="Arial" w:cs="Arial"/>
                <w:noProof/>
                <w:webHidden/>
                <w:sz w:val="22"/>
                <w:szCs w:val="22"/>
              </w:rPr>
              <w:fldChar w:fldCharType="end"/>
            </w:r>
          </w:hyperlink>
        </w:p>
        <w:p w14:paraId="0EF54445" w14:textId="3D78EF41"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6" w:history="1">
            <w:r w:rsidRPr="00BE7091">
              <w:rPr>
                <w:rStyle w:val="Hyperlink"/>
                <w:rFonts w:ascii="Arial" w:hAnsi="Arial" w:cs="Arial"/>
                <w:noProof/>
                <w:sz w:val="22"/>
                <w:szCs w:val="22"/>
              </w:rPr>
              <w:t>4.4.2 Tri-Morbidity and Complex Health Need</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_Toc240922966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33</w:t>
            </w:r>
            <w:r w:rsidRPr="00BE7091">
              <w:rPr>
                <w:rFonts w:ascii="Arial" w:hAnsi="Arial" w:cs="Arial"/>
                <w:noProof/>
                <w:webHidden/>
                <w:sz w:val="22"/>
                <w:szCs w:val="22"/>
              </w:rPr>
              <w:fldChar w:fldCharType="end"/>
            </w:r>
          </w:hyperlink>
        </w:p>
        <w:p w14:paraId="7248CA61" w14:textId="276E4E1F"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67" w:history="1">
            <w:r w:rsidRPr="00BE7091">
              <w:rPr>
                <w:rStyle w:val="Hyperlink"/>
                <w:rFonts w:ascii="Arial" w:hAnsi="Arial" w:cs="Arial"/>
                <w:noProof/>
                <w:sz w:val="22"/>
                <w:szCs w:val="22"/>
              </w:rPr>
              <w:t>4.5 Theme 4: Healthcare Policy, Service Design, and COVID-19</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34</w:t>
            </w:r>
            <w:r w:rsidRPr="00BE7091">
              <w:rPr>
                <w:rFonts w:ascii="Arial" w:hAnsi="Arial" w:cs="Arial"/>
                <w:noProof/>
                <w:webHidden/>
                <w:sz w:val="22"/>
                <w:szCs w:val="22"/>
              </w:rPr>
              <w:fldChar w:fldCharType="end"/>
            </w:r>
          </w:hyperlink>
        </w:p>
        <w:p w14:paraId="6D88D7BB" w14:textId="0E30641A"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8" w:history="1">
            <w:r w:rsidRPr="00BE7091">
              <w:rPr>
                <w:rStyle w:val="Hyperlink"/>
                <w:rFonts w:ascii="Arial" w:hAnsi="Arial" w:cs="Arial"/>
                <w:noProof/>
                <w:sz w:val="22"/>
                <w:szCs w:val="22"/>
              </w:rPr>
              <w:t>4.5.1 Service Design and Commissioning Failures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34</w:t>
            </w:r>
            <w:r w:rsidRPr="00BE7091">
              <w:rPr>
                <w:rFonts w:ascii="Arial" w:hAnsi="Arial" w:cs="Arial"/>
                <w:noProof/>
                <w:webHidden/>
                <w:sz w:val="22"/>
                <w:szCs w:val="22"/>
              </w:rPr>
              <w:fldChar w:fldCharType="end"/>
            </w:r>
          </w:hyperlink>
        </w:p>
        <w:p w14:paraId="35C921BC" w14:textId="37931C41"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69" w:history="1">
            <w:r w:rsidRPr="00BE7091">
              <w:rPr>
                <w:rStyle w:val="Hyperlink"/>
                <w:rFonts w:ascii="Arial" w:hAnsi="Arial" w:cs="Arial"/>
                <w:noProof/>
                <w:sz w:val="22"/>
                <w:szCs w:val="22"/>
              </w:rPr>
              <w:t>4.5.2 COVID-19 and Digital Exclusion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_Toc240922969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34</w:t>
            </w:r>
            <w:r w:rsidRPr="00BE7091">
              <w:rPr>
                <w:rFonts w:ascii="Arial" w:hAnsi="Arial" w:cs="Arial"/>
                <w:noProof/>
                <w:webHidden/>
                <w:sz w:val="22"/>
                <w:szCs w:val="22"/>
              </w:rPr>
              <w:fldChar w:fldCharType="end"/>
            </w:r>
          </w:hyperlink>
        </w:p>
        <w:p w14:paraId="00200C6E" w14:textId="629B17D0"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70" w:history="1">
            <w:r w:rsidRPr="00BE7091">
              <w:rPr>
                <w:rStyle w:val="Hyperlink"/>
                <w:rFonts w:ascii="Arial" w:hAnsi="Arial" w:cs="Arial"/>
                <w:noProof/>
                <w:sz w:val="22"/>
                <w:szCs w:val="22"/>
              </w:rPr>
              <w:t>4.6 Theme 5: Health Inequalities, Preventable Mortality, and Evidence Quality</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35</w:t>
            </w:r>
            <w:r w:rsidRPr="00BE7091">
              <w:rPr>
                <w:rFonts w:ascii="Arial" w:hAnsi="Arial" w:cs="Arial"/>
                <w:noProof/>
                <w:webHidden/>
                <w:sz w:val="22"/>
                <w:szCs w:val="22"/>
              </w:rPr>
              <w:fldChar w:fldCharType="end"/>
            </w:r>
          </w:hyperlink>
        </w:p>
        <w:p w14:paraId="68899759" w14:textId="383B6026"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71" w:history="1">
            <w:r w:rsidRPr="00BE7091">
              <w:rPr>
                <w:rStyle w:val="Hyperlink"/>
                <w:rFonts w:ascii="Arial" w:hAnsi="Arial" w:cs="Arial"/>
                <w:noProof/>
                <w:sz w:val="22"/>
                <w:szCs w:val="22"/>
              </w:rPr>
              <w:t>4.6.1 Preventable Mortality and Amenable Deaths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35</w:t>
            </w:r>
            <w:r w:rsidRPr="00BE7091">
              <w:rPr>
                <w:rFonts w:ascii="Arial" w:hAnsi="Arial" w:cs="Arial"/>
                <w:noProof/>
                <w:webHidden/>
                <w:sz w:val="22"/>
                <w:szCs w:val="22"/>
              </w:rPr>
              <w:fldChar w:fldCharType="end"/>
            </w:r>
          </w:hyperlink>
        </w:p>
        <w:p w14:paraId="018024CD" w14:textId="69796147"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72" w:history="1">
            <w:r w:rsidRPr="00BE7091">
              <w:rPr>
                <w:rStyle w:val="Hyperlink"/>
                <w:rFonts w:ascii="Arial" w:hAnsi="Arial" w:cs="Arial"/>
                <w:noProof/>
                <w:sz w:val="22"/>
                <w:szCs w:val="22"/>
              </w:rPr>
              <w:t>4.6.2 Health-Related Quality of Life and Chronic Disease Burden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35</w:t>
            </w:r>
            <w:r w:rsidRPr="00BE7091">
              <w:rPr>
                <w:rFonts w:ascii="Arial" w:hAnsi="Arial" w:cs="Arial"/>
                <w:noProof/>
                <w:webHidden/>
                <w:sz w:val="22"/>
                <w:szCs w:val="22"/>
              </w:rPr>
              <w:fldChar w:fldCharType="end"/>
            </w:r>
          </w:hyperlink>
        </w:p>
        <w:p w14:paraId="2C108AD1" w14:textId="0EAB9D7D" w:rsidR="000879FF" w:rsidRPr="00BE7091" w:rsidRDefault="000879FF" w:rsidP="009536B9">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240922973" w:history="1">
            <w:r w:rsidRPr="00BE7091">
              <w:rPr>
                <w:rStyle w:val="Hyperlink"/>
                <w:rFonts w:ascii="Arial" w:hAnsi="Arial" w:cs="Arial"/>
                <w:noProof/>
                <w:sz w:val="22"/>
                <w:szCs w:val="22"/>
              </w:rPr>
              <w:t>4.6.3 Facilitators and Solutions Identified Across the Included Studies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36</w:t>
            </w:r>
            <w:r w:rsidRPr="00BE7091">
              <w:rPr>
                <w:rFonts w:ascii="Arial" w:hAnsi="Arial" w:cs="Arial"/>
                <w:noProof/>
                <w:webHidden/>
                <w:sz w:val="22"/>
                <w:szCs w:val="22"/>
              </w:rPr>
              <w:fldChar w:fldCharType="end"/>
            </w:r>
          </w:hyperlink>
        </w:p>
        <w:p w14:paraId="11AA2C34" w14:textId="491699FA"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74" w:history="1">
            <w:r w:rsidRPr="00BE7091">
              <w:rPr>
                <w:rStyle w:val="Hyperlink"/>
                <w:rFonts w:ascii="Arial" w:hAnsi="Arial" w:cs="Arial"/>
                <w:noProof/>
                <w:sz w:val="22"/>
                <w:szCs w:val="22"/>
              </w:rPr>
              <w:t>4.7 Summary of Findings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36</w:t>
            </w:r>
            <w:r w:rsidRPr="00BE7091">
              <w:rPr>
                <w:rFonts w:ascii="Arial" w:hAnsi="Arial" w:cs="Arial"/>
                <w:noProof/>
                <w:webHidden/>
                <w:sz w:val="22"/>
                <w:szCs w:val="22"/>
              </w:rPr>
              <w:fldChar w:fldCharType="end"/>
            </w:r>
          </w:hyperlink>
        </w:p>
        <w:p w14:paraId="486E6F50" w14:textId="3089D6D0" w:rsidR="000879FF" w:rsidRPr="00BE7091" w:rsidRDefault="000879FF" w:rsidP="009536B9">
          <w:pPr>
            <w:pStyle w:val="TOC1"/>
            <w:rPr>
              <w:rFonts w:ascii="Arial" w:eastAsiaTheme="minorEastAsia" w:hAnsi="Arial" w:cs="Arial"/>
              <w:kern w:val="2"/>
              <w:sz w:val="22"/>
              <w:szCs w:val="22"/>
              <w14:ligatures w14:val="standardContextual"/>
            </w:rPr>
          </w:pPr>
          <w:hyperlink w:anchor="_Toc240922975" w:history="1">
            <w:r w:rsidRPr="00BE7091">
              <w:rPr>
                <w:rStyle w:val="Hyperlink"/>
                <w:rFonts w:ascii="Arial" w:hAnsi="Arial" w:cs="Arial"/>
                <w:sz w:val="22"/>
                <w:szCs w:val="22"/>
              </w:rPr>
              <w:t>CHAPTER 5 — DISCUSSION</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_Toc240922975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37</w:t>
            </w:r>
            <w:r w:rsidRPr="00BE7091">
              <w:rPr>
                <w:rFonts w:ascii="Arial" w:hAnsi="Arial" w:cs="Arial"/>
                <w:webHidden/>
                <w:sz w:val="22"/>
                <w:szCs w:val="22"/>
              </w:rPr>
              <w:fldChar w:fldCharType="end"/>
            </w:r>
          </w:hyperlink>
        </w:p>
        <w:p w14:paraId="4FB13CE5" w14:textId="2EB2AB5D"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76" w:history="1">
            <w:r w:rsidRPr="00BE7091">
              <w:rPr>
                <w:rStyle w:val="Hyperlink"/>
                <w:rFonts w:ascii="Arial" w:hAnsi="Arial" w:cs="Arial"/>
                <w:noProof/>
                <w:sz w:val="22"/>
                <w:szCs w:val="22"/>
              </w:rPr>
              <w:t>5.1 Introduction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_Toc240922976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37</w:t>
            </w:r>
            <w:r w:rsidRPr="00BE7091">
              <w:rPr>
                <w:rFonts w:ascii="Arial" w:hAnsi="Arial" w:cs="Arial"/>
                <w:noProof/>
                <w:webHidden/>
                <w:sz w:val="22"/>
                <w:szCs w:val="22"/>
              </w:rPr>
              <w:fldChar w:fldCharType="end"/>
            </w:r>
          </w:hyperlink>
        </w:p>
        <w:p w14:paraId="5D7A03D7" w14:textId="7F240B9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77" w:history="1">
            <w:r w:rsidRPr="00BE7091">
              <w:rPr>
                <w:rStyle w:val="Hyperlink"/>
                <w:rFonts w:ascii="Arial" w:hAnsi="Arial" w:cs="Arial"/>
                <w:noProof/>
                <w:sz w:val="22"/>
                <w:szCs w:val="22"/>
              </w:rPr>
              <w:t>5.2 Discussion of Theme 1: GP Registration and Structural Access Barriers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37</w:t>
            </w:r>
            <w:r w:rsidRPr="00BE7091">
              <w:rPr>
                <w:rFonts w:ascii="Arial" w:hAnsi="Arial" w:cs="Arial"/>
                <w:noProof/>
                <w:webHidden/>
                <w:sz w:val="22"/>
                <w:szCs w:val="22"/>
              </w:rPr>
              <w:fldChar w:fldCharType="end"/>
            </w:r>
          </w:hyperlink>
        </w:p>
        <w:p w14:paraId="2CF24977" w14:textId="31168BBE"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78" w:history="1">
            <w:r w:rsidRPr="00BE7091">
              <w:rPr>
                <w:rStyle w:val="Hyperlink"/>
                <w:rFonts w:ascii="Arial" w:hAnsi="Arial" w:cs="Arial"/>
                <w:noProof/>
                <w:sz w:val="22"/>
                <w:szCs w:val="22"/>
              </w:rPr>
              <w:t>5.3 Discussion of Theme 2: Stigma, Discrimination, and Institutional Exclusion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38</w:t>
            </w:r>
            <w:r w:rsidRPr="00BE7091">
              <w:rPr>
                <w:rFonts w:ascii="Arial" w:hAnsi="Arial" w:cs="Arial"/>
                <w:noProof/>
                <w:webHidden/>
                <w:sz w:val="22"/>
                <w:szCs w:val="22"/>
              </w:rPr>
              <w:fldChar w:fldCharType="end"/>
            </w:r>
          </w:hyperlink>
        </w:p>
        <w:p w14:paraId="65F92575" w14:textId="7A77811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79" w:history="1">
            <w:r w:rsidRPr="00BE7091">
              <w:rPr>
                <w:rStyle w:val="Hyperlink"/>
                <w:rFonts w:ascii="Arial" w:hAnsi="Arial" w:cs="Arial"/>
                <w:noProof/>
                <w:sz w:val="22"/>
                <w:szCs w:val="22"/>
              </w:rPr>
              <w:t>5.4 Discussion of Theme 3: Structural Poverty, Housing Instability, and Individual Barriers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_Toc240922979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38</w:t>
            </w:r>
            <w:r w:rsidRPr="00BE7091">
              <w:rPr>
                <w:rFonts w:ascii="Arial" w:hAnsi="Arial" w:cs="Arial"/>
                <w:noProof/>
                <w:webHidden/>
                <w:sz w:val="22"/>
                <w:szCs w:val="22"/>
              </w:rPr>
              <w:fldChar w:fldCharType="end"/>
            </w:r>
          </w:hyperlink>
        </w:p>
        <w:p w14:paraId="221EE16E" w14:textId="3DC48338"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0" w:history="1">
            <w:r w:rsidRPr="00BE7091">
              <w:rPr>
                <w:rStyle w:val="Hyperlink"/>
                <w:rFonts w:ascii="Arial" w:hAnsi="Arial" w:cs="Arial"/>
                <w:noProof/>
                <w:sz w:val="22"/>
                <w:szCs w:val="22"/>
              </w:rPr>
              <w:t>5.5 Discussion of Theme 4: Healthcare Policy, Service Design, and COVID-19</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39</w:t>
            </w:r>
            <w:r w:rsidRPr="00BE7091">
              <w:rPr>
                <w:rFonts w:ascii="Arial" w:hAnsi="Arial" w:cs="Arial"/>
                <w:noProof/>
                <w:webHidden/>
                <w:sz w:val="22"/>
                <w:szCs w:val="22"/>
              </w:rPr>
              <w:fldChar w:fldCharType="end"/>
            </w:r>
          </w:hyperlink>
        </w:p>
        <w:p w14:paraId="15BB1055" w14:textId="4B403224"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1" w:history="1">
            <w:r w:rsidRPr="00BE7091">
              <w:rPr>
                <w:rStyle w:val="Hyperlink"/>
                <w:rFonts w:ascii="Arial" w:hAnsi="Arial" w:cs="Arial"/>
                <w:noProof/>
                <w:sz w:val="22"/>
                <w:szCs w:val="22"/>
              </w:rPr>
              <w:t>5.6 Discussion of Theme 5: Health Inequalities, Preventable Mortality, and Evidence Quality</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40</w:t>
            </w:r>
            <w:r w:rsidRPr="00BE7091">
              <w:rPr>
                <w:rFonts w:ascii="Arial" w:hAnsi="Arial" w:cs="Arial"/>
                <w:noProof/>
                <w:webHidden/>
                <w:sz w:val="22"/>
                <w:szCs w:val="22"/>
              </w:rPr>
              <w:fldChar w:fldCharType="end"/>
            </w:r>
          </w:hyperlink>
        </w:p>
        <w:p w14:paraId="446E386A" w14:textId="48067949"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2" w:history="1">
            <w:r w:rsidRPr="00BE7091">
              <w:rPr>
                <w:rStyle w:val="Hyperlink"/>
                <w:rFonts w:ascii="Arial" w:hAnsi="Arial" w:cs="Arial"/>
                <w:noProof/>
                <w:sz w:val="22"/>
                <w:szCs w:val="22"/>
              </w:rPr>
              <w:t>5.7 Application of Theoretical Frameworks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41</w:t>
            </w:r>
            <w:r w:rsidRPr="00BE7091">
              <w:rPr>
                <w:rFonts w:ascii="Arial" w:hAnsi="Arial" w:cs="Arial"/>
                <w:noProof/>
                <w:webHidden/>
                <w:sz w:val="22"/>
                <w:szCs w:val="22"/>
              </w:rPr>
              <w:fldChar w:fldCharType="end"/>
            </w:r>
          </w:hyperlink>
        </w:p>
        <w:p w14:paraId="53770270" w14:textId="301A84EC"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3" w:history="1">
            <w:r w:rsidRPr="00BE7091">
              <w:rPr>
                <w:rStyle w:val="Hyperlink"/>
                <w:rFonts w:ascii="Arial" w:hAnsi="Arial" w:cs="Arial"/>
                <w:noProof/>
                <w:sz w:val="22"/>
                <w:szCs w:val="22"/>
              </w:rPr>
              <w:t>5.8 Policy and Practice Implications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41</w:t>
            </w:r>
            <w:r w:rsidRPr="00BE7091">
              <w:rPr>
                <w:rFonts w:ascii="Arial" w:hAnsi="Arial" w:cs="Arial"/>
                <w:noProof/>
                <w:webHidden/>
                <w:sz w:val="22"/>
                <w:szCs w:val="22"/>
              </w:rPr>
              <w:fldChar w:fldCharType="end"/>
            </w:r>
          </w:hyperlink>
        </w:p>
        <w:p w14:paraId="17A56AEA" w14:textId="07E42D4C"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4" w:history="1">
            <w:r w:rsidRPr="00BE7091">
              <w:rPr>
                <w:rStyle w:val="Hyperlink"/>
                <w:rFonts w:ascii="Arial" w:hAnsi="Arial" w:cs="Arial"/>
                <w:noProof/>
                <w:sz w:val="22"/>
                <w:szCs w:val="22"/>
              </w:rPr>
              <w:t>5.9 Limitations of the Review</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42</w:t>
            </w:r>
            <w:r w:rsidRPr="00BE7091">
              <w:rPr>
                <w:rFonts w:ascii="Arial" w:hAnsi="Arial" w:cs="Arial"/>
                <w:noProof/>
                <w:webHidden/>
                <w:sz w:val="22"/>
                <w:szCs w:val="22"/>
              </w:rPr>
              <w:fldChar w:fldCharType="end"/>
            </w:r>
          </w:hyperlink>
        </w:p>
        <w:p w14:paraId="40035FE2" w14:textId="2B5111F6"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5" w:history="1">
            <w:r w:rsidRPr="00BE7091">
              <w:rPr>
                <w:rStyle w:val="Hyperlink"/>
                <w:rFonts w:ascii="Arial" w:hAnsi="Arial" w:cs="Arial"/>
                <w:noProof/>
                <w:sz w:val="22"/>
                <w:szCs w:val="22"/>
              </w:rPr>
              <w:t>5.10 Chapter Summary</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_Toc240922985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43</w:t>
            </w:r>
            <w:r w:rsidRPr="00BE7091">
              <w:rPr>
                <w:rFonts w:ascii="Arial" w:hAnsi="Arial" w:cs="Arial"/>
                <w:noProof/>
                <w:webHidden/>
                <w:sz w:val="22"/>
                <w:szCs w:val="22"/>
              </w:rPr>
              <w:fldChar w:fldCharType="end"/>
            </w:r>
          </w:hyperlink>
        </w:p>
        <w:p w14:paraId="5C8248E0" w14:textId="1D671B81" w:rsidR="000879FF" w:rsidRPr="00BE7091" w:rsidRDefault="000879FF" w:rsidP="009536B9">
          <w:pPr>
            <w:pStyle w:val="TOC1"/>
            <w:rPr>
              <w:rFonts w:ascii="Arial" w:eastAsiaTheme="minorEastAsia" w:hAnsi="Arial" w:cs="Arial"/>
              <w:kern w:val="2"/>
              <w:sz w:val="22"/>
              <w:szCs w:val="22"/>
              <w14:ligatures w14:val="standardContextual"/>
            </w:rPr>
          </w:pPr>
          <w:hyperlink w:anchor="_Toc240922986" w:history="1">
            <w:r w:rsidRPr="00BE7091">
              <w:rPr>
                <w:rStyle w:val="Hyperlink"/>
                <w:rFonts w:ascii="Arial" w:hAnsi="Arial" w:cs="Arial"/>
                <w:sz w:val="22"/>
                <w:szCs w:val="22"/>
              </w:rPr>
              <w:t>CHAPTER 6 — CONCLUSION AND RECOMMENDATIONS</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_Toc240922986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44</w:t>
            </w:r>
            <w:r w:rsidRPr="00BE7091">
              <w:rPr>
                <w:rFonts w:ascii="Arial" w:hAnsi="Arial" w:cs="Arial"/>
                <w:webHidden/>
                <w:sz w:val="22"/>
                <w:szCs w:val="22"/>
              </w:rPr>
              <w:fldChar w:fldCharType="end"/>
            </w:r>
          </w:hyperlink>
        </w:p>
        <w:p w14:paraId="0D32A92C" w14:textId="67B5C637"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7" w:history="1">
            <w:r w:rsidRPr="00BE7091">
              <w:rPr>
                <w:rStyle w:val="Hyperlink"/>
                <w:rFonts w:ascii="Arial" w:hAnsi="Arial" w:cs="Arial"/>
                <w:noProof/>
                <w:sz w:val="22"/>
                <w:szCs w:val="22"/>
              </w:rPr>
              <w:t>6.1 Summary of Key Findings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_Toc240922987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44</w:t>
            </w:r>
            <w:r w:rsidRPr="00BE7091">
              <w:rPr>
                <w:rFonts w:ascii="Arial" w:hAnsi="Arial" w:cs="Arial"/>
                <w:noProof/>
                <w:webHidden/>
                <w:sz w:val="22"/>
                <w:szCs w:val="22"/>
              </w:rPr>
              <w:fldChar w:fldCharType="end"/>
            </w:r>
          </w:hyperlink>
        </w:p>
        <w:p w14:paraId="6B90B0C2" w14:textId="1F08A2E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8" w:history="1">
            <w:r w:rsidRPr="00BE7091">
              <w:rPr>
                <w:rStyle w:val="Hyperlink"/>
                <w:rFonts w:ascii="Arial" w:hAnsi="Arial" w:cs="Arial"/>
                <w:noProof/>
                <w:sz w:val="22"/>
                <w:szCs w:val="22"/>
              </w:rPr>
              <w:t>6.2 Answering the Research Question</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_Toc240922988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44</w:t>
            </w:r>
            <w:r w:rsidRPr="00BE7091">
              <w:rPr>
                <w:rFonts w:ascii="Arial" w:hAnsi="Arial" w:cs="Arial"/>
                <w:noProof/>
                <w:webHidden/>
                <w:sz w:val="22"/>
                <w:szCs w:val="22"/>
              </w:rPr>
              <w:fldChar w:fldCharType="end"/>
            </w:r>
          </w:hyperlink>
        </w:p>
        <w:p w14:paraId="28D9F006" w14:textId="3D9A3590"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89" w:history="1">
            <w:r w:rsidRPr="00BE7091">
              <w:rPr>
                <w:rStyle w:val="Hyperlink"/>
                <w:rFonts w:ascii="Arial" w:hAnsi="Arial" w:cs="Arial"/>
                <w:noProof/>
                <w:sz w:val="22"/>
                <w:szCs w:val="22"/>
              </w:rPr>
              <w:t>6.3 Recommendations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_Toc240922989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45</w:t>
            </w:r>
            <w:r w:rsidRPr="00BE7091">
              <w:rPr>
                <w:rFonts w:ascii="Arial" w:hAnsi="Arial" w:cs="Arial"/>
                <w:noProof/>
                <w:webHidden/>
                <w:sz w:val="22"/>
                <w:szCs w:val="22"/>
              </w:rPr>
              <w:fldChar w:fldCharType="end"/>
            </w:r>
          </w:hyperlink>
        </w:p>
        <w:p w14:paraId="4BD9DF3C" w14:textId="3E8AEDD5"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90" w:history="1">
            <w:r w:rsidRPr="00BE7091">
              <w:rPr>
                <w:rStyle w:val="Hyperlink"/>
                <w:rFonts w:ascii="Arial" w:hAnsi="Arial" w:cs="Arial"/>
                <w:noProof/>
                <w:sz w:val="22"/>
                <w:szCs w:val="22"/>
              </w:rPr>
              <w:t>6.4 Limitations of the Review</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_Toc240922990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46</w:t>
            </w:r>
            <w:r w:rsidRPr="00BE7091">
              <w:rPr>
                <w:rFonts w:ascii="Arial" w:hAnsi="Arial" w:cs="Arial"/>
                <w:noProof/>
                <w:webHidden/>
                <w:sz w:val="22"/>
                <w:szCs w:val="22"/>
              </w:rPr>
              <w:fldChar w:fldCharType="end"/>
            </w:r>
          </w:hyperlink>
        </w:p>
        <w:p w14:paraId="0055DE76" w14:textId="48752396"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91" w:history="1">
            <w:r w:rsidRPr="00BE7091">
              <w:rPr>
                <w:rStyle w:val="Hyperlink"/>
                <w:rFonts w:ascii="Arial" w:hAnsi="Arial" w:cs="Arial"/>
                <w:noProof/>
                <w:sz w:val="22"/>
                <w:szCs w:val="22"/>
              </w:rPr>
              <w:t>6.5 Future Research Directions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_Toc240922991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46</w:t>
            </w:r>
            <w:r w:rsidRPr="00BE7091">
              <w:rPr>
                <w:rFonts w:ascii="Arial" w:hAnsi="Arial" w:cs="Arial"/>
                <w:noProof/>
                <w:webHidden/>
                <w:sz w:val="22"/>
                <w:szCs w:val="22"/>
              </w:rPr>
              <w:fldChar w:fldCharType="end"/>
            </w:r>
          </w:hyperlink>
        </w:p>
        <w:p w14:paraId="79440A4A" w14:textId="0AC32DC3"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92" w:history="1">
            <w:r w:rsidRPr="00BE7091">
              <w:rPr>
                <w:rStyle w:val="Hyperlink"/>
                <w:rFonts w:ascii="Arial" w:hAnsi="Arial" w:cs="Arial"/>
                <w:noProof/>
                <w:sz w:val="22"/>
                <w:szCs w:val="22"/>
              </w:rPr>
              <w:t>6.6 Critical Reflection on Learning and Development</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_Toc240922992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46</w:t>
            </w:r>
            <w:r w:rsidRPr="00BE7091">
              <w:rPr>
                <w:rFonts w:ascii="Arial" w:hAnsi="Arial" w:cs="Arial"/>
                <w:noProof/>
                <w:webHidden/>
                <w:sz w:val="22"/>
                <w:szCs w:val="22"/>
              </w:rPr>
              <w:fldChar w:fldCharType="end"/>
            </w:r>
          </w:hyperlink>
        </w:p>
        <w:p w14:paraId="424BA648" w14:textId="4691C421" w:rsidR="000879FF" w:rsidRPr="00BE7091" w:rsidRDefault="000879FF" w:rsidP="009536B9">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40922993" w:history="1">
            <w:r w:rsidRPr="00BE7091">
              <w:rPr>
                <w:rStyle w:val="Hyperlink"/>
                <w:rFonts w:ascii="Arial" w:hAnsi="Arial" w:cs="Arial"/>
                <w:noProof/>
                <w:sz w:val="22"/>
                <w:szCs w:val="22"/>
              </w:rPr>
              <w:t>6.7 Concluding Statement</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_Toc240922993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47</w:t>
            </w:r>
            <w:r w:rsidRPr="00BE7091">
              <w:rPr>
                <w:rFonts w:ascii="Arial" w:hAnsi="Arial" w:cs="Arial"/>
                <w:noProof/>
                <w:webHidden/>
                <w:sz w:val="22"/>
                <w:szCs w:val="22"/>
              </w:rPr>
              <w:fldChar w:fldCharType="end"/>
            </w:r>
          </w:hyperlink>
        </w:p>
        <w:p w14:paraId="6B36E182" w14:textId="668FC590" w:rsidR="000879FF" w:rsidRPr="00BE7091" w:rsidRDefault="000879FF" w:rsidP="009536B9">
          <w:pPr>
            <w:pStyle w:val="TOC1"/>
            <w:rPr>
              <w:rFonts w:ascii="Arial" w:eastAsiaTheme="minorEastAsia" w:hAnsi="Arial" w:cs="Arial"/>
              <w:kern w:val="2"/>
              <w:sz w:val="22"/>
              <w:szCs w:val="22"/>
              <w14:ligatures w14:val="standardContextual"/>
            </w:rPr>
          </w:pPr>
          <w:hyperlink w:anchor="_Toc240922994" w:history="1">
            <w:r w:rsidRPr="00BE7091">
              <w:rPr>
                <w:rStyle w:val="Hyperlink"/>
                <w:rFonts w:ascii="Arial" w:hAnsi="Arial" w:cs="Arial"/>
                <w:sz w:val="22"/>
                <w:szCs w:val="22"/>
              </w:rPr>
              <w:t>REFERENCE LIST</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_Toc240922994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48</w:t>
            </w:r>
            <w:r w:rsidRPr="00BE7091">
              <w:rPr>
                <w:rFonts w:ascii="Arial" w:hAnsi="Arial" w:cs="Arial"/>
                <w:webHidden/>
                <w:sz w:val="22"/>
                <w:szCs w:val="22"/>
              </w:rPr>
              <w:fldChar w:fldCharType="end"/>
            </w:r>
          </w:hyperlink>
        </w:p>
        <w:p w14:paraId="337631C3" w14:textId="3206C4A4" w:rsidR="000879FF" w:rsidRPr="00BE7091" w:rsidRDefault="000879FF" w:rsidP="009536B9">
          <w:pPr>
            <w:pStyle w:val="TOC1"/>
            <w:rPr>
              <w:rFonts w:ascii="Arial" w:eastAsiaTheme="minorEastAsia" w:hAnsi="Arial" w:cs="Arial"/>
              <w:kern w:val="2"/>
              <w:sz w:val="22"/>
              <w:szCs w:val="22"/>
              <w14:ligatures w14:val="standardContextual"/>
            </w:rPr>
          </w:pPr>
          <w:hyperlink w:anchor="_Toc240922995" w:history="1">
            <w:r w:rsidRPr="00BE7091">
              <w:rPr>
                <w:rStyle w:val="Hyperlink"/>
                <w:rFonts w:ascii="Arial" w:hAnsi="Arial" w:cs="Arial"/>
                <w:sz w:val="22"/>
                <w:szCs w:val="22"/>
              </w:rPr>
              <w:t>APPENDIX A — PRISMA 2020 Flow Diagram</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_Toc240922995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56</w:t>
            </w:r>
            <w:r w:rsidRPr="00BE7091">
              <w:rPr>
                <w:rFonts w:ascii="Arial" w:hAnsi="Arial" w:cs="Arial"/>
                <w:webHidden/>
                <w:sz w:val="22"/>
                <w:szCs w:val="22"/>
              </w:rPr>
              <w:fldChar w:fldCharType="end"/>
            </w:r>
          </w:hyperlink>
        </w:p>
        <w:p w14:paraId="585FD14B" w14:textId="4774B776" w:rsidR="000879FF" w:rsidRPr="00BE7091" w:rsidRDefault="000879FF" w:rsidP="009536B9">
          <w:pPr>
            <w:pStyle w:val="TOC1"/>
            <w:rPr>
              <w:rFonts w:ascii="Arial" w:eastAsiaTheme="minorEastAsia" w:hAnsi="Arial" w:cs="Arial"/>
              <w:kern w:val="2"/>
              <w:sz w:val="22"/>
              <w:szCs w:val="22"/>
              <w14:ligatures w14:val="standardContextual"/>
            </w:rPr>
          </w:pPr>
          <w:hyperlink w:anchor="_Toc240922996" w:history="1">
            <w:r w:rsidRPr="00BE7091">
              <w:rPr>
                <w:rStyle w:val="Hyperlink"/>
                <w:rFonts w:ascii="Arial" w:hAnsi="Arial" w:cs="Arial"/>
                <w:sz w:val="22"/>
                <w:szCs w:val="22"/>
              </w:rPr>
              <w:t>APPENDIX B — Included Studies Table</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_Toc240922996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57</w:t>
            </w:r>
            <w:r w:rsidRPr="00BE7091">
              <w:rPr>
                <w:rFonts w:ascii="Arial" w:hAnsi="Arial" w:cs="Arial"/>
                <w:webHidden/>
                <w:sz w:val="22"/>
                <w:szCs w:val="22"/>
              </w:rPr>
              <w:fldChar w:fldCharType="end"/>
            </w:r>
          </w:hyperlink>
        </w:p>
        <w:p w14:paraId="6EED00B6" w14:textId="350FEAD3" w:rsidR="000879FF" w:rsidRPr="00BE7091" w:rsidRDefault="000879FF" w:rsidP="009536B9">
          <w:pPr>
            <w:pStyle w:val="TOC1"/>
            <w:rPr>
              <w:rFonts w:ascii="Arial" w:eastAsiaTheme="minorEastAsia" w:hAnsi="Arial" w:cs="Arial"/>
              <w:kern w:val="2"/>
              <w:sz w:val="22"/>
              <w:szCs w:val="22"/>
              <w14:ligatures w14:val="standardContextual"/>
            </w:rPr>
          </w:pPr>
          <w:hyperlink w:anchor="_Toc240922997" w:history="1">
            <w:r w:rsidRPr="00BE7091">
              <w:rPr>
                <w:rStyle w:val="Hyperlink"/>
                <w:rFonts w:ascii="Arial" w:hAnsi="Arial" w:cs="Arial"/>
                <w:sz w:val="22"/>
                <w:szCs w:val="22"/>
              </w:rPr>
              <w:t>APPENDIX C — Data Extraction Table: 15 Included Studies</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_Toc240922997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61</w:t>
            </w:r>
            <w:r w:rsidRPr="00BE7091">
              <w:rPr>
                <w:rFonts w:ascii="Arial" w:hAnsi="Arial" w:cs="Arial"/>
                <w:webHidden/>
                <w:sz w:val="22"/>
                <w:szCs w:val="22"/>
              </w:rPr>
              <w:fldChar w:fldCharType="end"/>
            </w:r>
          </w:hyperlink>
        </w:p>
        <w:p w14:paraId="1541377D" w14:textId="000C55F9" w:rsidR="000879FF" w:rsidRPr="00BE7091" w:rsidRDefault="000879FF" w:rsidP="009536B9">
          <w:pPr>
            <w:pStyle w:val="TOC1"/>
            <w:rPr>
              <w:rFonts w:ascii="Arial" w:eastAsiaTheme="minorEastAsia" w:hAnsi="Arial" w:cs="Arial"/>
              <w:kern w:val="2"/>
              <w:sz w:val="22"/>
              <w:szCs w:val="22"/>
              <w14:ligatures w14:val="standardContextual"/>
            </w:rPr>
          </w:pPr>
          <w:hyperlink w:anchor="_Toc240922998" w:history="1">
            <w:r w:rsidRPr="00BE7091">
              <w:rPr>
                <w:rStyle w:val="Hyperlink"/>
                <w:rFonts w:ascii="Arial" w:hAnsi="Arial" w:cs="Arial"/>
                <w:sz w:val="22"/>
                <w:szCs w:val="22"/>
              </w:rPr>
              <w:t>APPENDIX D — Quality Appraisal Tables</w:t>
            </w:r>
            <w:r w:rsidRPr="00BE7091">
              <w:rPr>
                <w:rFonts w:ascii="Arial" w:hAnsi="Arial" w:cs="Arial"/>
                <w:webHidden/>
                <w:sz w:val="22"/>
                <w:szCs w:val="22"/>
              </w:rPr>
              <w:tab/>
            </w:r>
            <w:r w:rsidRPr="00BE7091">
              <w:rPr>
                <w:rFonts w:ascii="Arial" w:hAnsi="Arial" w:cs="Arial"/>
                <w:webHidden/>
                <w:sz w:val="22"/>
                <w:szCs w:val="22"/>
              </w:rPr>
              <w:fldChar w:fldCharType="begin"/>
            </w:r>
            <w:r w:rsidRPr="00BE7091">
              <w:rPr>
                <w:rFonts w:ascii="Arial" w:hAnsi="Arial" w:cs="Arial"/>
                <w:webHidden/>
                <w:sz w:val="22"/>
                <w:szCs w:val="22"/>
              </w:rPr>
              <w:instrText xml:space="preserve"> PAGEREF _Toc240922998 \h </w:instrText>
            </w:r>
            <w:r w:rsidRPr="00BE7091">
              <w:rPr>
                <w:rFonts w:ascii="Arial" w:hAnsi="Arial" w:cs="Arial"/>
                <w:webHidden/>
                <w:sz w:val="22"/>
                <w:szCs w:val="22"/>
              </w:rPr>
            </w:r>
            <w:r w:rsidRPr="00BE7091">
              <w:rPr>
                <w:rFonts w:ascii="Arial" w:hAnsi="Arial" w:cs="Arial"/>
                <w:webHidden/>
                <w:sz w:val="22"/>
                <w:szCs w:val="22"/>
              </w:rPr>
              <w:fldChar w:fldCharType="separate"/>
            </w:r>
            <w:r w:rsidRPr="00BE7091">
              <w:rPr>
                <w:rFonts w:ascii="Arial" w:hAnsi="Arial" w:cs="Arial"/>
                <w:webHidden/>
                <w:sz w:val="22"/>
                <w:szCs w:val="22"/>
              </w:rPr>
              <w:t>64</w:t>
            </w:r>
            <w:r w:rsidRPr="00BE7091">
              <w:rPr>
                <w:rFonts w:ascii="Arial" w:hAnsi="Arial" w:cs="Arial"/>
                <w:webHidden/>
                <w:sz w:val="22"/>
                <w:szCs w:val="22"/>
              </w:rPr>
              <w:fldChar w:fldCharType="end"/>
            </w:r>
          </w:hyperlink>
        </w:p>
        <w:p w14:paraId="09E11A48" w14:textId="01FA6325" w:rsidR="008452C0" w:rsidRPr="00BE7091" w:rsidRDefault="008452C0" w:rsidP="009536B9">
          <w:pPr>
            <w:spacing w:line="360" w:lineRule="auto"/>
            <w:rPr>
              <w:rFonts w:ascii="Arial" w:hAnsi="Arial" w:cs="Arial"/>
              <w:sz w:val="22"/>
              <w:szCs w:val="22"/>
            </w:rPr>
          </w:pPr>
          <w:r w:rsidRPr="00BE7091">
            <w:rPr>
              <w:rFonts w:ascii="Arial" w:hAnsi="Arial" w:cs="Arial"/>
              <w:b/>
              <w:bCs/>
              <w:noProof/>
              <w:sz w:val="22"/>
              <w:szCs w:val="22"/>
            </w:rPr>
            <w:fldChar w:fldCharType="end"/>
          </w:r>
        </w:p>
      </w:sdtContent>
    </w:sdt>
    <w:p w14:paraId="7DFBC54D" w14:textId="77777777" w:rsidR="002F272E" w:rsidRPr="00BE7091" w:rsidRDefault="002F272E">
      <w:pPr>
        <w:spacing w:after="160" w:line="259" w:lineRule="auto"/>
        <w:rPr>
          <w:rFonts w:ascii="Arial" w:hAnsi="Arial" w:cs="Arial"/>
          <w:sz w:val="22"/>
          <w:szCs w:val="22"/>
        </w:rPr>
      </w:pPr>
      <w:r w:rsidRPr="00BE7091">
        <w:rPr>
          <w:rFonts w:ascii="Arial" w:hAnsi="Arial" w:cs="Arial"/>
          <w:sz w:val="22"/>
          <w:szCs w:val="22"/>
        </w:rPr>
        <w:br w:type="page"/>
      </w:r>
    </w:p>
    <w:p w14:paraId="21C10EA5" w14:textId="77777777" w:rsidR="003B7774" w:rsidRPr="00BE7091" w:rsidRDefault="003B7774">
      <w:pPr>
        <w:spacing w:after="160" w:line="259" w:lineRule="auto"/>
        <w:rPr>
          <w:rStyle w:val="Heading1Char"/>
          <w:sz w:val="22"/>
          <w:szCs w:val="22"/>
        </w:rPr>
      </w:pPr>
      <w:bookmarkStart w:id="1" w:name="_Toc240922924"/>
      <w:r w:rsidRPr="00BE7091">
        <w:rPr>
          <w:rStyle w:val="Heading1Char"/>
          <w:sz w:val="22"/>
          <w:szCs w:val="22"/>
        </w:rPr>
        <w:t>List of figures</w:t>
      </w:r>
    </w:p>
    <w:p w14:paraId="28BC3C68" w14:textId="14B5E4A3" w:rsidR="003B7774" w:rsidRPr="00BE7091" w:rsidRDefault="003B7774" w:rsidP="00BE7091">
      <w:pPr>
        <w:pStyle w:val="TableofFigures"/>
        <w:tabs>
          <w:tab w:val="right" w:leader="dot" w:pos="9016"/>
        </w:tabs>
        <w:spacing w:line="360" w:lineRule="auto"/>
        <w:rPr>
          <w:rFonts w:ascii="Arial" w:hAnsi="Arial" w:cs="Arial"/>
          <w:noProof/>
          <w:sz w:val="22"/>
          <w:szCs w:val="22"/>
        </w:rPr>
      </w:pPr>
      <w:r w:rsidRPr="00BE7091">
        <w:rPr>
          <w:rStyle w:val="Heading1Char"/>
          <w:sz w:val="22"/>
          <w:szCs w:val="22"/>
        </w:rPr>
        <w:fldChar w:fldCharType="begin"/>
      </w:r>
      <w:r w:rsidRPr="00BE7091">
        <w:rPr>
          <w:rStyle w:val="Heading1Char"/>
          <w:sz w:val="22"/>
          <w:szCs w:val="22"/>
        </w:rPr>
        <w:instrText xml:space="preserve"> TOC \h \z \c "Figure" </w:instrText>
      </w:r>
      <w:r w:rsidRPr="00BE7091">
        <w:rPr>
          <w:rStyle w:val="Heading1Char"/>
          <w:sz w:val="22"/>
          <w:szCs w:val="22"/>
        </w:rPr>
        <w:fldChar w:fldCharType="separate"/>
      </w:r>
      <w:hyperlink w:anchor="_Toc241030462" w:history="1">
        <w:r w:rsidRPr="00BE7091">
          <w:rPr>
            <w:rStyle w:val="Hyperlink"/>
            <w:rFonts w:ascii="Arial" w:hAnsi="Arial" w:cs="Arial"/>
            <w:noProof/>
            <w:sz w:val="22"/>
            <w:szCs w:val="22"/>
          </w:rPr>
          <w:t>Figure 1: Key statistics on homelessness and health in England. Sources: Watts-Cobbe et al. (2025); Aldridge et al. (2018); ONS (2022); Gutwinski et al. (2021); Aldridge et al. (2019); Homeless Link (2022).</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_Toc241030462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13</w:t>
        </w:r>
        <w:r w:rsidRPr="00BE7091">
          <w:rPr>
            <w:rFonts w:ascii="Arial" w:hAnsi="Arial" w:cs="Arial"/>
            <w:noProof/>
            <w:webHidden/>
            <w:sz w:val="22"/>
            <w:szCs w:val="22"/>
          </w:rPr>
          <w:fldChar w:fldCharType="end"/>
        </w:r>
      </w:hyperlink>
    </w:p>
    <w:p w14:paraId="58662990" w14:textId="11191EB1" w:rsidR="003B7774" w:rsidRPr="00BE7091" w:rsidRDefault="003B7774" w:rsidP="00BE7091">
      <w:pPr>
        <w:pStyle w:val="TableofFigures"/>
        <w:tabs>
          <w:tab w:val="right" w:leader="dot" w:pos="9016"/>
        </w:tabs>
        <w:spacing w:line="360" w:lineRule="auto"/>
        <w:rPr>
          <w:rFonts w:ascii="Arial" w:hAnsi="Arial" w:cs="Arial"/>
          <w:noProof/>
          <w:sz w:val="22"/>
          <w:szCs w:val="22"/>
        </w:rPr>
      </w:pPr>
      <w:hyperlink w:anchor="_Toc241030463" w:history="1">
        <w:r w:rsidRPr="00BE7091">
          <w:rPr>
            <w:rStyle w:val="Hyperlink"/>
            <w:rFonts w:ascii="Arial" w:hAnsi="Arial" w:cs="Arial"/>
            <w:noProof/>
            <w:sz w:val="22"/>
            <w:szCs w:val="22"/>
          </w:rPr>
          <w:t>Figure 2: PRISMA 2020 flow diagram illustrating the study selection process (Page et al., 2021).</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_Toc241030463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31</w:t>
        </w:r>
        <w:r w:rsidRPr="00BE7091">
          <w:rPr>
            <w:rFonts w:ascii="Arial" w:hAnsi="Arial" w:cs="Arial"/>
            <w:noProof/>
            <w:webHidden/>
            <w:sz w:val="22"/>
            <w:szCs w:val="22"/>
          </w:rPr>
          <w:fldChar w:fldCharType="end"/>
        </w:r>
      </w:hyperlink>
    </w:p>
    <w:p w14:paraId="1CEB10EB" w14:textId="62555399" w:rsidR="003B7774" w:rsidRPr="00BE7091" w:rsidRDefault="003B7774" w:rsidP="00BE7091">
      <w:pPr>
        <w:spacing w:after="160" w:line="360" w:lineRule="auto"/>
        <w:rPr>
          <w:rStyle w:val="Heading1Char"/>
          <w:sz w:val="22"/>
          <w:szCs w:val="22"/>
        </w:rPr>
      </w:pPr>
      <w:r w:rsidRPr="00BE7091">
        <w:rPr>
          <w:rStyle w:val="Heading1Char"/>
          <w:sz w:val="22"/>
          <w:szCs w:val="22"/>
        </w:rPr>
        <w:fldChar w:fldCharType="end"/>
      </w:r>
      <w:r w:rsidRPr="00BE7091">
        <w:rPr>
          <w:rStyle w:val="Heading1Char"/>
          <w:sz w:val="22"/>
          <w:szCs w:val="22"/>
        </w:rPr>
        <w:br w:type="page"/>
      </w:r>
    </w:p>
    <w:p w14:paraId="4E5E8BDD" w14:textId="77777777" w:rsidR="003B7774" w:rsidRPr="00BE7091" w:rsidRDefault="003B7774">
      <w:pPr>
        <w:spacing w:after="160" w:line="259" w:lineRule="auto"/>
        <w:rPr>
          <w:rStyle w:val="Heading1Char"/>
          <w:sz w:val="22"/>
          <w:szCs w:val="22"/>
        </w:rPr>
      </w:pPr>
      <w:r w:rsidRPr="00BE7091">
        <w:rPr>
          <w:rStyle w:val="Heading1Char"/>
          <w:sz w:val="22"/>
          <w:szCs w:val="22"/>
        </w:rPr>
        <w:t>List of tables</w:t>
      </w:r>
    </w:p>
    <w:p w14:paraId="5A36036F" w14:textId="15FC2AA9" w:rsidR="003B7774" w:rsidRPr="00BE7091" w:rsidRDefault="003B7774" w:rsidP="00BE7091">
      <w:pPr>
        <w:pStyle w:val="TableofFigures"/>
        <w:tabs>
          <w:tab w:val="right" w:leader="dot" w:pos="9016"/>
        </w:tabs>
        <w:spacing w:line="360" w:lineRule="auto"/>
        <w:rPr>
          <w:rFonts w:ascii="Arial" w:eastAsiaTheme="minorEastAsia" w:hAnsi="Arial" w:cs="Arial"/>
          <w:noProof/>
          <w:kern w:val="2"/>
          <w:sz w:val="22"/>
          <w:szCs w:val="22"/>
          <w14:ligatures w14:val="standardContextual"/>
        </w:rPr>
      </w:pPr>
      <w:r w:rsidRPr="00BE7091">
        <w:rPr>
          <w:rStyle w:val="Heading1Char"/>
          <w:sz w:val="22"/>
          <w:szCs w:val="22"/>
        </w:rPr>
        <w:fldChar w:fldCharType="begin"/>
      </w:r>
      <w:r w:rsidRPr="00BE7091">
        <w:rPr>
          <w:rStyle w:val="Heading1Char"/>
          <w:sz w:val="22"/>
          <w:szCs w:val="22"/>
        </w:rPr>
        <w:instrText xml:space="preserve"> TOC \h \z \c "Table" </w:instrText>
      </w:r>
      <w:r w:rsidRPr="00BE7091">
        <w:rPr>
          <w:rStyle w:val="Heading1Char"/>
          <w:sz w:val="22"/>
          <w:szCs w:val="22"/>
        </w:rPr>
        <w:fldChar w:fldCharType="separate"/>
      </w:r>
      <w:hyperlink w:anchor="_Toc241030480" w:history="1">
        <w:r w:rsidRPr="00BE7091">
          <w:rPr>
            <w:rStyle w:val="Hyperlink"/>
            <w:rFonts w:ascii="Arial" w:hAnsi="Arial" w:cs="Arial"/>
            <w:b/>
            <w:bCs/>
            <w:noProof/>
            <w:sz w:val="22"/>
            <w:szCs w:val="22"/>
          </w:rPr>
          <w:t>Table 1</w:t>
        </w:r>
        <w:r w:rsidRPr="00BE7091">
          <w:rPr>
            <w:rStyle w:val="Hyperlink"/>
            <w:rFonts w:ascii="Arial" w:hAnsi="Arial" w:cs="Arial"/>
            <w:noProof/>
            <w:sz w:val="22"/>
            <w:szCs w:val="22"/>
          </w:rPr>
          <w:t>— Search Terms by Concept</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_Toc241030480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28</w:t>
        </w:r>
        <w:r w:rsidRPr="00BE7091">
          <w:rPr>
            <w:rFonts w:ascii="Arial" w:hAnsi="Arial" w:cs="Arial"/>
            <w:noProof/>
            <w:webHidden/>
            <w:sz w:val="22"/>
            <w:szCs w:val="22"/>
          </w:rPr>
          <w:fldChar w:fldCharType="end"/>
        </w:r>
      </w:hyperlink>
    </w:p>
    <w:p w14:paraId="652E96D5" w14:textId="7148EE8B" w:rsidR="003B7774" w:rsidRPr="00BE7091" w:rsidRDefault="003B7774" w:rsidP="00BE7091">
      <w:pPr>
        <w:pStyle w:val="TableofFigures"/>
        <w:tabs>
          <w:tab w:val="right" w:leader="dot" w:pos="9016"/>
        </w:tabs>
        <w:spacing w:line="360" w:lineRule="auto"/>
        <w:rPr>
          <w:rFonts w:ascii="Arial" w:eastAsiaTheme="minorEastAsia" w:hAnsi="Arial" w:cs="Arial"/>
          <w:noProof/>
          <w:kern w:val="2"/>
          <w:sz w:val="22"/>
          <w:szCs w:val="22"/>
          <w14:ligatures w14:val="standardContextual"/>
        </w:rPr>
      </w:pPr>
      <w:hyperlink w:anchor="_Toc241030481" w:history="1">
        <w:r w:rsidRPr="00BE7091">
          <w:rPr>
            <w:rStyle w:val="Hyperlink"/>
            <w:rFonts w:ascii="Arial" w:hAnsi="Arial" w:cs="Arial"/>
            <w:b/>
            <w:bCs/>
            <w:noProof/>
            <w:sz w:val="22"/>
            <w:szCs w:val="22"/>
          </w:rPr>
          <w:t>Table 2</w:t>
        </w:r>
        <w:r w:rsidRPr="00BE7091">
          <w:rPr>
            <w:rStyle w:val="Hyperlink"/>
            <w:rFonts w:ascii="Arial" w:hAnsi="Arial" w:cs="Arial"/>
            <w:noProof/>
            <w:sz w:val="22"/>
            <w:szCs w:val="22"/>
          </w:rPr>
          <w:t>— Search Strings Using Boolean Operators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_Toc241030481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28</w:t>
        </w:r>
        <w:r w:rsidRPr="00BE7091">
          <w:rPr>
            <w:rFonts w:ascii="Arial" w:hAnsi="Arial" w:cs="Arial"/>
            <w:noProof/>
            <w:webHidden/>
            <w:sz w:val="22"/>
            <w:szCs w:val="22"/>
          </w:rPr>
          <w:fldChar w:fldCharType="end"/>
        </w:r>
      </w:hyperlink>
    </w:p>
    <w:p w14:paraId="475D5D98" w14:textId="14B5E03F" w:rsidR="003B7774" w:rsidRPr="00BE7091" w:rsidRDefault="003B7774" w:rsidP="00BE7091">
      <w:pPr>
        <w:pStyle w:val="TableofFigures"/>
        <w:tabs>
          <w:tab w:val="right" w:leader="dot" w:pos="9016"/>
        </w:tabs>
        <w:spacing w:line="360" w:lineRule="auto"/>
        <w:rPr>
          <w:rFonts w:ascii="Arial" w:eastAsiaTheme="minorEastAsia" w:hAnsi="Arial" w:cs="Arial"/>
          <w:noProof/>
          <w:kern w:val="2"/>
          <w:sz w:val="22"/>
          <w:szCs w:val="22"/>
          <w14:ligatures w14:val="standardContextual"/>
        </w:rPr>
      </w:pPr>
      <w:hyperlink w:anchor="_Toc241030482" w:history="1">
        <w:r w:rsidRPr="00BE7091">
          <w:rPr>
            <w:rStyle w:val="Hyperlink"/>
            <w:rFonts w:ascii="Arial" w:hAnsi="Arial" w:cs="Arial"/>
            <w:b/>
            <w:bCs/>
            <w:noProof/>
            <w:sz w:val="22"/>
            <w:szCs w:val="22"/>
          </w:rPr>
          <w:t>Table 3</w:t>
        </w:r>
        <w:r w:rsidRPr="00BE7091">
          <w:rPr>
            <w:rStyle w:val="Hyperlink"/>
            <w:rFonts w:ascii="Arial" w:hAnsi="Arial" w:cs="Arial"/>
            <w:noProof/>
            <w:sz w:val="22"/>
            <w:szCs w:val="22"/>
          </w:rPr>
          <w:t>— Databases Searched</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_Toc241030482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28</w:t>
        </w:r>
        <w:r w:rsidRPr="00BE7091">
          <w:rPr>
            <w:rFonts w:ascii="Arial" w:hAnsi="Arial" w:cs="Arial"/>
            <w:noProof/>
            <w:webHidden/>
            <w:sz w:val="22"/>
            <w:szCs w:val="22"/>
          </w:rPr>
          <w:fldChar w:fldCharType="end"/>
        </w:r>
      </w:hyperlink>
    </w:p>
    <w:p w14:paraId="63DC5F7E" w14:textId="6A0F6AFE" w:rsidR="003B7774" w:rsidRPr="00BE7091" w:rsidRDefault="003B7774" w:rsidP="00BE7091">
      <w:pPr>
        <w:pStyle w:val="TableofFigures"/>
        <w:tabs>
          <w:tab w:val="right" w:leader="dot" w:pos="9016"/>
        </w:tabs>
        <w:spacing w:line="360" w:lineRule="auto"/>
        <w:rPr>
          <w:rFonts w:ascii="Arial" w:eastAsiaTheme="minorEastAsia" w:hAnsi="Arial" w:cs="Arial"/>
          <w:noProof/>
          <w:kern w:val="2"/>
          <w:sz w:val="22"/>
          <w:szCs w:val="22"/>
          <w14:ligatures w14:val="standardContextual"/>
        </w:rPr>
      </w:pPr>
      <w:hyperlink w:anchor="_Toc241030483" w:history="1">
        <w:r w:rsidRPr="00BE7091">
          <w:rPr>
            <w:rStyle w:val="Hyperlink"/>
            <w:rFonts w:ascii="Arial" w:hAnsi="Arial" w:cs="Arial"/>
            <w:b/>
            <w:bCs/>
            <w:noProof/>
            <w:sz w:val="22"/>
            <w:szCs w:val="22"/>
          </w:rPr>
          <w:t>Table 4</w:t>
        </w:r>
        <w:r w:rsidRPr="00BE7091">
          <w:rPr>
            <w:rStyle w:val="Hyperlink"/>
            <w:rFonts w:ascii="Arial" w:hAnsi="Arial" w:cs="Arial"/>
            <w:noProof/>
            <w:sz w:val="22"/>
            <w:szCs w:val="22"/>
          </w:rPr>
          <w:t>— Inclusion and Exclusion Criteria</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_Toc241030483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29</w:t>
        </w:r>
        <w:r w:rsidRPr="00BE7091">
          <w:rPr>
            <w:rFonts w:ascii="Arial" w:hAnsi="Arial" w:cs="Arial"/>
            <w:noProof/>
            <w:webHidden/>
            <w:sz w:val="22"/>
            <w:szCs w:val="22"/>
          </w:rPr>
          <w:fldChar w:fldCharType="end"/>
        </w:r>
      </w:hyperlink>
    </w:p>
    <w:p w14:paraId="1848455C" w14:textId="2C3C5C27" w:rsidR="003B7774" w:rsidRPr="00BE7091" w:rsidRDefault="003B7774" w:rsidP="00BE7091">
      <w:pPr>
        <w:pStyle w:val="TableofFigures"/>
        <w:tabs>
          <w:tab w:val="right" w:leader="dot" w:pos="9016"/>
        </w:tabs>
        <w:spacing w:line="360" w:lineRule="auto"/>
        <w:rPr>
          <w:rFonts w:ascii="Arial" w:eastAsiaTheme="minorEastAsia" w:hAnsi="Arial" w:cs="Arial"/>
          <w:noProof/>
          <w:kern w:val="2"/>
          <w:sz w:val="22"/>
          <w:szCs w:val="22"/>
          <w14:ligatures w14:val="standardContextual"/>
        </w:rPr>
      </w:pPr>
      <w:hyperlink w:anchor="_Toc241030484" w:history="1">
        <w:r w:rsidRPr="00BE7091">
          <w:rPr>
            <w:rStyle w:val="Hyperlink"/>
            <w:rFonts w:ascii="Arial" w:hAnsi="Arial" w:cs="Arial"/>
            <w:b/>
            <w:bCs/>
            <w:noProof/>
            <w:sz w:val="22"/>
            <w:szCs w:val="22"/>
          </w:rPr>
          <w:t>Table 5</w:t>
        </w:r>
        <w:r w:rsidRPr="00BE7091">
          <w:rPr>
            <w:rStyle w:val="Hyperlink"/>
            <w:rFonts w:ascii="Arial" w:hAnsi="Arial" w:cs="Arial"/>
            <w:noProof/>
            <w:sz w:val="22"/>
            <w:szCs w:val="22"/>
          </w:rPr>
          <w:t>: Research Objectives, Main Themes, and Subthemes</w:t>
        </w:r>
        <w:r w:rsidRPr="00BE7091">
          <w:rPr>
            <w:rFonts w:ascii="Arial" w:hAnsi="Arial" w:cs="Arial"/>
            <w:noProof/>
            <w:webHidden/>
            <w:sz w:val="22"/>
            <w:szCs w:val="22"/>
          </w:rPr>
          <w:tab/>
        </w:r>
        <w:r w:rsidRPr="00BE7091">
          <w:rPr>
            <w:rFonts w:ascii="Arial" w:hAnsi="Arial" w:cs="Arial"/>
            <w:noProof/>
            <w:webHidden/>
            <w:sz w:val="22"/>
            <w:szCs w:val="22"/>
          </w:rPr>
          <w:fldChar w:fldCharType="begin"/>
        </w:r>
        <w:r w:rsidRPr="00BE7091">
          <w:rPr>
            <w:rFonts w:ascii="Arial" w:hAnsi="Arial" w:cs="Arial"/>
            <w:noProof/>
            <w:webHidden/>
            <w:sz w:val="22"/>
            <w:szCs w:val="22"/>
          </w:rPr>
          <w:instrText xml:space="preserve"> PAGEREF _Toc241030484 \h </w:instrText>
        </w:r>
        <w:r w:rsidRPr="00BE7091">
          <w:rPr>
            <w:rFonts w:ascii="Arial" w:hAnsi="Arial" w:cs="Arial"/>
            <w:noProof/>
            <w:webHidden/>
            <w:sz w:val="22"/>
            <w:szCs w:val="22"/>
          </w:rPr>
        </w:r>
        <w:r w:rsidRPr="00BE7091">
          <w:rPr>
            <w:rFonts w:ascii="Arial" w:hAnsi="Arial" w:cs="Arial"/>
            <w:noProof/>
            <w:webHidden/>
            <w:sz w:val="22"/>
            <w:szCs w:val="22"/>
          </w:rPr>
          <w:fldChar w:fldCharType="separate"/>
        </w:r>
        <w:r w:rsidRPr="00BE7091">
          <w:rPr>
            <w:rFonts w:ascii="Arial" w:hAnsi="Arial" w:cs="Arial"/>
            <w:noProof/>
            <w:webHidden/>
            <w:sz w:val="22"/>
            <w:szCs w:val="22"/>
          </w:rPr>
          <w:t>35</w:t>
        </w:r>
        <w:r w:rsidRPr="00BE7091">
          <w:rPr>
            <w:rFonts w:ascii="Arial" w:hAnsi="Arial" w:cs="Arial"/>
            <w:noProof/>
            <w:webHidden/>
            <w:sz w:val="22"/>
            <w:szCs w:val="22"/>
          </w:rPr>
          <w:fldChar w:fldCharType="end"/>
        </w:r>
      </w:hyperlink>
    </w:p>
    <w:p w14:paraId="23B392FF" w14:textId="001A4F0D" w:rsidR="002A6268" w:rsidRDefault="003B7774" w:rsidP="00BE7091">
      <w:pPr>
        <w:spacing w:after="160" w:line="360" w:lineRule="auto"/>
        <w:rPr>
          <w:rStyle w:val="Heading1Char"/>
        </w:rPr>
      </w:pPr>
      <w:r w:rsidRPr="00BE7091">
        <w:rPr>
          <w:rStyle w:val="Heading1Char"/>
          <w:sz w:val="22"/>
          <w:szCs w:val="22"/>
        </w:rPr>
        <w:fldChar w:fldCharType="end"/>
      </w:r>
    </w:p>
    <w:p w14:paraId="0C5764AA" w14:textId="77777777" w:rsidR="002A6268" w:rsidRDefault="002A6268">
      <w:pPr>
        <w:spacing w:after="160" w:line="259" w:lineRule="auto"/>
        <w:rPr>
          <w:rStyle w:val="Heading1Char"/>
        </w:rPr>
      </w:pPr>
      <w:r>
        <w:rPr>
          <w:rStyle w:val="Heading1Char"/>
        </w:rPr>
        <w:br w:type="page"/>
      </w:r>
    </w:p>
    <w:p w14:paraId="355E4BD1" w14:textId="77777777" w:rsidR="002A6268" w:rsidRPr="00457F66" w:rsidRDefault="002A6268" w:rsidP="002A6268">
      <w:pPr>
        <w:pStyle w:val="Heading1"/>
      </w:pPr>
      <w:r w:rsidRPr="00457F66">
        <w:t>LIST OF ABBREVIATIONS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18"/>
        <w:gridCol w:w="6298"/>
      </w:tblGrid>
      <w:tr w:rsidR="002A6268" w:rsidRPr="00457F66" w14:paraId="031430E9" w14:textId="77777777" w:rsidTr="00256A2F">
        <w:trPr>
          <w:tblHeader/>
          <w:tblCellSpacing w:w="15" w:type="dxa"/>
        </w:trPr>
        <w:tc>
          <w:tcPr>
            <w:tcW w:w="0" w:type="auto"/>
            <w:vAlign w:val="center"/>
            <w:hideMark/>
          </w:tcPr>
          <w:p w14:paraId="7D8F5794" w14:textId="77777777" w:rsidR="002A6268" w:rsidRPr="00457F66" w:rsidRDefault="002A6268" w:rsidP="00256A2F">
            <w:pPr>
              <w:spacing w:line="360" w:lineRule="auto"/>
              <w:jc w:val="center"/>
              <w:rPr>
                <w:rFonts w:ascii="Arial" w:hAnsi="Arial" w:cs="Arial"/>
                <w:b/>
                <w:bCs/>
              </w:rPr>
            </w:pPr>
            <w:r w:rsidRPr="00457F66">
              <w:rPr>
                <w:rFonts w:ascii="Arial" w:hAnsi="Arial" w:cs="Arial"/>
                <w:b/>
                <w:bCs/>
              </w:rPr>
              <w:t>Abbreviation</w:t>
            </w:r>
          </w:p>
        </w:tc>
        <w:tc>
          <w:tcPr>
            <w:tcW w:w="0" w:type="auto"/>
            <w:vAlign w:val="center"/>
            <w:hideMark/>
          </w:tcPr>
          <w:p w14:paraId="7F1FD3FB" w14:textId="77777777" w:rsidR="002A6268" w:rsidRPr="00457F66" w:rsidRDefault="002A6268" w:rsidP="00256A2F">
            <w:pPr>
              <w:spacing w:line="360" w:lineRule="auto"/>
              <w:jc w:val="center"/>
              <w:rPr>
                <w:rFonts w:ascii="Arial" w:hAnsi="Arial" w:cs="Arial"/>
                <w:b/>
                <w:bCs/>
              </w:rPr>
            </w:pPr>
            <w:r w:rsidRPr="00457F66">
              <w:rPr>
                <w:rFonts w:ascii="Arial" w:hAnsi="Arial" w:cs="Arial"/>
                <w:b/>
                <w:bCs/>
              </w:rPr>
              <w:t>Full Term</w:t>
            </w:r>
          </w:p>
        </w:tc>
      </w:tr>
      <w:tr w:rsidR="002A6268" w:rsidRPr="00457F66" w14:paraId="515DF5B5" w14:textId="77777777" w:rsidTr="00256A2F">
        <w:trPr>
          <w:tblCellSpacing w:w="15" w:type="dxa"/>
        </w:trPr>
        <w:tc>
          <w:tcPr>
            <w:tcW w:w="0" w:type="auto"/>
            <w:vAlign w:val="center"/>
            <w:hideMark/>
          </w:tcPr>
          <w:p w14:paraId="38A4FD56" w14:textId="77777777" w:rsidR="002A6268" w:rsidRPr="00457F66" w:rsidRDefault="002A6268" w:rsidP="00256A2F">
            <w:pPr>
              <w:spacing w:line="360" w:lineRule="auto"/>
              <w:rPr>
                <w:rFonts w:ascii="Arial" w:hAnsi="Arial" w:cs="Arial"/>
              </w:rPr>
            </w:pPr>
            <w:r w:rsidRPr="00457F66">
              <w:rPr>
                <w:rFonts w:ascii="Arial" w:hAnsi="Arial" w:cs="Arial"/>
              </w:rPr>
              <w:t>AACODS</w:t>
            </w:r>
          </w:p>
        </w:tc>
        <w:tc>
          <w:tcPr>
            <w:tcW w:w="0" w:type="auto"/>
            <w:vAlign w:val="center"/>
            <w:hideMark/>
          </w:tcPr>
          <w:p w14:paraId="2C97A9E8" w14:textId="77777777" w:rsidR="002A6268" w:rsidRPr="00457F66" w:rsidRDefault="002A6268" w:rsidP="00256A2F">
            <w:pPr>
              <w:spacing w:line="360" w:lineRule="auto"/>
              <w:rPr>
                <w:rFonts w:ascii="Arial" w:hAnsi="Arial" w:cs="Arial"/>
              </w:rPr>
            </w:pPr>
            <w:r w:rsidRPr="00457F66">
              <w:rPr>
                <w:rFonts w:ascii="Arial" w:hAnsi="Arial" w:cs="Arial"/>
              </w:rPr>
              <w:t>Authority, Accuracy, Coverage, Objectivity, Date, Significance</w:t>
            </w:r>
          </w:p>
        </w:tc>
      </w:tr>
      <w:tr w:rsidR="002A6268" w:rsidRPr="00457F66" w14:paraId="17A46EEA" w14:textId="77777777" w:rsidTr="00256A2F">
        <w:trPr>
          <w:tblCellSpacing w:w="15" w:type="dxa"/>
        </w:trPr>
        <w:tc>
          <w:tcPr>
            <w:tcW w:w="0" w:type="auto"/>
            <w:vAlign w:val="center"/>
            <w:hideMark/>
          </w:tcPr>
          <w:p w14:paraId="1CA80516" w14:textId="77777777" w:rsidR="002A6268" w:rsidRPr="00457F66" w:rsidRDefault="002A6268" w:rsidP="00256A2F">
            <w:pPr>
              <w:spacing w:line="360" w:lineRule="auto"/>
              <w:rPr>
                <w:rFonts w:ascii="Arial" w:hAnsi="Arial" w:cs="Arial"/>
              </w:rPr>
            </w:pPr>
            <w:r w:rsidRPr="00457F66">
              <w:rPr>
                <w:rFonts w:ascii="Arial" w:hAnsi="Arial" w:cs="Arial"/>
              </w:rPr>
              <w:t>APC</w:t>
            </w:r>
          </w:p>
        </w:tc>
        <w:tc>
          <w:tcPr>
            <w:tcW w:w="0" w:type="auto"/>
            <w:vAlign w:val="center"/>
            <w:hideMark/>
          </w:tcPr>
          <w:p w14:paraId="74D7D8C8" w14:textId="77777777" w:rsidR="002A6268" w:rsidRPr="00457F66" w:rsidRDefault="002A6268" w:rsidP="00256A2F">
            <w:pPr>
              <w:spacing w:line="360" w:lineRule="auto"/>
              <w:rPr>
                <w:rFonts w:ascii="Arial" w:hAnsi="Arial" w:cs="Arial"/>
              </w:rPr>
            </w:pPr>
            <w:r w:rsidRPr="00457F66">
              <w:rPr>
                <w:rFonts w:ascii="Arial" w:hAnsi="Arial" w:cs="Arial"/>
              </w:rPr>
              <w:t>Ambulatory Primary Care</w:t>
            </w:r>
          </w:p>
        </w:tc>
      </w:tr>
      <w:tr w:rsidR="002A6268" w:rsidRPr="00457F66" w14:paraId="32699484" w14:textId="77777777" w:rsidTr="00256A2F">
        <w:trPr>
          <w:tblCellSpacing w:w="15" w:type="dxa"/>
        </w:trPr>
        <w:tc>
          <w:tcPr>
            <w:tcW w:w="0" w:type="auto"/>
            <w:vAlign w:val="center"/>
            <w:hideMark/>
          </w:tcPr>
          <w:p w14:paraId="1A3FBD09" w14:textId="77777777" w:rsidR="002A6268" w:rsidRPr="00457F66" w:rsidRDefault="002A6268" w:rsidP="00256A2F">
            <w:pPr>
              <w:spacing w:line="360" w:lineRule="auto"/>
              <w:rPr>
                <w:rFonts w:ascii="Arial" w:hAnsi="Arial" w:cs="Arial"/>
              </w:rPr>
            </w:pPr>
            <w:r w:rsidRPr="00457F66">
              <w:rPr>
                <w:rFonts w:ascii="Arial" w:hAnsi="Arial" w:cs="Arial"/>
              </w:rPr>
              <w:t>CASP</w:t>
            </w:r>
          </w:p>
        </w:tc>
        <w:tc>
          <w:tcPr>
            <w:tcW w:w="0" w:type="auto"/>
            <w:vAlign w:val="center"/>
            <w:hideMark/>
          </w:tcPr>
          <w:p w14:paraId="1A43B453" w14:textId="77777777" w:rsidR="002A6268" w:rsidRPr="00457F66" w:rsidRDefault="002A6268" w:rsidP="00256A2F">
            <w:pPr>
              <w:spacing w:line="360" w:lineRule="auto"/>
              <w:rPr>
                <w:rFonts w:ascii="Arial" w:hAnsi="Arial" w:cs="Arial"/>
              </w:rPr>
            </w:pPr>
            <w:r w:rsidRPr="00457F66">
              <w:rPr>
                <w:rFonts w:ascii="Arial" w:hAnsi="Arial" w:cs="Arial"/>
              </w:rPr>
              <w:t>Critical Appraisal Skills Programme</w:t>
            </w:r>
          </w:p>
        </w:tc>
      </w:tr>
      <w:tr w:rsidR="002A6268" w:rsidRPr="00457F66" w14:paraId="512B8C9F" w14:textId="77777777" w:rsidTr="00256A2F">
        <w:trPr>
          <w:tblCellSpacing w:w="15" w:type="dxa"/>
        </w:trPr>
        <w:tc>
          <w:tcPr>
            <w:tcW w:w="0" w:type="auto"/>
            <w:vAlign w:val="center"/>
            <w:hideMark/>
          </w:tcPr>
          <w:p w14:paraId="177366EB" w14:textId="77777777" w:rsidR="002A6268" w:rsidRPr="00457F66" w:rsidRDefault="002A6268" w:rsidP="00256A2F">
            <w:pPr>
              <w:spacing w:line="360" w:lineRule="auto"/>
              <w:rPr>
                <w:rFonts w:ascii="Arial" w:hAnsi="Arial" w:cs="Arial"/>
              </w:rPr>
            </w:pPr>
            <w:r w:rsidRPr="00457F66">
              <w:rPr>
                <w:rFonts w:ascii="Arial" w:hAnsi="Arial" w:cs="Arial"/>
              </w:rPr>
              <w:t>CINAHL</w:t>
            </w:r>
          </w:p>
        </w:tc>
        <w:tc>
          <w:tcPr>
            <w:tcW w:w="0" w:type="auto"/>
            <w:vAlign w:val="center"/>
            <w:hideMark/>
          </w:tcPr>
          <w:p w14:paraId="41400C7A" w14:textId="77777777" w:rsidR="002A6268" w:rsidRPr="00457F66" w:rsidRDefault="002A6268" w:rsidP="00256A2F">
            <w:pPr>
              <w:spacing w:line="360" w:lineRule="auto"/>
              <w:rPr>
                <w:rFonts w:ascii="Arial" w:hAnsi="Arial" w:cs="Arial"/>
              </w:rPr>
            </w:pPr>
            <w:r w:rsidRPr="00457F66">
              <w:rPr>
                <w:rFonts w:ascii="Arial" w:hAnsi="Arial" w:cs="Arial"/>
              </w:rPr>
              <w:t>Cumulative Index to Nursing and Allied Health Literature</w:t>
            </w:r>
          </w:p>
        </w:tc>
      </w:tr>
      <w:tr w:rsidR="002A6268" w:rsidRPr="00457F66" w14:paraId="4AEA3189" w14:textId="77777777" w:rsidTr="00256A2F">
        <w:trPr>
          <w:tblCellSpacing w:w="15" w:type="dxa"/>
        </w:trPr>
        <w:tc>
          <w:tcPr>
            <w:tcW w:w="0" w:type="auto"/>
            <w:vAlign w:val="center"/>
            <w:hideMark/>
          </w:tcPr>
          <w:p w14:paraId="0EBE839C" w14:textId="77777777" w:rsidR="002A6268" w:rsidRPr="00457F66" w:rsidRDefault="002A6268" w:rsidP="00256A2F">
            <w:pPr>
              <w:spacing w:line="360" w:lineRule="auto"/>
              <w:rPr>
                <w:rFonts w:ascii="Arial" w:hAnsi="Arial" w:cs="Arial"/>
              </w:rPr>
            </w:pPr>
            <w:r w:rsidRPr="00457F66">
              <w:rPr>
                <w:rFonts w:ascii="Arial" w:hAnsi="Arial" w:cs="Arial"/>
              </w:rPr>
              <w:t>COVID-19</w:t>
            </w:r>
          </w:p>
        </w:tc>
        <w:tc>
          <w:tcPr>
            <w:tcW w:w="0" w:type="auto"/>
            <w:vAlign w:val="center"/>
            <w:hideMark/>
          </w:tcPr>
          <w:p w14:paraId="3DCBB4F7" w14:textId="77777777" w:rsidR="002A6268" w:rsidRPr="00457F66" w:rsidRDefault="002A6268" w:rsidP="00256A2F">
            <w:pPr>
              <w:spacing w:line="360" w:lineRule="auto"/>
              <w:rPr>
                <w:rFonts w:ascii="Arial" w:hAnsi="Arial" w:cs="Arial"/>
              </w:rPr>
            </w:pPr>
            <w:r w:rsidRPr="00457F66">
              <w:rPr>
                <w:rFonts w:ascii="Arial" w:hAnsi="Arial" w:cs="Arial"/>
              </w:rPr>
              <w:t>Coronavirus Disease 2019</w:t>
            </w:r>
          </w:p>
        </w:tc>
      </w:tr>
      <w:tr w:rsidR="002A6268" w:rsidRPr="00457F66" w14:paraId="7185880F" w14:textId="77777777" w:rsidTr="00256A2F">
        <w:trPr>
          <w:tblCellSpacing w:w="15" w:type="dxa"/>
        </w:trPr>
        <w:tc>
          <w:tcPr>
            <w:tcW w:w="0" w:type="auto"/>
            <w:vAlign w:val="center"/>
            <w:hideMark/>
          </w:tcPr>
          <w:p w14:paraId="157B2B64" w14:textId="77777777" w:rsidR="002A6268" w:rsidRPr="00457F66" w:rsidRDefault="002A6268" w:rsidP="00256A2F">
            <w:pPr>
              <w:spacing w:line="360" w:lineRule="auto"/>
              <w:rPr>
                <w:rFonts w:ascii="Arial" w:hAnsi="Arial" w:cs="Arial"/>
              </w:rPr>
            </w:pPr>
            <w:r w:rsidRPr="00457F66">
              <w:rPr>
                <w:rFonts w:ascii="Arial" w:hAnsi="Arial" w:cs="Arial"/>
              </w:rPr>
              <w:t>CQC</w:t>
            </w:r>
          </w:p>
        </w:tc>
        <w:tc>
          <w:tcPr>
            <w:tcW w:w="0" w:type="auto"/>
            <w:vAlign w:val="center"/>
            <w:hideMark/>
          </w:tcPr>
          <w:p w14:paraId="313C4DE8" w14:textId="77777777" w:rsidR="002A6268" w:rsidRPr="00457F66" w:rsidRDefault="002A6268" w:rsidP="00256A2F">
            <w:pPr>
              <w:spacing w:line="360" w:lineRule="auto"/>
              <w:rPr>
                <w:rFonts w:ascii="Arial" w:hAnsi="Arial" w:cs="Arial"/>
              </w:rPr>
            </w:pPr>
            <w:r w:rsidRPr="00457F66">
              <w:rPr>
                <w:rFonts w:ascii="Arial" w:hAnsi="Arial" w:cs="Arial"/>
              </w:rPr>
              <w:t>Care Quality Commission</w:t>
            </w:r>
          </w:p>
        </w:tc>
      </w:tr>
      <w:tr w:rsidR="002A6268" w:rsidRPr="00457F66" w14:paraId="577E4E52" w14:textId="77777777" w:rsidTr="00256A2F">
        <w:trPr>
          <w:tblCellSpacing w:w="15" w:type="dxa"/>
        </w:trPr>
        <w:tc>
          <w:tcPr>
            <w:tcW w:w="0" w:type="auto"/>
            <w:vAlign w:val="center"/>
            <w:hideMark/>
          </w:tcPr>
          <w:p w14:paraId="2AC18BEE" w14:textId="77777777" w:rsidR="002A6268" w:rsidRPr="00457F66" w:rsidRDefault="002A6268" w:rsidP="00256A2F">
            <w:pPr>
              <w:spacing w:line="360" w:lineRule="auto"/>
              <w:rPr>
                <w:rFonts w:ascii="Arial" w:hAnsi="Arial" w:cs="Arial"/>
              </w:rPr>
            </w:pPr>
            <w:r w:rsidRPr="00457F66">
              <w:rPr>
                <w:rFonts w:ascii="Arial" w:hAnsi="Arial" w:cs="Arial"/>
              </w:rPr>
              <w:t>EMBASE</w:t>
            </w:r>
          </w:p>
        </w:tc>
        <w:tc>
          <w:tcPr>
            <w:tcW w:w="0" w:type="auto"/>
            <w:vAlign w:val="center"/>
            <w:hideMark/>
          </w:tcPr>
          <w:p w14:paraId="5E21F344" w14:textId="77777777" w:rsidR="002A6268" w:rsidRPr="00457F66" w:rsidRDefault="002A6268" w:rsidP="00256A2F">
            <w:pPr>
              <w:spacing w:line="360" w:lineRule="auto"/>
              <w:rPr>
                <w:rFonts w:ascii="Arial" w:hAnsi="Arial" w:cs="Arial"/>
              </w:rPr>
            </w:pPr>
            <w:r w:rsidRPr="00457F66">
              <w:rPr>
                <w:rFonts w:ascii="Arial" w:hAnsi="Arial" w:cs="Arial"/>
              </w:rPr>
              <w:t>Excerpta Medica Database</w:t>
            </w:r>
          </w:p>
        </w:tc>
      </w:tr>
      <w:tr w:rsidR="002A6268" w:rsidRPr="00457F66" w14:paraId="6718F298" w14:textId="77777777" w:rsidTr="00256A2F">
        <w:trPr>
          <w:tblCellSpacing w:w="15" w:type="dxa"/>
        </w:trPr>
        <w:tc>
          <w:tcPr>
            <w:tcW w:w="0" w:type="auto"/>
            <w:vAlign w:val="center"/>
            <w:hideMark/>
          </w:tcPr>
          <w:p w14:paraId="238F78BB" w14:textId="77777777" w:rsidR="002A6268" w:rsidRPr="00457F66" w:rsidRDefault="002A6268" w:rsidP="00256A2F">
            <w:pPr>
              <w:spacing w:line="360" w:lineRule="auto"/>
              <w:rPr>
                <w:rFonts w:ascii="Arial" w:hAnsi="Arial" w:cs="Arial"/>
              </w:rPr>
            </w:pPr>
            <w:r w:rsidRPr="00457F66">
              <w:rPr>
                <w:rFonts w:ascii="Arial" w:hAnsi="Arial" w:cs="Arial"/>
              </w:rPr>
              <w:t>GP</w:t>
            </w:r>
          </w:p>
        </w:tc>
        <w:tc>
          <w:tcPr>
            <w:tcW w:w="0" w:type="auto"/>
            <w:vAlign w:val="center"/>
            <w:hideMark/>
          </w:tcPr>
          <w:p w14:paraId="521768B6" w14:textId="77777777" w:rsidR="002A6268" w:rsidRPr="00457F66" w:rsidRDefault="002A6268" w:rsidP="00256A2F">
            <w:pPr>
              <w:spacing w:line="360" w:lineRule="auto"/>
              <w:rPr>
                <w:rFonts w:ascii="Arial" w:hAnsi="Arial" w:cs="Arial"/>
              </w:rPr>
            </w:pPr>
            <w:r w:rsidRPr="00457F66">
              <w:rPr>
                <w:rFonts w:ascii="Arial" w:hAnsi="Arial" w:cs="Arial"/>
              </w:rPr>
              <w:t>General Practitioner</w:t>
            </w:r>
          </w:p>
        </w:tc>
      </w:tr>
      <w:tr w:rsidR="002A6268" w:rsidRPr="00457F66" w14:paraId="4E24A82D" w14:textId="77777777" w:rsidTr="00256A2F">
        <w:trPr>
          <w:tblCellSpacing w:w="15" w:type="dxa"/>
        </w:trPr>
        <w:tc>
          <w:tcPr>
            <w:tcW w:w="0" w:type="auto"/>
            <w:vAlign w:val="center"/>
            <w:hideMark/>
          </w:tcPr>
          <w:p w14:paraId="431FA150" w14:textId="77777777" w:rsidR="002A6268" w:rsidRPr="00457F66" w:rsidRDefault="002A6268" w:rsidP="00256A2F">
            <w:pPr>
              <w:spacing w:line="360" w:lineRule="auto"/>
              <w:rPr>
                <w:rFonts w:ascii="Arial" w:hAnsi="Arial" w:cs="Arial"/>
              </w:rPr>
            </w:pPr>
            <w:r w:rsidRPr="00457F66">
              <w:rPr>
                <w:rFonts w:ascii="Arial" w:hAnsi="Arial" w:cs="Arial"/>
              </w:rPr>
              <w:t>ICB</w:t>
            </w:r>
          </w:p>
        </w:tc>
        <w:tc>
          <w:tcPr>
            <w:tcW w:w="0" w:type="auto"/>
            <w:vAlign w:val="center"/>
            <w:hideMark/>
          </w:tcPr>
          <w:p w14:paraId="2F7C49B6" w14:textId="77777777" w:rsidR="002A6268" w:rsidRPr="00457F66" w:rsidRDefault="002A6268" w:rsidP="00256A2F">
            <w:pPr>
              <w:spacing w:line="360" w:lineRule="auto"/>
              <w:rPr>
                <w:rFonts w:ascii="Arial" w:hAnsi="Arial" w:cs="Arial"/>
              </w:rPr>
            </w:pPr>
            <w:r w:rsidRPr="00457F66">
              <w:rPr>
                <w:rFonts w:ascii="Arial" w:hAnsi="Arial" w:cs="Arial"/>
              </w:rPr>
              <w:t>Integrated Care Board</w:t>
            </w:r>
          </w:p>
        </w:tc>
      </w:tr>
      <w:tr w:rsidR="002A6268" w:rsidRPr="00457F66" w14:paraId="7D84551A" w14:textId="77777777" w:rsidTr="00256A2F">
        <w:trPr>
          <w:tblCellSpacing w:w="15" w:type="dxa"/>
        </w:trPr>
        <w:tc>
          <w:tcPr>
            <w:tcW w:w="0" w:type="auto"/>
            <w:vAlign w:val="center"/>
            <w:hideMark/>
          </w:tcPr>
          <w:p w14:paraId="6F54B71D" w14:textId="77777777" w:rsidR="002A6268" w:rsidRPr="00457F66" w:rsidRDefault="002A6268" w:rsidP="00256A2F">
            <w:pPr>
              <w:spacing w:line="360" w:lineRule="auto"/>
              <w:rPr>
                <w:rFonts w:ascii="Arial" w:hAnsi="Arial" w:cs="Arial"/>
              </w:rPr>
            </w:pPr>
            <w:r w:rsidRPr="00457F66">
              <w:rPr>
                <w:rFonts w:ascii="Arial" w:hAnsi="Arial" w:cs="Arial"/>
              </w:rPr>
              <w:t>ICS</w:t>
            </w:r>
          </w:p>
        </w:tc>
        <w:tc>
          <w:tcPr>
            <w:tcW w:w="0" w:type="auto"/>
            <w:vAlign w:val="center"/>
            <w:hideMark/>
          </w:tcPr>
          <w:p w14:paraId="2001BB8A" w14:textId="77777777" w:rsidR="002A6268" w:rsidRPr="00457F66" w:rsidRDefault="002A6268" w:rsidP="00256A2F">
            <w:pPr>
              <w:spacing w:line="360" w:lineRule="auto"/>
              <w:rPr>
                <w:rFonts w:ascii="Arial" w:hAnsi="Arial" w:cs="Arial"/>
              </w:rPr>
            </w:pPr>
            <w:r w:rsidRPr="00457F66">
              <w:rPr>
                <w:rFonts w:ascii="Arial" w:hAnsi="Arial" w:cs="Arial"/>
              </w:rPr>
              <w:t>Integrated Care System</w:t>
            </w:r>
          </w:p>
        </w:tc>
      </w:tr>
      <w:tr w:rsidR="002A6268" w:rsidRPr="00457F66" w14:paraId="2F393A8E" w14:textId="77777777" w:rsidTr="00256A2F">
        <w:trPr>
          <w:tblCellSpacing w:w="15" w:type="dxa"/>
        </w:trPr>
        <w:tc>
          <w:tcPr>
            <w:tcW w:w="0" w:type="auto"/>
            <w:vAlign w:val="center"/>
            <w:hideMark/>
          </w:tcPr>
          <w:p w14:paraId="58C1BA95" w14:textId="77777777" w:rsidR="002A6268" w:rsidRPr="00457F66" w:rsidRDefault="002A6268" w:rsidP="00256A2F">
            <w:pPr>
              <w:spacing w:line="360" w:lineRule="auto"/>
              <w:rPr>
                <w:rFonts w:ascii="Arial" w:hAnsi="Arial" w:cs="Arial"/>
              </w:rPr>
            </w:pPr>
            <w:r w:rsidRPr="00457F66">
              <w:rPr>
                <w:rFonts w:ascii="Arial" w:hAnsi="Arial" w:cs="Arial"/>
              </w:rPr>
              <w:t>JBI</w:t>
            </w:r>
          </w:p>
        </w:tc>
        <w:tc>
          <w:tcPr>
            <w:tcW w:w="0" w:type="auto"/>
            <w:vAlign w:val="center"/>
            <w:hideMark/>
          </w:tcPr>
          <w:p w14:paraId="1B1FD4F3" w14:textId="77777777" w:rsidR="002A6268" w:rsidRPr="00457F66" w:rsidRDefault="002A6268" w:rsidP="00256A2F">
            <w:pPr>
              <w:spacing w:line="360" w:lineRule="auto"/>
              <w:rPr>
                <w:rFonts w:ascii="Arial" w:hAnsi="Arial" w:cs="Arial"/>
              </w:rPr>
            </w:pPr>
            <w:r w:rsidRPr="00457F66">
              <w:rPr>
                <w:rFonts w:ascii="Arial" w:hAnsi="Arial" w:cs="Arial"/>
              </w:rPr>
              <w:t>Joanna Briggs Institute</w:t>
            </w:r>
          </w:p>
        </w:tc>
      </w:tr>
      <w:tr w:rsidR="002A6268" w:rsidRPr="00457F66" w14:paraId="06685F7D" w14:textId="77777777" w:rsidTr="00256A2F">
        <w:trPr>
          <w:tblCellSpacing w:w="15" w:type="dxa"/>
        </w:trPr>
        <w:tc>
          <w:tcPr>
            <w:tcW w:w="0" w:type="auto"/>
            <w:vAlign w:val="center"/>
            <w:hideMark/>
          </w:tcPr>
          <w:p w14:paraId="41882FFA" w14:textId="77777777" w:rsidR="002A6268" w:rsidRPr="00457F66" w:rsidRDefault="002A6268" w:rsidP="00256A2F">
            <w:pPr>
              <w:spacing w:line="360" w:lineRule="auto"/>
              <w:rPr>
                <w:rFonts w:ascii="Arial" w:hAnsi="Arial" w:cs="Arial"/>
              </w:rPr>
            </w:pPr>
            <w:r w:rsidRPr="00457F66">
              <w:rPr>
                <w:rFonts w:ascii="Arial" w:hAnsi="Arial" w:cs="Arial"/>
              </w:rPr>
              <w:t>MEDLINE</w:t>
            </w:r>
          </w:p>
        </w:tc>
        <w:tc>
          <w:tcPr>
            <w:tcW w:w="0" w:type="auto"/>
            <w:vAlign w:val="center"/>
            <w:hideMark/>
          </w:tcPr>
          <w:p w14:paraId="20A57439" w14:textId="77777777" w:rsidR="002A6268" w:rsidRPr="00457F66" w:rsidRDefault="002A6268" w:rsidP="00256A2F">
            <w:pPr>
              <w:spacing w:line="360" w:lineRule="auto"/>
              <w:rPr>
                <w:rFonts w:ascii="Arial" w:hAnsi="Arial" w:cs="Arial"/>
              </w:rPr>
            </w:pPr>
            <w:r w:rsidRPr="00457F66">
              <w:rPr>
                <w:rFonts w:ascii="Arial" w:hAnsi="Arial" w:cs="Arial"/>
              </w:rPr>
              <w:t>Medical Literature Analysis and Retrieval System Online</w:t>
            </w:r>
          </w:p>
        </w:tc>
      </w:tr>
      <w:tr w:rsidR="002A6268" w:rsidRPr="00457F66" w14:paraId="2CED974C" w14:textId="77777777" w:rsidTr="00256A2F">
        <w:trPr>
          <w:tblCellSpacing w:w="15" w:type="dxa"/>
        </w:trPr>
        <w:tc>
          <w:tcPr>
            <w:tcW w:w="0" w:type="auto"/>
            <w:vAlign w:val="center"/>
            <w:hideMark/>
          </w:tcPr>
          <w:p w14:paraId="6D23FB66" w14:textId="77777777" w:rsidR="002A6268" w:rsidRPr="00457F66" w:rsidRDefault="002A6268" w:rsidP="00256A2F">
            <w:pPr>
              <w:spacing w:line="360" w:lineRule="auto"/>
              <w:rPr>
                <w:rFonts w:ascii="Arial" w:hAnsi="Arial" w:cs="Arial"/>
              </w:rPr>
            </w:pPr>
            <w:r w:rsidRPr="00457F66">
              <w:rPr>
                <w:rFonts w:ascii="Arial" w:hAnsi="Arial" w:cs="Arial"/>
              </w:rPr>
              <w:t>NHS</w:t>
            </w:r>
          </w:p>
        </w:tc>
        <w:tc>
          <w:tcPr>
            <w:tcW w:w="0" w:type="auto"/>
            <w:vAlign w:val="center"/>
            <w:hideMark/>
          </w:tcPr>
          <w:p w14:paraId="187072B7" w14:textId="77777777" w:rsidR="002A6268" w:rsidRPr="00457F66" w:rsidRDefault="002A6268" w:rsidP="00256A2F">
            <w:pPr>
              <w:spacing w:line="360" w:lineRule="auto"/>
              <w:rPr>
                <w:rFonts w:ascii="Arial" w:hAnsi="Arial" w:cs="Arial"/>
              </w:rPr>
            </w:pPr>
            <w:r w:rsidRPr="00457F66">
              <w:rPr>
                <w:rFonts w:ascii="Arial" w:hAnsi="Arial" w:cs="Arial"/>
              </w:rPr>
              <w:t>National Health Service</w:t>
            </w:r>
          </w:p>
        </w:tc>
      </w:tr>
      <w:tr w:rsidR="002A6268" w:rsidRPr="00457F66" w14:paraId="4697197A" w14:textId="77777777" w:rsidTr="00256A2F">
        <w:trPr>
          <w:tblCellSpacing w:w="15" w:type="dxa"/>
        </w:trPr>
        <w:tc>
          <w:tcPr>
            <w:tcW w:w="0" w:type="auto"/>
            <w:vAlign w:val="center"/>
            <w:hideMark/>
          </w:tcPr>
          <w:p w14:paraId="31D1F6A8" w14:textId="77777777" w:rsidR="002A6268" w:rsidRPr="00457F66" w:rsidRDefault="002A6268" w:rsidP="00256A2F">
            <w:pPr>
              <w:spacing w:line="360" w:lineRule="auto"/>
              <w:rPr>
                <w:rFonts w:ascii="Arial" w:hAnsi="Arial" w:cs="Arial"/>
              </w:rPr>
            </w:pPr>
            <w:r w:rsidRPr="00457F66">
              <w:rPr>
                <w:rFonts w:ascii="Arial" w:hAnsi="Arial" w:cs="Arial"/>
              </w:rPr>
              <w:t>NICE</w:t>
            </w:r>
          </w:p>
        </w:tc>
        <w:tc>
          <w:tcPr>
            <w:tcW w:w="0" w:type="auto"/>
            <w:vAlign w:val="center"/>
            <w:hideMark/>
          </w:tcPr>
          <w:p w14:paraId="5EF05FC6" w14:textId="77777777" w:rsidR="002A6268" w:rsidRPr="00457F66" w:rsidRDefault="002A6268" w:rsidP="00256A2F">
            <w:pPr>
              <w:spacing w:line="360" w:lineRule="auto"/>
              <w:rPr>
                <w:rFonts w:ascii="Arial" w:hAnsi="Arial" w:cs="Arial"/>
              </w:rPr>
            </w:pPr>
            <w:r w:rsidRPr="00457F66">
              <w:rPr>
                <w:rFonts w:ascii="Arial" w:hAnsi="Arial" w:cs="Arial"/>
              </w:rPr>
              <w:t>National Institute for Health and Care Excellence</w:t>
            </w:r>
          </w:p>
        </w:tc>
      </w:tr>
      <w:tr w:rsidR="002A6268" w:rsidRPr="00457F66" w14:paraId="0BD32CAB" w14:textId="77777777" w:rsidTr="00256A2F">
        <w:trPr>
          <w:tblCellSpacing w:w="15" w:type="dxa"/>
        </w:trPr>
        <w:tc>
          <w:tcPr>
            <w:tcW w:w="0" w:type="auto"/>
            <w:vAlign w:val="center"/>
            <w:hideMark/>
          </w:tcPr>
          <w:p w14:paraId="2DB94266" w14:textId="77777777" w:rsidR="002A6268" w:rsidRPr="00457F66" w:rsidRDefault="002A6268" w:rsidP="00256A2F">
            <w:pPr>
              <w:spacing w:line="360" w:lineRule="auto"/>
              <w:rPr>
                <w:rFonts w:ascii="Arial" w:hAnsi="Arial" w:cs="Arial"/>
              </w:rPr>
            </w:pPr>
            <w:r w:rsidRPr="00457F66">
              <w:rPr>
                <w:rFonts w:ascii="Arial" w:hAnsi="Arial" w:cs="Arial"/>
              </w:rPr>
              <w:t>NG214</w:t>
            </w:r>
          </w:p>
        </w:tc>
        <w:tc>
          <w:tcPr>
            <w:tcW w:w="0" w:type="auto"/>
            <w:vAlign w:val="center"/>
            <w:hideMark/>
          </w:tcPr>
          <w:p w14:paraId="37351E2B" w14:textId="77777777" w:rsidR="002A6268" w:rsidRPr="00457F66" w:rsidRDefault="002A6268" w:rsidP="00256A2F">
            <w:pPr>
              <w:spacing w:line="360" w:lineRule="auto"/>
              <w:rPr>
                <w:rFonts w:ascii="Arial" w:hAnsi="Arial" w:cs="Arial"/>
              </w:rPr>
            </w:pPr>
            <w:r w:rsidRPr="00457F66">
              <w:rPr>
                <w:rFonts w:ascii="Arial" w:hAnsi="Arial" w:cs="Arial"/>
              </w:rPr>
              <w:t>NICE Guideline 214</w:t>
            </w:r>
          </w:p>
        </w:tc>
      </w:tr>
      <w:tr w:rsidR="002A6268" w:rsidRPr="00457F66" w14:paraId="091F55EE" w14:textId="77777777" w:rsidTr="00256A2F">
        <w:trPr>
          <w:tblCellSpacing w:w="15" w:type="dxa"/>
        </w:trPr>
        <w:tc>
          <w:tcPr>
            <w:tcW w:w="0" w:type="auto"/>
            <w:vAlign w:val="center"/>
            <w:hideMark/>
          </w:tcPr>
          <w:p w14:paraId="3F6555D1" w14:textId="77777777" w:rsidR="002A6268" w:rsidRPr="00457F66" w:rsidRDefault="002A6268" w:rsidP="00256A2F">
            <w:pPr>
              <w:spacing w:line="360" w:lineRule="auto"/>
              <w:rPr>
                <w:rFonts w:ascii="Arial" w:hAnsi="Arial" w:cs="Arial"/>
              </w:rPr>
            </w:pPr>
            <w:r w:rsidRPr="00457F66">
              <w:rPr>
                <w:rFonts w:ascii="Arial" w:hAnsi="Arial" w:cs="Arial"/>
              </w:rPr>
              <w:t>ONS</w:t>
            </w:r>
          </w:p>
        </w:tc>
        <w:tc>
          <w:tcPr>
            <w:tcW w:w="0" w:type="auto"/>
            <w:vAlign w:val="center"/>
            <w:hideMark/>
          </w:tcPr>
          <w:p w14:paraId="2D9A0785" w14:textId="77777777" w:rsidR="002A6268" w:rsidRPr="00457F66" w:rsidRDefault="002A6268" w:rsidP="00256A2F">
            <w:pPr>
              <w:spacing w:line="360" w:lineRule="auto"/>
              <w:rPr>
                <w:rFonts w:ascii="Arial" w:hAnsi="Arial" w:cs="Arial"/>
              </w:rPr>
            </w:pPr>
            <w:r w:rsidRPr="00457F66">
              <w:rPr>
                <w:rFonts w:ascii="Arial" w:hAnsi="Arial" w:cs="Arial"/>
              </w:rPr>
              <w:t>Office for National Statistics</w:t>
            </w:r>
          </w:p>
        </w:tc>
      </w:tr>
      <w:tr w:rsidR="002A6268" w:rsidRPr="00457F66" w14:paraId="60C0B2E2" w14:textId="77777777" w:rsidTr="00256A2F">
        <w:trPr>
          <w:tblCellSpacing w:w="15" w:type="dxa"/>
        </w:trPr>
        <w:tc>
          <w:tcPr>
            <w:tcW w:w="0" w:type="auto"/>
            <w:vAlign w:val="center"/>
            <w:hideMark/>
          </w:tcPr>
          <w:p w14:paraId="1230526C" w14:textId="77777777" w:rsidR="002A6268" w:rsidRPr="00457F66" w:rsidRDefault="002A6268" w:rsidP="00256A2F">
            <w:pPr>
              <w:spacing w:line="360" w:lineRule="auto"/>
              <w:rPr>
                <w:rFonts w:ascii="Arial" w:hAnsi="Arial" w:cs="Arial"/>
              </w:rPr>
            </w:pPr>
            <w:r w:rsidRPr="00457F66">
              <w:rPr>
                <w:rFonts w:ascii="Arial" w:hAnsi="Arial" w:cs="Arial"/>
              </w:rPr>
              <w:t>PRISMA</w:t>
            </w:r>
          </w:p>
        </w:tc>
        <w:tc>
          <w:tcPr>
            <w:tcW w:w="0" w:type="auto"/>
            <w:vAlign w:val="center"/>
            <w:hideMark/>
          </w:tcPr>
          <w:p w14:paraId="62D6AD3C" w14:textId="77777777" w:rsidR="002A6268" w:rsidRPr="00457F66" w:rsidRDefault="002A6268" w:rsidP="00256A2F">
            <w:pPr>
              <w:spacing w:line="360" w:lineRule="auto"/>
              <w:rPr>
                <w:rFonts w:ascii="Arial" w:hAnsi="Arial" w:cs="Arial"/>
              </w:rPr>
            </w:pPr>
            <w:r w:rsidRPr="00457F66">
              <w:rPr>
                <w:rFonts w:ascii="Arial" w:hAnsi="Arial" w:cs="Arial"/>
              </w:rPr>
              <w:t>Preferred Reporting Items for Systematic Reviews and Meta-Analyses</w:t>
            </w:r>
          </w:p>
        </w:tc>
      </w:tr>
      <w:tr w:rsidR="002A6268" w:rsidRPr="00457F66" w14:paraId="613A6CDD" w14:textId="77777777" w:rsidTr="00256A2F">
        <w:trPr>
          <w:tblCellSpacing w:w="15" w:type="dxa"/>
        </w:trPr>
        <w:tc>
          <w:tcPr>
            <w:tcW w:w="0" w:type="auto"/>
            <w:vAlign w:val="center"/>
            <w:hideMark/>
          </w:tcPr>
          <w:p w14:paraId="5B9B6B01" w14:textId="77777777" w:rsidR="002A6268" w:rsidRPr="00457F66" w:rsidRDefault="002A6268" w:rsidP="00256A2F">
            <w:pPr>
              <w:spacing w:line="360" w:lineRule="auto"/>
              <w:rPr>
                <w:rFonts w:ascii="Arial" w:hAnsi="Arial" w:cs="Arial"/>
              </w:rPr>
            </w:pPr>
            <w:r w:rsidRPr="00457F66">
              <w:rPr>
                <w:rFonts w:ascii="Arial" w:hAnsi="Arial" w:cs="Arial"/>
              </w:rPr>
              <w:t>PsycINFO</w:t>
            </w:r>
          </w:p>
        </w:tc>
        <w:tc>
          <w:tcPr>
            <w:tcW w:w="0" w:type="auto"/>
            <w:vAlign w:val="center"/>
            <w:hideMark/>
          </w:tcPr>
          <w:p w14:paraId="7464FC92" w14:textId="77777777" w:rsidR="002A6268" w:rsidRPr="00457F66" w:rsidRDefault="002A6268" w:rsidP="00256A2F">
            <w:pPr>
              <w:spacing w:line="360" w:lineRule="auto"/>
              <w:rPr>
                <w:rFonts w:ascii="Arial" w:hAnsi="Arial" w:cs="Arial"/>
              </w:rPr>
            </w:pPr>
            <w:r w:rsidRPr="00457F66">
              <w:rPr>
                <w:rFonts w:ascii="Arial" w:hAnsi="Arial" w:cs="Arial"/>
              </w:rPr>
              <w:t>Psychological Information Database</w:t>
            </w:r>
          </w:p>
        </w:tc>
      </w:tr>
      <w:tr w:rsidR="002A6268" w:rsidRPr="00457F66" w14:paraId="1FD31095" w14:textId="77777777" w:rsidTr="00256A2F">
        <w:trPr>
          <w:tblCellSpacing w:w="15" w:type="dxa"/>
        </w:trPr>
        <w:tc>
          <w:tcPr>
            <w:tcW w:w="0" w:type="auto"/>
            <w:vAlign w:val="center"/>
            <w:hideMark/>
          </w:tcPr>
          <w:p w14:paraId="196F55FF" w14:textId="77777777" w:rsidR="002A6268" w:rsidRPr="00457F66" w:rsidRDefault="002A6268" w:rsidP="00256A2F">
            <w:pPr>
              <w:spacing w:line="360" w:lineRule="auto"/>
              <w:rPr>
                <w:rFonts w:ascii="Arial" w:hAnsi="Arial" w:cs="Arial"/>
              </w:rPr>
            </w:pPr>
            <w:r w:rsidRPr="00457F66">
              <w:rPr>
                <w:rFonts w:ascii="Arial" w:hAnsi="Arial" w:cs="Arial"/>
              </w:rPr>
              <w:t>SUD</w:t>
            </w:r>
          </w:p>
        </w:tc>
        <w:tc>
          <w:tcPr>
            <w:tcW w:w="0" w:type="auto"/>
            <w:vAlign w:val="center"/>
            <w:hideMark/>
          </w:tcPr>
          <w:p w14:paraId="5F42C6D7" w14:textId="77777777" w:rsidR="002A6268" w:rsidRPr="00457F66" w:rsidRDefault="002A6268" w:rsidP="00256A2F">
            <w:pPr>
              <w:spacing w:line="360" w:lineRule="auto"/>
              <w:rPr>
                <w:rFonts w:ascii="Arial" w:hAnsi="Arial" w:cs="Arial"/>
              </w:rPr>
            </w:pPr>
            <w:r w:rsidRPr="00457F66">
              <w:rPr>
                <w:rFonts w:ascii="Arial" w:hAnsi="Arial" w:cs="Arial"/>
              </w:rPr>
              <w:t>Substance Use Disorder</w:t>
            </w:r>
          </w:p>
        </w:tc>
      </w:tr>
      <w:tr w:rsidR="002A6268" w:rsidRPr="00457F66" w14:paraId="75E4D86A" w14:textId="77777777" w:rsidTr="00256A2F">
        <w:trPr>
          <w:tblCellSpacing w:w="15" w:type="dxa"/>
        </w:trPr>
        <w:tc>
          <w:tcPr>
            <w:tcW w:w="0" w:type="auto"/>
            <w:vAlign w:val="center"/>
            <w:hideMark/>
          </w:tcPr>
          <w:p w14:paraId="7F2FDBDF" w14:textId="77777777" w:rsidR="002A6268" w:rsidRPr="00457F66" w:rsidRDefault="002A6268" w:rsidP="00256A2F">
            <w:pPr>
              <w:spacing w:line="360" w:lineRule="auto"/>
              <w:rPr>
                <w:rFonts w:ascii="Arial" w:hAnsi="Arial" w:cs="Arial"/>
              </w:rPr>
            </w:pPr>
            <w:r w:rsidRPr="00457F66">
              <w:rPr>
                <w:rFonts w:ascii="Arial" w:hAnsi="Arial" w:cs="Arial"/>
              </w:rPr>
              <w:t>UK</w:t>
            </w:r>
          </w:p>
        </w:tc>
        <w:tc>
          <w:tcPr>
            <w:tcW w:w="0" w:type="auto"/>
            <w:vAlign w:val="center"/>
            <w:hideMark/>
          </w:tcPr>
          <w:p w14:paraId="6A12FF9B" w14:textId="77777777" w:rsidR="002A6268" w:rsidRPr="00457F66" w:rsidRDefault="002A6268" w:rsidP="00256A2F">
            <w:pPr>
              <w:spacing w:line="360" w:lineRule="auto"/>
              <w:rPr>
                <w:rFonts w:ascii="Arial" w:hAnsi="Arial" w:cs="Arial"/>
              </w:rPr>
            </w:pPr>
            <w:r w:rsidRPr="00457F66">
              <w:rPr>
                <w:rFonts w:ascii="Arial" w:hAnsi="Arial" w:cs="Arial"/>
              </w:rPr>
              <w:t>United Kingdom</w:t>
            </w:r>
          </w:p>
        </w:tc>
      </w:tr>
      <w:tr w:rsidR="002A6268" w:rsidRPr="00457F66" w14:paraId="476D591D" w14:textId="77777777" w:rsidTr="00256A2F">
        <w:trPr>
          <w:tblCellSpacing w:w="15" w:type="dxa"/>
        </w:trPr>
        <w:tc>
          <w:tcPr>
            <w:tcW w:w="0" w:type="auto"/>
            <w:vAlign w:val="center"/>
            <w:hideMark/>
          </w:tcPr>
          <w:p w14:paraId="674F450E" w14:textId="77777777" w:rsidR="002A6268" w:rsidRPr="00457F66" w:rsidRDefault="002A6268" w:rsidP="00256A2F">
            <w:pPr>
              <w:spacing w:line="360" w:lineRule="auto"/>
              <w:rPr>
                <w:rFonts w:ascii="Arial" w:hAnsi="Arial" w:cs="Arial"/>
              </w:rPr>
            </w:pPr>
            <w:r w:rsidRPr="00457F66">
              <w:rPr>
                <w:rFonts w:ascii="Arial" w:hAnsi="Arial" w:cs="Arial"/>
              </w:rPr>
              <w:t>UWTSD</w:t>
            </w:r>
          </w:p>
        </w:tc>
        <w:tc>
          <w:tcPr>
            <w:tcW w:w="0" w:type="auto"/>
            <w:vAlign w:val="center"/>
            <w:hideMark/>
          </w:tcPr>
          <w:p w14:paraId="67190F50" w14:textId="77777777" w:rsidR="002A6268" w:rsidRPr="00457F66" w:rsidRDefault="002A6268" w:rsidP="00256A2F">
            <w:pPr>
              <w:spacing w:line="360" w:lineRule="auto"/>
              <w:rPr>
                <w:rFonts w:ascii="Arial" w:hAnsi="Arial" w:cs="Arial"/>
              </w:rPr>
            </w:pPr>
            <w:r w:rsidRPr="00457F66">
              <w:rPr>
                <w:rFonts w:ascii="Arial" w:hAnsi="Arial" w:cs="Arial"/>
              </w:rPr>
              <w:t>University of Wales Trinity Saint David</w:t>
            </w:r>
          </w:p>
        </w:tc>
      </w:tr>
      <w:tr w:rsidR="002A6268" w:rsidRPr="00457F66" w14:paraId="77F4BE45" w14:textId="77777777" w:rsidTr="00256A2F">
        <w:trPr>
          <w:tblCellSpacing w:w="15" w:type="dxa"/>
        </w:trPr>
        <w:tc>
          <w:tcPr>
            <w:tcW w:w="0" w:type="auto"/>
            <w:vAlign w:val="center"/>
            <w:hideMark/>
          </w:tcPr>
          <w:p w14:paraId="49007A56" w14:textId="77777777" w:rsidR="002A6268" w:rsidRPr="00457F66" w:rsidRDefault="002A6268" w:rsidP="00256A2F">
            <w:pPr>
              <w:spacing w:line="360" w:lineRule="auto"/>
              <w:rPr>
                <w:rFonts w:ascii="Arial" w:hAnsi="Arial" w:cs="Arial"/>
              </w:rPr>
            </w:pPr>
            <w:r w:rsidRPr="00457F66">
              <w:rPr>
                <w:rFonts w:ascii="Arial" w:hAnsi="Arial" w:cs="Arial"/>
              </w:rPr>
              <w:t>WHO</w:t>
            </w:r>
          </w:p>
        </w:tc>
        <w:tc>
          <w:tcPr>
            <w:tcW w:w="0" w:type="auto"/>
            <w:vAlign w:val="center"/>
            <w:hideMark/>
          </w:tcPr>
          <w:p w14:paraId="3262160D" w14:textId="77777777" w:rsidR="002A6268" w:rsidRPr="00457F66" w:rsidRDefault="002A6268" w:rsidP="00256A2F">
            <w:pPr>
              <w:spacing w:line="360" w:lineRule="auto"/>
              <w:rPr>
                <w:rFonts w:ascii="Arial" w:hAnsi="Arial" w:cs="Arial"/>
              </w:rPr>
            </w:pPr>
            <w:r w:rsidRPr="00457F66">
              <w:rPr>
                <w:rFonts w:ascii="Arial" w:hAnsi="Arial" w:cs="Arial"/>
              </w:rPr>
              <w:t>World Health Organization</w:t>
            </w:r>
          </w:p>
        </w:tc>
      </w:tr>
    </w:tbl>
    <w:p w14:paraId="0391814E" w14:textId="77777777" w:rsidR="003B7774" w:rsidRPr="00457F66" w:rsidRDefault="003B7774">
      <w:pPr>
        <w:spacing w:after="160" w:line="259" w:lineRule="auto"/>
        <w:rPr>
          <w:rStyle w:val="Heading1Char"/>
        </w:rPr>
      </w:pPr>
    </w:p>
    <w:p w14:paraId="5F18BA18" w14:textId="79124E9B" w:rsidR="003B7774" w:rsidRPr="00457F66" w:rsidRDefault="003B7774">
      <w:pPr>
        <w:spacing w:after="160" w:line="259" w:lineRule="auto"/>
        <w:rPr>
          <w:rStyle w:val="Heading1Char"/>
        </w:rPr>
      </w:pPr>
      <w:r w:rsidRPr="00457F66">
        <w:rPr>
          <w:rStyle w:val="Heading1Char"/>
        </w:rPr>
        <w:br w:type="page"/>
      </w:r>
    </w:p>
    <w:p w14:paraId="0E6EA605" w14:textId="7C5B8C0D" w:rsidR="00D86A53" w:rsidRPr="00457F66" w:rsidRDefault="00D86A53" w:rsidP="008452C0">
      <w:pPr>
        <w:spacing w:before="100" w:beforeAutospacing="1" w:after="100" w:afterAutospacing="1" w:line="360" w:lineRule="auto"/>
        <w:jc w:val="both"/>
        <w:rPr>
          <w:rFonts w:ascii="Arial" w:hAnsi="Arial" w:cs="Arial"/>
          <w:sz w:val="22"/>
          <w:szCs w:val="22"/>
        </w:rPr>
      </w:pPr>
      <w:r w:rsidRPr="00457F66">
        <w:rPr>
          <w:rStyle w:val="Heading1Char"/>
        </w:rPr>
        <w:t>CHAPTER 1 — INTRODUCTION</w:t>
      </w:r>
      <w:bookmarkEnd w:id="1"/>
    </w:p>
    <w:p w14:paraId="06DE7DFC" w14:textId="58BE0FBD" w:rsidR="00327409" w:rsidRPr="00457F66" w:rsidRDefault="00327409" w:rsidP="008452C0">
      <w:pPr>
        <w:pStyle w:val="Heading2"/>
        <w:spacing w:line="360" w:lineRule="auto"/>
        <w:jc w:val="both"/>
      </w:pPr>
      <w:bookmarkStart w:id="2" w:name="_Toc240922925"/>
      <w:r w:rsidRPr="00457F66">
        <w:t xml:space="preserve">1.1 </w:t>
      </w:r>
      <w:bookmarkStart w:id="3" w:name="_Hlk237829618"/>
      <w:r w:rsidRPr="00457F66">
        <w:t>Introduction</w:t>
      </w:r>
      <w:bookmarkEnd w:id="2"/>
      <w:bookmarkEnd w:id="3"/>
    </w:p>
    <w:p w14:paraId="2093F12F" w14:textId="77777777"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Access to primary healthcare is universally accepted as one of the fundamental human rights, as well as the foundation of fair and equitable public health systems the world over. In the historic Declaration of Alma-Ata, the World Health Organization (WHO, 1978) defined primary healthcare as the initial point of contact between individuals, families and communities and the national health system and its universal accessibility as the key to the achievement of the maximum possible standard of health among all people. This principle was restated in the Declaration of Astana (WHO and UNICEF, 2018) that reiterated the need to have strong, people-centred primary healthcare systems as the foundation towards the realisation of universal health coverage, reduction of preventable mortality, and eradication of health inequalities that are based on social and economic disadvantage.</w:t>
      </w:r>
    </w:p>
    <w:p w14:paraId="66985A3C" w14:textId="0813087C" w:rsidR="00327409" w:rsidRPr="00457F66" w:rsidRDefault="00327409" w:rsidP="008452C0">
      <w:pPr>
        <w:pStyle w:val="font-claude-response-body"/>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 xml:space="preserve">Although this has been a global commitment, there is still immense inequity in access to primary healthcare across and within high-income countries. The National Health Service (NHS) is the provider of universal primary healthcare in England, which is free of charge and at the point of consumption, but there are still considerable and ongoing gaps in the groups of people who can truly afford to use its services. Homeless adults are amongst the most acutely and systematically marginalised groups of people in the primary care system because they are exposed to extreme forms of poverty, housing instability, and other forms of multiple disadvantage, making the mainstream primary care services systematically and structurally inaccessible (Tweed et al., 2021). The magnitude of this health disparity is high: the standardised mortality ratios of homeless people in high-income countries were estimated as 7.88 among men and 11.86 among women, which is eight to twelve times higher than the mortality rates of the general population </w:t>
      </w:r>
      <w:r w:rsidR="00B116C8" w:rsidRPr="00457F66">
        <w:rPr>
          <w:rFonts w:ascii="Arial" w:eastAsiaTheme="minorHAnsi" w:hAnsi="Arial" w:cs="Arial"/>
          <w:kern w:val="2"/>
          <w:sz w:val="22"/>
          <w:szCs w:val="22"/>
          <w:lang w:eastAsia="en-US"/>
          <w14:ligatures w14:val="standardContextual"/>
        </w:rPr>
        <w:t>(Hwang, 2001; Aldridge et al., 2018)</w:t>
      </w:r>
      <w:r w:rsidRPr="00457F66">
        <w:rPr>
          <w:rFonts w:ascii="Arial" w:eastAsiaTheme="minorHAnsi" w:hAnsi="Arial" w:cs="Arial"/>
          <w:kern w:val="2"/>
          <w:sz w:val="22"/>
          <w:szCs w:val="22"/>
          <w:lang w:eastAsia="en-US"/>
          <w14:ligatures w14:val="standardContextual"/>
        </w:rPr>
        <w:t>. In England and Wales, 741 homeless people were registered dead in 2021 by the Office for National Statistics (ONS, 2022), with a mean age at death of 45.4 years and 43.2 years among men and women, respectively, and around three decades lower than the average life expectancy in the country. These statistics are not simply a statistical disparity, but a significant failure of public health of great moral and political concern that requires a systematic study and policy intervention based on evidence.</w:t>
      </w:r>
    </w:p>
    <w:p w14:paraId="604B0A26" w14:textId="77777777" w:rsidR="00327409" w:rsidRPr="00457F66" w:rsidRDefault="00327409" w:rsidP="008452C0">
      <w:pPr>
        <w:pStyle w:val="Heading2"/>
        <w:spacing w:line="360" w:lineRule="auto"/>
        <w:jc w:val="both"/>
      </w:pPr>
      <w:bookmarkStart w:id="4" w:name="_Toc240922926"/>
      <w:r w:rsidRPr="00457F66">
        <w:t>1.2 Background</w:t>
      </w:r>
      <w:bookmarkEnd w:id="4"/>
    </w:p>
    <w:p w14:paraId="39D1452C" w14:textId="1AA96AF5"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 xml:space="preserve">The problem of homelessness in England is a developing and </w:t>
      </w:r>
      <w:r w:rsidR="00A23698" w:rsidRPr="00457F66">
        <w:rPr>
          <w:rFonts w:ascii="Arial" w:eastAsiaTheme="minorHAnsi" w:hAnsi="Arial" w:cs="Arial"/>
          <w:kern w:val="2"/>
          <w:sz w:val="22"/>
          <w:szCs w:val="22"/>
          <w:lang w:eastAsia="en-US"/>
          <w14:ligatures w14:val="standardContextual"/>
        </w:rPr>
        <w:t>increasingly</w:t>
      </w:r>
      <w:r w:rsidRPr="00457F66">
        <w:rPr>
          <w:rFonts w:ascii="Arial" w:eastAsiaTheme="minorHAnsi" w:hAnsi="Arial" w:cs="Arial"/>
          <w:kern w:val="2"/>
          <w:sz w:val="22"/>
          <w:szCs w:val="22"/>
          <w:lang w:eastAsia="en-US"/>
          <w14:ligatures w14:val="standardContextual"/>
        </w:rPr>
        <w:t xml:space="preserve"> complicated issue of public health. According to the latest London Monitor of Homelessness in England, there were 299,100 households in acute homelessness in 2024, which is 21 percent higher than in 2022 and 45 percent higher than in 2012 (Watts-Cobbe et al., 2025). These statistics, however, only represent the tip of the iceberg of a much greater issue. Hidden homelessness, which includes sofa-surfing, extreme overcrowding, sleeping in a car, and informal accommodation, is always under-reported in national statistics, which means that the actual extent of the crisis is always underestimated (Bramley, 2017). Bramley and Fitzpatrick (2018) stated that the key intersecting structural factors behind homelessness in the United Kingdom were poverty, welfare reform, relationship breakdown and the endemic lack of affordable housing, which proves conclusively that homelessness is not a failure of individuals but a result of policy choices with directly quantifiable health outcomes.</w:t>
      </w:r>
    </w:p>
    <w:p w14:paraId="6E7D1B5B" w14:textId="77777777" w:rsidR="003B7774" w:rsidRPr="00457F66" w:rsidRDefault="00327409" w:rsidP="003B7774">
      <w:pPr>
        <w:pStyle w:val="font-claude-response-body"/>
        <w:keepNext/>
        <w:spacing w:line="360" w:lineRule="auto"/>
        <w:jc w:val="both"/>
        <w:rPr>
          <w:rFonts w:ascii="Arial" w:hAnsi="Arial" w:cs="Arial"/>
        </w:rPr>
      </w:pPr>
      <w:r w:rsidRPr="00457F66">
        <w:rPr>
          <w:rFonts w:ascii="Arial" w:eastAsiaTheme="minorHAnsi" w:hAnsi="Arial" w:cs="Arial"/>
          <w:kern w:val="2"/>
          <w:sz w:val="22"/>
          <w:szCs w:val="22"/>
          <w:lang w:eastAsia="en-US"/>
          <w14:ligatures w14:val="standardContextual"/>
        </w:rPr>
        <w:t>The morbidity and mortality of homelessness in England are vast and multi-faceted. Tri-morbidity, or the co-occurring mental health conditions, physical illness, and substance use disorders (</w:t>
      </w:r>
      <w:r w:rsidR="0049712A" w:rsidRPr="00457F66">
        <w:rPr>
          <w:rFonts w:ascii="Arial" w:eastAsiaTheme="minorHAnsi" w:hAnsi="Arial" w:cs="Arial"/>
          <w:kern w:val="2"/>
          <w:sz w:val="22"/>
          <w:szCs w:val="22"/>
          <w:lang w:eastAsia="en-US"/>
          <w14:ligatures w14:val="standardContextual"/>
        </w:rPr>
        <w:t>SUD</w:t>
      </w:r>
      <w:r w:rsidRPr="00457F66">
        <w:rPr>
          <w:rFonts w:ascii="Arial" w:eastAsiaTheme="minorHAnsi" w:hAnsi="Arial" w:cs="Arial"/>
          <w:kern w:val="2"/>
          <w:sz w:val="22"/>
          <w:szCs w:val="22"/>
          <w:lang w:eastAsia="en-US"/>
          <w14:ligatures w14:val="standardContextual"/>
        </w:rPr>
        <w:t xml:space="preserve">), is disproportionately experienced by homeless adults, forming patterns of complex and interacting health needs which mainstream primary care services are often unable to meet adequately (Tweed et al., 2021). In a recent systematic review and meta-regression analysis of the prevalence of mental disorders among high-income countries, </w:t>
      </w:r>
      <w:proofErr w:type="spellStart"/>
      <w:r w:rsidR="00077402" w:rsidRPr="00457F66">
        <w:rPr>
          <w:rFonts w:ascii="Arial" w:eastAsiaTheme="minorHAnsi" w:hAnsi="Arial" w:cs="Arial"/>
          <w:kern w:val="2"/>
          <w:sz w:val="22"/>
          <w:szCs w:val="22"/>
          <w:lang w:eastAsia="en-US"/>
          <w14:ligatures w14:val="standardContextual"/>
        </w:rPr>
        <w:t>Gutwinski</w:t>
      </w:r>
      <w:proofErr w:type="spellEnd"/>
      <w:r w:rsidR="00077402" w:rsidRPr="00457F66">
        <w:rPr>
          <w:rFonts w:ascii="Arial" w:eastAsiaTheme="minorHAnsi" w:hAnsi="Arial" w:cs="Arial"/>
          <w:kern w:val="2"/>
          <w:sz w:val="22"/>
          <w:szCs w:val="22"/>
          <w:lang w:eastAsia="en-US"/>
          <w14:ligatures w14:val="standardContextual"/>
        </w:rPr>
        <w:t xml:space="preserve"> et al. (2021)</w:t>
      </w:r>
      <w:r w:rsidRPr="00457F66">
        <w:rPr>
          <w:rFonts w:ascii="Arial" w:eastAsiaTheme="minorHAnsi" w:hAnsi="Arial" w:cs="Arial"/>
          <w:kern w:val="2"/>
          <w:sz w:val="22"/>
          <w:szCs w:val="22"/>
          <w:lang w:eastAsia="en-US"/>
          <w14:ligatures w14:val="standardContextual"/>
        </w:rPr>
        <w:t xml:space="preserve"> have estimated that one out of seven homeless people has a mental disorder, with alcohol use disorders (37%), substance use disorders (22%), schizophrenia spectrum disorders (12%), </w:t>
      </w:r>
      <w:r w:rsidR="00DC4B6E" w:rsidRPr="00457F66">
        <w:rPr>
          <w:rFonts w:ascii="Arial" w:eastAsiaTheme="minorHAnsi" w:hAnsi="Arial" w:cs="Arial"/>
          <w:kern w:val="2"/>
          <w:sz w:val="22"/>
          <w:szCs w:val="22"/>
          <w:lang w:eastAsia="en-US"/>
          <w14:ligatures w14:val="standardContextual"/>
        </w:rPr>
        <w:t>and major depression (13%) as the most common diagnoses</w:t>
      </w:r>
      <w:r w:rsidRPr="00457F66">
        <w:rPr>
          <w:rFonts w:ascii="Arial" w:eastAsiaTheme="minorHAnsi" w:hAnsi="Arial" w:cs="Arial"/>
          <w:kern w:val="2"/>
          <w:sz w:val="22"/>
          <w:szCs w:val="22"/>
          <w:lang w:eastAsia="en-US"/>
          <w14:ligatures w14:val="standardContextual"/>
        </w:rPr>
        <w:t>. In a cross-sectional study of 1,336 homeless individuals versus 13,360 age and sex-matched housed controls, selected from the Health Survey for England, Lewer et al. (2019) found that, among the five of six major chronic conditions measured, including cardiovascular disease, respiratory disease and musculoskeletal disorders, homeless individuals were significantly more likely to experience and were more likely to experience them than even the harshest housed quintile. Although such a high level of health burden is extreme and multi-layered, homeless adults face significant obstacles in their way to the primary healthcare services they need. In a population-based study of linked hospitalisation and mortality data in England, Aldridge et al. (2019) have shown that 30.2% of deaths among homeless individuals were amenable to timely primary healthcare interventions - quantitative evidence that is hard to refute and provides strong support that primary care access failures directly translate into preventable death. In Health Equity in England: The Marmot Review 10 Years On, Marmot et al. (2020) put these inequities into a broader social context, showing that a decade of austerity in the public sector had exacerbated health disparities throughout England and led to significant rises in homelessness, establishing that the primary care access failures faced by homeless adults are the downstream effects of structural and policy failure in the first place.</w:t>
      </w:r>
      <w:r w:rsidRPr="00457F66">
        <w:rPr>
          <w:rFonts w:ascii="Arial" w:eastAsiaTheme="minorHAnsi" w:hAnsi="Arial" w:cs="Arial"/>
          <w:noProof/>
          <w:kern w:val="2"/>
          <w:sz w:val="22"/>
          <w:szCs w:val="22"/>
          <w:lang w:eastAsia="en-US"/>
          <w14:ligatures w14:val="standardContextual"/>
        </w:rPr>
        <w:drawing>
          <wp:inline distT="0" distB="0" distL="0" distR="0" wp14:anchorId="21F0CBD0" wp14:editId="2728A511">
            <wp:extent cx="5731161" cy="1613650"/>
            <wp:effectExtent l="0" t="0" r="3175" b="5715"/>
            <wp:docPr id="490931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31329" name=""/>
                    <pic:cNvPicPr/>
                  </pic:nvPicPr>
                  <pic:blipFill rotWithShape="1">
                    <a:blip r:embed="rId9"/>
                    <a:srcRect t="19538" b="13532"/>
                    <a:stretch/>
                  </pic:blipFill>
                  <pic:spPr bwMode="auto">
                    <a:xfrm>
                      <a:off x="0" y="0"/>
                      <a:ext cx="5731510" cy="1613748"/>
                    </a:xfrm>
                    <a:prstGeom prst="rect">
                      <a:avLst/>
                    </a:prstGeom>
                    <a:ln>
                      <a:noFill/>
                    </a:ln>
                    <a:extLst>
                      <a:ext uri="{53640926-AAD7-44D8-BBD7-CCE9431645EC}">
                        <a14:shadowObscured xmlns:a14="http://schemas.microsoft.com/office/drawing/2010/main"/>
                      </a:ext>
                    </a:extLst>
                  </pic:spPr>
                </pic:pic>
              </a:graphicData>
            </a:graphic>
          </wp:inline>
        </w:drawing>
      </w:r>
    </w:p>
    <w:p w14:paraId="333D1618" w14:textId="7425EC91" w:rsidR="00327409" w:rsidRPr="00457F66" w:rsidRDefault="003B7774" w:rsidP="003B7774">
      <w:pPr>
        <w:pStyle w:val="Caption"/>
        <w:jc w:val="both"/>
        <w:rPr>
          <w:rFonts w:ascii="Arial" w:hAnsi="Arial" w:cs="Arial"/>
          <w:sz w:val="24"/>
          <w:szCs w:val="24"/>
        </w:rPr>
      </w:pPr>
      <w:bookmarkStart w:id="5" w:name="_Toc241030462"/>
      <w:r w:rsidRPr="00457F66">
        <w:rPr>
          <w:rFonts w:ascii="Arial" w:hAnsi="Arial" w:cs="Arial"/>
          <w:sz w:val="24"/>
          <w:szCs w:val="24"/>
        </w:rPr>
        <w:t xml:space="preserve">Figure </w:t>
      </w:r>
      <w:r w:rsidRPr="00457F66">
        <w:rPr>
          <w:rFonts w:ascii="Arial" w:hAnsi="Arial" w:cs="Arial"/>
          <w:sz w:val="24"/>
          <w:szCs w:val="24"/>
        </w:rPr>
        <w:fldChar w:fldCharType="begin"/>
      </w:r>
      <w:r w:rsidRPr="00457F66">
        <w:rPr>
          <w:rFonts w:ascii="Arial" w:hAnsi="Arial" w:cs="Arial"/>
          <w:sz w:val="24"/>
          <w:szCs w:val="24"/>
        </w:rPr>
        <w:instrText xml:space="preserve"> SEQ Figure \* ARABIC </w:instrText>
      </w:r>
      <w:r w:rsidRPr="00457F66">
        <w:rPr>
          <w:rFonts w:ascii="Arial" w:hAnsi="Arial" w:cs="Arial"/>
          <w:sz w:val="24"/>
          <w:szCs w:val="24"/>
        </w:rPr>
        <w:fldChar w:fldCharType="separate"/>
      </w:r>
      <w:r w:rsidRPr="00457F66">
        <w:rPr>
          <w:rFonts w:ascii="Arial" w:hAnsi="Arial" w:cs="Arial"/>
          <w:noProof/>
          <w:sz w:val="24"/>
          <w:szCs w:val="24"/>
        </w:rPr>
        <w:t>1</w:t>
      </w:r>
      <w:r w:rsidRPr="00457F66">
        <w:rPr>
          <w:rFonts w:ascii="Arial" w:hAnsi="Arial" w:cs="Arial"/>
          <w:sz w:val="24"/>
          <w:szCs w:val="24"/>
        </w:rPr>
        <w:fldChar w:fldCharType="end"/>
      </w:r>
      <w:r w:rsidRPr="00457F66">
        <w:rPr>
          <w:rFonts w:ascii="Arial" w:hAnsi="Arial" w:cs="Arial"/>
          <w:sz w:val="24"/>
          <w:szCs w:val="24"/>
        </w:rPr>
        <w:t xml:space="preserve">Key statistics on homelessness and health in England. Sources: Watts-Cobbe et al. (2025); Aldridge et al. (2018); ONS (2022); </w:t>
      </w:r>
      <w:proofErr w:type="spellStart"/>
      <w:r w:rsidRPr="00457F66">
        <w:rPr>
          <w:rFonts w:ascii="Arial" w:hAnsi="Arial" w:cs="Arial"/>
          <w:sz w:val="24"/>
          <w:szCs w:val="24"/>
        </w:rPr>
        <w:t>Gutwinski</w:t>
      </w:r>
      <w:proofErr w:type="spellEnd"/>
      <w:r w:rsidRPr="00457F66">
        <w:rPr>
          <w:rFonts w:ascii="Arial" w:hAnsi="Arial" w:cs="Arial"/>
          <w:sz w:val="24"/>
          <w:szCs w:val="24"/>
        </w:rPr>
        <w:t xml:space="preserve"> et al. (2021); Aldridge et al. (2019); Homeless Link (2022).</w:t>
      </w:r>
      <w:bookmarkEnd w:id="5"/>
    </w:p>
    <w:p w14:paraId="4C60FA9F" w14:textId="77777777" w:rsidR="003B7774" w:rsidRPr="00457F66" w:rsidRDefault="003B7774" w:rsidP="003B7774">
      <w:pPr>
        <w:rPr>
          <w:rFonts w:ascii="Arial" w:eastAsiaTheme="minorHAnsi" w:hAnsi="Arial" w:cs="Arial"/>
        </w:rPr>
      </w:pPr>
    </w:p>
    <w:p w14:paraId="4985677E" w14:textId="77777777" w:rsidR="00327409" w:rsidRPr="00457F66" w:rsidRDefault="00327409" w:rsidP="008452C0">
      <w:pPr>
        <w:pStyle w:val="Heading2"/>
        <w:spacing w:line="360" w:lineRule="auto"/>
        <w:jc w:val="both"/>
      </w:pPr>
      <w:bookmarkStart w:id="6" w:name="_Toc240922927"/>
      <w:r w:rsidRPr="00457F66">
        <w:t>1.3 Statement of the Problem</w:t>
      </w:r>
      <w:bookmarkEnd w:id="6"/>
    </w:p>
    <w:p w14:paraId="1DE01F46" w14:textId="77777777"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Despite the ample demonstration of the deep health need in homeless adults, and the presence of well-established policy frameworks in the country aimed at providing homeless individuals with access to primary healthcare, there has been a substantial and consequential disparity between declared rights to receive care and achievement of care. The NICE (2022) guideline NG214, Integrated Health and Social Care for People Experiencing Homelessness, is a clear confirmation of the unambiguous legal right of homeless people to be registered with any GP practice without an address or any identifying documents. However, in a mixed-methods audit of 100 GP practice websites in ten London boroughs, Hodson et al. (2019) have identified that 75% of practices required documentation to register and only 12% had any alternative to the provision of such documentation to individuals who could not provide it, which is a widespread, systematic non-adherence to national guidance. Similar results have been found by the Care Quality Commission (CQC, 2023) who found nationwide persistent failures by GP practices to meet NHS registration requirements for homeless patients.</w:t>
      </w:r>
    </w:p>
    <w:p w14:paraId="3A1C7362" w14:textId="559FE034"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 xml:space="preserve">The impact of such failure of access is difficult to quantify. The authors of the studies </w:t>
      </w:r>
      <w:r w:rsidR="002B2559">
        <w:rPr>
          <w:rFonts w:ascii="Arial" w:eastAsiaTheme="minorHAnsi" w:hAnsi="Arial" w:cs="Arial"/>
          <w:kern w:val="2"/>
          <w:sz w:val="22"/>
          <w:szCs w:val="22"/>
          <w:lang w:eastAsia="en-US"/>
          <w14:ligatures w14:val="standardContextual"/>
        </w:rPr>
        <w:t>analysed</w:t>
      </w:r>
      <w:r w:rsidRPr="00457F66">
        <w:rPr>
          <w:rFonts w:ascii="Arial" w:eastAsiaTheme="minorHAnsi" w:hAnsi="Arial" w:cs="Arial"/>
          <w:kern w:val="2"/>
          <w:sz w:val="22"/>
          <w:szCs w:val="22"/>
          <w:lang w:eastAsia="en-US"/>
          <w14:ligatures w14:val="standardContextual"/>
        </w:rPr>
        <w:t xml:space="preserve"> survey data on 2,505 homeless people in 19 regions of England and discovered that the connection between the type of homelessness and secondary care use was mediated by having or not having GP registration, with unregistered people being significantly more inclined to obtain any healthcare services in the emergency departments when they should have addressed them in primary care (Elwell-Sutton et al., 2017). According to a survey by Homeless Link (2022), 48% of homeless people surveyed used an accident and emergency service in the last year, three times higher than the general population, a trend that has been observed to displace primary care demand to an emergency at great cost to the individual and the NHS.</w:t>
      </w:r>
    </w:p>
    <w:p w14:paraId="70833DDB" w14:textId="77777777" w:rsidR="00327409" w:rsidRPr="00457F66" w:rsidRDefault="00327409" w:rsidP="008452C0">
      <w:pPr>
        <w:pStyle w:val="font-claude-response-body"/>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In addition to registration, homeless adults are facing various other barriers in primary care. They are stigmatising professional attitudes, rigid appointment systems, digital exclusion due to the COVID-19-instigated transition to telephone-first care and online-first care, as well as the synergistic effect of housing instability on continuity of care (Armstrong et al., 2021; Howells et al., 2022). Fitzpatrick et al. (2019) have found the structural factors that result in such barriers, such as poverty, welfare reform, and housing shortage, to be long-standing and inadequately tackled by subsequent policy frameworks. The fact that the number of avoidable deaths due to the inability to access primary care is still high and is recorded by Aldridge et al. (2019) and ONS (2022) makes it a matter of critical social health concern.</w:t>
      </w:r>
    </w:p>
    <w:p w14:paraId="046A8DDE" w14:textId="77777777" w:rsidR="00327409" w:rsidRPr="00457F66" w:rsidRDefault="00327409" w:rsidP="008452C0">
      <w:pPr>
        <w:pStyle w:val="Heading2"/>
        <w:spacing w:line="360" w:lineRule="auto"/>
        <w:jc w:val="both"/>
      </w:pPr>
      <w:bookmarkStart w:id="7" w:name="_Toc240922928"/>
      <w:r w:rsidRPr="00457F66">
        <w:t>1.4 Rationale of Research</w:t>
      </w:r>
      <w:bookmarkEnd w:id="7"/>
    </w:p>
    <w:p w14:paraId="06D12357" w14:textId="63B2442D"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 xml:space="preserve">Several evidential, policy, and public health rationales are three interrelated factors that drive this systematic review. First, the available systematic and scoping reviews that have focused on the topic of healthcare access </w:t>
      </w:r>
      <w:r w:rsidR="002B2559">
        <w:rPr>
          <w:rFonts w:ascii="Arial" w:eastAsiaTheme="minorHAnsi" w:hAnsi="Arial" w:cs="Arial"/>
          <w:kern w:val="2"/>
          <w:sz w:val="22"/>
          <w:szCs w:val="22"/>
          <w:lang w:eastAsia="en-US"/>
          <w14:ligatures w14:val="standardContextual"/>
        </w:rPr>
        <w:t>for</w:t>
      </w:r>
      <w:r w:rsidRPr="00457F66">
        <w:rPr>
          <w:rFonts w:ascii="Arial" w:eastAsiaTheme="minorHAnsi" w:hAnsi="Arial" w:cs="Arial"/>
          <w:kern w:val="2"/>
          <w:sz w:val="22"/>
          <w:szCs w:val="22"/>
          <w:lang w:eastAsia="en-US"/>
          <w14:ligatures w14:val="standardContextual"/>
        </w:rPr>
        <w:t xml:space="preserve"> homeless individuals are mostly international or multi-national in scope (</w:t>
      </w:r>
      <w:proofErr w:type="spellStart"/>
      <w:r w:rsidRPr="00457F66">
        <w:rPr>
          <w:rFonts w:ascii="Arial" w:eastAsiaTheme="minorHAnsi" w:hAnsi="Arial" w:cs="Arial"/>
          <w:kern w:val="2"/>
          <w:sz w:val="22"/>
          <w:szCs w:val="22"/>
          <w:lang w:eastAsia="en-US"/>
          <w14:ligatures w14:val="standardContextual"/>
        </w:rPr>
        <w:t>Omerov</w:t>
      </w:r>
      <w:proofErr w:type="spellEnd"/>
      <w:r w:rsidRPr="00457F66">
        <w:rPr>
          <w:rFonts w:ascii="Arial" w:eastAsiaTheme="minorHAnsi" w:hAnsi="Arial" w:cs="Arial"/>
          <w:kern w:val="2"/>
          <w:sz w:val="22"/>
          <w:szCs w:val="22"/>
          <w:lang w:eastAsia="en-US"/>
          <w14:ligatures w14:val="standardContextual"/>
        </w:rPr>
        <w:t xml:space="preserve"> et al., 2020), which significantly restricts their direct relevance to the English NHS setting, to the regulatory, commissioning and service delivery frameworks that underpin primary care in England, and to the policy interventions, such as NICE NG214 (2022), which are implemented in the English context. The gap in the research by McNeill et al. (2022) was the need for better evidence synthesis on England to inform NHS commissioning decisions and general practice policy, which is precisely what this review provides.</w:t>
      </w:r>
    </w:p>
    <w:p w14:paraId="20458218" w14:textId="77777777"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Second, most of the systematic reviews that still exist have been conducted prior to the COVID-19 pandemic and the resulting acceleration of the process of primary care delivery into the digital realm. The move towards telephone-first and online-first access models is a major and possibly permanent shift in structure that has brought about new barriers and exacerbated existing ones for digitally excluded populations, such as homeless adults. Lewer et al. (2020) simulated the overrepresentation of homeless groups in the virus outbreak in England, as they illustrated that vulnerabilities and barriers to healthcare access were increased significantly by the pandemic. Such post-pandemic barriers have not been sufficiently synthesised in the peer-reviewed literature, and thus there is a critical gap in the literature that is addressed by this review by including evidence published as of June 2026.</w:t>
      </w:r>
    </w:p>
    <w:p w14:paraId="259CA31E" w14:textId="77777777" w:rsidR="00327409" w:rsidRPr="00457F66" w:rsidRDefault="00327409" w:rsidP="008452C0">
      <w:pPr>
        <w:pStyle w:val="font-claude-response-body"/>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Third, the evidence confirms the fact that a significant percentage of deaths among homeless adults in England could be avoided by providing them with timely primary healthcare services (Aldridge et al., 2019). The process of identifying and systematically summarising the obstacles to this population being able to obtain primary care thus forms a direct contribution to public health that has the potential to inform interventions that will decrease preventable mortality and morbidity in one of the most underserved and marginalised populations in England.</w:t>
      </w:r>
    </w:p>
    <w:p w14:paraId="4C467DED" w14:textId="77777777" w:rsidR="00327409" w:rsidRPr="00457F66" w:rsidRDefault="00327409" w:rsidP="008452C0">
      <w:pPr>
        <w:pStyle w:val="Heading2"/>
        <w:spacing w:line="360" w:lineRule="auto"/>
        <w:jc w:val="both"/>
      </w:pPr>
      <w:bookmarkStart w:id="8" w:name="_Toc240922929"/>
      <w:r w:rsidRPr="00457F66">
        <w:t>1.5 Research Question</w:t>
      </w:r>
      <w:bookmarkEnd w:id="8"/>
    </w:p>
    <w:p w14:paraId="4759D8D8" w14:textId="77777777"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The research question that will be used to conduct this systematic review is as follows:</w:t>
      </w:r>
    </w:p>
    <w:p w14:paraId="5CE0B7F3" w14:textId="5ADD20A7" w:rsidR="00327409" w:rsidRPr="00457F66" w:rsidRDefault="005B3A5C" w:rsidP="008452C0">
      <w:pPr>
        <w:pStyle w:val="font-claude-response-body"/>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How do structural, institutional, and individual-level barriers influence access to primary healthcare services among homeless adults in England?</w:t>
      </w:r>
    </w:p>
    <w:p w14:paraId="2A687EC0" w14:textId="77777777" w:rsidR="00327409" w:rsidRPr="00457F66" w:rsidRDefault="00327409" w:rsidP="008452C0">
      <w:pPr>
        <w:pStyle w:val="Heading2"/>
        <w:spacing w:line="360" w:lineRule="auto"/>
      </w:pPr>
      <w:bookmarkStart w:id="9" w:name="_Toc240922930"/>
      <w:r w:rsidRPr="00457F66">
        <w:t>1.6 Research Aim</w:t>
      </w:r>
      <w:bookmarkEnd w:id="9"/>
    </w:p>
    <w:p w14:paraId="05D359D4" w14:textId="77777777" w:rsidR="00327409" w:rsidRPr="00457F66" w:rsidRDefault="00327409" w:rsidP="008452C0">
      <w:pPr>
        <w:pStyle w:val="font-claude-response-body"/>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b/>
          <w:bCs/>
          <w:kern w:val="2"/>
          <w:sz w:val="22"/>
          <w:szCs w:val="22"/>
          <w:lang w:eastAsia="en-US"/>
          <w14:ligatures w14:val="standardContextual"/>
        </w:rPr>
        <w:t xml:space="preserve">Aim: </w:t>
      </w:r>
      <w:r w:rsidRPr="00457F66">
        <w:rPr>
          <w:rFonts w:ascii="Arial" w:eastAsiaTheme="minorHAnsi" w:hAnsi="Arial" w:cs="Arial"/>
          <w:kern w:val="2"/>
          <w:sz w:val="22"/>
          <w:szCs w:val="22"/>
          <w:lang w:eastAsia="en-US"/>
          <w14:ligatures w14:val="standardContextual"/>
        </w:rPr>
        <w:t>To conduct a systematic review and synthesise the barriers to accessing primary healthcare services by homeless adults in England.</w:t>
      </w:r>
    </w:p>
    <w:p w14:paraId="1849DA9A" w14:textId="77777777" w:rsidR="00327409" w:rsidRPr="00457F66" w:rsidRDefault="00327409" w:rsidP="008452C0">
      <w:pPr>
        <w:pStyle w:val="Heading2"/>
        <w:spacing w:line="360" w:lineRule="auto"/>
      </w:pPr>
      <w:bookmarkStart w:id="10" w:name="_Toc240922931"/>
      <w:r w:rsidRPr="00457F66">
        <w:t>1.7 Research Objectives</w:t>
      </w:r>
      <w:bookmarkEnd w:id="10"/>
    </w:p>
    <w:p w14:paraId="6453FFB7" w14:textId="37E6552C" w:rsidR="00327409" w:rsidRPr="00457F66" w:rsidRDefault="00327409" w:rsidP="003B7774">
      <w:pPr>
        <w:pStyle w:val="font-claude-response-body"/>
        <w:numPr>
          <w:ilvl w:val="0"/>
          <w:numId w:val="3"/>
        </w:numPr>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To identify and pool together structural, institutional and individual-level barriers to primary healthcare for homeless adults in England.</w:t>
      </w:r>
    </w:p>
    <w:p w14:paraId="0585EB0C" w14:textId="2620D35D" w:rsidR="00327409" w:rsidRPr="00457F66" w:rsidRDefault="00327409" w:rsidP="003B7774">
      <w:pPr>
        <w:pStyle w:val="font-claude-response-body"/>
        <w:numPr>
          <w:ilvl w:val="0"/>
          <w:numId w:val="3"/>
        </w:numPr>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To explore how healthcare policy, service design and registration affect the accessibility of GP and community health services for homeless people in England.</w:t>
      </w:r>
    </w:p>
    <w:p w14:paraId="7D96DD7C" w14:textId="545961A3" w:rsidR="00327409" w:rsidRPr="00457F66" w:rsidRDefault="00327409" w:rsidP="003B7774">
      <w:pPr>
        <w:pStyle w:val="font-claude-response-body"/>
        <w:numPr>
          <w:ilvl w:val="0"/>
          <w:numId w:val="3"/>
        </w:numPr>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To critically assess the quality of methodological evidence on the exclusion of healthcare for homeless adults in England (quantitative and qualitative).</w:t>
      </w:r>
    </w:p>
    <w:p w14:paraId="1FBBCBBF" w14:textId="040395AA" w:rsidR="00327409" w:rsidRPr="00457F66" w:rsidRDefault="00327409" w:rsidP="003B7774">
      <w:pPr>
        <w:pStyle w:val="font-claude-response-body"/>
        <w:numPr>
          <w:ilvl w:val="0"/>
          <w:numId w:val="3"/>
        </w:numPr>
        <w:spacing w:line="360" w:lineRule="auto"/>
        <w:jc w:val="both"/>
        <w:rPr>
          <w:rFonts w:ascii="Arial" w:eastAsiaTheme="minorHAnsi" w:hAnsi="Arial" w:cs="Arial"/>
          <w:b/>
          <w:bCs/>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To investigate potential solutions and policy recommendations suggested in the literature to improve access to primary healthcare among homeless adults in England.</w:t>
      </w:r>
    </w:p>
    <w:p w14:paraId="1F3B2222" w14:textId="77777777" w:rsidR="00327409" w:rsidRPr="00457F66" w:rsidRDefault="00327409" w:rsidP="008452C0">
      <w:pPr>
        <w:pStyle w:val="Heading2"/>
        <w:spacing w:line="360" w:lineRule="auto"/>
        <w:jc w:val="both"/>
      </w:pPr>
      <w:bookmarkStart w:id="11" w:name="_Toc240922932"/>
      <w:r w:rsidRPr="00457F66">
        <w:t>1.8 Summary of Chapter</w:t>
      </w:r>
      <w:bookmarkEnd w:id="11"/>
    </w:p>
    <w:p w14:paraId="3A9930C5" w14:textId="27BEC0DF" w:rsidR="00327409" w:rsidRPr="00457F66" w:rsidRDefault="00327409" w:rsidP="008452C0">
      <w:pPr>
        <w:pStyle w:val="font-claude-response-body"/>
        <w:spacing w:line="360" w:lineRule="auto"/>
        <w:jc w:val="both"/>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t>This chapter has set the public health scene which is driving and framing this systematic review. Starting with an international discussion on access to primary healthcare as a basic human right, the chapter focused more specifically on the particular and more distressing case of homeless adults in England - a group of people with extremely unequal health status alongside a significantly high level of obstacles to accessing the primary care services that would help reduce the health disparities these people are facing. The magnitude and the intricacy of homelessness in England were catalogued, alongside the tri-morbidity, premature deaths, and avoidable illnesses. The ongoing and consequential disparity between formal NHS access to primary care and the reality of access by homeless adults was noted as the main issue to be tackled by such a review. The policy, evidential, and public health justification of the need to carry out a focused, England-specific, PRISMA 2020-compliant systematic review was described. The four objectives, research question and aim of this dissertation were presented. The following chapters will outline the methodology, describe the results of fifteen included studies, critically interpret these results in comparison to existing literature and three theoretical frameworks that guide the research, and provide evidence-based recommendations on which to practice, policy and future research.</w:t>
      </w:r>
    </w:p>
    <w:p w14:paraId="5BF9F7F6" w14:textId="77777777" w:rsidR="00327409" w:rsidRPr="00457F66" w:rsidRDefault="00327409" w:rsidP="008452C0">
      <w:pPr>
        <w:spacing w:line="360" w:lineRule="auto"/>
        <w:jc w:val="both"/>
        <w:rPr>
          <w:rFonts w:ascii="Arial" w:hAnsi="Arial" w:cs="Arial"/>
          <w:sz w:val="22"/>
          <w:szCs w:val="22"/>
        </w:rPr>
      </w:pPr>
      <w:r w:rsidRPr="00457F66">
        <w:rPr>
          <w:rFonts w:ascii="Arial" w:eastAsiaTheme="minorHAnsi" w:hAnsi="Arial" w:cs="Arial"/>
          <w:kern w:val="2"/>
          <w:sz w:val="22"/>
          <w:szCs w:val="22"/>
          <w:lang w:eastAsia="en-US"/>
          <w14:ligatures w14:val="standardContextual"/>
        </w:rPr>
        <w:br w:type="page"/>
      </w:r>
    </w:p>
    <w:p w14:paraId="33766672" w14:textId="77777777" w:rsidR="00405394" w:rsidRPr="00457F66" w:rsidRDefault="00405394" w:rsidP="008452C0">
      <w:pPr>
        <w:pStyle w:val="Heading1"/>
        <w:spacing w:line="360" w:lineRule="auto"/>
        <w:jc w:val="both"/>
      </w:pPr>
      <w:bookmarkStart w:id="12" w:name="_Toc240922933"/>
      <w:r w:rsidRPr="00457F66">
        <w:t>CHAPTER 2 — LITERATURE REVIEW</w:t>
      </w:r>
      <w:bookmarkEnd w:id="12"/>
    </w:p>
    <w:p w14:paraId="6044E0EE" w14:textId="77777777" w:rsidR="00405394" w:rsidRPr="00457F66" w:rsidRDefault="00405394" w:rsidP="008452C0">
      <w:pPr>
        <w:pStyle w:val="Heading2"/>
        <w:spacing w:line="360" w:lineRule="auto"/>
        <w:jc w:val="both"/>
      </w:pPr>
      <w:bookmarkStart w:id="13" w:name="_Toc240922934"/>
      <w:r w:rsidRPr="00457F66">
        <w:t>2.1 Introduction to the Literature Review</w:t>
      </w:r>
      <w:bookmarkEnd w:id="13"/>
    </w:p>
    <w:p w14:paraId="4D75E92B" w14:textId="7AAE0AEE"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This chapter will critically synthesise the existing literature available on obstacles facing homeless adults when accessing primary healthcare in England. Instead of providing a descriptive report of the results of individual studies, this chapter makes comparisons and assessments of evidence across studies, areas of agreement and disagreement, and critically evaluates the strengths and limitations of the evidence base. The chapter opens by covering definitions and the epidemiological context and then proceeds to cover the policy landscape, structural barriers, institutional barriers, individual-level factors, COVID-19 and digital exclusion, and the social determinants of health. The chapter ends with the three theoretical frameworks that will drive this review and </w:t>
      </w:r>
      <w:r w:rsidR="002B2559">
        <w:rPr>
          <w:rFonts w:ascii="Arial" w:hAnsi="Arial" w:cs="Arial"/>
          <w:sz w:val="22"/>
          <w:szCs w:val="22"/>
        </w:rPr>
        <w:t xml:space="preserve">the </w:t>
      </w:r>
      <w:r w:rsidRPr="00457F66">
        <w:rPr>
          <w:rFonts w:ascii="Arial" w:hAnsi="Arial" w:cs="Arial"/>
          <w:sz w:val="22"/>
          <w:szCs w:val="22"/>
        </w:rPr>
        <w:t xml:space="preserve">identification of gaps in the evidence that will justify the current systematic review. Peer-reviewed empirical research and plausible grey literature are used to </w:t>
      </w:r>
      <w:r w:rsidR="0049712A" w:rsidRPr="00457F66">
        <w:rPr>
          <w:rFonts w:ascii="Arial" w:hAnsi="Arial" w:cs="Arial"/>
          <w:sz w:val="22"/>
          <w:szCs w:val="22"/>
        </w:rPr>
        <w:t>support the</w:t>
      </w:r>
      <w:r w:rsidRPr="00457F66">
        <w:rPr>
          <w:rFonts w:ascii="Arial" w:hAnsi="Arial" w:cs="Arial"/>
          <w:sz w:val="22"/>
          <w:szCs w:val="22"/>
        </w:rPr>
        <w:t xml:space="preserve"> evidence, with a preference for England-specific and post-2015</w:t>
      </w:r>
      <w:r w:rsidR="002B2559">
        <w:rPr>
          <w:rFonts w:ascii="Arial" w:hAnsi="Arial" w:cs="Arial"/>
          <w:sz w:val="22"/>
          <w:szCs w:val="22"/>
        </w:rPr>
        <w:t xml:space="preserve"> sources</w:t>
      </w:r>
      <w:r w:rsidRPr="00457F66">
        <w:rPr>
          <w:rFonts w:ascii="Arial" w:hAnsi="Arial" w:cs="Arial"/>
          <w:sz w:val="22"/>
          <w:szCs w:val="22"/>
        </w:rPr>
        <w:t>.</w:t>
      </w:r>
    </w:p>
    <w:p w14:paraId="0745893A" w14:textId="77777777" w:rsidR="00405394" w:rsidRPr="00457F66" w:rsidRDefault="00405394" w:rsidP="008452C0">
      <w:pPr>
        <w:pStyle w:val="Heading2"/>
        <w:spacing w:line="360" w:lineRule="auto"/>
        <w:jc w:val="both"/>
      </w:pPr>
      <w:bookmarkStart w:id="14" w:name="_Toc240922935"/>
      <w:r w:rsidRPr="00457F66">
        <w:t>2.2 Defining Homelessness in England</w:t>
      </w:r>
      <w:bookmarkEnd w:id="14"/>
    </w:p>
    <w:p w14:paraId="11AE3649" w14:textId="384174B0"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Homelessness in England has no set or undisputed definition, and the framework of a definition that is used in any research has direct implications for what populations are to be studied, what barriers are to be defined and what policy responses are to be suggested.</w:t>
      </w:r>
      <w:r w:rsidRPr="00457F66">
        <w:rPr>
          <w:rFonts w:ascii="Arial" w:hAnsi="Arial" w:cs="Arial"/>
          <w:sz w:val="22"/>
          <w:szCs w:val="22"/>
        </w:rPr>
        <w:t xml:space="preserve"> </w:t>
      </w:r>
      <w:r w:rsidRPr="00457F66">
        <w:rPr>
          <w:rStyle w:val="cursor-pointer"/>
          <w:rFonts w:ascii="Arial" w:hAnsi="Arial" w:cs="Arial"/>
          <w:sz w:val="22"/>
          <w:szCs w:val="22"/>
        </w:rPr>
        <w:t>It is legally defined through the Housing Act (1996), as amended by the Homelessness Reduction Act (2017), as part of the expansion of preventive and relief responsibilities on local authorities to act proactively towards those at risk of homelessness (Bevan, 2022).</w:t>
      </w:r>
      <w:r w:rsidRPr="00457F66">
        <w:rPr>
          <w:rFonts w:ascii="Arial" w:hAnsi="Arial" w:cs="Arial"/>
          <w:sz w:val="22"/>
          <w:szCs w:val="22"/>
        </w:rPr>
        <w:t xml:space="preserve"> </w:t>
      </w:r>
      <w:r w:rsidRPr="00457F66">
        <w:rPr>
          <w:rStyle w:val="cursor-pointer"/>
          <w:rFonts w:ascii="Arial" w:hAnsi="Arial" w:cs="Arial"/>
          <w:sz w:val="22"/>
          <w:szCs w:val="22"/>
        </w:rPr>
        <w:t xml:space="preserve">Nevertheless, statutory definitions have repeatedly been criticised for being narrow in scope, not including hidden homelessness, </w:t>
      </w:r>
      <w:r w:rsidR="0049712A" w:rsidRPr="00457F66">
        <w:rPr>
          <w:rStyle w:val="cursor-pointer"/>
          <w:rFonts w:ascii="Arial" w:hAnsi="Arial" w:cs="Arial"/>
          <w:sz w:val="22"/>
          <w:szCs w:val="22"/>
        </w:rPr>
        <w:t>such as</w:t>
      </w:r>
      <w:r w:rsidRPr="00457F66">
        <w:rPr>
          <w:rStyle w:val="cursor-pointer"/>
          <w:rFonts w:ascii="Arial" w:hAnsi="Arial" w:cs="Arial"/>
          <w:sz w:val="22"/>
          <w:szCs w:val="22"/>
        </w:rPr>
        <w:t xml:space="preserve"> sofa-surfing, overcrowded housing, and living in a vehicle, which constitutes the majority of homeless people, and is linked to the greatest barriers to accessing primary healthcare </w:t>
      </w:r>
      <w:r w:rsidR="00B116C8" w:rsidRPr="00457F66">
        <w:rPr>
          <w:rFonts w:ascii="Arial" w:hAnsi="Arial" w:cs="Arial"/>
          <w:sz w:val="22"/>
          <w:szCs w:val="22"/>
        </w:rPr>
        <w:t>(Fitzpatrick et al., 2013; Bramley and Fitzpatrick, 2018)</w:t>
      </w:r>
      <w:r w:rsidRPr="00457F66">
        <w:rPr>
          <w:rStyle w:val="cursor-pointer"/>
          <w:rFonts w:ascii="Arial" w:hAnsi="Arial" w:cs="Arial"/>
          <w:sz w:val="22"/>
          <w:szCs w:val="22"/>
        </w:rPr>
        <w:t>.</w:t>
      </w:r>
      <w:r w:rsidRPr="00457F66">
        <w:rPr>
          <w:rFonts w:ascii="Arial" w:hAnsi="Arial" w:cs="Arial"/>
          <w:sz w:val="22"/>
          <w:szCs w:val="22"/>
        </w:rPr>
        <w:t xml:space="preserve"> </w:t>
      </w:r>
      <w:r w:rsidRPr="00457F66">
        <w:rPr>
          <w:rStyle w:val="cursor-pointer"/>
          <w:rFonts w:ascii="Arial" w:hAnsi="Arial" w:cs="Arial"/>
          <w:sz w:val="22"/>
          <w:szCs w:val="22"/>
        </w:rPr>
        <w:t>This difference is analytically meaningful to the current review, since the hidden homeless represent exactly the group that is most likely not included in official records, as well as the GP registration databases.</w:t>
      </w:r>
    </w:p>
    <w:p w14:paraId="63655B8B" w14:textId="7556127F"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According to Fitzpatrick et al. (2019), poverty, welfare reform, relationship breakdown, and housing market failure are the key overlapping structural causes of homelessness in the UK, and individualistic explanatory models of homelessness that lay the blame on personal vulnerabilities or behavioural traits are challenging.</w:t>
      </w:r>
      <w:r w:rsidRPr="00457F66">
        <w:rPr>
          <w:rFonts w:ascii="Arial" w:hAnsi="Arial" w:cs="Arial"/>
          <w:sz w:val="22"/>
          <w:szCs w:val="22"/>
        </w:rPr>
        <w:t xml:space="preserve"> </w:t>
      </w:r>
      <w:r w:rsidRPr="00457F66">
        <w:rPr>
          <w:rStyle w:val="cursor-pointer"/>
          <w:rFonts w:ascii="Arial" w:hAnsi="Arial" w:cs="Arial"/>
          <w:sz w:val="22"/>
          <w:szCs w:val="22"/>
        </w:rPr>
        <w:t>This structural lens holds significance to the current review because it creates a foundation that barriers to primary healthcare are structural in nature instead of being incidental.</w:t>
      </w:r>
      <w:r w:rsidRPr="00457F66">
        <w:rPr>
          <w:rFonts w:ascii="Arial" w:hAnsi="Arial" w:cs="Arial"/>
          <w:sz w:val="22"/>
          <w:szCs w:val="22"/>
        </w:rPr>
        <w:t xml:space="preserve"> </w:t>
      </w:r>
      <w:r w:rsidRPr="00457F66">
        <w:rPr>
          <w:rStyle w:val="cursor-pointer"/>
          <w:rFonts w:ascii="Arial" w:hAnsi="Arial" w:cs="Arial"/>
          <w:sz w:val="22"/>
          <w:szCs w:val="22"/>
        </w:rPr>
        <w:t>The conclusions drawn in the review</w:t>
      </w:r>
      <w:r w:rsidR="0049712A" w:rsidRPr="00457F66">
        <w:rPr>
          <w:rStyle w:val="cursor-pointer"/>
          <w:rFonts w:ascii="Arial" w:hAnsi="Arial" w:cs="Arial"/>
          <w:sz w:val="22"/>
          <w:szCs w:val="22"/>
        </w:rPr>
        <w:t>,</w:t>
      </w:r>
      <w:r w:rsidRPr="00457F66">
        <w:rPr>
          <w:rStyle w:val="cursor-pointer"/>
          <w:rFonts w:ascii="Arial" w:hAnsi="Arial" w:cs="Arial"/>
          <w:sz w:val="22"/>
          <w:szCs w:val="22"/>
        </w:rPr>
        <w:t xml:space="preserve"> due to the definitional debates in this literature</w:t>
      </w:r>
      <w:r w:rsidR="0049712A" w:rsidRPr="00457F66">
        <w:rPr>
          <w:rStyle w:val="cursor-pointer"/>
          <w:rFonts w:ascii="Arial" w:hAnsi="Arial" w:cs="Arial"/>
          <w:sz w:val="22"/>
          <w:szCs w:val="22"/>
        </w:rPr>
        <w:t>,</w:t>
      </w:r>
      <w:r w:rsidRPr="00457F66">
        <w:rPr>
          <w:rStyle w:val="cursor-pointer"/>
          <w:rFonts w:ascii="Arial" w:hAnsi="Arial" w:cs="Arial"/>
          <w:sz w:val="22"/>
          <w:szCs w:val="22"/>
        </w:rPr>
        <w:t xml:space="preserve"> are that it is appropriate to use a broad definition of homelessness, covering statutory, rough sleeping and hidden homeless people to ensure the findings are as relevant and transferable as possible.</w:t>
      </w:r>
    </w:p>
    <w:p w14:paraId="3E1AADCE" w14:textId="77777777" w:rsidR="00405394" w:rsidRPr="00457F66" w:rsidRDefault="00405394" w:rsidP="008452C0">
      <w:pPr>
        <w:pStyle w:val="Heading2"/>
        <w:spacing w:line="360" w:lineRule="auto"/>
        <w:jc w:val="both"/>
      </w:pPr>
      <w:bookmarkStart w:id="15" w:name="_Toc240922936"/>
      <w:r w:rsidRPr="00457F66">
        <w:t>2.3 Scale of Homelessness and Health Burden</w:t>
      </w:r>
      <w:bookmarkEnd w:id="15"/>
    </w:p>
    <w:p w14:paraId="208A92BA" w14:textId="5E9E1B75"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literature has a wide agreement that homeless adults have immense and largely avoidable health inequalities compared to the rest of the population.</w:t>
      </w:r>
      <w:r w:rsidRPr="00457F66">
        <w:rPr>
          <w:rFonts w:ascii="Arial" w:hAnsi="Arial" w:cs="Arial"/>
          <w:sz w:val="22"/>
          <w:szCs w:val="22"/>
        </w:rPr>
        <w:t xml:space="preserve"> </w:t>
      </w:r>
      <w:r w:rsidRPr="00457F66">
        <w:rPr>
          <w:rStyle w:val="cursor-pointer"/>
          <w:rFonts w:ascii="Arial" w:hAnsi="Arial" w:cs="Arial"/>
          <w:sz w:val="22"/>
          <w:szCs w:val="22"/>
        </w:rPr>
        <w:t>In a meta-analysis and systematic review of 73 studies of high-income countries, Aldridge et al. (2018) derived standardised mortality ratios of 7.88 in men and 11.86 in women, and determined that homeless adults are eight to twelve times more likely to die than the general population.</w:t>
      </w:r>
      <w:r w:rsidRPr="00457F66">
        <w:rPr>
          <w:rFonts w:ascii="Arial" w:hAnsi="Arial" w:cs="Arial"/>
          <w:sz w:val="22"/>
          <w:szCs w:val="22"/>
        </w:rPr>
        <w:t xml:space="preserve"> </w:t>
      </w:r>
      <w:r w:rsidRPr="00457F66">
        <w:rPr>
          <w:rStyle w:val="cursor-pointer"/>
          <w:rFonts w:ascii="Arial" w:hAnsi="Arial" w:cs="Arial"/>
          <w:sz w:val="22"/>
          <w:szCs w:val="22"/>
        </w:rPr>
        <w:t>This result is generally comparable to national statistics about England by ONS (2022), which states the mean age at death of men and women at 45.4 and 43.2 years, respectively — giving cross-study plausibility to the interpretation that homeless adults die catastrophically prematurely.</w:t>
      </w:r>
      <w:r w:rsidRPr="00457F66">
        <w:rPr>
          <w:rFonts w:ascii="Arial" w:hAnsi="Arial" w:cs="Arial"/>
          <w:sz w:val="22"/>
          <w:szCs w:val="22"/>
        </w:rPr>
        <w:t xml:space="preserve"> </w:t>
      </w:r>
      <w:r w:rsidRPr="00457F66">
        <w:rPr>
          <w:rStyle w:val="cursor-pointer"/>
          <w:rFonts w:ascii="Arial" w:hAnsi="Arial" w:cs="Arial"/>
          <w:sz w:val="22"/>
          <w:szCs w:val="22"/>
        </w:rPr>
        <w:t>Nonetheless, Aldridge et al. (2018) themselves note that there is considerable methodological heterogeneity between included studies, such as homelessness definition and methods of mortality ascertainment, and pooled estimates should be viewed with necessary caution.</w:t>
      </w:r>
    </w:p>
    <w:p w14:paraId="7F2BA9B5" w14:textId="7C6B183E"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Mental health burden is an emerging field of evidence with consistent but varying evidence.</w:t>
      </w:r>
      <w:r w:rsidRPr="00457F66">
        <w:rPr>
          <w:rFonts w:ascii="Arial" w:hAnsi="Arial" w:cs="Arial"/>
          <w:sz w:val="22"/>
          <w:szCs w:val="22"/>
        </w:rPr>
        <w:t xml:space="preserve"> </w:t>
      </w:r>
      <w:r w:rsidRPr="00457F66">
        <w:rPr>
          <w:rStyle w:val="cursor-pointer"/>
          <w:rFonts w:ascii="Arial" w:hAnsi="Arial" w:cs="Arial"/>
          <w:sz w:val="22"/>
          <w:szCs w:val="22"/>
        </w:rPr>
        <w:t xml:space="preserve">In a recent systematic review and meta-regression analysis of 85 studies, </w:t>
      </w:r>
      <w:proofErr w:type="spellStart"/>
      <w:r w:rsidR="00077402" w:rsidRPr="00457F66">
        <w:rPr>
          <w:rStyle w:val="cursor-pointer"/>
          <w:rFonts w:ascii="Arial" w:hAnsi="Arial" w:cs="Arial"/>
          <w:sz w:val="22"/>
          <w:szCs w:val="22"/>
        </w:rPr>
        <w:t>Gutwinski</w:t>
      </w:r>
      <w:proofErr w:type="spellEnd"/>
      <w:r w:rsidR="00077402" w:rsidRPr="00457F66">
        <w:rPr>
          <w:rStyle w:val="cursor-pointer"/>
          <w:rFonts w:ascii="Arial" w:hAnsi="Arial" w:cs="Arial"/>
          <w:sz w:val="22"/>
          <w:szCs w:val="22"/>
        </w:rPr>
        <w:t xml:space="preserve"> et al. (2021)</w:t>
      </w:r>
      <w:r w:rsidRPr="00457F66">
        <w:rPr>
          <w:rStyle w:val="cursor-pointer"/>
          <w:rFonts w:ascii="Arial" w:hAnsi="Arial" w:cs="Arial"/>
          <w:sz w:val="22"/>
          <w:szCs w:val="22"/>
        </w:rPr>
        <w:t xml:space="preserve"> estimated that any mental disorder is present in about 76 </w:t>
      </w:r>
      <w:r w:rsidR="002B2559">
        <w:rPr>
          <w:rStyle w:val="cursor-pointer"/>
          <w:rFonts w:ascii="Arial" w:hAnsi="Arial" w:cs="Arial"/>
          <w:sz w:val="22"/>
          <w:szCs w:val="22"/>
        </w:rPr>
        <w:t>per cent</w:t>
      </w:r>
      <w:r w:rsidRPr="00457F66">
        <w:rPr>
          <w:rStyle w:val="cursor-pointer"/>
          <w:rFonts w:ascii="Arial" w:hAnsi="Arial" w:cs="Arial"/>
          <w:sz w:val="22"/>
          <w:szCs w:val="22"/>
        </w:rPr>
        <w:t xml:space="preserve"> of the homeless in high-income countries - much higher than estimates in previous reviews.</w:t>
      </w:r>
      <w:r w:rsidRPr="00457F66">
        <w:rPr>
          <w:rFonts w:ascii="Arial" w:hAnsi="Arial" w:cs="Arial"/>
          <w:sz w:val="22"/>
          <w:szCs w:val="22"/>
        </w:rPr>
        <w:t xml:space="preserve"> </w:t>
      </w:r>
      <w:r w:rsidRPr="00457F66">
        <w:rPr>
          <w:rStyle w:val="cursor-pointer"/>
          <w:rFonts w:ascii="Arial" w:hAnsi="Arial" w:cs="Arial"/>
          <w:sz w:val="22"/>
          <w:szCs w:val="22"/>
        </w:rPr>
        <w:t>This increase is also a sign of advances in methodology in measuring the mental ill health burden and indicates that the burden has been underestimated in the past.</w:t>
      </w:r>
      <w:r w:rsidRPr="00457F66">
        <w:rPr>
          <w:rFonts w:ascii="Arial" w:hAnsi="Arial" w:cs="Arial"/>
          <w:sz w:val="22"/>
          <w:szCs w:val="22"/>
        </w:rPr>
        <w:t xml:space="preserve"> </w:t>
      </w:r>
      <w:r w:rsidRPr="00457F66">
        <w:rPr>
          <w:rStyle w:val="cursor-pointer"/>
          <w:rFonts w:ascii="Arial" w:hAnsi="Arial" w:cs="Arial"/>
          <w:sz w:val="22"/>
          <w:szCs w:val="22"/>
        </w:rPr>
        <w:t>Tweed et al. (2021) also reveal that the combination of homelessness with substance use disorders, mental illness, and criminal justice involvement exacerbates health risks, and disadvantage is concentrated in the most vulnerable group of people experiencing multiple vulnerabilities simultaneously.</w:t>
      </w:r>
      <w:r w:rsidRPr="00457F66">
        <w:rPr>
          <w:rFonts w:ascii="Arial" w:hAnsi="Arial" w:cs="Arial"/>
          <w:sz w:val="22"/>
          <w:szCs w:val="22"/>
        </w:rPr>
        <w:t xml:space="preserve"> </w:t>
      </w:r>
      <w:r w:rsidRPr="00457F66">
        <w:rPr>
          <w:rStyle w:val="cursor-pointer"/>
          <w:rFonts w:ascii="Arial" w:hAnsi="Arial" w:cs="Arial"/>
          <w:sz w:val="22"/>
          <w:szCs w:val="22"/>
        </w:rPr>
        <w:t>Lewer et al. (2019) contribute valuable nuance by showing that the health disadvantage of homeless adults is extreme even compared to the most deprived housed quintile - not to the mean of the general population.</w:t>
      </w:r>
      <w:r w:rsidRPr="00457F66">
        <w:rPr>
          <w:rFonts w:ascii="Arial" w:hAnsi="Arial" w:cs="Arial"/>
          <w:sz w:val="22"/>
          <w:szCs w:val="22"/>
        </w:rPr>
        <w:t xml:space="preserve"> </w:t>
      </w:r>
      <w:r w:rsidRPr="00457F66">
        <w:rPr>
          <w:rStyle w:val="cursor-pointer"/>
          <w:rFonts w:ascii="Arial" w:hAnsi="Arial" w:cs="Arial"/>
          <w:sz w:val="22"/>
          <w:szCs w:val="22"/>
        </w:rPr>
        <w:t>This result complicates poverty-equivalence simple arguments and points to the necessity of homelessness-specific and not deprivation-generic healthcare policy.</w:t>
      </w:r>
    </w:p>
    <w:p w14:paraId="491A712D" w14:textId="672303D0"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 xml:space="preserve">The major weaknesses in the methodology of this evidence base are that most of the evidence </w:t>
      </w:r>
      <w:r w:rsidR="002B2559">
        <w:rPr>
          <w:rStyle w:val="cursor-pointer"/>
          <w:rFonts w:ascii="Arial" w:hAnsi="Arial" w:cs="Arial"/>
          <w:sz w:val="22"/>
          <w:szCs w:val="22"/>
        </w:rPr>
        <w:t>base is</w:t>
      </w:r>
      <w:r w:rsidRPr="00457F66">
        <w:rPr>
          <w:rStyle w:val="cursor-pointer"/>
          <w:rFonts w:ascii="Arial" w:hAnsi="Arial" w:cs="Arial"/>
          <w:sz w:val="22"/>
          <w:szCs w:val="22"/>
        </w:rPr>
        <w:t xml:space="preserve"> cross-sectional studies, which are incapable of determining the causal direction of poor health to homelessness.</w:t>
      </w:r>
      <w:r w:rsidRPr="00457F66">
        <w:rPr>
          <w:rFonts w:ascii="Arial" w:hAnsi="Arial" w:cs="Arial"/>
          <w:sz w:val="22"/>
          <w:szCs w:val="22"/>
        </w:rPr>
        <w:t xml:space="preserve"> </w:t>
      </w:r>
      <w:r w:rsidRPr="00457F66">
        <w:rPr>
          <w:rStyle w:val="cursor-pointer"/>
          <w:rFonts w:ascii="Arial" w:hAnsi="Arial" w:cs="Arial"/>
          <w:sz w:val="22"/>
          <w:szCs w:val="22"/>
        </w:rPr>
        <w:t>The extent to which ill health is a cause and/or a contributor to homelessness, the reverse or a two-way relationship has not been well established in the extant literature- a limitation that has a direct bearing on causal inferences that may rightfully be drawn as part of the narrative synthesis of the current review.</w:t>
      </w:r>
    </w:p>
    <w:p w14:paraId="13007EFA" w14:textId="77777777" w:rsidR="00405394" w:rsidRPr="00457F66" w:rsidRDefault="00405394" w:rsidP="008452C0">
      <w:pPr>
        <w:pStyle w:val="Heading2"/>
        <w:spacing w:line="360" w:lineRule="auto"/>
        <w:jc w:val="both"/>
      </w:pPr>
      <w:bookmarkStart w:id="16" w:name="_Toc240922937"/>
      <w:r w:rsidRPr="00457F66">
        <w:t>2.4 Primary Healthcare Policy Context in England</w:t>
      </w:r>
      <w:bookmarkEnd w:id="16"/>
    </w:p>
    <w:p w14:paraId="1513F0C0" w14:textId="17E4DB0B"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policy environment surrounding the primary healthcare of homeless adults in England has changed significantly, but the continuing discrepancy between national policies and local practice is the most significant characteristic of the policy.</w:t>
      </w:r>
      <w:r w:rsidRPr="00457F66">
        <w:rPr>
          <w:rFonts w:ascii="Arial" w:hAnsi="Arial" w:cs="Arial"/>
          <w:sz w:val="22"/>
          <w:szCs w:val="22"/>
        </w:rPr>
        <w:t xml:space="preserve"> </w:t>
      </w:r>
      <w:r w:rsidRPr="00457F66">
        <w:rPr>
          <w:rStyle w:val="cursor-pointer"/>
          <w:rFonts w:ascii="Arial" w:hAnsi="Arial" w:cs="Arial"/>
          <w:sz w:val="22"/>
          <w:szCs w:val="22"/>
        </w:rPr>
        <w:t xml:space="preserve">The most comprehensive evidence-based guideline to date, NICE (2022) guideline NG214, explicitly </w:t>
      </w:r>
      <w:r w:rsidR="002B2559">
        <w:rPr>
          <w:rStyle w:val="cursor-pointer"/>
          <w:rFonts w:ascii="Arial" w:hAnsi="Arial" w:cs="Arial"/>
          <w:sz w:val="22"/>
          <w:szCs w:val="22"/>
        </w:rPr>
        <w:t>states</w:t>
      </w:r>
      <w:r w:rsidRPr="00457F66">
        <w:rPr>
          <w:rStyle w:val="cursor-pointer"/>
          <w:rFonts w:ascii="Arial" w:hAnsi="Arial" w:cs="Arial"/>
          <w:sz w:val="22"/>
          <w:szCs w:val="22"/>
        </w:rPr>
        <w:t xml:space="preserve"> that homeless people legally have the right to be registered with any GP practice regardless of their address or any document, and proposes trauma-informed practice, specialist outreach, multidisciplinary teams, and co-produced service design.</w:t>
      </w:r>
      <w:r w:rsidRPr="00457F66">
        <w:rPr>
          <w:rFonts w:ascii="Arial" w:hAnsi="Arial" w:cs="Arial"/>
          <w:sz w:val="22"/>
          <w:szCs w:val="22"/>
        </w:rPr>
        <w:t xml:space="preserve"> </w:t>
      </w:r>
      <w:r w:rsidRPr="00457F66">
        <w:rPr>
          <w:rStyle w:val="cursor-pointer"/>
          <w:rFonts w:ascii="Arial" w:hAnsi="Arial" w:cs="Arial"/>
          <w:sz w:val="22"/>
          <w:szCs w:val="22"/>
        </w:rPr>
        <w:t>But the issue with NG214 is that an important critical question is whether homeless adults have had the right to register without a fixed address since the establishment of the NHS, but it was necessary to explicitly restate this right in 2022, decades after the issue was initially formally documented.</w:t>
      </w:r>
      <w:r w:rsidRPr="00457F66">
        <w:rPr>
          <w:rFonts w:ascii="Arial" w:hAnsi="Arial" w:cs="Arial"/>
          <w:sz w:val="22"/>
          <w:szCs w:val="22"/>
        </w:rPr>
        <w:t xml:space="preserve"> </w:t>
      </w:r>
      <w:r w:rsidRPr="00457F66">
        <w:rPr>
          <w:rStyle w:val="cursor-pointer"/>
          <w:rFonts w:ascii="Arial" w:hAnsi="Arial" w:cs="Arial"/>
          <w:sz w:val="22"/>
          <w:szCs w:val="22"/>
        </w:rPr>
        <w:t>This in itself is a slur on the mechanisms of implementation that national policymakers can use.</w:t>
      </w:r>
    </w:p>
    <w:p w14:paraId="3907A482" w14:textId="41B3F86F"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There is a high level of support for the conclusion that the mere publication of guidance is not enough to effect practice change at the level of individual GP surgeries.</w:t>
      </w:r>
      <w:r w:rsidRPr="00457F66">
        <w:rPr>
          <w:rFonts w:ascii="Arial" w:hAnsi="Arial" w:cs="Arial"/>
          <w:sz w:val="22"/>
          <w:szCs w:val="22"/>
        </w:rPr>
        <w:t xml:space="preserve"> </w:t>
      </w:r>
      <w:r w:rsidR="00B116C8" w:rsidRPr="00457F66">
        <w:rPr>
          <w:rFonts w:ascii="Arial" w:hAnsi="Arial" w:cs="Arial"/>
          <w:sz w:val="22"/>
          <w:szCs w:val="22"/>
        </w:rPr>
        <w:t>Policy responses, including a formal government review of the Homelessness Reduction Act (Ministry of Housing, Communities and Local Government, 2020), have yet to fully close the implementation gap. Pathway and Crisis (2024) record that</w:t>
      </w:r>
      <w:r w:rsidRPr="00457F66">
        <w:rPr>
          <w:rStyle w:val="cursor-pointer"/>
          <w:rFonts w:ascii="Arial" w:hAnsi="Arial" w:cs="Arial"/>
          <w:sz w:val="22"/>
          <w:szCs w:val="22"/>
        </w:rPr>
        <w:t xml:space="preserve"> homeless people are systematically miscoded in NHS administrative data, which </w:t>
      </w:r>
      <w:r w:rsidR="0049712A" w:rsidRPr="00457F66">
        <w:rPr>
          <w:rStyle w:val="cursor-pointer"/>
          <w:rFonts w:ascii="Arial" w:hAnsi="Arial" w:cs="Arial"/>
          <w:sz w:val="22"/>
          <w:szCs w:val="22"/>
        </w:rPr>
        <w:t>conceals</w:t>
      </w:r>
      <w:r w:rsidRPr="00457F66">
        <w:rPr>
          <w:rStyle w:val="cursor-pointer"/>
          <w:rFonts w:ascii="Arial" w:hAnsi="Arial" w:cs="Arial"/>
          <w:sz w:val="22"/>
          <w:szCs w:val="22"/>
        </w:rPr>
        <w:t xml:space="preserve"> the apparent magnitude of unmet need, as well as the response to it.</w:t>
      </w:r>
      <w:r w:rsidRPr="00457F66">
        <w:rPr>
          <w:rFonts w:ascii="Arial" w:hAnsi="Arial" w:cs="Arial"/>
          <w:sz w:val="22"/>
          <w:szCs w:val="22"/>
        </w:rPr>
        <w:t xml:space="preserve"> </w:t>
      </w:r>
      <w:r w:rsidRPr="00457F66">
        <w:rPr>
          <w:rStyle w:val="cursor-pointer"/>
          <w:rFonts w:ascii="Arial" w:hAnsi="Arial" w:cs="Arial"/>
          <w:sz w:val="22"/>
          <w:szCs w:val="22"/>
        </w:rPr>
        <w:t xml:space="preserve">Although the Delivery Plan on Recovering Access to Primary Care by NHS England (2023) puts primary care access pressures in general, this does not specifically include homeless populations, a characteristic typified by </w:t>
      </w:r>
      <w:proofErr w:type="spellStart"/>
      <w:r w:rsidR="00B116C8" w:rsidRPr="00457F66">
        <w:rPr>
          <w:rFonts w:ascii="Arial" w:hAnsi="Arial" w:cs="Arial"/>
          <w:sz w:val="22"/>
          <w:szCs w:val="22"/>
        </w:rPr>
        <w:t>Luchenski</w:t>
      </w:r>
      <w:proofErr w:type="spellEnd"/>
      <w:r w:rsidR="00B116C8" w:rsidRPr="00457F66">
        <w:rPr>
          <w:rFonts w:ascii="Arial" w:hAnsi="Arial" w:cs="Arial"/>
          <w:sz w:val="22"/>
          <w:szCs w:val="22"/>
        </w:rPr>
        <w:t xml:space="preserve"> et al. (2018) as a systemic marginalisation of inclusion health populations in mainstream NHS strategic planning, a failure which has been documented in English policy literature since at least </w:t>
      </w:r>
      <w:r w:rsidR="002B2559">
        <w:rPr>
          <w:rFonts w:ascii="Arial" w:hAnsi="Arial" w:cs="Arial"/>
          <w:sz w:val="22"/>
          <w:szCs w:val="22"/>
        </w:rPr>
        <w:t xml:space="preserve">the </w:t>
      </w:r>
      <w:r w:rsidR="00B116C8" w:rsidRPr="00457F66">
        <w:rPr>
          <w:rFonts w:ascii="Arial" w:hAnsi="Arial" w:cs="Arial"/>
          <w:sz w:val="22"/>
          <w:szCs w:val="22"/>
        </w:rPr>
        <w:t>Department of Health (2010).</w:t>
      </w:r>
      <w:r w:rsidRPr="00457F66">
        <w:rPr>
          <w:rFonts w:ascii="Arial" w:hAnsi="Arial" w:cs="Arial"/>
          <w:sz w:val="22"/>
          <w:szCs w:val="22"/>
        </w:rPr>
        <w:t xml:space="preserve"> </w:t>
      </w:r>
      <w:r w:rsidRPr="00457F66">
        <w:rPr>
          <w:rStyle w:val="cursor-pointer"/>
          <w:rFonts w:ascii="Arial" w:hAnsi="Arial" w:cs="Arial"/>
          <w:sz w:val="22"/>
          <w:szCs w:val="22"/>
        </w:rPr>
        <w:t>This policy analysis explains the specific interest of the given review in the aspects of implementation and enforcement of access failure, but not in the aspects of formal entitlement.</w:t>
      </w:r>
    </w:p>
    <w:p w14:paraId="05BA2E4E" w14:textId="77777777" w:rsidR="00405394" w:rsidRPr="00457F66" w:rsidRDefault="00405394" w:rsidP="008452C0">
      <w:pPr>
        <w:pStyle w:val="Heading2"/>
        <w:spacing w:line="360" w:lineRule="auto"/>
        <w:jc w:val="both"/>
      </w:pPr>
      <w:bookmarkStart w:id="17" w:name="_Toc240922938"/>
      <w:r w:rsidRPr="00457F66">
        <w:t>2.5 Structural Barriers to Primary Healthcare</w:t>
      </w:r>
      <w:bookmarkEnd w:id="17"/>
    </w:p>
    <w:p w14:paraId="528F1D1C" w14:textId="37D6FC32"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structural barriers evidence is consistent in overall direction and diverse in methodological rigour, with consistency across studies that GP registration barriers are the most important, although there are some significant evidential tensions.</w:t>
      </w:r>
      <w:r w:rsidRPr="00457F66">
        <w:rPr>
          <w:rFonts w:ascii="Arial" w:hAnsi="Arial" w:cs="Arial"/>
          <w:sz w:val="22"/>
          <w:szCs w:val="22"/>
        </w:rPr>
        <w:t xml:space="preserve"> </w:t>
      </w:r>
      <w:r w:rsidRPr="00457F66">
        <w:rPr>
          <w:rStyle w:val="cursor-pointer"/>
          <w:rFonts w:ascii="Arial" w:hAnsi="Arial" w:cs="Arial"/>
          <w:sz w:val="22"/>
          <w:szCs w:val="22"/>
        </w:rPr>
        <w:t>In a mixed-methods audit of 100 GP practice websites in ten boroughs in London, Hodson et al. (2019) reported that 75% of websites required documentation and only 12% provided alternatives to those who could not provide it.</w:t>
      </w:r>
      <w:r w:rsidRPr="00457F66">
        <w:rPr>
          <w:rFonts w:ascii="Arial" w:hAnsi="Arial" w:cs="Arial"/>
          <w:sz w:val="22"/>
          <w:szCs w:val="22"/>
        </w:rPr>
        <w:t xml:space="preserve"> </w:t>
      </w:r>
      <w:r w:rsidRPr="00457F66">
        <w:rPr>
          <w:rStyle w:val="cursor-pointer"/>
          <w:rFonts w:ascii="Arial" w:hAnsi="Arial" w:cs="Arial"/>
          <w:sz w:val="22"/>
          <w:szCs w:val="22"/>
        </w:rPr>
        <w:t>Although impressive, this study has two critical methodological weaknesses: auditing website documentation requirements might not reflect the real conditions of registration, and the sample (London) does not represent the primary care setting in settings other than urban ones.</w:t>
      </w:r>
      <w:r w:rsidRPr="00457F66">
        <w:rPr>
          <w:rFonts w:ascii="Arial" w:hAnsi="Arial" w:cs="Arial"/>
          <w:sz w:val="22"/>
          <w:szCs w:val="22"/>
        </w:rPr>
        <w:t xml:space="preserve"> </w:t>
      </w:r>
      <w:r w:rsidRPr="00457F66">
        <w:rPr>
          <w:rStyle w:val="cursor-pointer"/>
          <w:rFonts w:ascii="Arial" w:hAnsi="Arial" w:cs="Arial"/>
          <w:sz w:val="22"/>
          <w:szCs w:val="22"/>
        </w:rPr>
        <w:t>Elwell-Sutton et al. (2017) offer a more geographically extensive complement to this evidence, showing</w:t>
      </w:r>
      <w:r w:rsidR="00A23698" w:rsidRPr="00457F66">
        <w:rPr>
          <w:rStyle w:val="cursor-pointer"/>
          <w:rFonts w:ascii="Arial" w:hAnsi="Arial" w:cs="Arial"/>
          <w:sz w:val="22"/>
          <w:szCs w:val="22"/>
        </w:rPr>
        <w:t>,</w:t>
      </w:r>
      <w:r w:rsidRPr="00457F66">
        <w:rPr>
          <w:rStyle w:val="cursor-pointer"/>
          <w:rFonts w:ascii="Arial" w:hAnsi="Arial" w:cs="Arial"/>
          <w:sz w:val="22"/>
          <w:szCs w:val="22"/>
        </w:rPr>
        <w:t xml:space="preserve"> in the analysis of survey data of 2,505 homeless people in 19 regions of England</w:t>
      </w:r>
      <w:r w:rsidR="00A23698" w:rsidRPr="00457F66">
        <w:rPr>
          <w:rStyle w:val="cursor-pointer"/>
          <w:rFonts w:ascii="Arial" w:hAnsi="Arial" w:cs="Arial"/>
          <w:sz w:val="22"/>
          <w:szCs w:val="22"/>
        </w:rPr>
        <w:t>,</w:t>
      </w:r>
      <w:r w:rsidRPr="00457F66">
        <w:rPr>
          <w:rStyle w:val="cursor-pointer"/>
          <w:rFonts w:ascii="Arial" w:hAnsi="Arial" w:cs="Arial"/>
          <w:sz w:val="22"/>
          <w:szCs w:val="22"/>
        </w:rPr>
        <w:t xml:space="preserve"> that GP registration mediates the association between homelessness type and the utilisation of emergency care is a methodologically more advanced finding, which demonstrates the systemic impact of the failure of registration on a national scale, not a local one.</w:t>
      </w:r>
    </w:p>
    <w:p w14:paraId="575C8C8B"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amalgamation of methodologically different investigations by Hodson et al. (2019) via a webpage audit, Elwell-Sutton et al. (2017) via survey analysis, and Watts-Cobbe et al. (2025) via the use of a mystery-shopper exercise plays a critical role in concluding that structural barriers to registration are not only widespread but also effective.</w:t>
      </w:r>
      <w:r w:rsidRPr="00457F66">
        <w:rPr>
          <w:rFonts w:ascii="Arial" w:hAnsi="Arial" w:cs="Arial"/>
          <w:sz w:val="22"/>
          <w:szCs w:val="22"/>
        </w:rPr>
        <w:t xml:space="preserve"> </w:t>
      </w:r>
      <w:r w:rsidRPr="00457F66">
        <w:rPr>
          <w:rStyle w:val="cursor-pointer"/>
          <w:rFonts w:ascii="Arial" w:hAnsi="Arial" w:cs="Arial"/>
          <w:sz w:val="22"/>
          <w:szCs w:val="22"/>
        </w:rPr>
        <w:t>Nevertheless, there is a gaping hole: what is available in the literature regarding the presence and degree of registration failures does exist but offers little practical advice as to what particular enforcement or incentivisation systems are most effective in altering the practice.</w:t>
      </w:r>
      <w:r w:rsidRPr="00457F66">
        <w:rPr>
          <w:rFonts w:ascii="Arial" w:hAnsi="Arial" w:cs="Arial"/>
          <w:sz w:val="22"/>
          <w:szCs w:val="22"/>
        </w:rPr>
        <w:t xml:space="preserve"> </w:t>
      </w:r>
      <w:r w:rsidRPr="00457F66">
        <w:rPr>
          <w:rStyle w:val="cursor-pointer"/>
          <w:rFonts w:ascii="Arial" w:hAnsi="Arial" w:cs="Arial"/>
          <w:sz w:val="22"/>
          <w:szCs w:val="22"/>
        </w:rPr>
        <w:t>This gap is in direct information of the policy recommendation aspect of the current review.</w:t>
      </w:r>
    </w:p>
    <w:p w14:paraId="14889461"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 xml:space="preserve">Using the five-dimension access model provided by </w:t>
      </w:r>
      <w:proofErr w:type="spellStart"/>
      <w:r w:rsidRPr="00457F66">
        <w:rPr>
          <w:rStyle w:val="cursor-pointer"/>
          <w:rFonts w:ascii="Arial" w:hAnsi="Arial" w:cs="Arial"/>
          <w:sz w:val="22"/>
          <w:szCs w:val="22"/>
        </w:rPr>
        <w:t>Penchansky</w:t>
      </w:r>
      <w:proofErr w:type="spellEnd"/>
      <w:r w:rsidRPr="00457F66">
        <w:rPr>
          <w:rStyle w:val="cursor-pointer"/>
          <w:rFonts w:ascii="Arial" w:hAnsi="Arial" w:cs="Arial"/>
          <w:sz w:val="22"/>
          <w:szCs w:val="22"/>
        </w:rPr>
        <w:t xml:space="preserve"> and Thomas (1981), White and Newman (2015) called availability, accommodation, and affordability to be the most adversely affected access dimensions among homeless populations.</w:t>
      </w:r>
      <w:r w:rsidRPr="00457F66">
        <w:rPr>
          <w:rFonts w:ascii="Arial" w:hAnsi="Arial" w:cs="Arial"/>
          <w:sz w:val="22"/>
          <w:szCs w:val="22"/>
        </w:rPr>
        <w:t xml:space="preserve"> </w:t>
      </w:r>
      <w:r w:rsidRPr="00457F66">
        <w:rPr>
          <w:rStyle w:val="cursor-pointer"/>
          <w:rFonts w:ascii="Arial" w:hAnsi="Arial" w:cs="Arial"/>
          <w:sz w:val="22"/>
          <w:szCs w:val="22"/>
        </w:rPr>
        <w:t>In a qualitative exploration of West Midlands primary care contexts, Gunner et al. (2019) add to this a rich experiential description of how bureaucratic systems in mainstream GP practices serve as the mechanisms of institutional exclusion of homeless adults, regardless of their official eligibility.</w:t>
      </w:r>
      <w:r w:rsidRPr="00457F66">
        <w:rPr>
          <w:rFonts w:ascii="Arial" w:hAnsi="Arial" w:cs="Arial"/>
          <w:sz w:val="22"/>
          <w:szCs w:val="22"/>
        </w:rPr>
        <w:t xml:space="preserve"> </w:t>
      </w:r>
      <w:r w:rsidRPr="00457F66">
        <w:rPr>
          <w:rStyle w:val="cursor-pointer"/>
          <w:rFonts w:ascii="Arial" w:hAnsi="Arial" w:cs="Arial"/>
          <w:sz w:val="22"/>
          <w:szCs w:val="22"/>
        </w:rPr>
        <w:t>Although qualitative evidence like that by Gunner et al. (2019) offers contextually rich and experientially based information, its small purposive sample restricts transferability, and this result should be interpreted as informative, as opposed to epidemiological.</w:t>
      </w:r>
    </w:p>
    <w:p w14:paraId="603015BF" w14:textId="77777777" w:rsidR="00405394" w:rsidRPr="00457F66" w:rsidRDefault="00405394" w:rsidP="008452C0">
      <w:pPr>
        <w:pStyle w:val="Heading2"/>
        <w:spacing w:line="360" w:lineRule="auto"/>
        <w:jc w:val="both"/>
      </w:pPr>
      <w:bookmarkStart w:id="18" w:name="_Toc240922939"/>
      <w:r w:rsidRPr="00457F66">
        <w:t>2.6 Institutional Barriers to Primary Healthcare</w:t>
      </w:r>
      <w:bookmarkEnd w:id="18"/>
    </w:p>
    <w:p w14:paraId="2FBF1A74"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institutional barriers literature - the literature concerned with professional cultures, attitudes and organisational practices that hinder access within healthcare settings - is both large and largely qualitative, which has its advantages and disadvantages.</w:t>
      </w:r>
      <w:r w:rsidRPr="00457F66">
        <w:rPr>
          <w:rFonts w:ascii="Arial" w:hAnsi="Arial" w:cs="Arial"/>
          <w:sz w:val="22"/>
          <w:szCs w:val="22"/>
        </w:rPr>
        <w:t xml:space="preserve"> </w:t>
      </w:r>
      <w:r w:rsidRPr="00457F66">
        <w:rPr>
          <w:rStyle w:val="cursor-pointer"/>
          <w:rFonts w:ascii="Arial" w:hAnsi="Arial" w:cs="Arial"/>
          <w:sz w:val="22"/>
          <w:szCs w:val="22"/>
        </w:rPr>
        <w:t>In the most methodologically rigorous synthesis to date, Reilly et al. (2022) reviewed 21 studies on stigma and health among homeless populations, with extensive agreement on the status of healthcare provider stigma as a serious impediment to access and its connection with worse health outcomes and less willingness to seek help in the future.</w:t>
      </w:r>
      <w:r w:rsidRPr="00457F66">
        <w:rPr>
          <w:rFonts w:ascii="Arial" w:hAnsi="Arial" w:cs="Arial"/>
          <w:sz w:val="22"/>
          <w:szCs w:val="22"/>
        </w:rPr>
        <w:t xml:space="preserve"> </w:t>
      </w:r>
      <w:r w:rsidRPr="00457F66">
        <w:rPr>
          <w:rStyle w:val="cursor-pointer"/>
          <w:rFonts w:ascii="Arial" w:hAnsi="Arial" w:cs="Arial"/>
          <w:sz w:val="22"/>
          <w:szCs w:val="22"/>
        </w:rPr>
        <w:t>The advantage of this systematic review is its breadth and the transparency of its methodology; the first weakness is the high heterogeneity of the study populations and stigma measurement methods included, which limits the accuracy of its conclusions.</w:t>
      </w:r>
    </w:p>
    <w:p w14:paraId="5166945A" w14:textId="4E94839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UK qualitative evidence base is quite convergent.</w:t>
      </w:r>
      <w:r w:rsidRPr="00457F66">
        <w:rPr>
          <w:rFonts w:ascii="Arial" w:hAnsi="Arial" w:cs="Arial"/>
          <w:sz w:val="22"/>
          <w:szCs w:val="22"/>
        </w:rPr>
        <w:t xml:space="preserve"> </w:t>
      </w:r>
      <w:r w:rsidRPr="00457F66">
        <w:rPr>
          <w:rStyle w:val="cursor-pointer"/>
          <w:rFonts w:ascii="Arial" w:hAnsi="Arial" w:cs="Arial"/>
          <w:sz w:val="22"/>
          <w:szCs w:val="22"/>
        </w:rPr>
        <w:t>The shortening of consultations, lack of empathy, and systematic devaluation of homeless adults in primary care are reported in Rae and Rees (2015), O'Carroll and Wainwright (2019), and Armstrong et al. (2021) independently.</w:t>
      </w:r>
      <w:r w:rsidRPr="00457F66">
        <w:rPr>
          <w:rFonts w:ascii="Arial" w:hAnsi="Arial" w:cs="Arial"/>
          <w:sz w:val="22"/>
          <w:szCs w:val="22"/>
        </w:rPr>
        <w:t xml:space="preserve"> </w:t>
      </w:r>
      <w:r w:rsidRPr="00457F66">
        <w:rPr>
          <w:rStyle w:val="cursor-pointer"/>
          <w:rFonts w:ascii="Arial" w:hAnsi="Arial" w:cs="Arial"/>
          <w:sz w:val="22"/>
          <w:szCs w:val="22"/>
        </w:rPr>
        <w:t xml:space="preserve">The uniformity of these results in various study designs, geographical locations, and groups of participants gives substantive validity to their results, offsetting, in part, the limitations of the </w:t>
      </w:r>
      <w:r w:rsidR="0049712A" w:rsidRPr="00457F66">
        <w:rPr>
          <w:rStyle w:val="cursor-pointer"/>
          <w:rFonts w:ascii="Arial" w:hAnsi="Arial" w:cs="Arial"/>
          <w:sz w:val="22"/>
          <w:szCs w:val="22"/>
        </w:rPr>
        <w:t>study's</w:t>
      </w:r>
      <w:r w:rsidRPr="00457F66">
        <w:rPr>
          <w:rStyle w:val="cursor-pointer"/>
          <w:rFonts w:ascii="Arial" w:hAnsi="Arial" w:cs="Arial"/>
          <w:sz w:val="22"/>
          <w:szCs w:val="22"/>
        </w:rPr>
        <w:t xml:space="preserve"> generalisability.</w:t>
      </w:r>
      <w:r w:rsidRPr="00457F66">
        <w:rPr>
          <w:rFonts w:ascii="Arial" w:hAnsi="Arial" w:cs="Arial"/>
          <w:sz w:val="22"/>
          <w:szCs w:val="22"/>
        </w:rPr>
        <w:t xml:space="preserve"> </w:t>
      </w:r>
      <w:r w:rsidRPr="00457F66">
        <w:rPr>
          <w:rStyle w:val="cursor-pointer"/>
          <w:rFonts w:ascii="Arial" w:hAnsi="Arial" w:cs="Arial"/>
          <w:sz w:val="22"/>
          <w:szCs w:val="22"/>
        </w:rPr>
        <w:t xml:space="preserve">Guise et al. (2025) offer quantitative support, as 65 </w:t>
      </w:r>
      <w:r w:rsidR="002B2559">
        <w:rPr>
          <w:rStyle w:val="cursor-pointer"/>
          <w:rFonts w:ascii="Arial" w:hAnsi="Arial" w:cs="Arial"/>
          <w:sz w:val="22"/>
          <w:szCs w:val="22"/>
        </w:rPr>
        <w:t>per cent</w:t>
      </w:r>
      <w:r w:rsidRPr="00457F66">
        <w:rPr>
          <w:rStyle w:val="cursor-pointer"/>
          <w:rFonts w:ascii="Arial" w:hAnsi="Arial" w:cs="Arial"/>
          <w:sz w:val="22"/>
          <w:szCs w:val="22"/>
        </w:rPr>
        <w:t xml:space="preserve"> of 74 homeless adults interviewed in South London reported unfair treatment in health settings.</w:t>
      </w:r>
      <w:r w:rsidRPr="00457F66">
        <w:rPr>
          <w:rFonts w:ascii="Arial" w:hAnsi="Arial" w:cs="Arial"/>
          <w:sz w:val="22"/>
          <w:szCs w:val="22"/>
        </w:rPr>
        <w:t xml:space="preserve"> </w:t>
      </w:r>
      <w:r w:rsidRPr="00457F66">
        <w:rPr>
          <w:rStyle w:val="cursor-pointer"/>
          <w:rFonts w:ascii="Arial" w:hAnsi="Arial" w:cs="Arial"/>
          <w:sz w:val="22"/>
          <w:szCs w:val="22"/>
        </w:rPr>
        <w:t>The authors do, however, note the pilot design and convenience sampling method, which implies that these numbers cannot be generalised to the larger homeless population without some caution.</w:t>
      </w:r>
    </w:p>
    <w:p w14:paraId="67563415"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In this literature, there is a partial argument as to the degree of intervention that should be used to alleviate stigmatising practice.</w:t>
      </w:r>
      <w:r w:rsidRPr="00457F66">
        <w:rPr>
          <w:rFonts w:ascii="Arial" w:hAnsi="Arial" w:cs="Arial"/>
          <w:sz w:val="22"/>
          <w:szCs w:val="22"/>
        </w:rPr>
        <w:t xml:space="preserve"> </w:t>
      </w:r>
      <w:r w:rsidRPr="00457F66">
        <w:rPr>
          <w:rStyle w:val="cursor-pointer"/>
          <w:rFonts w:ascii="Arial" w:hAnsi="Arial" w:cs="Arial"/>
          <w:sz w:val="22"/>
          <w:szCs w:val="22"/>
        </w:rPr>
        <w:t>Reilly et al. (2022) believe that stigma is institutionally constructed and that they need systemic and organisational responses, not individual ones, and Miller et al. (2024) propose that the attitudes of individual clinicians, especially empathy and desire to listen, are one of the strongest predictors of care quality in homeless clients.</w:t>
      </w:r>
      <w:r w:rsidRPr="00457F66">
        <w:rPr>
          <w:rFonts w:ascii="Arial" w:hAnsi="Arial" w:cs="Arial"/>
          <w:sz w:val="22"/>
          <w:szCs w:val="22"/>
        </w:rPr>
        <w:t xml:space="preserve"> </w:t>
      </w:r>
      <w:r w:rsidRPr="00457F66">
        <w:rPr>
          <w:rStyle w:val="cursor-pointer"/>
          <w:rFonts w:ascii="Arial" w:hAnsi="Arial" w:cs="Arial"/>
          <w:sz w:val="22"/>
          <w:szCs w:val="22"/>
        </w:rPr>
        <w:t>These views are not exclusive to each other, although the focus they give to the levels of intervention that are appropriate has direct consequences in the way policy recommendations should be framed.</w:t>
      </w:r>
      <w:r w:rsidRPr="00457F66">
        <w:rPr>
          <w:rFonts w:ascii="Arial" w:hAnsi="Arial" w:cs="Arial"/>
          <w:sz w:val="22"/>
          <w:szCs w:val="22"/>
        </w:rPr>
        <w:t xml:space="preserve"> </w:t>
      </w:r>
      <w:r w:rsidRPr="00457F66">
        <w:rPr>
          <w:rStyle w:val="cursor-pointer"/>
          <w:rFonts w:ascii="Arial" w:hAnsi="Arial" w:cs="Arial"/>
          <w:sz w:val="22"/>
          <w:szCs w:val="22"/>
        </w:rPr>
        <w:t xml:space="preserve">Similarly, </w:t>
      </w:r>
      <w:proofErr w:type="spellStart"/>
      <w:r w:rsidRPr="00457F66">
        <w:rPr>
          <w:rStyle w:val="cursor-pointer"/>
          <w:rFonts w:ascii="Arial" w:hAnsi="Arial" w:cs="Arial"/>
          <w:sz w:val="22"/>
          <w:szCs w:val="22"/>
        </w:rPr>
        <w:t>Omerov</w:t>
      </w:r>
      <w:proofErr w:type="spellEnd"/>
      <w:r w:rsidRPr="00457F66">
        <w:rPr>
          <w:rStyle w:val="cursor-pointer"/>
          <w:rFonts w:ascii="Arial" w:hAnsi="Arial" w:cs="Arial"/>
          <w:sz w:val="22"/>
          <w:szCs w:val="22"/>
        </w:rPr>
        <w:t xml:space="preserve"> et al. (2020) find that the person-centred and trauma-informed care models are critical to long-term engagement, but the evidence base on what makes such approaches effective with primary care remains thin.</w:t>
      </w:r>
    </w:p>
    <w:p w14:paraId="67089428" w14:textId="77777777" w:rsidR="00405394" w:rsidRPr="00457F66" w:rsidRDefault="00405394" w:rsidP="008452C0">
      <w:pPr>
        <w:pStyle w:val="Heading2"/>
        <w:spacing w:line="360" w:lineRule="auto"/>
        <w:jc w:val="both"/>
      </w:pPr>
      <w:bookmarkStart w:id="19" w:name="_Toc240922940"/>
      <w:r w:rsidRPr="00457F66">
        <w:t>2.7 Individual-Level Barriers</w:t>
      </w:r>
      <w:bookmarkEnd w:id="19"/>
    </w:p>
    <w:p w14:paraId="4F289D92" w14:textId="4E30FA14"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tendency of causation to flow downward, that is, structural and institutional circumstances to individual situations, should be perceived as a critical issue in this literature, not the opposite</w:t>
      </w:r>
      <w:r w:rsidR="002B2559">
        <w:rPr>
          <w:rStyle w:val="cursor-pointer"/>
          <w:rFonts w:ascii="Arial" w:hAnsi="Arial" w:cs="Arial"/>
          <w:sz w:val="22"/>
          <w:szCs w:val="22"/>
        </w:rPr>
        <w:t>:</w:t>
      </w:r>
      <w:r w:rsidRPr="00457F66">
        <w:rPr>
          <w:rStyle w:val="cursor-pointer"/>
          <w:rFonts w:ascii="Arial" w:hAnsi="Arial" w:cs="Arial"/>
          <w:sz w:val="22"/>
          <w:szCs w:val="22"/>
        </w:rPr>
        <w:t xml:space="preserve"> personal traits to health care non-participation.</w:t>
      </w:r>
      <w:r w:rsidRPr="00457F66">
        <w:rPr>
          <w:rFonts w:ascii="Arial" w:hAnsi="Arial" w:cs="Arial"/>
          <w:sz w:val="22"/>
          <w:szCs w:val="22"/>
        </w:rPr>
        <w:t xml:space="preserve"> </w:t>
      </w:r>
      <w:r w:rsidRPr="00457F66">
        <w:rPr>
          <w:rStyle w:val="cursor-pointer"/>
          <w:rFonts w:ascii="Arial" w:hAnsi="Arial" w:cs="Arial"/>
          <w:sz w:val="22"/>
          <w:szCs w:val="22"/>
        </w:rPr>
        <w:t>The Behavioural Model of Health Service Use by Andersen (1995) offers a common analytical model of health service use, disaggregating the predisposing characteristics and enabling resources and perceived need as determinants of utilisation.</w:t>
      </w:r>
      <w:r w:rsidRPr="00457F66">
        <w:rPr>
          <w:rFonts w:ascii="Arial" w:hAnsi="Arial" w:cs="Arial"/>
          <w:sz w:val="22"/>
          <w:szCs w:val="22"/>
        </w:rPr>
        <w:t xml:space="preserve"> </w:t>
      </w:r>
      <w:r w:rsidRPr="00457F66">
        <w:rPr>
          <w:rStyle w:val="cursor-pointer"/>
          <w:rFonts w:ascii="Arial" w:hAnsi="Arial" w:cs="Arial"/>
          <w:sz w:val="22"/>
          <w:szCs w:val="22"/>
        </w:rPr>
        <w:t>McNeill et al. (2022) claim, however, that the most severely impaired dimension, the enabling resources, is also produced structurally, and that implementing the Andersen model without this important qualification would be fallacious in attributing structural failures to individual shortcomings.</w:t>
      </w:r>
    </w:p>
    <w:p w14:paraId="6431B81D"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tri-morbidity profile of a significant number of homeless adults forms a survival priority pattern where urgent needs are always prioritised over primary care assistance.</w:t>
      </w:r>
      <w:r w:rsidRPr="00457F66">
        <w:rPr>
          <w:rFonts w:ascii="Arial" w:hAnsi="Arial" w:cs="Arial"/>
          <w:sz w:val="22"/>
          <w:szCs w:val="22"/>
        </w:rPr>
        <w:t xml:space="preserve"> </w:t>
      </w:r>
      <w:r w:rsidRPr="00457F66">
        <w:rPr>
          <w:rStyle w:val="cursor-pointer"/>
          <w:rFonts w:ascii="Arial" w:hAnsi="Arial" w:cs="Arial"/>
          <w:sz w:val="22"/>
          <w:szCs w:val="22"/>
        </w:rPr>
        <w:t xml:space="preserve">In a qualitative study of rough sleepers, </w:t>
      </w:r>
      <w:proofErr w:type="spellStart"/>
      <w:r w:rsidRPr="00457F66">
        <w:rPr>
          <w:rStyle w:val="cursor-pointer"/>
          <w:rFonts w:ascii="Arial" w:hAnsi="Arial" w:cs="Arial"/>
          <w:sz w:val="22"/>
          <w:szCs w:val="22"/>
        </w:rPr>
        <w:t>Ungpakorn</w:t>
      </w:r>
      <w:proofErr w:type="spellEnd"/>
      <w:r w:rsidRPr="00457F66">
        <w:rPr>
          <w:rStyle w:val="cursor-pointer"/>
          <w:rFonts w:ascii="Arial" w:hAnsi="Arial" w:cs="Arial"/>
          <w:sz w:val="22"/>
          <w:szCs w:val="22"/>
        </w:rPr>
        <w:t xml:space="preserve"> and Rae (2020) make a strong case that such a prioritisation is logical but not pathological in that it is a daily experience of extreme poverty and social exclusion.</w:t>
      </w:r>
      <w:r w:rsidRPr="00457F66">
        <w:rPr>
          <w:rFonts w:ascii="Arial" w:hAnsi="Arial" w:cs="Arial"/>
          <w:sz w:val="22"/>
          <w:szCs w:val="22"/>
        </w:rPr>
        <w:t xml:space="preserve"> </w:t>
      </w:r>
      <w:r w:rsidRPr="00457F66">
        <w:rPr>
          <w:rStyle w:val="cursor-pointer"/>
          <w:rFonts w:ascii="Arial" w:hAnsi="Arial" w:cs="Arial"/>
          <w:sz w:val="22"/>
          <w:szCs w:val="22"/>
        </w:rPr>
        <w:t>Howard, Low and Howard (2025) affirm that individual-level cumulative barriers, such as transport problems, digital inequalities and health literacy constraints, have a dynamically interacting relationship with institutional barriers in generating compounded patterns of disadvantage that are ill-equipped in existing service delivery models.</w:t>
      </w:r>
      <w:r w:rsidRPr="00457F66">
        <w:rPr>
          <w:rFonts w:ascii="Arial" w:hAnsi="Arial" w:cs="Arial"/>
          <w:sz w:val="22"/>
          <w:szCs w:val="22"/>
        </w:rPr>
        <w:t xml:space="preserve"> </w:t>
      </w:r>
      <w:r w:rsidRPr="00457F66">
        <w:rPr>
          <w:rStyle w:val="cursor-pointer"/>
          <w:rFonts w:ascii="Arial" w:hAnsi="Arial" w:cs="Arial"/>
          <w:sz w:val="22"/>
          <w:szCs w:val="22"/>
        </w:rPr>
        <w:t>Distrust of institutions, which both Guise et al. (2025) and Khan et al. (2019) have reported to be consistent, further restricts help-seeking behaviour; however, this distrust, the two studies recognise, is based on previous negative experience with statutory services, not on an intrinsic individual trait.</w:t>
      </w:r>
      <w:r w:rsidRPr="00457F66">
        <w:rPr>
          <w:rFonts w:ascii="Arial" w:hAnsi="Arial" w:cs="Arial"/>
          <w:sz w:val="22"/>
          <w:szCs w:val="22"/>
        </w:rPr>
        <w:t xml:space="preserve"> </w:t>
      </w:r>
      <w:r w:rsidRPr="00457F66">
        <w:rPr>
          <w:rStyle w:val="cursor-pointer"/>
          <w:rFonts w:ascii="Arial" w:hAnsi="Arial" w:cs="Arial"/>
          <w:sz w:val="22"/>
          <w:szCs w:val="22"/>
        </w:rPr>
        <w:t>This particular critical difference is upheld throughout the analysis of the present review.</w:t>
      </w:r>
    </w:p>
    <w:p w14:paraId="273484B4" w14:textId="77777777" w:rsidR="00405394" w:rsidRPr="00457F66" w:rsidRDefault="00405394" w:rsidP="008452C0">
      <w:pPr>
        <w:pStyle w:val="Heading2"/>
        <w:spacing w:line="360" w:lineRule="auto"/>
        <w:jc w:val="both"/>
      </w:pPr>
      <w:bookmarkStart w:id="20" w:name="_Toc240922941"/>
      <w:r w:rsidRPr="00457F66">
        <w:t>2.8 Impact of COVID-19 and Digital Exclusion</w:t>
      </w:r>
      <w:bookmarkEnd w:id="20"/>
    </w:p>
    <w:p w14:paraId="24D3A72A" w14:textId="5E67ECF6"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COVID-19 pandemic presents a severe case study of how structural changes in the delivery of primary care can quickly produce new and compounding access barriers to homeless adults.</w:t>
      </w:r>
      <w:r w:rsidRPr="00457F66">
        <w:rPr>
          <w:rFonts w:ascii="Arial" w:hAnsi="Arial" w:cs="Arial"/>
          <w:sz w:val="22"/>
          <w:szCs w:val="22"/>
        </w:rPr>
        <w:t xml:space="preserve"> </w:t>
      </w:r>
      <w:r w:rsidR="002B2559">
        <w:rPr>
          <w:rStyle w:val="cursor-pointer"/>
          <w:rFonts w:ascii="Arial" w:hAnsi="Arial" w:cs="Arial"/>
          <w:sz w:val="22"/>
          <w:szCs w:val="22"/>
        </w:rPr>
        <w:t>The operational</w:t>
      </w:r>
      <w:r w:rsidRPr="00457F66">
        <w:rPr>
          <w:rStyle w:val="cursor-pointer"/>
          <w:rFonts w:ascii="Arial" w:hAnsi="Arial" w:cs="Arial"/>
          <w:sz w:val="22"/>
          <w:szCs w:val="22"/>
        </w:rPr>
        <w:t xml:space="preserve"> necessity to shift to telephone-first and online appointment systems was created without much thought of the needs of digitally excluded populations.</w:t>
      </w:r>
      <w:r w:rsidRPr="00457F66">
        <w:rPr>
          <w:rFonts w:ascii="Arial" w:hAnsi="Arial" w:cs="Arial"/>
          <w:sz w:val="22"/>
          <w:szCs w:val="22"/>
        </w:rPr>
        <w:t xml:space="preserve"> </w:t>
      </w:r>
      <w:r w:rsidRPr="00457F66">
        <w:rPr>
          <w:rStyle w:val="cursor-pointer"/>
          <w:rFonts w:ascii="Arial" w:hAnsi="Arial" w:cs="Arial"/>
          <w:sz w:val="22"/>
          <w:szCs w:val="22"/>
        </w:rPr>
        <w:t>The most directly relevant evidence is that given by Howells et al. (2022) in a qualitative study of three specialist primary care sites in England, who found that telephone-first access models introduced new barriers such as inability to make or receive calls, lack of familiarity with digital technologies, and lack of staff training in adapting remote care to homeless patients.</w:t>
      </w:r>
      <w:r w:rsidRPr="00457F66">
        <w:rPr>
          <w:rFonts w:ascii="Arial" w:hAnsi="Arial" w:cs="Arial"/>
          <w:sz w:val="22"/>
          <w:szCs w:val="22"/>
        </w:rPr>
        <w:t xml:space="preserve"> </w:t>
      </w:r>
      <w:r w:rsidRPr="00457F66">
        <w:rPr>
          <w:rStyle w:val="cursor-pointer"/>
          <w:rFonts w:ascii="Arial" w:hAnsi="Arial" w:cs="Arial"/>
          <w:sz w:val="22"/>
          <w:szCs w:val="22"/>
        </w:rPr>
        <w:t>Nevertheless, as the authors note, their three case study locations were specialist homeless health services, and thus the obstacles they report may be underrepresented compared to mainstream GP contexts where staff training and organisational adaptability are not well developed.</w:t>
      </w:r>
    </w:p>
    <w:p w14:paraId="66C0AB74"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Good Things Foundation (2021) estimates that there are nine million adults in England who are not basic digital users, with the proportion of homeless adults particularly concentrated among the population since poverty, day-to-day mobility, and social exclusion intersect, which is helpful in a population-wide context.</w:t>
      </w:r>
      <w:r w:rsidRPr="00457F66">
        <w:rPr>
          <w:rFonts w:ascii="Arial" w:hAnsi="Arial" w:cs="Arial"/>
          <w:sz w:val="22"/>
          <w:szCs w:val="22"/>
        </w:rPr>
        <w:t xml:space="preserve"> </w:t>
      </w:r>
      <w:r w:rsidRPr="00457F66">
        <w:rPr>
          <w:rStyle w:val="cursor-pointer"/>
          <w:rFonts w:ascii="Arial" w:hAnsi="Arial" w:cs="Arial"/>
          <w:sz w:val="22"/>
          <w:szCs w:val="22"/>
        </w:rPr>
        <w:t>Tsai and Wilson (2020) provide a wider global picture of the disproportionate impact of COVID-19, but their mostly North American evidence base should be transferred to the English situation with caution.</w:t>
      </w:r>
      <w:r w:rsidRPr="00457F66">
        <w:rPr>
          <w:rFonts w:ascii="Arial" w:hAnsi="Arial" w:cs="Arial"/>
          <w:sz w:val="22"/>
          <w:szCs w:val="22"/>
        </w:rPr>
        <w:t xml:space="preserve"> </w:t>
      </w:r>
      <w:r w:rsidRPr="00457F66">
        <w:rPr>
          <w:rStyle w:val="cursor-pointer"/>
          <w:rFonts w:ascii="Arial" w:hAnsi="Arial" w:cs="Arial"/>
          <w:sz w:val="22"/>
          <w:szCs w:val="22"/>
        </w:rPr>
        <w:t>Regardless of such limitations in methods, the mutual outcome of these various sources is evident: unless there is an equivalent amount of investment in non-digital versions of primary care, which can be readily accessed, digital transformation of primary care may only reinforce existing inequalities.</w:t>
      </w:r>
      <w:r w:rsidRPr="00457F66">
        <w:rPr>
          <w:rFonts w:ascii="Arial" w:hAnsi="Arial" w:cs="Arial"/>
          <w:sz w:val="22"/>
          <w:szCs w:val="22"/>
        </w:rPr>
        <w:t xml:space="preserve"> </w:t>
      </w:r>
      <w:r w:rsidRPr="00457F66">
        <w:rPr>
          <w:rStyle w:val="cursor-pointer"/>
          <w:rFonts w:ascii="Arial" w:hAnsi="Arial" w:cs="Arial"/>
          <w:sz w:val="22"/>
          <w:szCs w:val="22"/>
        </w:rPr>
        <w:t>The result confirms the reasons why this review pays particular attention to post-pandemic evidence, which is not well synthesised in the available peer-reviewed literature.</w:t>
      </w:r>
    </w:p>
    <w:p w14:paraId="780120F7" w14:textId="77777777" w:rsidR="00405394" w:rsidRPr="00457F66" w:rsidRDefault="00405394" w:rsidP="008452C0">
      <w:pPr>
        <w:pStyle w:val="Heading2"/>
        <w:spacing w:line="360" w:lineRule="auto"/>
        <w:jc w:val="both"/>
      </w:pPr>
      <w:bookmarkStart w:id="21" w:name="_Toc240922942"/>
      <w:r w:rsidRPr="00457F66">
        <w:t>2.9 Health Inequalities and Social Determinants of Health</w:t>
      </w:r>
      <w:bookmarkEnd w:id="21"/>
    </w:p>
    <w:p w14:paraId="5E5AA0EF" w14:textId="444AE945"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barriers to primary healthcare access that are presented above can only be perceived as downstream implications of the larger social determinants that generate and perpetuate homelessness.</w:t>
      </w:r>
      <w:r w:rsidRPr="00457F66">
        <w:rPr>
          <w:rFonts w:ascii="Arial" w:hAnsi="Arial" w:cs="Arial"/>
          <w:sz w:val="22"/>
          <w:szCs w:val="22"/>
        </w:rPr>
        <w:t xml:space="preserve"> </w:t>
      </w:r>
      <w:r w:rsidRPr="00457F66">
        <w:rPr>
          <w:rStyle w:val="cursor-pointer"/>
          <w:rFonts w:ascii="Arial" w:hAnsi="Arial" w:cs="Arial"/>
          <w:sz w:val="22"/>
          <w:szCs w:val="22"/>
        </w:rPr>
        <w:t xml:space="preserve">The most authoritative English-language analysis has been conducted by </w:t>
      </w:r>
      <w:r w:rsidR="00B116C8" w:rsidRPr="00457F66">
        <w:rPr>
          <w:rFonts w:ascii="Arial" w:hAnsi="Arial" w:cs="Arial"/>
          <w:sz w:val="22"/>
          <w:szCs w:val="22"/>
        </w:rPr>
        <w:t>Marmot et al. (2020), building on the original Marmot Review (Marmot, 2010), which shows that</w:t>
      </w:r>
      <w:r w:rsidRPr="00457F66">
        <w:rPr>
          <w:rStyle w:val="cursor-pointer"/>
          <w:rFonts w:ascii="Arial" w:hAnsi="Arial" w:cs="Arial"/>
          <w:sz w:val="22"/>
          <w:szCs w:val="22"/>
        </w:rPr>
        <w:t xml:space="preserve"> the policy of sustained austerity has increased inequalities in health, held stagnant life expectancy improvements in the most deprived groups, and directly led to growing homelessness due to the cuts in housing benefit, social care, and welfare.</w:t>
      </w:r>
      <w:r w:rsidRPr="00457F66">
        <w:rPr>
          <w:rFonts w:ascii="Arial" w:hAnsi="Arial" w:cs="Arial"/>
          <w:sz w:val="22"/>
          <w:szCs w:val="22"/>
        </w:rPr>
        <w:t xml:space="preserve"> </w:t>
      </w:r>
      <w:r w:rsidRPr="00457F66">
        <w:rPr>
          <w:rStyle w:val="cursor-pointer"/>
          <w:rFonts w:ascii="Arial" w:hAnsi="Arial" w:cs="Arial"/>
          <w:sz w:val="22"/>
          <w:szCs w:val="22"/>
        </w:rPr>
        <w:t>This is a crucial structural argument that is essential to the current review: since homelessness and the related healthcare access failures are the product of macro-level policy choices, the solutions to such problems are not available to healthcare-only solutions, however effective they might be.</w:t>
      </w:r>
    </w:p>
    <w:p w14:paraId="55DCDEBE"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conceptual architecture for understanding the mechanisms by which macro-structural forces housing policy, income distribution, and welfare provision- are translated into patterns of healthcare utilisation through the medium of community networks and individual circumstances is given by Dahlgren and Whitehead (1991).</w:t>
      </w:r>
      <w:r w:rsidRPr="00457F66">
        <w:rPr>
          <w:rFonts w:ascii="Arial" w:hAnsi="Arial" w:cs="Arial"/>
          <w:sz w:val="22"/>
          <w:szCs w:val="22"/>
        </w:rPr>
        <w:t xml:space="preserve"> </w:t>
      </w:r>
      <w:r w:rsidRPr="00457F66">
        <w:rPr>
          <w:rStyle w:val="cursor-pointer"/>
          <w:rFonts w:ascii="Arial" w:hAnsi="Arial" w:cs="Arial"/>
          <w:sz w:val="22"/>
          <w:szCs w:val="22"/>
        </w:rPr>
        <w:t>What makes this model especially useful in this review is the fact that it links the structural circumstances of homelessness to the failures in primary care accessibility within the context of one analytical framework instead of considering them as two disjunctive areas.</w:t>
      </w:r>
      <w:r w:rsidRPr="00457F66">
        <w:rPr>
          <w:rFonts w:ascii="Arial" w:hAnsi="Arial" w:cs="Arial"/>
          <w:sz w:val="22"/>
          <w:szCs w:val="22"/>
        </w:rPr>
        <w:t xml:space="preserve"> </w:t>
      </w:r>
      <w:r w:rsidRPr="00457F66">
        <w:rPr>
          <w:rStyle w:val="cursor-pointer"/>
          <w:rFonts w:ascii="Arial" w:hAnsi="Arial" w:cs="Arial"/>
          <w:sz w:val="22"/>
          <w:szCs w:val="22"/>
        </w:rPr>
        <w:t>Bambra et al. (2020) expand upon this analysis to show that COVID-19 catalysed preexisting structural inequities, with the most marginalised groups bearing the greatest compounded effects.</w:t>
      </w:r>
      <w:r w:rsidRPr="00457F66">
        <w:rPr>
          <w:rFonts w:ascii="Arial" w:hAnsi="Arial" w:cs="Arial"/>
          <w:sz w:val="22"/>
          <w:szCs w:val="22"/>
        </w:rPr>
        <w:t xml:space="preserve"> </w:t>
      </w:r>
      <w:r w:rsidRPr="00457F66">
        <w:rPr>
          <w:rStyle w:val="cursor-pointer"/>
          <w:rFonts w:ascii="Arial" w:hAnsi="Arial" w:cs="Arial"/>
          <w:sz w:val="22"/>
          <w:szCs w:val="22"/>
        </w:rPr>
        <w:t>The fact that health disparities that homeless adults face are socially constructed, systematic and preventable is a consistent message that is upheld as an analytical assumption throughout this review and informs its policy recommendation framework.</w:t>
      </w:r>
    </w:p>
    <w:p w14:paraId="3A5C090C" w14:textId="77777777" w:rsidR="00405394" w:rsidRPr="00457F66" w:rsidRDefault="00405394" w:rsidP="008452C0">
      <w:pPr>
        <w:pStyle w:val="Heading2"/>
        <w:spacing w:line="360" w:lineRule="auto"/>
        <w:jc w:val="both"/>
      </w:pPr>
      <w:bookmarkStart w:id="22" w:name="_Toc240922943"/>
      <w:r w:rsidRPr="00457F66">
        <w:t>2.10 Theoretical Framework</w:t>
      </w:r>
      <w:bookmarkEnd w:id="22"/>
    </w:p>
    <w:p w14:paraId="77D3F742"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three theoretical frameworks are complementary in nature and used in the review to offer a multi-level analytical perspective on the issue where structural, institutional, and individual-level barriers are considered.</w:t>
      </w:r>
      <w:r w:rsidRPr="00457F66">
        <w:rPr>
          <w:rFonts w:ascii="Arial" w:hAnsi="Arial" w:cs="Arial"/>
          <w:sz w:val="22"/>
          <w:szCs w:val="22"/>
        </w:rPr>
        <w:t xml:space="preserve"> </w:t>
      </w:r>
      <w:r w:rsidRPr="00457F66">
        <w:rPr>
          <w:rStyle w:val="cursor-pointer"/>
          <w:rFonts w:ascii="Arial" w:hAnsi="Arial" w:cs="Arial"/>
          <w:sz w:val="22"/>
          <w:szCs w:val="22"/>
        </w:rPr>
        <w:t>The social determinants model, as defined by Dahlgren and Whitehead (1991) and elaborated by Marmot et al. (2020), places access failures in primary care in the context of macro-structural conditions that give rise to homelessness.</w:t>
      </w:r>
      <w:r w:rsidRPr="00457F66">
        <w:rPr>
          <w:rFonts w:ascii="Arial" w:hAnsi="Arial" w:cs="Arial"/>
          <w:sz w:val="22"/>
          <w:szCs w:val="22"/>
        </w:rPr>
        <w:t xml:space="preserve"> </w:t>
      </w:r>
      <w:r w:rsidRPr="00457F66">
        <w:rPr>
          <w:rStyle w:val="cursor-pointer"/>
          <w:rFonts w:ascii="Arial" w:hAnsi="Arial" w:cs="Arial"/>
          <w:sz w:val="22"/>
          <w:szCs w:val="22"/>
        </w:rPr>
        <w:t>It is this framework that is needed to oppose the phenomenon of analytical reductionism - the habit of viewing barriers to access as a set of clinical or organisational issues - and to relate the findings of this review to the structural policy responses that can be used to mitigate the underlying causes of such issues.</w:t>
      </w:r>
    </w:p>
    <w:p w14:paraId="19C1A061" w14:textId="0C34089C" w:rsidR="00405394" w:rsidRPr="00457F66" w:rsidRDefault="00817239"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second analytical lens is the Behavioural Model</w:t>
      </w:r>
      <w:r w:rsidR="005B3A5C" w:rsidRPr="00457F66">
        <w:rPr>
          <w:rStyle w:val="cursor-pointer"/>
          <w:rFonts w:ascii="Arial" w:hAnsi="Arial" w:cs="Arial"/>
          <w:sz w:val="22"/>
          <w:szCs w:val="22"/>
        </w:rPr>
        <w:t xml:space="preserve"> of Health Services Use, which was developed by Andersen (1995). The model breaks down the determinants of healthcare utilisation into the predisposing characteristics, enabling resources, and perceived need. According to McNeill et al. (2022), enabling resources (income stability, transport, digital access, and social networks) are the most severely damaged dimension of homeless adults that, in turn, are structurally generated. Andersen model thus offers a much-needed individual-level supplement to the macro-structural perspective of Dahlgren and Whitehead (1991) and the access-dimension perspective of Levesque et al. (2013).</w:t>
      </w:r>
    </w:p>
    <w:p w14:paraId="34327764" w14:textId="77777777" w:rsidR="00405394" w:rsidRPr="00457F66" w:rsidRDefault="00405394"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The main analytical model that will be used in this review is the patient-centred access model of Levesque et al. (2013), which conceptualises access as an active interface between the supply-side nature of health systems and the demand-side capabilities and circumstances of populations across five dimensions, namely, approachability, acceptability, availability, affordability, and appropriateness.</w:t>
      </w:r>
      <w:r w:rsidRPr="00457F66">
        <w:rPr>
          <w:rFonts w:ascii="Arial" w:hAnsi="Arial" w:cs="Arial"/>
          <w:sz w:val="22"/>
          <w:szCs w:val="22"/>
        </w:rPr>
        <w:t xml:space="preserve"> </w:t>
      </w:r>
      <w:r w:rsidRPr="00457F66">
        <w:rPr>
          <w:rStyle w:val="cursor-pointer"/>
          <w:rFonts w:ascii="Arial" w:hAnsi="Arial" w:cs="Arial"/>
          <w:sz w:val="22"/>
          <w:szCs w:val="22"/>
        </w:rPr>
        <w:t>This model is the only one that is best suited to the analysis of homeless access to primary healthcare since it recognises that access failures are due to the imbalance between service organisation and the population need, not because of system weaknesses or personal shortcomings in isolation.</w:t>
      </w:r>
      <w:r w:rsidRPr="00457F66">
        <w:rPr>
          <w:rFonts w:ascii="Arial" w:hAnsi="Arial" w:cs="Arial"/>
          <w:sz w:val="22"/>
          <w:szCs w:val="22"/>
        </w:rPr>
        <w:t xml:space="preserve"> </w:t>
      </w:r>
      <w:r w:rsidRPr="00457F66">
        <w:rPr>
          <w:rStyle w:val="cursor-pointer"/>
          <w:rFonts w:ascii="Arial" w:hAnsi="Arial" w:cs="Arial"/>
          <w:sz w:val="22"/>
          <w:szCs w:val="22"/>
        </w:rPr>
        <w:t>This framework was used in a scoping review that is directly comparable to the one by McNeill et al. (2022), which proved its empirical usefulness and analytical applicability to the current research.</w:t>
      </w:r>
    </w:p>
    <w:p w14:paraId="1946B4A3" w14:textId="77777777" w:rsidR="00405394" w:rsidRPr="00457F66" w:rsidRDefault="00405394" w:rsidP="008452C0">
      <w:pPr>
        <w:pStyle w:val="Heading2"/>
        <w:spacing w:line="360" w:lineRule="auto"/>
        <w:jc w:val="both"/>
      </w:pPr>
      <w:bookmarkStart w:id="23" w:name="_Toc240922944"/>
      <w:r w:rsidRPr="00457F66">
        <w:t>2.11 Gap in Literature and Rationale for the Review</w:t>
      </w:r>
      <w:bookmarkEnd w:id="23"/>
    </w:p>
    <w:p w14:paraId="7315D5FA" w14:textId="0A89B945" w:rsidR="00405394" w:rsidRPr="00457F66" w:rsidRDefault="00405394" w:rsidP="008452C0">
      <w:pPr>
        <w:pStyle w:val="font-claude-response-body"/>
        <w:spacing w:line="360" w:lineRule="auto"/>
        <w:jc w:val="both"/>
        <w:rPr>
          <w:rStyle w:val="cursor-pointer"/>
          <w:rFonts w:ascii="Arial" w:hAnsi="Arial" w:cs="Arial"/>
          <w:sz w:val="22"/>
          <w:szCs w:val="22"/>
        </w:rPr>
      </w:pPr>
      <w:r w:rsidRPr="00457F66">
        <w:rPr>
          <w:rStyle w:val="cursor-pointer"/>
          <w:rFonts w:ascii="Arial" w:hAnsi="Arial" w:cs="Arial"/>
          <w:sz w:val="22"/>
          <w:szCs w:val="22"/>
        </w:rPr>
        <w:t>Despite the vast and expanding body of research on homelessness and primary healthcare access, there are still evident gaps in the evidence that are both substantial and consequential.</w:t>
      </w:r>
      <w:r w:rsidRPr="00457F66">
        <w:rPr>
          <w:rFonts w:ascii="Arial" w:hAnsi="Arial" w:cs="Arial"/>
          <w:sz w:val="22"/>
          <w:szCs w:val="22"/>
        </w:rPr>
        <w:t xml:space="preserve"> </w:t>
      </w:r>
      <w:r w:rsidRPr="00457F66">
        <w:rPr>
          <w:rStyle w:val="cursor-pointer"/>
          <w:rFonts w:ascii="Arial" w:hAnsi="Arial" w:cs="Arial"/>
          <w:sz w:val="22"/>
          <w:szCs w:val="22"/>
        </w:rPr>
        <w:t>The current systematic and scoping reviews are either only international in scope (</w:t>
      </w:r>
      <w:proofErr w:type="spellStart"/>
      <w:r w:rsidRPr="00457F66">
        <w:rPr>
          <w:rStyle w:val="cursor-pointer"/>
          <w:rFonts w:ascii="Arial" w:hAnsi="Arial" w:cs="Arial"/>
          <w:sz w:val="22"/>
          <w:szCs w:val="22"/>
        </w:rPr>
        <w:t>Omerov</w:t>
      </w:r>
      <w:proofErr w:type="spellEnd"/>
      <w:r w:rsidRPr="00457F66">
        <w:rPr>
          <w:rStyle w:val="cursor-pointer"/>
          <w:rFonts w:ascii="Arial" w:hAnsi="Arial" w:cs="Arial"/>
          <w:sz w:val="22"/>
          <w:szCs w:val="22"/>
        </w:rPr>
        <w:t xml:space="preserve"> et al., 2020) and thus cannot be applied directly to the context of the English NHS, or cover healthcare, but not primary care in particular.</w:t>
      </w:r>
      <w:r w:rsidRPr="00457F66">
        <w:rPr>
          <w:rFonts w:ascii="Arial" w:hAnsi="Arial" w:cs="Arial"/>
          <w:sz w:val="22"/>
          <w:szCs w:val="22"/>
        </w:rPr>
        <w:t xml:space="preserve"> </w:t>
      </w:r>
      <w:r w:rsidRPr="00457F66">
        <w:rPr>
          <w:rStyle w:val="cursor-pointer"/>
          <w:rFonts w:ascii="Arial" w:hAnsi="Arial" w:cs="Arial"/>
          <w:sz w:val="22"/>
          <w:szCs w:val="22"/>
        </w:rPr>
        <w:t>McNeill et al. (2022) explicitly point to heterogeneity of the evidence base and ask that further synthesis based on England should be conducted to drive NHS commissioning.</w:t>
      </w:r>
      <w:r w:rsidRPr="00457F66">
        <w:rPr>
          <w:rFonts w:ascii="Arial" w:hAnsi="Arial" w:cs="Arial"/>
          <w:sz w:val="22"/>
          <w:szCs w:val="22"/>
        </w:rPr>
        <w:t xml:space="preserve"> </w:t>
      </w:r>
      <w:r w:rsidRPr="00457F66">
        <w:rPr>
          <w:rStyle w:val="cursor-pointer"/>
          <w:rFonts w:ascii="Arial" w:hAnsi="Arial" w:cs="Arial"/>
          <w:sz w:val="22"/>
          <w:szCs w:val="22"/>
        </w:rPr>
        <w:t>The evidence base is mostly also qualitative in nature, as it is reported in this chapter, restricting access to population-level quantitative evidence regarding the prevalence and impacts of particular access barriers.</w:t>
      </w:r>
      <w:r w:rsidRPr="00457F66">
        <w:rPr>
          <w:rFonts w:ascii="Arial" w:hAnsi="Arial" w:cs="Arial"/>
          <w:sz w:val="22"/>
          <w:szCs w:val="22"/>
        </w:rPr>
        <w:t xml:space="preserve"> </w:t>
      </w:r>
      <w:r w:rsidRPr="00457F66">
        <w:rPr>
          <w:rStyle w:val="cursor-pointer"/>
          <w:rFonts w:ascii="Arial" w:hAnsi="Arial" w:cs="Arial"/>
          <w:sz w:val="22"/>
          <w:szCs w:val="22"/>
        </w:rPr>
        <w:t>Moreover, most of the current reviews are older than the COVID-19 pandemic, which means that the compounding barriers that digital-first primary care generates are not synthesised adequately.</w:t>
      </w:r>
      <w:r w:rsidRPr="00457F66">
        <w:rPr>
          <w:rFonts w:ascii="Arial" w:hAnsi="Arial" w:cs="Arial"/>
          <w:sz w:val="22"/>
          <w:szCs w:val="22"/>
        </w:rPr>
        <w:t xml:space="preserve"> </w:t>
      </w:r>
      <w:r w:rsidRPr="00457F66">
        <w:rPr>
          <w:rStyle w:val="cursor-pointer"/>
          <w:rFonts w:ascii="Arial" w:hAnsi="Arial" w:cs="Arial"/>
          <w:sz w:val="22"/>
          <w:szCs w:val="22"/>
        </w:rPr>
        <w:t xml:space="preserve">The current review fills these gaps by means of a dedicated, </w:t>
      </w:r>
      <w:r w:rsidR="00DC4B6E" w:rsidRPr="00457F66">
        <w:rPr>
          <w:rFonts w:ascii="Arial" w:hAnsi="Arial" w:cs="Arial"/>
          <w:sz w:val="22"/>
          <w:szCs w:val="22"/>
        </w:rPr>
        <w:t>PRISMA 2020-compliant systematic synthesis</w:t>
      </w:r>
      <w:r w:rsidRPr="00457F66">
        <w:rPr>
          <w:rStyle w:val="cursor-pointer"/>
          <w:rFonts w:ascii="Arial" w:hAnsi="Arial" w:cs="Arial"/>
          <w:sz w:val="22"/>
          <w:szCs w:val="22"/>
        </w:rPr>
        <w:t xml:space="preserve"> that integrates England-specific evidence till June 2026 and formal quality appraisal of all the included studies.</w:t>
      </w:r>
    </w:p>
    <w:p w14:paraId="33879B47" w14:textId="77777777" w:rsidR="00405394" w:rsidRPr="00457F66" w:rsidRDefault="00405394" w:rsidP="008452C0">
      <w:pPr>
        <w:spacing w:line="360" w:lineRule="auto"/>
        <w:jc w:val="both"/>
        <w:rPr>
          <w:rStyle w:val="cursor-pointer"/>
          <w:rFonts w:ascii="Arial" w:hAnsi="Arial" w:cs="Arial"/>
          <w:sz w:val="22"/>
          <w:szCs w:val="22"/>
        </w:rPr>
      </w:pPr>
      <w:r w:rsidRPr="00457F66">
        <w:rPr>
          <w:rStyle w:val="cursor-pointer"/>
          <w:rFonts w:ascii="Arial" w:hAnsi="Arial" w:cs="Arial"/>
          <w:sz w:val="22"/>
          <w:szCs w:val="22"/>
        </w:rPr>
        <w:br w:type="page"/>
      </w:r>
    </w:p>
    <w:p w14:paraId="53F46161" w14:textId="77777777" w:rsidR="0049712A" w:rsidRPr="00457F66" w:rsidRDefault="0049712A" w:rsidP="008452C0">
      <w:pPr>
        <w:pStyle w:val="Heading1"/>
        <w:spacing w:line="360" w:lineRule="auto"/>
        <w:jc w:val="both"/>
      </w:pPr>
      <w:bookmarkStart w:id="24" w:name="_Toc240922945"/>
      <w:r w:rsidRPr="00457F66">
        <w:t>CHAPTER 3 — METHODOLOGY</w:t>
      </w:r>
      <w:bookmarkEnd w:id="24"/>
      <w:r w:rsidRPr="00457F66">
        <w:t xml:space="preserve"> </w:t>
      </w:r>
    </w:p>
    <w:p w14:paraId="61489CC7" w14:textId="77777777" w:rsidR="0049712A" w:rsidRPr="00457F66" w:rsidRDefault="0049712A" w:rsidP="008452C0">
      <w:pPr>
        <w:pStyle w:val="Heading2"/>
        <w:spacing w:line="360" w:lineRule="auto"/>
        <w:jc w:val="both"/>
      </w:pPr>
      <w:bookmarkStart w:id="25" w:name="_Toc240922946"/>
      <w:r w:rsidRPr="00457F66">
        <w:t>3.1 Introduction</w:t>
      </w:r>
      <w:bookmarkEnd w:id="25"/>
    </w:p>
    <w:p w14:paraId="39B376A1"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This chapter establishes the methodological framework of this systematic review. It elaborates on the reasons behind the choice of a systematic review as the research design and methodologies used to screen, select, and critically evaluate pertinent literature. The search strategy, inclusion and exclusion criteria, methods of quality appraisal and methods of data synthesis are all explicated and justified for published literature on methods. Ethical issues involving this desk-based inquiry are also discussed. At any rate, transparency and methodological rigour are upheld in line with the statement of Preferred Reporting Items for Systematic Reviews and Meta-Analyses (PRISMA) 2020 (Page et al., 2021).</w:t>
      </w:r>
    </w:p>
    <w:p w14:paraId="34DACD64" w14:textId="77777777" w:rsidR="0049712A" w:rsidRPr="00457F66" w:rsidRDefault="0049712A" w:rsidP="008452C0">
      <w:pPr>
        <w:pStyle w:val="Heading2"/>
        <w:spacing w:line="360" w:lineRule="auto"/>
      </w:pPr>
      <w:bookmarkStart w:id="26" w:name="_Toc240922947"/>
      <w:r w:rsidRPr="00457F66">
        <w:t>3.2 Research Design</w:t>
      </w:r>
      <w:bookmarkEnd w:id="26"/>
    </w:p>
    <w:p w14:paraId="49063312" w14:textId="073945AA" w:rsidR="0049712A" w:rsidRPr="00457F66" w:rsidRDefault="0049712A" w:rsidP="008452C0">
      <w:pPr>
        <w:spacing w:before="100" w:beforeAutospacing="1" w:after="100" w:afterAutospacing="1" w:line="360" w:lineRule="auto"/>
        <w:jc w:val="both"/>
        <w:rPr>
          <w:rFonts w:ascii="Arial" w:eastAsiaTheme="minorHAnsi" w:hAnsi="Arial" w:cs="Arial"/>
          <w:kern w:val="2"/>
          <w:sz w:val="22"/>
          <w:szCs w:val="22"/>
          <w:lang w:val="en-GB" w:eastAsia="en-US"/>
          <w14:ligatures w14:val="standardContextual"/>
        </w:rPr>
      </w:pPr>
      <w:r w:rsidRPr="00457F66">
        <w:rPr>
          <w:rFonts w:ascii="Arial" w:hAnsi="Arial" w:cs="Arial"/>
          <w:sz w:val="22"/>
          <w:szCs w:val="22"/>
          <w:lang w:val="en-GB"/>
        </w:rPr>
        <w:t xml:space="preserve">A systematic literature review was selected as the most appropriate research design for this study. A systematic literature review uses a structured, transparent and reproducible process to identify, select, critically appraise and synthesise evidence relevant to a clearly defined research question </w:t>
      </w:r>
      <w:r w:rsidR="00B116C8" w:rsidRPr="00457F66">
        <w:rPr>
          <w:rFonts w:ascii="Arial" w:hAnsi="Arial" w:cs="Arial"/>
          <w:sz w:val="22"/>
          <w:szCs w:val="22"/>
        </w:rPr>
        <w:t>(Aveyard, 2019; Creswell and Creswell, 2018).</w:t>
      </w:r>
      <w:r w:rsidRPr="00457F66">
        <w:rPr>
          <w:rFonts w:ascii="Arial" w:hAnsi="Arial" w:cs="Arial"/>
          <w:sz w:val="22"/>
          <w:szCs w:val="22"/>
          <w:lang w:val="en-GB"/>
        </w:rPr>
        <w:t xml:space="preserve"> Unlike a traditional narrative review, it uses a planned search strategy, predefined inclusion and exclusion criteria and a systematic approach to assessing the quality of the included evidence, which can help to reduce selection bias and improve transparency (Gough, Oliver and Thomas, 2017).</w:t>
      </w:r>
    </w:p>
    <w:p w14:paraId="0DE206CB" w14:textId="7777777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This design was appropriate because the research question seeks to examine the evidence concerning barriers to primary healthcare access among homeless adults in England. Evidence relating to this topic is available across different types of research and healthcare literature. A systematic approach therefore allows relevant evidence to be identified and brought together in a structured way, enabling comparison across studies and the identification of common findings, differences and gaps within the existing evidence (Booth, Sutton and Papaioannou, 2016). The approach is also suitable for reviewing evidence from different study designs, including qualitative and quantitative research, where these meet the predefined eligibility criteria.</w:t>
      </w:r>
    </w:p>
    <w:p w14:paraId="332B57A3" w14:textId="7777777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A key strength of a systematic literature review is its use of an explicit and structured process for searching, selecting and evaluating evidence. This increases transparency and allows the reader to understand how the final studies were identified and why they were included (Aveyard, 2019). The use of predefined eligibility criteria and critical appraisal can also help to reduce selective use of evidence and allows the methodological quality of included studies to be considered when interpreting the findings (Gough, Oliver and Thomas, 2017). In addition, synthesising evidence from multiple studies can provide a broader understanding of a research problem and help identify patterns, inconsistencies and gaps across the existing evidence (Booth, Sutton and Papaioannou, 2016).</w:t>
      </w:r>
    </w:p>
    <w:p w14:paraId="20CDE368" w14:textId="7777777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However, systematic literature reviews also have limitations. The quality and strength of the conclusions depend partly on the quality of the available evidence, meaning that methodological weaknesses within the included studies can affect the conclusions that can be drawn from the review (Gough, Oliver and Thomas, 2017). Relevant evidence may also be missed because of restrictions in the search strategy, such as the databases searched, publication period and language restrictions (Booth, Sutton and Papaioannou, 2016). Furthermore, differences between included studies in relation to their populations, settings, methodologies and outcomes can make comparison and synthesis difficult, particularly where heterogeneous qualitative and quantitative evidence is included (Dixon-Woods et al., 2005). These limitations should therefore be considered when interpreting the overall findings of the review.</w:t>
      </w:r>
    </w:p>
    <w:p w14:paraId="1599C26F" w14:textId="7777777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The systematic review was underpinned by the PRISMA 2020 framework (Page et al., 2021). PRISMA was used because it provides structured guidance for the transparent reporting of the identification, screening, eligibility and final selection of studies. Its use supports a clear and auditable account of how the evidence included in the review was identified and selected, thereby strengthening the transparency and methodological rigour of the review. The PRISMA process is therefore reflected throughout the search and screening stages, with the completed PRISMA flow diagram showing the progression from the records initially identified to the studies finally included in the review.</w:t>
      </w:r>
    </w:p>
    <w:p w14:paraId="46C4D1E6" w14:textId="77777777" w:rsidR="0049712A" w:rsidRPr="00457F66" w:rsidRDefault="0049712A" w:rsidP="008452C0">
      <w:pPr>
        <w:pStyle w:val="Heading2"/>
        <w:spacing w:line="360" w:lineRule="auto"/>
      </w:pPr>
      <w:bookmarkStart w:id="27" w:name="_Toc240922948"/>
      <w:r w:rsidRPr="00457F66">
        <w:t>3.3 Search Strategy</w:t>
      </w:r>
      <w:bookmarkEnd w:id="27"/>
    </w:p>
    <w:p w14:paraId="27418C2A" w14:textId="4C59F49C" w:rsidR="00CF5D4B" w:rsidRPr="00457F66" w:rsidRDefault="0049712A" w:rsidP="003B7774">
      <w:pPr>
        <w:spacing w:before="100" w:beforeAutospacing="1" w:after="100" w:afterAutospacing="1" w:line="360" w:lineRule="auto"/>
        <w:jc w:val="both"/>
        <w:rPr>
          <w:rStyle w:val="Strong"/>
          <w:rFonts w:ascii="Arial" w:hAnsi="Arial" w:cs="Arial"/>
          <w:b w:val="0"/>
          <w:bCs w:val="0"/>
          <w:sz w:val="22"/>
          <w:szCs w:val="22"/>
        </w:rPr>
      </w:pPr>
      <w:r w:rsidRPr="00457F66">
        <w:rPr>
          <w:rFonts w:ascii="Arial" w:hAnsi="Arial" w:cs="Arial"/>
          <w:sz w:val="22"/>
          <w:szCs w:val="22"/>
        </w:rPr>
        <w:t>An extensive and careful search of five databases was done: MEDLINE, CINAHL, PsycINFO, EMBASE, and Google Scholar. The selection of these databases was for their sound coverage of health science in general, nursing, psychology and the fields of public health, which was essential to a reliable search of the literature presented by peer-reviewed sources (Booth, Sutton and Papaioannou, 2016). Moreover, there was a search of the grey literature by credible official sources, such as NHS England, the National Institute for Health and Care Excellence (NICE), the Office for National Statistics (ONS), the Ministry of Housing, Communities and Local Government (MHCLG), Crisis, Homeless Link, and the Joseph Rowntree Foundation (JRF). Grey literature was also pursued to retrieve policy reports, national reports, and audit statistics that would not enter the academic databases but still be of great importance to the research question (Tyndall, 2010).</w:t>
      </w:r>
    </w:p>
    <w:p w14:paraId="4BDA438C" w14:textId="4B44847A" w:rsidR="003B7774" w:rsidRPr="00457F66" w:rsidRDefault="003B7774" w:rsidP="003B7774">
      <w:pPr>
        <w:pStyle w:val="Caption"/>
        <w:keepNext/>
        <w:rPr>
          <w:rFonts w:ascii="Arial" w:hAnsi="Arial" w:cs="Arial"/>
          <w:b/>
          <w:bCs/>
          <w:sz w:val="20"/>
          <w:szCs w:val="20"/>
        </w:rPr>
      </w:pPr>
      <w:bookmarkStart w:id="28" w:name="_Toc241030480"/>
      <w:r w:rsidRPr="00457F66">
        <w:rPr>
          <w:rFonts w:ascii="Arial" w:hAnsi="Arial" w:cs="Arial"/>
          <w:b/>
          <w:bCs/>
          <w:sz w:val="20"/>
          <w:szCs w:val="20"/>
        </w:rPr>
        <w:t xml:space="preserve">Table </w:t>
      </w:r>
      <w:r w:rsidRPr="00457F66">
        <w:rPr>
          <w:rFonts w:ascii="Arial" w:hAnsi="Arial" w:cs="Arial"/>
          <w:b/>
          <w:bCs/>
          <w:sz w:val="20"/>
          <w:szCs w:val="20"/>
        </w:rPr>
        <w:fldChar w:fldCharType="begin"/>
      </w:r>
      <w:r w:rsidRPr="00457F66">
        <w:rPr>
          <w:rFonts w:ascii="Arial" w:hAnsi="Arial" w:cs="Arial"/>
          <w:b/>
          <w:bCs/>
          <w:sz w:val="20"/>
          <w:szCs w:val="20"/>
        </w:rPr>
        <w:instrText xml:space="preserve"> SEQ Table \* ARABIC </w:instrText>
      </w:r>
      <w:r w:rsidRPr="00457F66">
        <w:rPr>
          <w:rFonts w:ascii="Arial" w:hAnsi="Arial" w:cs="Arial"/>
          <w:b/>
          <w:bCs/>
          <w:sz w:val="20"/>
          <w:szCs w:val="20"/>
        </w:rPr>
        <w:fldChar w:fldCharType="separate"/>
      </w:r>
      <w:r w:rsidRPr="00457F66">
        <w:rPr>
          <w:rFonts w:ascii="Arial" w:hAnsi="Arial" w:cs="Arial"/>
          <w:b/>
          <w:bCs/>
          <w:noProof/>
          <w:sz w:val="20"/>
          <w:szCs w:val="20"/>
        </w:rPr>
        <w:t>1</w:t>
      </w:r>
      <w:r w:rsidRPr="00457F66">
        <w:rPr>
          <w:rFonts w:ascii="Arial" w:hAnsi="Arial" w:cs="Arial"/>
          <w:b/>
          <w:bCs/>
          <w:sz w:val="20"/>
          <w:szCs w:val="20"/>
        </w:rPr>
        <w:fldChar w:fldCharType="end"/>
      </w:r>
      <w:r w:rsidRPr="00457F66">
        <w:rPr>
          <w:rStyle w:val="Strong"/>
          <w:rFonts w:ascii="Arial" w:hAnsi="Arial" w:cs="Arial"/>
          <w:b w:val="0"/>
          <w:bCs w:val="0"/>
          <w:sz w:val="20"/>
          <w:szCs w:val="20"/>
        </w:rPr>
        <w:t>— Search Terms by Concept</w:t>
      </w:r>
      <w:bookmarkEnd w:id="28"/>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7000"/>
      </w:tblGrid>
      <w:tr w:rsidR="00CF5D4B" w:rsidRPr="00457F66" w14:paraId="2BBC2DBD" w14:textId="77777777" w:rsidTr="00CF5D4B">
        <w:trPr>
          <w:tblHeader/>
        </w:trPr>
        <w:tc>
          <w:tcPr>
            <w:tcW w:w="2200" w:type="dxa"/>
            <w:tcBorders>
              <w:top w:val="single" w:sz="4" w:space="0" w:color="auto"/>
              <w:left w:val="single" w:sz="4" w:space="0" w:color="auto"/>
              <w:bottom w:val="single" w:sz="4" w:space="0" w:color="auto"/>
              <w:right w:val="single" w:sz="4" w:space="0" w:color="auto"/>
            </w:tcBorders>
            <w:shd w:val="clear" w:color="auto" w:fill="003087"/>
            <w:hideMark/>
          </w:tcPr>
          <w:p w14:paraId="18AAE0BB"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Concept</w:t>
            </w:r>
          </w:p>
        </w:tc>
        <w:tc>
          <w:tcPr>
            <w:tcW w:w="7000" w:type="dxa"/>
            <w:tcBorders>
              <w:top w:val="single" w:sz="4" w:space="0" w:color="auto"/>
              <w:left w:val="single" w:sz="4" w:space="0" w:color="auto"/>
              <w:bottom w:val="single" w:sz="4" w:space="0" w:color="auto"/>
              <w:right w:val="single" w:sz="4" w:space="0" w:color="auto"/>
            </w:tcBorders>
            <w:shd w:val="clear" w:color="auto" w:fill="003087"/>
            <w:hideMark/>
          </w:tcPr>
          <w:p w14:paraId="6E7C259F"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Search Terms</w:t>
            </w:r>
          </w:p>
        </w:tc>
      </w:tr>
      <w:tr w:rsidR="00CF5D4B" w:rsidRPr="00457F66" w14:paraId="222DD776"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6D337191"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Homelessness</w:t>
            </w:r>
          </w:p>
        </w:tc>
        <w:tc>
          <w:tcPr>
            <w:tcW w:w="7000" w:type="dxa"/>
            <w:tcBorders>
              <w:top w:val="single" w:sz="4" w:space="0" w:color="auto"/>
              <w:left w:val="single" w:sz="4" w:space="0" w:color="auto"/>
              <w:bottom w:val="single" w:sz="4" w:space="0" w:color="auto"/>
              <w:right w:val="single" w:sz="4" w:space="0" w:color="auto"/>
            </w:tcBorders>
            <w:shd w:val="clear" w:color="auto" w:fill="FFFFFF"/>
            <w:hideMark/>
          </w:tcPr>
          <w:p w14:paraId="6998B392"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homeless, homelessness, rough sleeping, roofless, no fixed abode, hidden homeless, street homeless, people experiencing homelessness</w:t>
            </w:r>
          </w:p>
        </w:tc>
      </w:tr>
      <w:tr w:rsidR="00CF5D4B" w:rsidRPr="00457F66" w14:paraId="4ED70764"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E8F0F8"/>
            <w:hideMark/>
          </w:tcPr>
          <w:p w14:paraId="53AF812A"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Primary Healthcare</w:t>
            </w:r>
          </w:p>
        </w:tc>
        <w:tc>
          <w:tcPr>
            <w:tcW w:w="7000" w:type="dxa"/>
            <w:tcBorders>
              <w:top w:val="single" w:sz="4" w:space="0" w:color="auto"/>
              <w:left w:val="single" w:sz="4" w:space="0" w:color="auto"/>
              <w:bottom w:val="single" w:sz="4" w:space="0" w:color="auto"/>
              <w:right w:val="single" w:sz="4" w:space="0" w:color="auto"/>
            </w:tcBorders>
            <w:shd w:val="clear" w:color="auto" w:fill="E8F0F8"/>
            <w:hideMark/>
          </w:tcPr>
          <w:p w14:paraId="0EFB040C"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primary care, general practice, GP, primary health services, community health, family medicine, health centre, primary healthcare</w:t>
            </w:r>
          </w:p>
        </w:tc>
      </w:tr>
      <w:tr w:rsidR="00CF5D4B" w:rsidRPr="00457F66" w14:paraId="2D0EF3B4"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2A4368A9"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Barriers to Access</w:t>
            </w:r>
          </w:p>
        </w:tc>
        <w:tc>
          <w:tcPr>
            <w:tcW w:w="7000" w:type="dxa"/>
            <w:tcBorders>
              <w:top w:val="single" w:sz="4" w:space="0" w:color="auto"/>
              <w:left w:val="single" w:sz="4" w:space="0" w:color="auto"/>
              <w:bottom w:val="single" w:sz="4" w:space="0" w:color="auto"/>
              <w:right w:val="single" w:sz="4" w:space="0" w:color="auto"/>
            </w:tcBorders>
            <w:shd w:val="clear" w:color="auto" w:fill="FFFFFF"/>
            <w:hideMark/>
          </w:tcPr>
          <w:p w14:paraId="7712F35B"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barriers, obstacles, challenges, access, utilisation, inequalities, exclusion, inequity, registration, engagement</w:t>
            </w:r>
          </w:p>
        </w:tc>
      </w:tr>
      <w:tr w:rsidR="00CF5D4B" w:rsidRPr="00457F66" w14:paraId="258B0A5A"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E8F0F8"/>
            <w:hideMark/>
          </w:tcPr>
          <w:p w14:paraId="31A80DCB"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Health Outcomes / Context</w:t>
            </w:r>
          </w:p>
        </w:tc>
        <w:tc>
          <w:tcPr>
            <w:tcW w:w="7000" w:type="dxa"/>
            <w:tcBorders>
              <w:top w:val="single" w:sz="4" w:space="0" w:color="auto"/>
              <w:left w:val="single" w:sz="4" w:space="0" w:color="auto"/>
              <w:bottom w:val="single" w:sz="4" w:space="0" w:color="auto"/>
              <w:right w:val="single" w:sz="4" w:space="0" w:color="auto"/>
            </w:tcBorders>
            <w:shd w:val="clear" w:color="auto" w:fill="E8F0F8"/>
            <w:hideMark/>
          </w:tcPr>
          <w:p w14:paraId="1725F094"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registration, stigma, service design, digital exclusion, mortality, health inequalities, COVID-19, discrimination, commissioning</w:t>
            </w:r>
          </w:p>
        </w:tc>
      </w:tr>
      <w:tr w:rsidR="00CF5D4B" w:rsidRPr="00457F66" w14:paraId="260A2F29"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6218D517"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Geographical Focus</w:t>
            </w:r>
          </w:p>
        </w:tc>
        <w:tc>
          <w:tcPr>
            <w:tcW w:w="7000" w:type="dxa"/>
            <w:tcBorders>
              <w:top w:val="single" w:sz="4" w:space="0" w:color="auto"/>
              <w:left w:val="single" w:sz="4" w:space="0" w:color="auto"/>
              <w:bottom w:val="single" w:sz="4" w:space="0" w:color="auto"/>
              <w:right w:val="single" w:sz="4" w:space="0" w:color="auto"/>
            </w:tcBorders>
            <w:shd w:val="clear" w:color="auto" w:fill="FFFFFF"/>
            <w:hideMark/>
          </w:tcPr>
          <w:p w14:paraId="6DB3CE9C"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England, United Kingdom, UK, British, NHS, National Health Service</w:t>
            </w:r>
          </w:p>
        </w:tc>
      </w:tr>
    </w:tbl>
    <w:p w14:paraId="725F6CC2" w14:textId="1BC998F2" w:rsidR="00CF5D4B" w:rsidRPr="00457F66" w:rsidRDefault="00CF5D4B" w:rsidP="008452C0">
      <w:pPr>
        <w:spacing w:line="360" w:lineRule="auto"/>
        <w:rPr>
          <w:rStyle w:val="Strong"/>
          <w:rFonts w:ascii="Arial" w:hAnsi="Arial" w:cs="Arial"/>
          <w:sz w:val="22"/>
          <w:szCs w:val="22"/>
        </w:rPr>
      </w:pPr>
    </w:p>
    <w:p w14:paraId="3BC112AD" w14:textId="533C1B68" w:rsidR="003B7774" w:rsidRPr="00457F66" w:rsidRDefault="003B7774" w:rsidP="003B7774">
      <w:pPr>
        <w:pStyle w:val="Caption"/>
        <w:keepNext/>
        <w:rPr>
          <w:rFonts w:ascii="Arial" w:hAnsi="Arial" w:cs="Arial"/>
          <w:b/>
          <w:bCs/>
          <w:sz w:val="20"/>
          <w:szCs w:val="20"/>
        </w:rPr>
      </w:pPr>
      <w:bookmarkStart w:id="29" w:name="_Toc241030481"/>
      <w:r w:rsidRPr="00457F66">
        <w:rPr>
          <w:rFonts w:ascii="Arial" w:hAnsi="Arial" w:cs="Arial"/>
          <w:b/>
          <w:bCs/>
          <w:sz w:val="20"/>
          <w:szCs w:val="20"/>
        </w:rPr>
        <w:t xml:space="preserve">Table </w:t>
      </w:r>
      <w:r w:rsidRPr="00457F66">
        <w:rPr>
          <w:rFonts w:ascii="Arial" w:hAnsi="Arial" w:cs="Arial"/>
          <w:b/>
          <w:bCs/>
          <w:sz w:val="20"/>
          <w:szCs w:val="20"/>
        </w:rPr>
        <w:fldChar w:fldCharType="begin"/>
      </w:r>
      <w:r w:rsidRPr="00457F66">
        <w:rPr>
          <w:rFonts w:ascii="Arial" w:hAnsi="Arial" w:cs="Arial"/>
          <w:b/>
          <w:bCs/>
          <w:sz w:val="20"/>
          <w:szCs w:val="20"/>
        </w:rPr>
        <w:instrText xml:space="preserve"> SEQ Table \* ARABIC </w:instrText>
      </w:r>
      <w:r w:rsidRPr="00457F66">
        <w:rPr>
          <w:rFonts w:ascii="Arial" w:hAnsi="Arial" w:cs="Arial"/>
          <w:b/>
          <w:bCs/>
          <w:sz w:val="20"/>
          <w:szCs w:val="20"/>
        </w:rPr>
        <w:fldChar w:fldCharType="separate"/>
      </w:r>
      <w:r w:rsidRPr="00457F66">
        <w:rPr>
          <w:rFonts w:ascii="Arial" w:hAnsi="Arial" w:cs="Arial"/>
          <w:b/>
          <w:bCs/>
          <w:noProof/>
          <w:sz w:val="20"/>
          <w:szCs w:val="20"/>
        </w:rPr>
        <w:t>2</w:t>
      </w:r>
      <w:r w:rsidRPr="00457F66">
        <w:rPr>
          <w:rFonts w:ascii="Arial" w:hAnsi="Arial" w:cs="Arial"/>
          <w:b/>
          <w:bCs/>
          <w:sz w:val="20"/>
          <w:szCs w:val="20"/>
        </w:rPr>
        <w:fldChar w:fldCharType="end"/>
      </w:r>
      <w:r w:rsidRPr="00457F66">
        <w:rPr>
          <w:rStyle w:val="Strong"/>
          <w:rFonts w:ascii="Arial" w:hAnsi="Arial" w:cs="Arial"/>
          <w:b w:val="0"/>
          <w:bCs w:val="0"/>
          <w:sz w:val="20"/>
          <w:szCs w:val="20"/>
        </w:rPr>
        <w:t>— Search Strings Using Boolean Operators</w:t>
      </w:r>
      <w:bookmarkEnd w:id="29"/>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7000"/>
      </w:tblGrid>
      <w:tr w:rsidR="00CF5D4B" w:rsidRPr="00457F66" w14:paraId="2F02430A" w14:textId="77777777" w:rsidTr="00CF5D4B">
        <w:trPr>
          <w:tblHeader/>
        </w:trPr>
        <w:tc>
          <w:tcPr>
            <w:tcW w:w="2200" w:type="dxa"/>
            <w:tcBorders>
              <w:top w:val="single" w:sz="4" w:space="0" w:color="auto"/>
              <w:left w:val="single" w:sz="4" w:space="0" w:color="auto"/>
              <w:bottom w:val="single" w:sz="4" w:space="0" w:color="auto"/>
              <w:right w:val="single" w:sz="4" w:space="0" w:color="auto"/>
            </w:tcBorders>
            <w:shd w:val="clear" w:color="auto" w:fill="003087"/>
            <w:hideMark/>
          </w:tcPr>
          <w:p w14:paraId="51DC379A"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Concept</w:t>
            </w:r>
          </w:p>
        </w:tc>
        <w:tc>
          <w:tcPr>
            <w:tcW w:w="7000" w:type="dxa"/>
            <w:tcBorders>
              <w:top w:val="single" w:sz="4" w:space="0" w:color="auto"/>
              <w:left w:val="single" w:sz="4" w:space="0" w:color="auto"/>
              <w:bottom w:val="single" w:sz="4" w:space="0" w:color="auto"/>
              <w:right w:val="single" w:sz="4" w:space="0" w:color="auto"/>
            </w:tcBorders>
            <w:shd w:val="clear" w:color="auto" w:fill="003087"/>
            <w:hideMark/>
          </w:tcPr>
          <w:p w14:paraId="084DE2CB"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Search String with Boolean Operators</w:t>
            </w:r>
          </w:p>
        </w:tc>
      </w:tr>
      <w:tr w:rsidR="00CF5D4B" w:rsidRPr="00457F66" w14:paraId="03F4EC48"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04D2A071"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Homelessness</w:t>
            </w:r>
          </w:p>
        </w:tc>
        <w:tc>
          <w:tcPr>
            <w:tcW w:w="7000" w:type="dxa"/>
            <w:tcBorders>
              <w:top w:val="single" w:sz="4" w:space="0" w:color="auto"/>
              <w:left w:val="single" w:sz="4" w:space="0" w:color="auto"/>
              <w:bottom w:val="single" w:sz="4" w:space="0" w:color="auto"/>
              <w:right w:val="single" w:sz="4" w:space="0" w:color="auto"/>
            </w:tcBorders>
            <w:shd w:val="clear" w:color="auto" w:fill="FFFFFF"/>
            <w:hideMark/>
          </w:tcPr>
          <w:p w14:paraId="1F61BF4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("homeless" OR "homelessness" OR "rough sleeping" OR "no fixed abode" OR "hidden homeless" OR "people experiencing homelessness")</w:t>
            </w:r>
          </w:p>
        </w:tc>
      </w:tr>
      <w:tr w:rsidR="00CF5D4B" w:rsidRPr="00457F66" w14:paraId="33C4430C"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E8F0F8"/>
            <w:hideMark/>
          </w:tcPr>
          <w:p w14:paraId="66192A92"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Primary Healthcare</w:t>
            </w:r>
          </w:p>
        </w:tc>
        <w:tc>
          <w:tcPr>
            <w:tcW w:w="7000" w:type="dxa"/>
            <w:tcBorders>
              <w:top w:val="single" w:sz="4" w:space="0" w:color="auto"/>
              <w:left w:val="single" w:sz="4" w:space="0" w:color="auto"/>
              <w:bottom w:val="single" w:sz="4" w:space="0" w:color="auto"/>
              <w:right w:val="single" w:sz="4" w:space="0" w:color="auto"/>
            </w:tcBorders>
            <w:shd w:val="clear" w:color="auto" w:fill="E8F0F8"/>
            <w:hideMark/>
          </w:tcPr>
          <w:p w14:paraId="6E830784"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("primary care" OR "general practice" OR "GP" OR "primary health services" OR "community health" OR "family medicine" OR "health centre")</w:t>
            </w:r>
          </w:p>
        </w:tc>
      </w:tr>
      <w:tr w:rsidR="00CF5D4B" w:rsidRPr="00457F66" w14:paraId="5EDABFC9"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0B4CF303"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Barriers</w:t>
            </w:r>
          </w:p>
        </w:tc>
        <w:tc>
          <w:tcPr>
            <w:tcW w:w="7000" w:type="dxa"/>
            <w:tcBorders>
              <w:top w:val="single" w:sz="4" w:space="0" w:color="auto"/>
              <w:left w:val="single" w:sz="4" w:space="0" w:color="auto"/>
              <w:bottom w:val="single" w:sz="4" w:space="0" w:color="auto"/>
              <w:right w:val="single" w:sz="4" w:space="0" w:color="auto"/>
            </w:tcBorders>
            <w:shd w:val="clear" w:color="auto" w:fill="FFFFFF"/>
            <w:hideMark/>
          </w:tcPr>
          <w:p w14:paraId="221370CA"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("barriers" OR "obstacles" OR "access" OR "exclusion" OR "inequity" OR "utilisation" OR "registration" OR "inequalities")</w:t>
            </w:r>
          </w:p>
        </w:tc>
      </w:tr>
      <w:tr w:rsidR="00CF5D4B" w:rsidRPr="00457F66" w14:paraId="72EA45F1"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E8F0F8"/>
            <w:hideMark/>
          </w:tcPr>
          <w:p w14:paraId="08FC6A0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Geographical Focus</w:t>
            </w:r>
          </w:p>
        </w:tc>
        <w:tc>
          <w:tcPr>
            <w:tcW w:w="7000" w:type="dxa"/>
            <w:tcBorders>
              <w:top w:val="single" w:sz="4" w:space="0" w:color="auto"/>
              <w:left w:val="single" w:sz="4" w:space="0" w:color="auto"/>
              <w:bottom w:val="single" w:sz="4" w:space="0" w:color="auto"/>
              <w:right w:val="single" w:sz="4" w:space="0" w:color="auto"/>
            </w:tcBorders>
            <w:shd w:val="clear" w:color="auto" w:fill="E8F0F8"/>
            <w:hideMark/>
          </w:tcPr>
          <w:p w14:paraId="567C202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("England" OR "United Kingdom" OR "UK" OR "NHS" OR "British")</w:t>
            </w:r>
          </w:p>
        </w:tc>
      </w:tr>
      <w:tr w:rsidR="00CF5D4B" w:rsidRPr="00457F66" w14:paraId="417CD4DD" w14:textId="77777777" w:rsidTr="00CF5D4B">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208A1D39"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Combined Master Search String</w:t>
            </w:r>
          </w:p>
        </w:tc>
        <w:tc>
          <w:tcPr>
            <w:tcW w:w="7000" w:type="dxa"/>
            <w:tcBorders>
              <w:top w:val="single" w:sz="4" w:space="0" w:color="auto"/>
              <w:left w:val="single" w:sz="4" w:space="0" w:color="auto"/>
              <w:bottom w:val="single" w:sz="4" w:space="0" w:color="auto"/>
              <w:right w:val="single" w:sz="4" w:space="0" w:color="auto"/>
            </w:tcBorders>
            <w:shd w:val="clear" w:color="auto" w:fill="FFFFFF"/>
            <w:hideMark/>
          </w:tcPr>
          <w:p w14:paraId="6D8FD21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(("homeless" OR "homelessness" OR "rough sleeping") AND ("primary care" OR "general practice" OR "GP") AND ("barriers" OR "access" OR "inequalities") AND ("England" OR "UK" OR "NHS"))</w:t>
            </w:r>
          </w:p>
        </w:tc>
      </w:tr>
    </w:tbl>
    <w:p w14:paraId="3488200A" w14:textId="715166BA" w:rsidR="00CF5D4B" w:rsidRPr="00457F66" w:rsidRDefault="00CF5D4B" w:rsidP="008452C0">
      <w:pPr>
        <w:spacing w:line="360" w:lineRule="auto"/>
        <w:rPr>
          <w:rStyle w:val="Strong"/>
          <w:rFonts w:ascii="Arial" w:hAnsi="Arial" w:cs="Arial"/>
        </w:rPr>
      </w:pPr>
    </w:p>
    <w:p w14:paraId="00DA3D8D" w14:textId="28FA46A0" w:rsidR="003B7774" w:rsidRPr="00457F66" w:rsidRDefault="003B7774" w:rsidP="003B7774">
      <w:pPr>
        <w:pStyle w:val="Caption"/>
        <w:keepNext/>
        <w:rPr>
          <w:rFonts w:ascii="Arial" w:hAnsi="Arial" w:cs="Arial"/>
          <w:b/>
          <w:bCs/>
          <w:sz w:val="20"/>
          <w:szCs w:val="20"/>
        </w:rPr>
      </w:pPr>
      <w:bookmarkStart w:id="30" w:name="_Toc241030482"/>
      <w:r w:rsidRPr="00457F66">
        <w:rPr>
          <w:rFonts w:ascii="Arial" w:hAnsi="Arial" w:cs="Arial"/>
          <w:b/>
          <w:bCs/>
          <w:sz w:val="20"/>
          <w:szCs w:val="20"/>
        </w:rPr>
        <w:t xml:space="preserve">Table </w:t>
      </w:r>
      <w:r w:rsidRPr="00457F66">
        <w:rPr>
          <w:rFonts w:ascii="Arial" w:hAnsi="Arial" w:cs="Arial"/>
          <w:b/>
          <w:bCs/>
          <w:sz w:val="20"/>
          <w:szCs w:val="20"/>
        </w:rPr>
        <w:fldChar w:fldCharType="begin"/>
      </w:r>
      <w:r w:rsidRPr="00457F66">
        <w:rPr>
          <w:rFonts w:ascii="Arial" w:hAnsi="Arial" w:cs="Arial"/>
          <w:b/>
          <w:bCs/>
          <w:sz w:val="20"/>
          <w:szCs w:val="20"/>
        </w:rPr>
        <w:instrText xml:space="preserve"> SEQ Table \* ARABIC </w:instrText>
      </w:r>
      <w:r w:rsidRPr="00457F66">
        <w:rPr>
          <w:rFonts w:ascii="Arial" w:hAnsi="Arial" w:cs="Arial"/>
          <w:b/>
          <w:bCs/>
          <w:sz w:val="20"/>
          <w:szCs w:val="20"/>
        </w:rPr>
        <w:fldChar w:fldCharType="separate"/>
      </w:r>
      <w:r w:rsidRPr="00457F66">
        <w:rPr>
          <w:rFonts w:ascii="Arial" w:hAnsi="Arial" w:cs="Arial"/>
          <w:b/>
          <w:bCs/>
          <w:noProof/>
          <w:sz w:val="20"/>
          <w:szCs w:val="20"/>
        </w:rPr>
        <w:t>3</w:t>
      </w:r>
      <w:r w:rsidRPr="00457F66">
        <w:rPr>
          <w:rFonts w:ascii="Arial" w:hAnsi="Arial" w:cs="Arial"/>
          <w:b/>
          <w:bCs/>
          <w:sz w:val="20"/>
          <w:szCs w:val="20"/>
        </w:rPr>
        <w:fldChar w:fldCharType="end"/>
      </w:r>
      <w:r w:rsidRPr="00457F66">
        <w:rPr>
          <w:rStyle w:val="Strong"/>
          <w:rFonts w:ascii="Arial" w:hAnsi="Arial" w:cs="Arial"/>
          <w:b w:val="0"/>
          <w:bCs w:val="0"/>
          <w:sz w:val="20"/>
          <w:szCs w:val="20"/>
        </w:rPr>
        <w:t>— Databases Searched</w:t>
      </w:r>
      <w:bookmarkEnd w:id="30"/>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5200"/>
      </w:tblGrid>
      <w:tr w:rsidR="00CF5D4B" w:rsidRPr="00457F66" w14:paraId="56F11E19" w14:textId="77777777" w:rsidTr="00CF5D4B">
        <w:trPr>
          <w:tblHeader/>
        </w:trPr>
        <w:tc>
          <w:tcPr>
            <w:tcW w:w="1800" w:type="dxa"/>
            <w:tcBorders>
              <w:top w:val="single" w:sz="4" w:space="0" w:color="auto"/>
              <w:left w:val="single" w:sz="4" w:space="0" w:color="auto"/>
              <w:bottom w:val="single" w:sz="4" w:space="0" w:color="auto"/>
              <w:right w:val="single" w:sz="4" w:space="0" w:color="auto"/>
            </w:tcBorders>
            <w:shd w:val="clear" w:color="auto" w:fill="003087"/>
            <w:hideMark/>
          </w:tcPr>
          <w:p w14:paraId="6541F7AC"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Database</w:t>
            </w:r>
          </w:p>
        </w:tc>
        <w:tc>
          <w:tcPr>
            <w:tcW w:w="2200" w:type="dxa"/>
            <w:tcBorders>
              <w:top w:val="single" w:sz="4" w:space="0" w:color="auto"/>
              <w:left w:val="single" w:sz="4" w:space="0" w:color="auto"/>
              <w:bottom w:val="single" w:sz="4" w:space="0" w:color="auto"/>
              <w:right w:val="single" w:sz="4" w:space="0" w:color="auto"/>
            </w:tcBorders>
            <w:shd w:val="clear" w:color="auto" w:fill="003087"/>
            <w:hideMark/>
          </w:tcPr>
          <w:p w14:paraId="2EC76BBC"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Focus Area</w:t>
            </w:r>
          </w:p>
        </w:tc>
        <w:tc>
          <w:tcPr>
            <w:tcW w:w="5200" w:type="dxa"/>
            <w:tcBorders>
              <w:top w:val="single" w:sz="4" w:space="0" w:color="auto"/>
              <w:left w:val="single" w:sz="4" w:space="0" w:color="auto"/>
              <w:bottom w:val="single" w:sz="4" w:space="0" w:color="auto"/>
              <w:right w:val="single" w:sz="4" w:space="0" w:color="auto"/>
            </w:tcBorders>
            <w:shd w:val="clear" w:color="auto" w:fill="003087"/>
            <w:hideMark/>
          </w:tcPr>
          <w:p w14:paraId="337CD481"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Rationale for Inclusion</w:t>
            </w:r>
          </w:p>
        </w:tc>
      </w:tr>
      <w:tr w:rsidR="00CF5D4B" w:rsidRPr="00457F66" w14:paraId="186384EC" w14:textId="77777777" w:rsidTr="00CF5D4B">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7B1C78A0"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MEDLINE</w:t>
            </w:r>
          </w:p>
        </w:tc>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0E4C804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Biomedical and clinical sciences</w:t>
            </w:r>
          </w:p>
        </w:tc>
        <w:tc>
          <w:tcPr>
            <w:tcW w:w="5200" w:type="dxa"/>
            <w:tcBorders>
              <w:top w:val="single" w:sz="4" w:space="0" w:color="auto"/>
              <w:left w:val="single" w:sz="4" w:space="0" w:color="auto"/>
              <w:bottom w:val="single" w:sz="4" w:space="0" w:color="auto"/>
              <w:right w:val="single" w:sz="4" w:space="0" w:color="auto"/>
            </w:tcBorders>
            <w:shd w:val="clear" w:color="auto" w:fill="FFFFFF"/>
            <w:hideMark/>
          </w:tcPr>
          <w:p w14:paraId="27E1B182"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Comprehensive database covering public health, clinical medicine, and primary care literature; essential for peer-reviewed studies on homeless health and healthcare access.</w:t>
            </w:r>
          </w:p>
        </w:tc>
      </w:tr>
      <w:tr w:rsidR="00CF5D4B" w:rsidRPr="00457F66" w14:paraId="70193309" w14:textId="77777777" w:rsidTr="00CF5D4B">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3CEF0A28"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CINAHL</w:t>
            </w:r>
          </w:p>
        </w:tc>
        <w:tc>
          <w:tcPr>
            <w:tcW w:w="2200" w:type="dxa"/>
            <w:tcBorders>
              <w:top w:val="single" w:sz="4" w:space="0" w:color="auto"/>
              <w:left w:val="single" w:sz="4" w:space="0" w:color="auto"/>
              <w:bottom w:val="single" w:sz="4" w:space="0" w:color="auto"/>
              <w:right w:val="single" w:sz="4" w:space="0" w:color="auto"/>
            </w:tcBorders>
            <w:shd w:val="clear" w:color="auto" w:fill="E8F0F8"/>
            <w:hideMark/>
          </w:tcPr>
          <w:p w14:paraId="396571C1"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Nursing and allied health</w:t>
            </w:r>
          </w:p>
        </w:tc>
        <w:tc>
          <w:tcPr>
            <w:tcW w:w="5200" w:type="dxa"/>
            <w:tcBorders>
              <w:top w:val="single" w:sz="4" w:space="0" w:color="auto"/>
              <w:left w:val="single" w:sz="4" w:space="0" w:color="auto"/>
              <w:bottom w:val="single" w:sz="4" w:space="0" w:color="auto"/>
              <w:right w:val="single" w:sz="4" w:space="0" w:color="auto"/>
            </w:tcBorders>
            <w:shd w:val="clear" w:color="auto" w:fill="E8F0F8"/>
            <w:hideMark/>
          </w:tcPr>
          <w:p w14:paraId="03C9CF0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Covers nursing, allied health, and community health literature, including primary care-focused studies relevant to vulnerable and excluded populations.</w:t>
            </w:r>
          </w:p>
        </w:tc>
      </w:tr>
      <w:tr w:rsidR="00CF5D4B" w:rsidRPr="00457F66" w14:paraId="257843A7" w14:textId="77777777" w:rsidTr="00CF5D4B">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11C7D024"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PsycINFO</w:t>
            </w:r>
          </w:p>
        </w:tc>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3988AFE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Psychology and mental health</w:t>
            </w:r>
          </w:p>
        </w:tc>
        <w:tc>
          <w:tcPr>
            <w:tcW w:w="5200" w:type="dxa"/>
            <w:tcBorders>
              <w:top w:val="single" w:sz="4" w:space="0" w:color="auto"/>
              <w:left w:val="single" w:sz="4" w:space="0" w:color="auto"/>
              <w:bottom w:val="single" w:sz="4" w:space="0" w:color="auto"/>
              <w:right w:val="single" w:sz="4" w:space="0" w:color="auto"/>
            </w:tcBorders>
            <w:shd w:val="clear" w:color="auto" w:fill="FFFFFF"/>
            <w:hideMark/>
          </w:tcPr>
          <w:p w14:paraId="4BD0D495"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Essential for studies addressing mental health barriers, stigma, substance use, and behavioural factors in primary healthcare access among homeless adults.</w:t>
            </w:r>
          </w:p>
        </w:tc>
      </w:tr>
      <w:tr w:rsidR="00CF5D4B" w:rsidRPr="00457F66" w14:paraId="2AD66D40" w14:textId="77777777" w:rsidTr="00CF5D4B">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11C82A3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EMBASE</w:t>
            </w:r>
          </w:p>
        </w:tc>
        <w:tc>
          <w:tcPr>
            <w:tcW w:w="2200" w:type="dxa"/>
            <w:tcBorders>
              <w:top w:val="single" w:sz="4" w:space="0" w:color="auto"/>
              <w:left w:val="single" w:sz="4" w:space="0" w:color="auto"/>
              <w:bottom w:val="single" w:sz="4" w:space="0" w:color="auto"/>
              <w:right w:val="single" w:sz="4" w:space="0" w:color="auto"/>
            </w:tcBorders>
            <w:shd w:val="clear" w:color="auto" w:fill="E8F0F8"/>
            <w:hideMark/>
          </w:tcPr>
          <w:p w14:paraId="47097ECA"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Biomedical and pharmacological research</w:t>
            </w:r>
          </w:p>
        </w:tc>
        <w:tc>
          <w:tcPr>
            <w:tcW w:w="5200" w:type="dxa"/>
            <w:tcBorders>
              <w:top w:val="single" w:sz="4" w:space="0" w:color="auto"/>
              <w:left w:val="single" w:sz="4" w:space="0" w:color="auto"/>
              <w:bottom w:val="single" w:sz="4" w:space="0" w:color="auto"/>
              <w:right w:val="single" w:sz="4" w:space="0" w:color="auto"/>
            </w:tcBorders>
            <w:shd w:val="clear" w:color="auto" w:fill="E8F0F8"/>
            <w:hideMark/>
          </w:tcPr>
          <w:p w14:paraId="5251E54C"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International biomedical database with extensive coverage of European and UK-based health research, including conference proceedings and grey literature.</w:t>
            </w:r>
          </w:p>
        </w:tc>
      </w:tr>
      <w:tr w:rsidR="00CF5D4B" w:rsidRPr="00457F66" w14:paraId="45AA298D" w14:textId="77777777" w:rsidTr="00CF5D4B">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7F2A0584"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Google Scholar</w:t>
            </w:r>
          </w:p>
        </w:tc>
        <w:tc>
          <w:tcPr>
            <w:tcW w:w="2200" w:type="dxa"/>
            <w:tcBorders>
              <w:top w:val="single" w:sz="4" w:space="0" w:color="auto"/>
              <w:left w:val="single" w:sz="4" w:space="0" w:color="auto"/>
              <w:bottom w:val="single" w:sz="4" w:space="0" w:color="auto"/>
              <w:right w:val="single" w:sz="4" w:space="0" w:color="auto"/>
            </w:tcBorders>
            <w:shd w:val="clear" w:color="auto" w:fill="FFFFFF"/>
            <w:hideMark/>
          </w:tcPr>
          <w:p w14:paraId="0A228DEB"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Multidisciplinary academic and grey literature</w:t>
            </w:r>
          </w:p>
        </w:tc>
        <w:tc>
          <w:tcPr>
            <w:tcW w:w="5200" w:type="dxa"/>
            <w:tcBorders>
              <w:top w:val="single" w:sz="4" w:space="0" w:color="auto"/>
              <w:left w:val="single" w:sz="4" w:space="0" w:color="auto"/>
              <w:bottom w:val="single" w:sz="4" w:space="0" w:color="auto"/>
              <w:right w:val="single" w:sz="4" w:space="0" w:color="auto"/>
            </w:tcBorders>
            <w:shd w:val="clear" w:color="auto" w:fill="FFFFFF"/>
            <w:hideMark/>
          </w:tcPr>
          <w:p w14:paraId="6AAB38AD"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Broad academic search engine enabling identification of grey literature, policy documents, government reports, and studies not indexed in other databases.</w:t>
            </w:r>
          </w:p>
        </w:tc>
      </w:tr>
    </w:tbl>
    <w:p w14:paraId="4E6CA2C5"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following Boolean search string was applied across all databases:</w:t>
      </w:r>
    </w:p>
    <w:p w14:paraId="38AD3848"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i/>
          <w:iCs/>
          <w:sz w:val="22"/>
          <w:szCs w:val="22"/>
        </w:rPr>
        <w:t>("homeless*" OR "rough sleep*" OR "no fixed abode" OR "people experiencing homelessness") AND ("primary care" OR "general practice" OR "GP" OR "primary healthcare" OR "health service*") AND ("barrier*" OR "access" OR "utilisation" OR "</w:t>
      </w:r>
      <w:proofErr w:type="spellStart"/>
      <w:r w:rsidRPr="00457F66">
        <w:rPr>
          <w:rFonts w:ascii="Arial" w:hAnsi="Arial" w:cs="Arial"/>
          <w:i/>
          <w:iCs/>
          <w:sz w:val="22"/>
          <w:szCs w:val="22"/>
        </w:rPr>
        <w:t>inequalit</w:t>
      </w:r>
      <w:proofErr w:type="spellEnd"/>
      <w:r w:rsidRPr="00457F66">
        <w:rPr>
          <w:rFonts w:ascii="Arial" w:hAnsi="Arial" w:cs="Arial"/>
          <w:i/>
          <w:iCs/>
          <w:sz w:val="22"/>
          <w:szCs w:val="22"/>
        </w:rPr>
        <w:t>*" OR "exclusion") AND ("England" OR "United Kingdom" OR "UK")</w:t>
      </w:r>
    </w:p>
    <w:p w14:paraId="6854FE64"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Truncation symbols (*) were employed to capture variations in terminology.</w:t>
      </w:r>
      <w:r w:rsidRPr="00457F66">
        <w:rPr>
          <w:rFonts w:ascii="Arial" w:hAnsi="Arial" w:cs="Arial"/>
          <w:sz w:val="22"/>
          <w:szCs w:val="22"/>
        </w:rPr>
        <w:t xml:space="preserve"> </w:t>
      </w:r>
      <w:r w:rsidRPr="00457F66">
        <w:rPr>
          <w:rStyle w:val="cursor-pointer"/>
          <w:rFonts w:ascii="Arial" w:hAnsi="Arial" w:cs="Arial"/>
          <w:sz w:val="22"/>
          <w:szCs w:val="22"/>
        </w:rPr>
        <w:t>Every search was limited to English-language journals published since January 2010 and up to June 2026 in order to include the current evidence, but also remember that the seminal works published before 2010 were considered, provided they were mentioned directly in the theoretical framework.</w:t>
      </w:r>
    </w:p>
    <w:p w14:paraId="1FB0332C" w14:textId="77777777" w:rsidR="0049712A" w:rsidRPr="00457F66" w:rsidRDefault="0049712A" w:rsidP="008452C0">
      <w:pPr>
        <w:pStyle w:val="Heading2"/>
        <w:spacing w:line="360" w:lineRule="auto"/>
      </w:pPr>
      <w:bookmarkStart w:id="31" w:name="_Toc240922949"/>
      <w:r w:rsidRPr="00457F66">
        <w:t>3.4 Inclusion and Exclusion Criteria</w:t>
      </w:r>
      <w:bookmarkEnd w:id="31"/>
    </w:p>
    <w:p w14:paraId="4E293831" w14:textId="14F664A8" w:rsidR="00CF5D4B" w:rsidRPr="00457F66" w:rsidRDefault="0049712A" w:rsidP="003B7774">
      <w:pPr>
        <w:spacing w:before="100" w:beforeAutospacing="1" w:after="100" w:afterAutospacing="1" w:line="360" w:lineRule="auto"/>
        <w:jc w:val="both"/>
        <w:rPr>
          <w:rStyle w:val="Strong"/>
          <w:rFonts w:ascii="Arial" w:hAnsi="Arial" w:cs="Arial"/>
          <w:b w:val="0"/>
          <w:bCs w:val="0"/>
          <w:sz w:val="22"/>
          <w:szCs w:val="22"/>
        </w:rPr>
      </w:pPr>
      <w:r w:rsidRPr="00457F66">
        <w:rPr>
          <w:rStyle w:val="cursor-pointer"/>
          <w:rFonts w:ascii="Arial" w:hAnsi="Arial" w:cs="Arial"/>
          <w:sz w:val="22"/>
          <w:szCs w:val="22"/>
        </w:rPr>
        <w:t>The search was undertaken with pre-allocated inclusion and exclusion criteria to help in the systematic and consistent screening of all the retrieved records.</w:t>
      </w:r>
      <w:r w:rsidRPr="00457F66">
        <w:rPr>
          <w:rFonts w:ascii="Arial" w:hAnsi="Arial" w:cs="Arial"/>
          <w:sz w:val="22"/>
          <w:szCs w:val="22"/>
        </w:rPr>
        <w:t xml:space="preserve"> </w:t>
      </w:r>
      <w:r w:rsidR="005B3A5C" w:rsidRPr="00457F66">
        <w:rPr>
          <w:rFonts w:ascii="Arial" w:hAnsi="Arial" w:cs="Arial"/>
          <w:sz w:val="22"/>
          <w:szCs w:val="22"/>
        </w:rPr>
        <w:t xml:space="preserve">Presented in </w:t>
      </w:r>
      <w:r w:rsidR="005B3A5C" w:rsidRPr="00B03120">
        <w:rPr>
          <w:rFonts w:ascii="Arial" w:hAnsi="Arial" w:cs="Arial"/>
          <w:sz w:val="22"/>
          <w:szCs w:val="22"/>
        </w:rPr>
        <w:t>Table 4</w:t>
      </w:r>
      <w:r w:rsidR="005B3A5C" w:rsidRPr="00457F66">
        <w:rPr>
          <w:rFonts w:ascii="Arial" w:hAnsi="Arial" w:cs="Arial"/>
          <w:sz w:val="22"/>
          <w:szCs w:val="22"/>
        </w:rPr>
        <w:t xml:space="preserve"> below</w:t>
      </w:r>
      <w:r w:rsidRPr="00457F66">
        <w:rPr>
          <w:rStyle w:val="cursor-pointer"/>
          <w:rFonts w:ascii="Arial" w:hAnsi="Arial" w:cs="Arial"/>
          <w:sz w:val="22"/>
          <w:szCs w:val="22"/>
        </w:rPr>
        <w:t>, these criteria were formulated with consideration of both the research question itself and the reflection of the population, setting and focus of this review (Aveyard, 2019).</w:t>
      </w:r>
    </w:p>
    <w:p w14:paraId="4058B895" w14:textId="46F61DC1" w:rsidR="003B7774" w:rsidRPr="00457F66" w:rsidRDefault="003B7774" w:rsidP="003B7774">
      <w:pPr>
        <w:pStyle w:val="Caption"/>
        <w:keepNext/>
        <w:rPr>
          <w:rFonts w:ascii="Arial" w:hAnsi="Arial" w:cs="Arial"/>
          <w:b/>
          <w:bCs/>
          <w:sz w:val="20"/>
          <w:szCs w:val="20"/>
        </w:rPr>
      </w:pPr>
      <w:bookmarkStart w:id="32" w:name="_Toc241030483"/>
      <w:r w:rsidRPr="00457F66">
        <w:rPr>
          <w:rFonts w:ascii="Arial" w:hAnsi="Arial" w:cs="Arial"/>
          <w:b/>
          <w:bCs/>
          <w:sz w:val="20"/>
          <w:szCs w:val="20"/>
        </w:rPr>
        <w:t xml:space="preserve">Table </w:t>
      </w:r>
      <w:r w:rsidRPr="00457F66">
        <w:rPr>
          <w:rFonts w:ascii="Arial" w:hAnsi="Arial" w:cs="Arial"/>
          <w:b/>
          <w:bCs/>
          <w:sz w:val="20"/>
          <w:szCs w:val="20"/>
        </w:rPr>
        <w:fldChar w:fldCharType="begin"/>
      </w:r>
      <w:r w:rsidRPr="00457F66">
        <w:rPr>
          <w:rFonts w:ascii="Arial" w:hAnsi="Arial" w:cs="Arial"/>
          <w:b/>
          <w:bCs/>
          <w:sz w:val="20"/>
          <w:szCs w:val="20"/>
        </w:rPr>
        <w:instrText xml:space="preserve"> SEQ Table \* ARABIC </w:instrText>
      </w:r>
      <w:r w:rsidRPr="00457F66">
        <w:rPr>
          <w:rFonts w:ascii="Arial" w:hAnsi="Arial" w:cs="Arial"/>
          <w:b/>
          <w:bCs/>
          <w:sz w:val="20"/>
          <w:szCs w:val="20"/>
        </w:rPr>
        <w:fldChar w:fldCharType="separate"/>
      </w:r>
      <w:r w:rsidRPr="00457F66">
        <w:rPr>
          <w:rFonts w:ascii="Arial" w:hAnsi="Arial" w:cs="Arial"/>
          <w:b/>
          <w:bCs/>
          <w:noProof/>
          <w:sz w:val="20"/>
          <w:szCs w:val="20"/>
        </w:rPr>
        <w:t>4</w:t>
      </w:r>
      <w:r w:rsidRPr="00457F66">
        <w:rPr>
          <w:rFonts w:ascii="Arial" w:hAnsi="Arial" w:cs="Arial"/>
          <w:b/>
          <w:bCs/>
          <w:sz w:val="20"/>
          <w:szCs w:val="20"/>
        </w:rPr>
        <w:fldChar w:fldCharType="end"/>
      </w:r>
      <w:r w:rsidRPr="00457F66">
        <w:rPr>
          <w:rStyle w:val="Strong"/>
          <w:rFonts w:ascii="Arial" w:hAnsi="Arial" w:cs="Arial"/>
          <w:b w:val="0"/>
          <w:bCs w:val="0"/>
          <w:sz w:val="20"/>
          <w:szCs w:val="20"/>
        </w:rPr>
        <w:t>— Inclusion and Exclusion Criteria</w:t>
      </w:r>
      <w:bookmarkEnd w:id="32"/>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3600"/>
        <w:gridCol w:w="3467"/>
      </w:tblGrid>
      <w:tr w:rsidR="00CF5D4B" w:rsidRPr="00457F66" w14:paraId="48C7EE9B" w14:textId="77777777" w:rsidTr="004E7B8D">
        <w:trPr>
          <w:tblHeader/>
        </w:trPr>
        <w:tc>
          <w:tcPr>
            <w:tcW w:w="2000" w:type="dxa"/>
            <w:tcBorders>
              <w:top w:val="single" w:sz="4" w:space="0" w:color="auto"/>
              <w:left w:val="single" w:sz="4" w:space="0" w:color="auto"/>
              <w:bottom w:val="single" w:sz="4" w:space="0" w:color="auto"/>
              <w:right w:val="single" w:sz="4" w:space="0" w:color="auto"/>
            </w:tcBorders>
            <w:shd w:val="clear" w:color="auto" w:fill="003087"/>
            <w:hideMark/>
          </w:tcPr>
          <w:p w14:paraId="1E5D7EDA"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Criterion</w:t>
            </w:r>
          </w:p>
        </w:tc>
        <w:tc>
          <w:tcPr>
            <w:tcW w:w="3600" w:type="dxa"/>
            <w:tcBorders>
              <w:top w:val="single" w:sz="4" w:space="0" w:color="auto"/>
              <w:left w:val="single" w:sz="4" w:space="0" w:color="auto"/>
              <w:bottom w:val="single" w:sz="4" w:space="0" w:color="auto"/>
              <w:right w:val="single" w:sz="4" w:space="0" w:color="auto"/>
            </w:tcBorders>
            <w:shd w:val="clear" w:color="auto" w:fill="003087"/>
            <w:hideMark/>
          </w:tcPr>
          <w:p w14:paraId="03D83CE0"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Inclusion</w:t>
            </w:r>
          </w:p>
        </w:tc>
        <w:tc>
          <w:tcPr>
            <w:tcW w:w="3467" w:type="dxa"/>
            <w:tcBorders>
              <w:top w:val="single" w:sz="4" w:space="0" w:color="auto"/>
              <w:left w:val="single" w:sz="4" w:space="0" w:color="auto"/>
              <w:bottom w:val="single" w:sz="4" w:space="0" w:color="auto"/>
              <w:right w:val="single" w:sz="4" w:space="0" w:color="auto"/>
            </w:tcBorders>
            <w:shd w:val="clear" w:color="auto" w:fill="003087"/>
            <w:hideMark/>
          </w:tcPr>
          <w:p w14:paraId="19A42263" w14:textId="77777777" w:rsidR="00CF5D4B" w:rsidRPr="00457F66" w:rsidRDefault="00CF5D4B" w:rsidP="008452C0">
            <w:pPr>
              <w:spacing w:before="60" w:after="60" w:line="360" w:lineRule="auto"/>
              <w:jc w:val="both"/>
              <w:rPr>
                <w:rFonts w:ascii="Arial" w:hAnsi="Arial" w:cs="Arial"/>
                <w:sz w:val="22"/>
                <w:szCs w:val="22"/>
              </w:rPr>
            </w:pPr>
            <w:r w:rsidRPr="00457F66">
              <w:rPr>
                <w:rFonts w:ascii="Arial" w:hAnsi="Arial" w:cs="Arial"/>
                <w:b/>
                <w:bCs/>
                <w:color w:val="FFFFFF"/>
                <w:sz w:val="22"/>
                <w:szCs w:val="22"/>
              </w:rPr>
              <w:t>Exclusion</w:t>
            </w:r>
          </w:p>
        </w:tc>
      </w:tr>
      <w:tr w:rsidR="00CF5D4B" w:rsidRPr="00457F66" w14:paraId="1244CEEF" w14:textId="77777777" w:rsidTr="004E7B8D">
        <w:tc>
          <w:tcPr>
            <w:tcW w:w="2000" w:type="dxa"/>
            <w:tcBorders>
              <w:top w:val="single" w:sz="4" w:space="0" w:color="auto"/>
              <w:left w:val="single" w:sz="4" w:space="0" w:color="auto"/>
              <w:bottom w:val="single" w:sz="4" w:space="0" w:color="auto"/>
              <w:right w:val="single" w:sz="4" w:space="0" w:color="auto"/>
            </w:tcBorders>
            <w:shd w:val="clear" w:color="auto" w:fill="FFFFFF"/>
            <w:hideMark/>
          </w:tcPr>
          <w:p w14:paraId="39198474"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Population</w:t>
            </w:r>
          </w:p>
        </w:tc>
        <w:tc>
          <w:tcPr>
            <w:tcW w:w="3600" w:type="dxa"/>
            <w:tcBorders>
              <w:top w:val="single" w:sz="4" w:space="0" w:color="auto"/>
              <w:left w:val="single" w:sz="4" w:space="0" w:color="auto"/>
              <w:bottom w:val="single" w:sz="4" w:space="0" w:color="auto"/>
              <w:right w:val="single" w:sz="4" w:space="0" w:color="auto"/>
            </w:tcBorders>
            <w:shd w:val="clear" w:color="auto" w:fill="FFFFFF"/>
            <w:hideMark/>
          </w:tcPr>
          <w:p w14:paraId="22FB2F4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Homeless adults aged 18 and over in England or the UK</w:t>
            </w:r>
          </w:p>
        </w:tc>
        <w:tc>
          <w:tcPr>
            <w:tcW w:w="3467" w:type="dxa"/>
            <w:tcBorders>
              <w:top w:val="single" w:sz="4" w:space="0" w:color="auto"/>
              <w:left w:val="single" w:sz="4" w:space="0" w:color="auto"/>
              <w:bottom w:val="single" w:sz="4" w:space="0" w:color="auto"/>
              <w:right w:val="single" w:sz="4" w:space="0" w:color="auto"/>
            </w:tcBorders>
            <w:shd w:val="clear" w:color="auto" w:fill="FFFFFF"/>
            <w:hideMark/>
          </w:tcPr>
          <w:p w14:paraId="1952A30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Children and young people under 18; housed populations; mixed populations where homeless adults cannot be separately analysed</w:t>
            </w:r>
          </w:p>
        </w:tc>
      </w:tr>
      <w:tr w:rsidR="00CF5D4B" w:rsidRPr="00457F66" w14:paraId="4B08A61C" w14:textId="77777777" w:rsidTr="004E7B8D">
        <w:tc>
          <w:tcPr>
            <w:tcW w:w="2000" w:type="dxa"/>
            <w:tcBorders>
              <w:top w:val="single" w:sz="4" w:space="0" w:color="auto"/>
              <w:left w:val="single" w:sz="4" w:space="0" w:color="auto"/>
              <w:bottom w:val="single" w:sz="4" w:space="0" w:color="auto"/>
              <w:right w:val="single" w:sz="4" w:space="0" w:color="auto"/>
            </w:tcBorders>
            <w:shd w:val="clear" w:color="auto" w:fill="E8F0F8"/>
            <w:hideMark/>
          </w:tcPr>
          <w:p w14:paraId="74C371AD"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Focus / Exposure</w:t>
            </w:r>
          </w:p>
        </w:tc>
        <w:tc>
          <w:tcPr>
            <w:tcW w:w="3600" w:type="dxa"/>
            <w:tcBorders>
              <w:top w:val="single" w:sz="4" w:space="0" w:color="auto"/>
              <w:left w:val="single" w:sz="4" w:space="0" w:color="auto"/>
              <w:bottom w:val="single" w:sz="4" w:space="0" w:color="auto"/>
              <w:right w:val="single" w:sz="4" w:space="0" w:color="auto"/>
            </w:tcBorders>
            <w:shd w:val="clear" w:color="auto" w:fill="E8F0F8"/>
            <w:hideMark/>
          </w:tcPr>
          <w:p w14:paraId="08ECE54C"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Barriers to accessing primary healthcare services, including GP registration, stigma, service design, and individual-level factors</w:t>
            </w:r>
          </w:p>
        </w:tc>
        <w:tc>
          <w:tcPr>
            <w:tcW w:w="3467" w:type="dxa"/>
            <w:tcBorders>
              <w:top w:val="single" w:sz="4" w:space="0" w:color="auto"/>
              <w:left w:val="single" w:sz="4" w:space="0" w:color="auto"/>
              <w:bottom w:val="single" w:sz="4" w:space="0" w:color="auto"/>
              <w:right w:val="single" w:sz="4" w:space="0" w:color="auto"/>
            </w:tcBorders>
            <w:shd w:val="clear" w:color="auto" w:fill="E8F0F8"/>
            <w:hideMark/>
          </w:tcPr>
          <w:p w14:paraId="03255A5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Studies focusing exclusively on secondary or tertiary care settings without reference to primary care access</w:t>
            </w:r>
          </w:p>
        </w:tc>
      </w:tr>
      <w:tr w:rsidR="00CF5D4B" w:rsidRPr="00457F66" w14:paraId="7CAC9AF9" w14:textId="77777777" w:rsidTr="004E7B8D">
        <w:tc>
          <w:tcPr>
            <w:tcW w:w="2000" w:type="dxa"/>
            <w:tcBorders>
              <w:top w:val="single" w:sz="4" w:space="0" w:color="auto"/>
              <w:left w:val="single" w:sz="4" w:space="0" w:color="auto"/>
              <w:bottom w:val="single" w:sz="4" w:space="0" w:color="auto"/>
              <w:right w:val="single" w:sz="4" w:space="0" w:color="auto"/>
            </w:tcBorders>
            <w:shd w:val="clear" w:color="auto" w:fill="FFFFFF"/>
            <w:hideMark/>
          </w:tcPr>
          <w:p w14:paraId="25D95179"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Setting / Geography</w:t>
            </w:r>
          </w:p>
        </w:tc>
        <w:tc>
          <w:tcPr>
            <w:tcW w:w="3600" w:type="dxa"/>
            <w:tcBorders>
              <w:top w:val="single" w:sz="4" w:space="0" w:color="auto"/>
              <w:left w:val="single" w:sz="4" w:space="0" w:color="auto"/>
              <w:bottom w:val="single" w:sz="4" w:space="0" w:color="auto"/>
              <w:right w:val="single" w:sz="4" w:space="0" w:color="auto"/>
            </w:tcBorders>
            <w:shd w:val="clear" w:color="auto" w:fill="FFFFFF"/>
            <w:hideMark/>
          </w:tcPr>
          <w:p w14:paraId="1D175C83"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England; UK where evidence is directly applicable to the English NHS primary care context</w:t>
            </w:r>
          </w:p>
        </w:tc>
        <w:tc>
          <w:tcPr>
            <w:tcW w:w="3467" w:type="dxa"/>
            <w:tcBorders>
              <w:top w:val="single" w:sz="4" w:space="0" w:color="auto"/>
              <w:left w:val="single" w:sz="4" w:space="0" w:color="auto"/>
              <w:bottom w:val="single" w:sz="4" w:space="0" w:color="auto"/>
              <w:right w:val="single" w:sz="4" w:space="0" w:color="auto"/>
            </w:tcBorders>
            <w:shd w:val="clear" w:color="auto" w:fill="FFFFFF"/>
            <w:hideMark/>
          </w:tcPr>
          <w:p w14:paraId="2444C0FE"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Studies conducted exclusively outside the UK with no direct applicability to the English NHS system</w:t>
            </w:r>
          </w:p>
        </w:tc>
      </w:tr>
      <w:tr w:rsidR="00CF5D4B" w:rsidRPr="00457F66" w14:paraId="30F2EAD6" w14:textId="77777777" w:rsidTr="004E7B8D">
        <w:tc>
          <w:tcPr>
            <w:tcW w:w="2000" w:type="dxa"/>
            <w:tcBorders>
              <w:top w:val="single" w:sz="4" w:space="0" w:color="auto"/>
              <w:left w:val="single" w:sz="4" w:space="0" w:color="auto"/>
              <w:bottom w:val="single" w:sz="4" w:space="0" w:color="auto"/>
              <w:right w:val="single" w:sz="4" w:space="0" w:color="auto"/>
            </w:tcBorders>
            <w:shd w:val="clear" w:color="auto" w:fill="E8F0F8"/>
            <w:hideMark/>
          </w:tcPr>
          <w:p w14:paraId="04C2465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Study Design</w:t>
            </w:r>
          </w:p>
        </w:tc>
        <w:tc>
          <w:tcPr>
            <w:tcW w:w="3600" w:type="dxa"/>
            <w:tcBorders>
              <w:top w:val="single" w:sz="4" w:space="0" w:color="auto"/>
              <w:left w:val="single" w:sz="4" w:space="0" w:color="auto"/>
              <w:bottom w:val="single" w:sz="4" w:space="0" w:color="auto"/>
              <w:right w:val="single" w:sz="4" w:space="0" w:color="auto"/>
            </w:tcBorders>
            <w:shd w:val="clear" w:color="auto" w:fill="E8F0F8"/>
            <w:hideMark/>
          </w:tcPr>
          <w:p w14:paraId="2C10F8BB"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Peer-reviewed qualitative, quantitative, and mixed-methods studies; systematic and scoping reviews; credible grey literature from official national bodies (NHS England, NICE, ONS, Crisis, Homeless Link)</w:t>
            </w:r>
          </w:p>
        </w:tc>
        <w:tc>
          <w:tcPr>
            <w:tcW w:w="3467" w:type="dxa"/>
            <w:tcBorders>
              <w:top w:val="single" w:sz="4" w:space="0" w:color="auto"/>
              <w:left w:val="single" w:sz="4" w:space="0" w:color="auto"/>
              <w:bottom w:val="single" w:sz="4" w:space="0" w:color="auto"/>
              <w:right w:val="single" w:sz="4" w:space="0" w:color="auto"/>
            </w:tcBorders>
            <w:shd w:val="clear" w:color="auto" w:fill="E8F0F8"/>
            <w:hideMark/>
          </w:tcPr>
          <w:p w14:paraId="2222ED36"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Editorials, opinion pieces, conference abstracts, unpublished reports, blogs, and non-peer-reviewed commentary</w:t>
            </w:r>
          </w:p>
        </w:tc>
      </w:tr>
      <w:tr w:rsidR="00CF5D4B" w:rsidRPr="00457F66" w14:paraId="73F4C55F" w14:textId="77777777" w:rsidTr="004E7B8D">
        <w:tc>
          <w:tcPr>
            <w:tcW w:w="2000" w:type="dxa"/>
            <w:tcBorders>
              <w:top w:val="single" w:sz="4" w:space="0" w:color="auto"/>
              <w:left w:val="single" w:sz="4" w:space="0" w:color="auto"/>
              <w:bottom w:val="single" w:sz="4" w:space="0" w:color="auto"/>
              <w:right w:val="single" w:sz="4" w:space="0" w:color="auto"/>
            </w:tcBorders>
            <w:shd w:val="clear" w:color="auto" w:fill="FFFFFF"/>
            <w:hideMark/>
          </w:tcPr>
          <w:p w14:paraId="7227F2C0"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Publication Date</w:t>
            </w:r>
          </w:p>
        </w:tc>
        <w:tc>
          <w:tcPr>
            <w:tcW w:w="3600" w:type="dxa"/>
            <w:tcBorders>
              <w:top w:val="single" w:sz="4" w:space="0" w:color="auto"/>
              <w:left w:val="single" w:sz="4" w:space="0" w:color="auto"/>
              <w:bottom w:val="single" w:sz="4" w:space="0" w:color="auto"/>
              <w:right w:val="single" w:sz="4" w:space="0" w:color="auto"/>
            </w:tcBorders>
            <w:shd w:val="clear" w:color="auto" w:fill="FFFFFF"/>
            <w:hideMark/>
          </w:tcPr>
          <w:p w14:paraId="019895E2"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January 2010 to June 2026</w:t>
            </w:r>
          </w:p>
        </w:tc>
        <w:tc>
          <w:tcPr>
            <w:tcW w:w="3467" w:type="dxa"/>
            <w:tcBorders>
              <w:top w:val="single" w:sz="4" w:space="0" w:color="auto"/>
              <w:left w:val="single" w:sz="4" w:space="0" w:color="auto"/>
              <w:bottom w:val="single" w:sz="4" w:space="0" w:color="auto"/>
              <w:right w:val="single" w:sz="4" w:space="0" w:color="auto"/>
            </w:tcBorders>
            <w:shd w:val="clear" w:color="auto" w:fill="FFFFFF"/>
            <w:hideMark/>
          </w:tcPr>
          <w:p w14:paraId="55BAA264"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Studies published before January 2010</w:t>
            </w:r>
          </w:p>
        </w:tc>
      </w:tr>
      <w:tr w:rsidR="00CF5D4B" w:rsidRPr="00457F66" w14:paraId="09D0470A" w14:textId="77777777" w:rsidTr="004E7B8D">
        <w:tc>
          <w:tcPr>
            <w:tcW w:w="2000" w:type="dxa"/>
            <w:tcBorders>
              <w:top w:val="single" w:sz="4" w:space="0" w:color="auto"/>
              <w:left w:val="single" w:sz="4" w:space="0" w:color="auto"/>
              <w:bottom w:val="single" w:sz="4" w:space="0" w:color="auto"/>
              <w:right w:val="single" w:sz="4" w:space="0" w:color="auto"/>
            </w:tcBorders>
            <w:shd w:val="clear" w:color="auto" w:fill="E8F0F8"/>
            <w:hideMark/>
          </w:tcPr>
          <w:p w14:paraId="1044BA29"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Language</w:t>
            </w:r>
          </w:p>
        </w:tc>
        <w:tc>
          <w:tcPr>
            <w:tcW w:w="3600" w:type="dxa"/>
            <w:tcBorders>
              <w:top w:val="single" w:sz="4" w:space="0" w:color="auto"/>
              <w:left w:val="single" w:sz="4" w:space="0" w:color="auto"/>
              <w:bottom w:val="single" w:sz="4" w:space="0" w:color="auto"/>
              <w:right w:val="single" w:sz="4" w:space="0" w:color="auto"/>
            </w:tcBorders>
            <w:shd w:val="clear" w:color="auto" w:fill="E8F0F8"/>
            <w:hideMark/>
          </w:tcPr>
          <w:p w14:paraId="37A6790F"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English-language publications</w:t>
            </w:r>
          </w:p>
        </w:tc>
        <w:tc>
          <w:tcPr>
            <w:tcW w:w="3467" w:type="dxa"/>
            <w:tcBorders>
              <w:top w:val="single" w:sz="4" w:space="0" w:color="auto"/>
              <w:left w:val="single" w:sz="4" w:space="0" w:color="auto"/>
              <w:bottom w:val="single" w:sz="4" w:space="0" w:color="auto"/>
              <w:right w:val="single" w:sz="4" w:space="0" w:color="auto"/>
            </w:tcBorders>
            <w:shd w:val="clear" w:color="auto" w:fill="E8F0F8"/>
            <w:hideMark/>
          </w:tcPr>
          <w:p w14:paraId="087EF6D7" w14:textId="77777777" w:rsidR="00CF5D4B" w:rsidRPr="00457F66" w:rsidRDefault="00CF5D4B" w:rsidP="008452C0">
            <w:pPr>
              <w:spacing w:line="360" w:lineRule="auto"/>
              <w:rPr>
                <w:rFonts w:ascii="Arial" w:hAnsi="Arial" w:cs="Arial"/>
                <w:sz w:val="18"/>
                <w:szCs w:val="18"/>
              </w:rPr>
            </w:pPr>
            <w:r w:rsidRPr="00457F66">
              <w:rPr>
                <w:rFonts w:ascii="Arial" w:hAnsi="Arial" w:cs="Arial"/>
                <w:sz w:val="18"/>
                <w:szCs w:val="18"/>
              </w:rPr>
              <w:t>Non-English-language publications</w:t>
            </w:r>
          </w:p>
        </w:tc>
      </w:tr>
    </w:tbl>
    <w:p w14:paraId="63F9135A" w14:textId="77777777" w:rsidR="0049712A" w:rsidRPr="00457F66" w:rsidRDefault="0049712A" w:rsidP="008452C0">
      <w:pPr>
        <w:pStyle w:val="Heading2"/>
        <w:spacing w:before="240" w:line="360" w:lineRule="auto"/>
      </w:pPr>
      <w:bookmarkStart w:id="33" w:name="_Toc240922950"/>
      <w:r w:rsidRPr="00457F66">
        <w:t>3.5 Screening Process</w:t>
      </w:r>
      <w:bookmarkEnd w:id="33"/>
    </w:p>
    <w:p w14:paraId="65685775" w14:textId="77777777" w:rsidR="0049712A" w:rsidRPr="00457F66" w:rsidRDefault="0049712A" w:rsidP="008452C0">
      <w:pPr>
        <w:spacing w:before="100" w:beforeAutospacing="1" w:after="100" w:afterAutospacing="1" w:line="360" w:lineRule="auto"/>
        <w:jc w:val="both"/>
        <w:rPr>
          <w:rStyle w:val="cursor-pointer"/>
          <w:rFonts w:ascii="Arial" w:hAnsi="Arial" w:cs="Arial"/>
          <w:sz w:val="22"/>
          <w:szCs w:val="22"/>
        </w:rPr>
      </w:pPr>
      <w:r w:rsidRPr="00457F66">
        <w:rPr>
          <w:rStyle w:val="cursor-pointer"/>
          <w:rFonts w:ascii="Arial" w:hAnsi="Arial" w:cs="Arial"/>
          <w:sz w:val="22"/>
          <w:szCs w:val="22"/>
        </w:rPr>
        <w:t>Retrieved records underwent a stepwise screening procedure conducted according to PRISMA 2020 guidelines (Page et al., 2021).</w:t>
      </w:r>
      <w:r w:rsidRPr="00457F66">
        <w:rPr>
          <w:rFonts w:ascii="Arial" w:hAnsi="Arial" w:cs="Arial"/>
          <w:sz w:val="22"/>
          <w:szCs w:val="22"/>
        </w:rPr>
        <w:t xml:space="preserve"> </w:t>
      </w:r>
      <w:r w:rsidRPr="00457F66">
        <w:rPr>
          <w:rStyle w:val="cursor-pointer"/>
          <w:rFonts w:ascii="Arial" w:hAnsi="Arial" w:cs="Arial"/>
          <w:sz w:val="22"/>
          <w:szCs w:val="22"/>
        </w:rPr>
        <w:t>During the initial phase, reference management software was used to collate all records found and delete duplicate records, which were identified using the database and grey literature search.</w:t>
      </w:r>
      <w:r w:rsidRPr="00457F66">
        <w:rPr>
          <w:rFonts w:ascii="Arial" w:hAnsi="Arial" w:cs="Arial"/>
          <w:sz w:val="22"/>
          <w:szCs w:val="22"/>
        </w:rPr>
        <w:t xml:space="preserve"> </w:t>
      </w:r>
      <w:r w:rsidRPr="00457F66">
        <w:rPr>
          <w:rStyle w:val="cursor-pointer"/>
          <w:rFonts w:ascii="Arial" w:hAnsi="Arial" w:cs="Arial"/>
          <w:sz w:val="22"/>
          <w:szCs w:val="22"/>
        </w:rPr>
        <w:t>The second stage involved screening the titles and abstracts of the remaining records against the inclusion and exclusion criteria, and removal of irrelevant records took place at this step.</w:t>
      </w:r>
      <w:r w:rsidRPr="00457F66">
        <w:rPr>
          <w:rFonts w:ascii="Arial" w:hAnsi="Arial" w:cs="Arial"/>
          <w:sz w:val="22"/>
          <w:szCs w:val="22"/>
        </w:rPr>
        <w:t xml:space="preserve"> </w:t>
      </w:r>
      <w:r w:rsidRPr="00457F66">
        <w:rPr>
          <w:rStyle w:val="cursor-pointer"/>
          <w:rFonts w:ascii="Arial" w:hAnsi="Arial" w:cs="Arial"/>
          <w:sz w:val="22"/>
          <w:szCs w:val="22"/>
        </w:rPr>
        <w:t>The third and final step involved full-text access to all potentially eligible records and evaluation of them against the entire criteria.</w:t>
      </w:r>
      <w:r w:rsidRPr="00457F66">
        <w:rPr>
          <w:rFonts w:ascii="Arial" w:hAnsi="Arial" w:cs="Arial"/>
          <w:sz w:val="22"/>
          <w:szCs w:val="22"/>
        </w:rPr>
        <w:t xml:space="preserve"> </w:t>
      </w:r>
      <w:r w:rsidRPr="00457F66">
        <w:rPr>
          <w:rStyle w:val="cursor-pointer"/>
          <w:rFonts w:ascii="Arial" w:hAnsi="Arial" w:cs="Arial"/>
          <w:sz w:val="22"/>
          <w:szCs w:val="22"/>
        </w:rPr>
        <w:t>At the full-text stage, records left out at this stage were recorded along with the rationale for being left out, in line with the PRISMA 2020 reporting guidelines.</w:t>
      </w:r>
      <w:r w:rsidRPr="00457F66">
        <w:rPr>
          <w:rFonts w:ascii="Arial" w:hAnsi="Arial" w:cs="Arial"/>
          <w:sz w:val="22"/>
          <w:szCs w:val="22"/>
        </w:rPr>
        <w:t xml:space="preserve"> </w:t>
      </w:r>
      <w:r w:rsidRPr="00457F66">
        <w:rPr>
          <w:rStyle w:val="cursor-pointer"/>
          <w:rFonts w:ascii="Arial" w:hAnsi="Arial" w:cs="Arial"/>
          <w:sz w:val="22"/>
          <w:szCs w:val="22"/>
        </w:rPr>
        <w:t>Appendix A shows the entire PRISMA flow diagram.</w:t>
      </w:r>
    </w:p>
    <w:p w14:paraId="01FC7EAA" w14:textId="77777777" w:rsidR="003B7774" w:rsidRPr="00457F66" w:rsidRDefault="00025155" w:rsidP="003B7774">
      <w:pPr>
        <w:keepNext/>
        <w:spacing w:before="100" w:beforeAutospacing="1" w:after="100" w:afterAutospacing="1" w:line="360" w:lineRule="auto"/>
        <w:jc w:val="both"/>
        <w:rPr>
          <w:rFonts w:ascii="Arial" w:hAnsi="Arial" w:cs="Arial"/>
        </w:rPr>
      </w:pPr>
      <w:r w:rsidRPr="00457F66">
        <w:rPr>
          <w:rFonts w:ascii="Arial" w:hAnsi="Arial" w:cs="Arial"/>
          <w:noProof/>
          <w:sz w:val="22"/>
          <w:szCs w:val="22"/>
        </w:rPr>
        <w:drawing>
          <wp:inline distT="0" distB="0" distL="0" distR="0" wp14:anchorId="21EA84C4" wp14:editId="63B1D40E">
            <wp:extent cx="5730240" cy="6492240"/>
            <wp:effectExtent l="0" t="0" r="3810" b="3810"/>
            <wp:docPr id="438509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30240" cy="6492240"/>
                    </a:xfrm>
                    <a:prstGeom prst="rect">
                      <a:avLst/>
                    </a:prstGeom>
                    <a:noFill/>
                    <a:ln>
                      <a:noFill/>
                    </a:ln>
                    <a:extLst>
                      <a:ext uri="{53640926-AAD7-44D8-BBD7-CCE9431645EC}">
                        <a14:shadowObscured xmlns:a14="http://schemas.microsoft.com/office/drawing/2010/main"/>
                      </a:ext>
                    </a:extLst>
                  </pic:spPr>
                </pic:pic>
              </a:graphicData>
            </a:graphic>
          </wp:inline>
        </w:drawing>
      </w:r>
    </w:p>
    <w:p w14:paraId="561FD8F5" w14:textId="09C53433" w:rsidR="00CF5D4B" w:rsidRPr="00457F66" w:rsidRDefault="003B7774" w:rsidP="003B7774">
      <w:pPr>
        <w:pStyle w:val="Caption"/>
        <w:jc w:val="both"/>
        <w:rPr>
          <w:rFonts w:ascii="Arial" w:hAnsi="Arial" w:cs="Arial"/>
          <w:sz w:val="24"/>
          <w:szCs w:val="24"/>
        </w:rPr>
      </w:pPr>
      <w:bookmarkStart w:id="34" w:name="_Toc241030463"/>
      <w:r w:rsidRPr="00457F66">
        <w:rPr>
          <w:rFonts w:ascii="Arial" w:hAnsi="Arial" w:cs="Arial"/>
          <w:sz w:val="24"/>
          <w:szCs w:val="24"/>
        </w:rPr>
        <w:t xml:space="preserve">Figure </w:t>
      </w:r>
      <w:r w:rsidRPr="00457F66">
        <w:rPr>
          <w:rFonts w:ascii="Arial" w:hAnsi="Arial" w:cs="Arial"/>
          <w:sz w:val="24"/>
          <w:szCs w:val="24"/>
        </w:rPr>
        <w:fldChar w:fldCharType="begin"/>
      </w:r>
      <w:r w:rsidRPr="00457F66">
        <w:rPr>
          <w:rFonts w:ascii="Arial" w:hAnsi="Arial" w:cs="Arial"/>
          <w:sz w:val="24"/>
          <w:szCs w:val="24"/>
        </w:rPr>
        <w:instrText xml:space="preserve"> SEQ Figure \* ARABIC </w:instrText>
      </w:r>
      <w:r w:rsidRPr="00457F66">
        <w:rPr>
          <w:rFonts w:ascii="Arial" w:hAnsi="Arial" w:cs="Arial"/>
          <w:sz w:val="24"/>
          <w:szCs w:val="24"/>
        </w:rPr>
        <w:fldChar w:fldCharType="separate"/>
      </w:r>
      <w:r w:rsidRPr="00457F66">
        <w:rPr>
          <w:rFonts w:ascii="Arial" w:hAnsi="Arial" w:cs="Arial"/>
          <w:noProof/>
          <w:sz w:val="24"/>
          <w:szCs w:val="24"/>
        </w:rPr>
        <w:t>2</w:t>
      </w:r>
      <w:r w:rsidRPr="00457F66">
        <w:rPr>
          <w:rFonts w:ascii="Arial" w:hAnsi="Arial" w:cs="Arial"/>
          <w:sz w:val="24"/>
          <w:szCs w:val="24"/>
        </w:rPr>
        <w:fldChar w:fldCharType="end"/>
      </w:r>
      <w:r w:rsidRPr="00457F66">
        <w:rPr>
          <w:rFonts w:ascii="Arial" w:hAnsi="Arial" w:cs="Arial"/>
          <w:sz w:val="24"/>
          <w:szCs w:val="24"/>
        </w:rPr>
        <w:t>: PRISMA 2020 flow diagram illustrating the study selection process (Page et al., 2021).</w:t>
      </w:r>
      <w:bookmarkEnd w:id="34"/>
    </w:p>
    <w:p w14:paraId="6D2C0015" w14:textId="4FCF97E2" w:rsidR="00E329DF" w:rsidRPr="00457F66" w:rsidRDefault="00E329DF" w:rsidP="008452C0">
      <w:pPr>
        <w:spacing w:before="100" w:beforeAutospacing="1" w:after="100" w:afterAutospacing="1" w:line="360" w:lineRule="auto"/>
        <w:jc w:val="both"/>
        <w:rPr>
          <w:rFonts w:ascii="Arial" w:hAnsi="Arial" w:cs="Arial"/>
          <w:sz w:val="22"/>
          <w:szCs w:val="22"/>
        </w:rPr>
      </w:pPr>
    </w:p>
    <w:p w14:paraId="6EF015B1" w14:textId="77777777" w:rsidR="0049712A" w:rsidRPr="00457F66" w:rsidRDefault="0049712A" w:rsidP="008452C0">
      <w:pPr>
        <w:pStyle w:val="Heading2"/>
        <w:spacing w:line="360" w:lineRule="auto"/>
      </w:pPr>
      <w:bookmarkStart w:id="35" w:name="_Toc240922951"/>
      <w:r w:rsidRPr="00457F66">
        <w:t>3.6 Quality Appraisal</w:t>
      </w:r>
      <w:bookmarkEnd w:id="35"/>
    </w:p>
    <w:p w14:paraId="0B7D209D" w14:textId="77777777" w:rsidR="0049712A" w:rsidRPr="00457F66" w:rsidRDefault="0049712A" w:rsidP="008452C0">
      <w:pPr>
        <w:spacing w:before="100" w:beforeAutospacing="1" w:after="100" w:afterAutospacing="1" w:line="360" w:lineRule="auto"/>
        <w:jc w:val="both"/>
        <w:rPr>
          <w:rFonts w:ascii="Arial" w:eastAsiaTheme="minorHAnsi" w:hAnsi="Arial" w:cs="Arial"/>
          <w:kern w:val="2"/>
          <w:sz w:val="22"/>
          <w:szCs w:val="22"/>
          <w:lang w:val="en-GB" w:eastAsia="en-US"/>
          <w14:ligatures w14:val="standardContextual"/>
        </w:rPr>
      </w:pPr>
      <w:r w:rsidRPr="00457F66">
        <w:rPr>
          <w:rFonts w:ascii="Arial" w:hAnsi="Arial" w:cs="Arial"/>
          <w:sz w:val="22"/>
          <w:szCs w:val="22"/>
          <w:lang w:val="en-GB"/>
        </w:rPr>
        <w:t>Critical appraisal was undertaken to assess the methodological quality, strengths and limitations of the studies included in the systematic literature review. This process is important because the quality of individual studies can influence the reliability of their findings and, consequently, the conclusions drawn from the overall review (Aveyard, 2019). As the review included different study designs, appraisal tools were selected according to the methodology of each study rather than applying one checklist to all evidence.</w:t>
      </w:r>
    </w:p>
    <w:p w14:paraId="5A58DD82" w14:textId="6594219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rPr>
        <w:t>Of the 15 included studies, four were qualitative studies, five were cross-sectional studies, three were systematic or scoping reviews, and three were grey literature reports</w:t>
      </w:r>
      <w:r w:rsidRPr="00457F66">
        <w:rPr>
          <w:rFonts w:ascii="Arial" w:hAnsi="Arial" w:cs="Arial"/>
          <w:sz w:val="22"/>
          <w:szCs w:val="22"/>
          <w:lang w:val="en-GB"/>
        </w:rPr>
        <w:t xml:space="preserve">. The Critical Appraisal Skills Programme (CASP) checklist was used to appraise the qualitative studies and systematic reviews, using the relevant CASP checklist for each design (CASP, 2018). </w:t>
      </w:r>
      <w:r w:rsidR="00F00C7F" w:rsidRPr="00457F66">
        <w:rPr>
          <w:rFonts w:ascii="Arial" w:hAnsi="Arial" w:cs="Arial"/>
          <w:sz w:val="22"/>
          <w:szCs w:val="22"/>
        </w:rPr>
        <w:t>The Joanna Briggs Institute (JBI) critical appraisal checklists were used for the cross-sectional studies</w:t>
      </w:r>
      <w:r w:rsidRPr="00457F66">
        <w:rPr>
          <w:rFonts w:ascii="Arial" w:hAnsi="Arial" w:cs="Arial"/>
          <w:sz w:val="22"/>
          <w:szCs w:val="22"/>
          <w:lang w:val="en-GB"/>
        </w:rPr>
        <w:t>, as JBI provides design-specific criteria for evaluating these types of evidence. The use of design-appropriate checklists allowed relevant methodological issues, including study design, recruitment and sampling, data collection, analysis, potential bias and the credibility of the findings, to be considered systematically.</w:t>
      </w:r>
    </w:p>
    <w:p w14:paraId="30A8605B" w14:textId="5F220CE1"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lang w:val="en-GB"/>
        </w:rPr>
        <w:t xml:space="preserve">The findings from the critical appraisal were used to inform the interpretation of the evidence rather than treating all included studies as having equal methodological strength. Studies with important methodological limitations were interpreted more cautiously when synthesising the findings, particularly where limitations could affect the reliability or transferability of the results. Studies were not excluded solely because methodological weaknesses were identified, provided they met the predefined eligibility criteria; instead, their limitations were considered when determining the strength of the overall evidence. The completed critical appraisal </w:t>
      </w:r>
      <w:r w:rsidR="00DC4B6E" w:rsidRPr="00457F66">
        <w:rPr>
          <w:rFonts w:ascii="Arial" w:hAnsi="Arial" w:cs="Arial"/>
          <w:sz w:val="22"/>
          <w:szCs w:val="22"/>
        </w:rPr>
        <w:t>checklists are provided in Appendix D</w:t>
      </w:r>
      <w:r w:rsidRPr="00457F66">
        <w:rPr>
          <w:rFonts w:ascii="Arial" w:hAnsi="Arial" w:cs="Arial"/>
          <w:sz w:val="22"/>
          <w:szCs w:val="22"/>
          <w:lang w:val="en-GB"/>
        </w:rPr>
        <w:t>.</w:t>
      </w:r>
    </w:p>
    <w:p w14:paraId="46856045" w14:textId="77777777" w:rsidR="0049712A" w:rsidRPr="00457F66" w:rsidRDefault="0049712A" w:rsidP="008452C0">
      <w:pPr>
        <w:pStyle w:val="Heading2"/>
        <w:spacing w:line="360" w:lineRule="auto"/>
      </w:pPr>
      <w:bookmarkStart w:id="36" w:name="_Toc240922952"/>
      <w:r w:rsidRPr="00457F66">
        <w:t>3.7 Data Extraction</w:t>
      </w:r>
      <w:bookmarkEnd w:id="36"/>
    </w:p>
    <w:p w14:paraId="05CB0F69" w14:textId="53FA76F4" w:rsidR="0049712A" w:rsidRPr="00457F66" w:rsidRDefault="0049712A" w:rsidP="008452C0">
      <w:pPr>
        <w:spacing w:line="360" w:lineRule="auto"/>
        <w:jc w:val="both"/>
        <w:rPr>
          <w:rFonts w:ascii="Arial" w:hAnsi="Arial" w:cs="Arial"/>
          <w:sz w:val="22"/>
          <w:szCs w:val="22"/>
        </w:rPr>
      </w:pPr>
      <w:r w:rsidRPr="00457F66">
        <w:rPr>
          <w:rFonts w:ascii="Arial" w:hAnsi="Arial" w:cs="Arial"/>
          <w:sz w:val="22"/>
          <w:szCs w:val="22"/>
        </w:rPr>
        <w:t>All fifteen included studies were subjected to a structured data extraction process. Each study was extracted using the following information: author and year of publication; country and setting; study design and methodology; sample size and participant characteristics; study aim; key findings that answer the review question; and methodological strengths and limitations. This uniform treatment allowed uniformity among all the studies included and facilitated the synthesis process. The final data extraction table is given in Appendix C.</w:t>
      </w:r>
    </w:p>
    <w:p w14:paraId="5A1AE88A" w14:textId="77777777" w:rsidR="0049712A" w:rsidRPr="00457F66" w:rsidRDefault="0049712A" w:rsidP="008452C0">
      <w:pPr>
        <w:pStyle w:val="Heading2"/>
        <w:spacing w:line="360" w:lineRule="auto"/>
        <w:rPr>
          <w:lang w:val="en-GB"/>
        </w:rPr>
      </w:pPr>
      <w:bookmarkStart w:id="37" w:name="_Toc240922953"/>
      <w:r w:rsidRPr="00457F66">
        <w:rPr>
          <w:lang w:val="en-GB"/>
        </w:rPr>
        <w:t>3.8 Data Analysis</w:t>
      </w:r>
      <w:bookmarkEnd w:id="37"/>
    </w:p>
    <w:p w14:paraId="5557D537" w14:textId="7777777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The data extracted from the 15 included studies were analysed using Braun and Clarke's (2006) six-phase thematic analysis. Thematic analysis is a structured method for identifying, analysing and organising recurring patterns or themes within data (Braun and Clarke, 2006). This approach was appropriate for the current systematic literature review because it enabled findings from the included studies to be systematically compared and organised into meaningful themes relevant to the research question and objectives. It was also suitable for bringing together evidence from studies using different methodological approaches.</w:t>
      </w:r>
    </w:p>
    <w:p w14:paraId="5B59A0B9" w14:textId="05838C06"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The first stage involved familiarisation with the data, during which the extracted findings from each included study were read and reread to develop an understanding of the evidence. During the second stage, initial codes were generated by identifying findings relevant to barriers affecting access to primary healthcare among homeless adults. For example, evidence relating to difficulties registering with a GP, requirements for identification or proof of address, experiences of stigma, digital access and service availability could initially be assigned descriptive codes reflecting these issues.</w:t>
      </w:r>
    </w:p>
    <w:p w14:paraId="1877C1A9" w14:textId="77215A2E"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During the third stage, similar or related codes were grouped to develop potential themes. The fourth stage involved reviewing these potential themes against the extracted evidence across the included studies to ensure that they accurately represented the findings and that there was sufficient evidence to support each theme. Themes that substantially overlapped were combined, while those that were too broad were refined or separated where necessary.</w:t>
      </w:r>
    </w:p>
    <w:p w14:paraId="454D2BD0" w14:textId="77777777" w:rsidR="0049712A" w:rsidRPr="00457F66" w:rsidRDefault="0049712A" w:rsidP="008452C0">
      <w:pPr>
        <w:spacing w:before="100" w:beforeAutospacing="1" w:after="100" w:afterAutospacing="1" w:line="360" w:lineRule="auto"/>
        <w:jc w:val="both"/>
        <w:rPr>
          <w:rFonts w:ascii="Arial" w:hAnsi="Arial" w:cs="Arial"/>
          <w:sz w:val="22"/>
          <w:szCs w:val="22"/>
          <w:lang w:val="en-GB"/>
        </w:rPr>
      </w:pPr>
      <w:r w:rsidRPr="00457F66">
        <w:rPr>
          <w:rFonts w:ascii="Arial" w:hAnsi="Arial" w:cs="Arial"/>
          <w:sz w:val="22"/>
          <w:szCs w:val="22"/>
          <w:lang w:val="en-GB"/>
        </w:rPr>
        <w:t>During the fifth stage, the themes were clearly defined and named to reflect the central issue represented by the evidence grouped within them. The final stage involved organising the themes and supporting evidence for presentation within the Findings chapter. Throughout this process, patterns were developed from the evidence identified across the included studies rather than deciding the final themes in advance. This allowed similarities, differences and contradictory findings across the evidence to be identified and presented systematically.</w:t>
      </w:r>
    </w:p>
    <w:p w14:paraId="3C96A5FA"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lang w:val="en-GB"/>
        </w:rPr>
        <w:t>The final themes and associated subthemes developed through this process are presented in Chapter 4 (Findings).</w:t>
      </w:r>
    </w:p>
    <w:p w14:paraId="7A6A325F" w14:textId="77777777" w:rsidR="0049712A" w:rsidRPr="00457F66" w:rsidRDefault="0049712A" w:rsidP="008452C0">
      <w:pPr>
        <w:pStyle w:val="Heading2"/>
        <w:spacing w:line="360" w:lineRule="auto"/>
      </w:pPr>
      <w:bookmarkStart w:id="38" w:name="_Toc240922954"/>
      <w:r w:rsidRPr="00457F66">
        <w:t>3.9 Ethical Considerations</w:t>
      </w:r>
      <w:bookmarkEnd w:id="38"/>
    </w:p>
    <w:p w14:paraId="571B5C73"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Style w:val="cursor-pointer"/>
          <w:rFonts w:ascii="Arial" w:hAnsi="Arial" w:cs="Arial"/>
          <w:sz w:val="22"/>
          <w:szCs w:val="22"/>
        </w:rPr>
        <w:t>Since the study is a desk-based systematic review, no human subjects were recruited or participated in the study.</w:t>
      </w:r>
      <w:r w:rsidRPr="00457F66">
        <w:rPr>
          <w:rFonts w:ascii="Arial" w:hAnsi="Arial" w:cs="Arial"/>
          <w:sz w:val="22"/>
          <w:szCs w:val="22"/>
        </w:rPr>
        <w:t xml:space="preserve"> </w:t>
      </w:r>
      <w:r w:rsidRPr="00457F66">
        <w:rPr>
          <w:rStyle w:val="cursor-pointer"/>
          <w:rFonts w:ascii="Arial" w:hAnsi="Arial" w:cs="Arial"/>
          <w:sz w:val="22"/>
          <w:szCs w:val="22"/>
        </w:rPr>
        <w:t>None of the data sources has been identified as proprietary, and there are no known personal data that were gathered, processed, or kept at any point of this study.</w:t>
      </w:r>
      <w:r w:rsidRPr="00457F66">
        <w:rPr>
          <w:rFonts w:ascii="Arial" w:hAnsi="Arial" w:cs="Arial"/>
          <w:sz w:val="22"/>
          <w:szCs w:val="22"/>
        </w:rPr>
        <w:t xml:space="preserve"> </w:t>
      </w:r>
      <w:r w:rsidRPr="00457F66">
        <w:rPr>
          <w:rStyle w:val="cursor-pointer"/>
          <w:rFonts w:ascii="Arial" w:hAnsi="Arial" w:cs="Arial"/>
          <w:sz w:val="22"/>
          <w:szCs w:val="22"/>
        </w:rPr>
        <w:t>Therefore, there are only a few ethical risks in this study.</w:t>
      </w:r>
      <w:r w:rsidRPr="00457F66">
        <w:rPr>
          <w:rFonts w:ascii="Arial" w:hAnsi="Arial" w:cs="Arial"/>
          <w:sz w:val="22"/>
          <w:szCs w:val="22"/>
        </w:rPr>
        <w:t xml:space="preserve"> </w:t>
      </w:r>
      <w:r w:rsidRPr="00457F66">
        <w:rPr>
          <w:rStyle w:val="cursor-pointer"/>
          <w:rFonts w:ascii="Arial" w:hAnsi="Arial" w:cs="Arial"/>
          <w:sz w:val="22"/>
          <w:szCs w:val="22"/>
        </w:rPr>
        <w:t>Ethical obligations were, however, recognised and taken care of during the research process.</w:t>
      </w:r>
      <w:r w:rsidRPr="00457F66">
        <w:rPr>
          <w:rFonts w:ascii="Arial" w:hAnsi="Arial" w:cs="Arial"/>
          <w:sz w:val="22"/>
          <w:szCs w:val="22"/>
        </w:rPr>
        <w:t xml:space="preserve"> </w:t>
      </w:r>
      <w:r w:rsidRPr="00457F66">
        <w:rPr>
          <w:rStyle w:val="cursor-pointer"/>
          <w:rFonts w:ascii="Arial" w:hAnsi="Arial" w:cs="Arial"/>
          <w:sz w:val="22"/>
          <w:szCs w:val="22"/>
        </w:rPr>
        <w:t>This study was carried out in line with the University of Wales Trinity Saint David Research Ethics and Integrity Code of Practice (UWTSD, 2022) and is ethically validated through formal ethical approval, which was issued before the start of the review.</w:t>
      </w:r>
      <w:r w:rsidRPr="00457F66">
        <w:rPr>
          <w:rFonts w:ascii="Arial" w:hAnsi="Arial" w:cs="Arial"/>
          <w:sz w:val="22"/>
          <w:szCs w:val="22"/>
        </w:rPr>
        <w:t xml:space="preserve"> </w:t>
      </w:r>
      <w:r w:rsidRPr="00457F66">
        <w:rPr>
          <w:rStyle w:val="cursor-pointer"/>
          <w:rFonts w:ascii="Arial" w:hAnsi="Arial" w:cs="Arial"/>
          <w:sz w:val="22"/>
          <w:szCs w:val="22"/>
        </w:rPr>
        <w:t>Throughout, academic integrity was upheld, and any sources employed were properly referenced in Harvard style to promote honesty and transparency in reporting the evidence.</w:t>
      </w:r>
      <w:r w:rsidRPr="00457F66">
        <w:rPr>
          <w:rFonts w:ascii="Arial" w:hAnsi="Arial" w:cs="Arial"/>
          <w:sz w:val="22"/>
          <w:szCs w:val="22"/>
        </w:rPr>
        <w:t xml:space="preserve"> </w:t>
      </w:r>
    </w:p>
    <w:p w14:paraId="4FB67E05" w14:textId="77777777" w:rsidR="0049712A" w:rsidRPr="00457F66" w:rsidRDefault="0049712A" w:rsidP="008452C0">
      <w:pPr>
        <w:pStyle w:val="Heading2"/>
        <w:spacing w:line="360" w:lineRule="auto"/>
      </w:pPr>
      <w:bookmarkStart w:id="39" w:name="_Toc240922955"/>
      <w:r w:rsidRPr="00457F66">
        <w:t>3.10 Methodological Limitations</w:t>
      </w:r>
      <w:bookmarkEnd w:id="39"/>
    </w:p>
    <w:p w14:paraId="38FABA0B" w14:textId="71A37CBC" w:rsidR="0049712A" w:rsidRPr="00457F66" w:rsidRDefault="0049712A" w:rsidP="008452C0">
      <w:pPr>
        <w:pStyle w:val="font-claude-response-body"/>
        <w:spacing w:line="360" w:lineRule="auto"/>
        <w:jc w:val="both"/>
        <w:rPr>
          <w:rStyle w:val="cursor-pointer"/>
          <w:rFonts w:ascii="Arial" w:hAnsi="Arial" w:cs="Arial"/>
          <w:sz w:val="22"/>
          <w:szCs w:val="22"/>
        </w:rPr>
      </w:pPr>
      <w:r w:rsidRPr="00457F66">
        <w:rPr>
          <w:rStyle w:val="cursor-pointer"/>
          <w:rFonts w:ascii="Arial" w:hAnsi="Arial" w:cs="Arial"/>
          <w:sz w:val="22"/>
          <w:szCs w:val="22"/>
        </w:rPr>
        <w:t>Various methodological weaknesses should be noted when considering the results of this review. First, the limitation to English-language publications in searches causes a language bias since any evidence published in different languages may not have been included, which can limit the breadth of the review. Second, although searches in credible official sources were performed actively, not all relevant policy documents or local audit reports might have been found, which might imply that some practice-level evidence was not included in the synthesis. Third, the process of screening and quality appraisal could not be independently repeated by a second reviewer due to the single-reviewer study, which could have introduced some subjectivity into the screening and appraisal decision-making. These limitations are considered further in the discussion of findings in Chapter 5.</w:t>
      </w:r>
    </w:p>
    <w:p w14:paraId="27F5253F" w14:textId="77777777" w:rsidR="0049712A" w:rsidRPr="00457F66" w:rsidRDefault="0049712A" w:rsidP="008452C0">
      <w:pPr>
        <w:spacing w:line="360" w:lineRule="auto"/>
        <w:jc w:val="both"/>
        <w:rPr>
          <w:rStyle w:val="cursor-pointer"/>
          <w:rFonts w:ascii="Arial" w:hAnsi="Arial" w:cs="Arial"/>
          <w:sz w:val="22"/>
          <w:szCs w:val="22"/>
        </w:rPr>
      </w:pPr>
      <w:r w:rsidRPr="00457F66">
        <w:rPr>
          <w:rStyle w:val="cursor-pointer"/>
          <w:rFonts w:ascii="Arial" w:hAnsi="Arial" w:cs="Arial"/>
          <w:sz w:val="22"/>
          <w:szCs w:val="22"/>
        </w:rPr>
        <w:br w:type="page"/>
      </w:r>
    </w:p>
    <w:p w14:paraId="64769D78" w14:textId="4685DBDF" w:rsidR="0049712A" w:rsidRPr="00457F66" w:rsidRDefault="0049712A" w:rsidP="008452C0">
      <w:pPr>
        <w:pStyle w:val="Heading1"/>
        <w:spacing w:line="360" w:lineRule="auto"/>
      </w:pPr>
      <w:bookmarkStart w:id="40" w:name="_Toc240922956"/>
      <w:r w:rsidRPr="00457F66">
        <w:t>CHAPTER 4 — FINDINGS</w:t>
      </w:r>
      <w:bookmarkEnd w:id="40"/>
    </w:p>
    <w:p w14:paraId="3583FE21" w14:textId="77777777" w:rsidR="0049712A" w:rsidRPr="00457F66" w:rsidRDefault="0049712A" w:rsidP="008452C0">
      <w:pPr>
        <w:pStyle w:val="Heading2"/>
        <w:spacing w:line="360" w:lineRule="auto"/>
      </w:pPr>
      <w:bookmarkStart w:id="41" w:name="_Toc240922957"/>
      <w:r w:rsidRPr="00457F66">
        <w:t>4.1 Introduction</w:t>
      </w:r>
      <w:bookmarkEnd w:id="41"/>
    </w:p>
    <w:p w14:paraId="641CD189" w14:textId="643AA030" w:rsidR="0049712A" w:rsidRPr="00457F66" w:rsidRDefault="0049712A" w:rsidP="003B7774">
      <w:pPr>
        <w:spacing w:before="100" w:beforeAutospacing="1" w:after="100" w:afterAutospacing="1" w:line="360" w:lineRule="auto"/>
        <w:jc w:val="both"/>
        <w:rPr>
          <w:rStyle w:val="Strong"/>
          <w:rFonts w:ascii="Arial" w:hAnsi="Arial" w:cs="Arial"/>
          <w:b w:val="0"/>
          <w:bCs w:val="0"/>
          <w:sz w:val="22"/>
          <w:szCs w:val="22"/>
        </w:rPr>
      </w:pPr>
      <w:r w:rsidRPr="00457F66">
        <w:rPr>
          <w:rFonts w:ascii="Arial" w:hAnsi="Arial" w:cs="Arial"/>
          <w:sz w:val="22"/>
          <w:szCs w:val="22"/>
        </w:rPr>
        <w:t xml:space="preserve">This chapter gives the results of the systematic literature review. After thematic analysis of the fifteen studies used, five major themes and subthemes were found in reference to the research question and four objectives. These themes are presented in </w:t>
      </w:r>
      <w:r w:rsidRPr="00B03120">
        <w:rPr>
          <w:rFonts w:ascii="Arial" w:hAnsi="Arial" w:cs="Arial"/>
          <w:sz w:val="22"/>
          <w:szCs w:val="22"/>
        </w:rPr>
        <w:t xml:space="preserve">Table </w:t>
      </w:r>
      <w:r w:rsidR="00B03120">
        <w:rPr>
          <w:rFonts w:ascii="Arial" w:hAnsi="Arial" w:cs="Arial"/>
          <w:sz w:val="22"/>
          <w:szCs w:val="22"/>
        </w:rPr>
        <w:t>5</w:t>
      </w:r>
      <w:r w:rsidRPr="00457F66">
        <w:rPr>
          <w:rFonts w:ascii="Arial" w:hAnsi="Arial" w:cs="Arial"/>
          <w:sz w:val="22"/>
          <w:szCs w:val="22"/>
        </w:rPr>
        <w:t>. In each theme, evidence from several studies is synthesised and compared, methodological strengths and limitations are identified, and the implications of the limitations for confidence in the findings are discussed. Chapter 5 will provide a detailed interpretation of findings in terms of theoretical frameworks, broader literature and policy implications.</w:t>
      </w:r>
    </w:p>
    <w:p w14:paraId="3591CCE7" w14:textId="01B31431" w:rsidR="003B7774" w:rsidRPr="00457F66" w:rsidRDefault="003B7774" w:rsidP="003B7774">
      <w:pPr>
        <w:pStyle w:val="Caption"/>
        <w:keepNext/>
        <w:rPr>
          <w:rFonts w:ascii="Arial" w:hAnsi="Arial" w:cs="Arial"/>
          <w:b/>
          <w:bCs/>
          <w:sz w:val="24"/>
          <w:szCs w:val="24"/>
        </w:rPr>
      </w:pPr>
      <w:bookmarkStart w:id="42" w:name="_Toc241030484"/>
      <w:r w:rsidRPr="00457F66">
        <w:rPr>
          <w:rFonts w:ascii="Arial" w:hAnsi="Arial" w:cs="Arial"/>
          <w:b/>
          <w:bCs/>
          <w:sz w:val="24"/>
          <w:szCs w:val="24"/>
        </w:rPr>
        <w:t xml:space="preserve">Table </w:t>
      </w:r>
      <w:r w:rsidRPr="00457F66">
        <w:rPr>
          <w:rFonts w:ascii="Arial" w:hAnsi="Arial" w:cs="Arial"/>
          <w:b/>
          <w:bCs/>
          <w:sz w:val="24"/>
          <w:szCs w:val="24"/>
        </w:rPr>
        <w:fldChar w:fldCharType="begin"/>
      </w:r>
      <w:r w:rsidRPr="00457F66">
        <w:rPr>
          <w:rFonts w:ascii="Arial" w:hAnsi="Arial" w:cs="Arial"/>
          <w:b/>
          <w:bCs/>
          <w:sz w:val="24"/>
          <w:szCs w:val="24"/>
        </w:rPr>
        <w:instrText xml:space="preserve"> SEQ Table \* ARABIC </w:instrText>
      </w:r>
      <w:r w:rsidRPr="00457F66">
        <w:rPr>
          <w:rFonts w:ascii="Arial" w:hAnsi="Arial" w:cs="Arial"/>
          <w:b/>
          <w:bCs/>
          <w:sz w:val="24"/>
          <w:szCs w:val="24"/>
        </w:rPr>
        <w:fldChar w:fldCharType="separate"/>
      </w:r>
      <w:r w:rsidRPr="00457F66">
        <w:rPr>
          <w:rFonts w:ascii="Arial" w:hAnsi="Arial" w:cs="Arial"/>
          <w:b/>
          <w:bCs/>
          <w:noProof/>
          <w:sz w:val="24"/>
          <w:szCs w:val="24"/>
        </w:rPr>
        <w:t>5</w:t>
      </w:r>
      <w:r w:rsidRPr="00457F66">
        <w:rPr>
          <w:rFonts w:ascii="Arial" w:hAnsi="Arial" w:cs="Arial"/>
          <w:b/>
          <w:bCs/>
          <w:sz w:val="24"/>
          <w:szCs w:val="24"/>
        </w:rPr>
        <w:fldChar w:fldCharType="end"/>
      </w:r>
      <w:r w:rsidRPr="00457F66">
        <w:rPr>
          <w:rStyle w:val="Strong"/>
          <w:rFonts w:ascii="Arial" w:hAnsi="Arial" w:cs="Arial"/>
          <w:b w:val="0"/>
          <w:bCs w:val="0"/>
          <w:sz w:val="24"/>
          <w:szCs w:val="24"/>
        </w:rPr>
        <w:t>: Research Objectives, Main Themes, and Subthemes</w:t>
      </w:r>
      <w:bookmarkEnd w:id="4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10"/>
        <w:gridCol w:w="2806"/>
        <w:gridCol w:w="3300"/>
      </w:tblGrid>
      <w:tr w:rsidR="0049712A" w:rsidRPr="00457F66" w14:paraId="74CC67FB" w14:textId="77777777" w:rsidTr="0049712A">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09F6D68" w14:textId="77777777" w:rsidR="0049712A" w:rsidRPr="00457F66" w:rsidRDefault="0049712A" w:rsidP="008452C0">
            <w:pPr>
              <w:spacing w:line="360" w:lineRule="auto"/>
              <w:jc w:val="both"/>
              <w:rPr>
                <w:rFonts w:ascii="Arial" w:hAnsi="Arial" w:cs="Arial"/>
                <w:b/>
                <w:bCs/>
                <w:sz w:val="22"/>
                <w:szCs w:val="22"/>
              </w:rPr>
            </w:pPr>
            <w:r w:rsidRPr="00457F66">
              <w:rPr>
                <w:rFonts w:ascii="Arial" w:hAnsi="Arial" w:cs="Arial"/>
                <w:b/>
                <w:bCs/>
                <w:sz w:val="22"/>
                <w:szCs w:val="22"/>
              </w:rPr>
              <w:t>Research Objective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F34F331" w14:textId="77777777" w:rsidR="0049712A" w:rsidRPr="00457F66" w:rsidRDefault="0049712A" w:rsidP="008452C0">
            <w:pPr>
              <w:spacing w:line="360" w:lineRule="auto"/>
              <w:jc w:val="both"/>
              <w:rPr>
                <w:rFonts w:ascii="Arial" w:hAnsi="Arial" w:cs="Arial"/>
                <w:b/>
                <w:bCs/>
                <w:sz w:val="22"/>
                <w:szCs w:val="22"/>
              </w:rPr>
            </w:pPr>
            <w:r w:rsidRPr="00457F66">
              <w:rPr>
                <w:rFonts w:ascii="Arial" w:hAnsi="Arial" w:cs="Arial"/>
                <w:b/>
                <w:bCs/>
                <w:sz w:val="22"/>
                <w:szCs w:val="22"/>
              </w:rPr>
              <w:t>Main Theme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D62726B" w14:textId="77777777" w:rsidR="0049712A" w:rsidRPr="00457F66" w:rsidRDefault="0049712A" w:rsidP="008452C0">
            <w:pPr>
              <w:spacing w:line="360" w:lineRule="auto"/>
              <w:jc w:val="both"/>
              <w:rPr>
                <w:rFonts w:ascii="Arial" w:hAnsi="Arial" w:cs="Arial"/>
                <w:b/>
                <w:bCs/>
                <w:sz w:val="22"/>
                <w:szCs w:val="22"/>
              </w:rPr>
            </w:pPr>
            <w:r w:rsidRPr="00457F66">
              <w:rPr>
                <w:rFonts w:ascii="Arial" w:hAnsi="Arial" w:cs="Arial"/>
                <w:b/>
                <w:bCs/>
                <w:sz w:val="22"/>
                <w:szCs w:val="22"/>
              </w:rPr>
              <w:t>Subthemes</w:t>
            </w:r>
          </w:p>
        </w:tc>
      </w:tr>
      <w:tr w:rsidR="0049712A" w:rsidRPr="00457F66" w14:paraId="0E011DD8" w14:textId="77777777" w:rsidTr="0049712A">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0BE04CA"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Objective 1: To determine and synthesise structural, institutional, and individual-level barriers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4CA95EB"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Theme 1: GP Registration and Structural Access Barriers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AE63EBA"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Unlawful documentation requirements; Impact on healthcare utilisation</w:t>
            </w:r>
          </w:p>
        </w:tc>
      </w:tr>
      <w:tr w:rsidR="0049712A" w:rsidRPr="00457F66" w14:paraId="70036D1C" w14:textId="77777777" w:rsidTr="0049712A">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BE2AAC1"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Objective 1 (continued)</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1BD8C4D"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Theme 2: Stigma, Discrimination, and Institutional Exclusion</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FBC25CF"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Provider attitudes and behaviours; Impact on help-seeking</w:t>
            </w:r>
          </w:p>
        </w:tc>
      </w:tr>
      <w:tr w:rsidR="0049712A" w:rsidRPr="00457F66" w14:paraId="5BD5D220" w14:textId="77777777" w:rsidTr="0049712A">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E7DAF33"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Objective 1 (continued)</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6B72440"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Theme 3: Structural Poverty, Housing Instability, and Individual-Level Barriers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AF6743A"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Poverty and competing survival priorities; Tri-morbidity and complex health needs</w:t>
            </w:r>
          </w:p>
        </w:tc>
      </w:tr>
      <w:tr w:rsidR="0049712A" w:rsidRPr="00457F66" w14:paraId="6B5F918D" w14:textId="77777777" w:rsidTr="0049712A">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4EAF59C"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Objective 2: To investigate the impact of healthcare policy, service design, and registration</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4DD2F4C"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Theme 4: Healthcare Policy, Service Design, and COVID-19</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46C5758"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Service design and commissioning failures; COVID-19 and digital exclusion</w:t>
            </w:r>
          </w:p>
        </w:tc>
      </w:tr>
      <w:tr w:rsidR="0049712A" w:rsidRPr="00457F66" w14:paraId="74E758C0" w14:textId="77777777" w:rsidTr="0049712A">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C5FAC1B"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Objectives 3 and 4: To critically evaluate evidence and examine solutions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D5A7894"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Theme 5: Health Inequalities, Preventable Mortality, and Evidence Quality</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2D08767" w14:textId="77777777" w:rsidR="0049712A" w:rsidRPr="00457F66" w:rsidRDefault="0049712A" w:rsidP="008452C0">
            <w:pPr>
              <w:spacing w:line="360" w:lineRule="auto"/>
              <w:rPr>
                <w:rFonts w:ascii="Arial" w:hAnsi="Arial" w:cs="Arial"/>
                <w:sz w:val="22"/>
                <w:szCs w:val="22"/>
              </w:rPr>
            </w:pPr>
            <w:r w:rsidRPr="00457F66">
              <w:rPr>
                <w:rFonts w:ascii="Arial" w:hAnsi="Arial" w:cs="Arial"/>
                <w:sz w:val="22"/>
                <w:szCs w:val="22"/>
              </w:rPr>
              <w:t>Preventable mortality and amenable deaths; Health-related quality of life and chronic disease burden</w:t>
            </w:r>
          </w:p>
        </w:tc>
      </w:tr>
    </w:tbl>
    <w:p w14:paraId="6A44B1E3" w14:textId="77777777" w:rsidR="0049712A" w:rsidRPr="00457F66" w:rsidRDefault="0049712A" w:rsidP="008452C0">
      <w:pPr>
        <w:spacing w:line="360" w:lineRule="auto"/>
        <w:jc w:val="both"/>
        <w:rPr>
          <w:rFonts w:ascii="Arial" w:hAnsi="Arial" w:cs="Arial"/>
          <w:sz w:val="22"/>
          <w:szCs w:val="22"/>
        </w:rPr>
      </w:pPr>
    </w:p>
    <w:p w14:paraId="68694048" w14:textId="77777777" w:rsidR="0049712A" w:rsidRPr="00457F66" w:rsidRDefault="0049712A" w:rsidP="008452C0">
      <w:pPr>
        <w:pStyle w:val="Heading2"/>
        <w:spacing w:line="360" w:lineRule="auto"/>
      </w:pPr>
      <w:bookmarkStart w:id="43" w:name="_Toc240922958"/>
      <w:r w:rsidRPr="00457F66">
        <w:t>4.2 Theme 1: GP Registration and Structural Access Barriers</w:t>
      </w:r>
      <w:bookmarkEnd w:id="43"/>
    </w:p>
    <w:p w14:paraId="28D3FCCC" w14:textId="77777777" w:rsidR="0049712A" w:rsidRPr="00457F66" w:rsidRDefault="0049712A" w:rsidP="008452C0">
      <w:pPr>
        <w:pStyle w:val="Heading3"/>
        <w:spacing w:line="360" w:lineRule="auto"/>
      </w:pPr>
      <w:bookmarkStart w:id="44" w:name="_Toc240922959"/>
      <w:r w:rsidRPr="00457F66">
        <w:t>4.2.1 Unlawful Documentation Requirements and Registration Refusal</w:t>
      </w:r>
      <w:bookmarkEnd w:id="44"/>
    </w:p>
    <w:p w14:paraId="6795F480"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most frequently reported structural barrier in the included studies was GP registration barriers. In an audit of 100 GP practice websites in ten London boroughs (mixed methods), Hodson et al. (2019) discovered that 75% of practices demanded documentation that, according to the regulations, cannot be requested of homeless people. It was found that only 12% of audited practices provided any alternative to those who could not generate standard documentation. This result is important since it reflects the systematic and prevalent non-adherence to national guidance at the practice level. But documentation requirements on auditing websites might not be a true reflection of registration practice - some of the practices might have more relaxed policies on the ground than what their websites would indicate. This constrains how much can be generalised about actual registration behaviour in primary care environments from the findings of websites.</w:t>
      </w:r>
    </w:p>
    <w:p w14:paraId="7ED1BCE5" w14:textId="65527599"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Survey data on 2,505 homeless people in 19 regions of England revealed that GP registration status was the most significant predictor of healthcare use, which moderated the effects of homelessness type and use of emergency care (Elwell-Sutton </w:t>
      </w:r>
      <w:r w:rsidR="005B3A5C" w:rsidRPr="00457F66">
        <w:rPr>
          <w:rFonts w:ascii="Arial" w:hAnsi="Arial" w:cs="Arial"/>
          <w:sz w:val="22"/>
          <w:szCs w:val="22"/>
        </w:rPr>
        <w:t>et al., 2017)</w:t>
      </w:r>
      <w:r w:rsidRPr="00457F66">
        <w:rPr>
          <w:rFonts w:ascii="Arial" w:hAnsi="Arial" w:cs="Arial"/>
          <w:sz w:val="22"/>
          <w:szCs w:val="22"/>
        </w:rPr>
        <w:t>. The discovery offers geographically more extensive and population-wide data that registration obstacles are directly converted into resultant trends of displaced healthcare requirement. These findings were further supported by Watts-Cobbe et al. (2025), as mystery-shopper exercises that took place following the release of NICE NG214 (2022) found that registration continued to be refused in a variety of parts of England, showing that the release of national guidance has not solved the issue alone.</w:t>
      </w:r>
    </w:p>
    <w:p w14:paraId="4F489AB2"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combination of findings from three methodologically different studies, which include site audit (Hodson et al., 2019), massive survey research (Elwell-Sutton et al., 2017), and mystery-shopper exercise (Watts-Cobbe et al., 2025), gives a significant boost to the conclusion that structural barriers to registration are not only prevalent but also systemic.</w:t>
      </w:r>
    </w:p>
    <w:p w14:paraId="2F638218" w14:textId="77777777" w:rsidR="0049712A" w:rsidRPr="00457F66" w:rsidRDefault="0049712A" w:rsidP="008452C0">
      <w:pPr>
        <w:pStyle w:val="Heading3"/>
        <w:spacing w:line="360" w:lineRule="auto"/>
      </w:pPr>
      <w:bookmarkStart w:id="45" w:name="_Toc240922960"/>
      <w:r w:rsidRPr="00457F66">
        <w:t>4.2.2 Impact on Healthcare Utilisation</w:t>
      </w:r>
      <w:bookmarkEnd w:id="45"/>
    </w:p>
    <w:p w14:paraId="1782ADFC"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Registration failure has more than just access to general practice. Elwell-Sutton et al. (2017) established that unregistered homeless people were much more prone to use the services of the accident and emergency as a source of healthcare services that could be handled in a primary care setting, and the unregistered participants showed much higher levels of emergency department visits compared to those who had a GP. The cross-sectional nature of the study by Elwell-Sutton et al. (2017) implies that a definite causal relationship cannot be determined based on these results; it is possible that individuals with higher health needs not only sought emergency care but also had more challenges with registration. However, the correlation between registration failure and emergency care dependency is too strong and steady across the research to be disregarded, with serious policy considerations. </w:t>
      </w:r>
    </w:p>
    <w:p w14:paraId="7DBE7812" w14:textId="77777777" w:rsidR="0049712A" w:rsidRPr="00457F66" w:rsidRDefault="0049712A" w:rsidP="008452C0">
      <w:pPr>
        <w:pStyle w:val="Heading2"/>
        <w:spacing w:line="360" w:lineRule="auto"/>
      </w:pPr>
      <w:bookmarkStart w:id="46" w:name="_Toc240922961"/>
      <w:r w:rsidRPr="00457F66">
        <w:t>4.3 Theme 2: Stigma, Discrimination, and Institutional Exclusion</w:t>
      </w:r>
      <w:bookmarkEnd w:id="46"/>
    </w:p>
    <w:p w14:paraId="0F114640" w14:textId="77777777" w:rsidR="0049712A" w:rsidRPr="00457F66" w:rsidRDefault="0049712A" w:rsidP="008452C0">
      <w:pPr>
        <w:pStyle w:val="Heading3"/>
        <w:spacing w:line="360" w:lineRule="auto"/>
      </w:pPr>
      <w:bookmarkStart w:id="47" w:name="_Toc240922962"/>
      <w:r w:rsidRPr="00457F66">
        <w:t>4.3.1 Healthcare Provider Attitudes and Behaviours</w:t>
      </w:r>
      <w:bookmarkEnd w:id="47"/>
    </w:p>
    <w:p w14:paraId="24C0B488"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Institutional barriers were also found to be stigma and discriminatory treatment in the primary care setting among several of the included studies. In a cross-sectional pilot survey of 74 homeless adults in South London, Guise et al. (2025) found that 65% of the participants had experienced unfair treatment in health settings, with prevalence rates rising with the burden of comorbidities. In their qualitative research of residents and staff of hostels in UK contexts, Armstrong et al. (2021) found shortened consultations, dismissive attitudes, and perceived devaluation as common elements of healthcare interactions with homeless adults. A qualitative study of homeless patients in primary care settings in the West Midlands by Gunner et al. (2019) has also recorded incidences of embarrassment, decreased dignity, and feeling unwelcome.</w:t>
      </w:r>
    </w:p>
    <w:p w14:paraId="0FDA907D"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These qualitative findings are consistent and similar in different study environments and sample groups, which enhances the credibility of the findings. Nonetheless, qualitative research by its nature uses small, purposively chosen samples - Gunner et al. (2019) used 25 participants and Armstrong et al. (2021) sampled hostel environments, which might not be representative of the experiences of rough sleepers or temporary accommodation. In this way, although these results are very informative on what stigmatising encounters would mean, they must not be interpreted as statistically representative of the general population of the homeless.</w:t>
      </w:r>
    </w:p>
    <w:p w14:paraId="4EE5BF09" w14:textId="77777777" w:rsidR="0049712A" w:rsidRPr="00457F66" w:rsidRDefault="0049712A" w:rsidP="008452C0">
      <w:pPr>
        <w:pStyle w:val="Heading3"/>
        <w:spacing w:line="360" w:lineRule="auto"/>
      </w:pPr>
      <w:bookmarkStart w:id="48" w:name="_Toc240922963"/>
      <w:r w:rsidRPr="00457F66">
        <w:t>4.3.2 Impact on Help-Seeking and Future Engagement</w:t>
      </w:r>
      <w:bookmarkEnd w:id="48"/>
    </w:p>
    <w:p w14:paraId="5EDE9BE0"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It was discovered that the effect of stigmatising experiences compounded subsequent healthcare engagement. Gunner et al. (2019) discovered that adverse experiences with primary care served as a discouraging factor to subsequent help-seeking, with respondents indicating that they avoid GP services after experiencing discrimination. In a qualitative study in Manchester, Howard, Low and Howard (2025) also reported accumulated mistrust towards healthcare institutions as a hindrance to proactive engagement with primary care. Guise et al. (2025) observed that unfair treatment was the most prevalent among participants with the highest comorbidity burden - the very people who need the most regular attendance at primary care.</w:t>
      </w:r>
    </w:p>
    <w:p w14:paraId="1D0ED7E3"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It is necessary to mention that Guise et al. (2025) employed a convenience sampling strategy and employed a pilot design, including 74 participants, which restricts the statistical generalisability of the prevalence rates presented. However, the directionality of the same between the quantitative results of Guise et al. (2025) and the qualitative explanations of Gunner et al. (2019), Armstrong et al. (2021), and Howard, Low and Howard (2025) is convergent support that stigma is a significant and impactful institutional stumbling block.</w:t>
      </w:r>
    </w:p>
    <w:p w14:paraId="1CD429C3" w14:textId="77777777" w:rsidR="0049712A" w:rsidRPr="00457F66" w:rsidRDefault="0049712A" w:rsidP="008452C0">
      <w:pPr>
        <w:pStyle w:val="Heading2"/>
        <w:spacing w:line="360" w:lineRule="auto"/>
      </w:pPr>
      <w:bookmarkStart w:id="49" w:name="_Toc240922964"/>
      <w:r w:rsidRPr="00457F66">
        <w:t>4.4 Theme 3: Structural Poverty, Housing Instability, and Individual-Level Barriers</w:t>
      </w:r>
      <w:bookmarkEnd w:id="49"/>
    </w:p>
    <w:p w14:paraId="1252E6F9" w14:textId="77777777" w:rsidR="0049712A" w:rsidRPr="00457F66" w:rsidRDefault="0049712A" w:rsidP="008452C0">
      <w:pPr>
        <w:pStyle w:val="Heading3"/>
        <w:spacing w:line="360" w:lineRule="auto"/>
      </w:pPr>
      <w:bookmarkStart w:id="50" w:name="_Toc240922965"/>
      <w:r w:rsidRPr="00457F66">
        <w:t>4.4.1 Structural Poverty and Competing Survival Priorities</w:t>
      </w:r>
      <w:bookmarkEnd w:id="50"/>
    </w:p>
    <w:p w14:paraId="11739CBA"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Some of them found that poverty and housing instability are the background barriers within which all other barriers to access are embedded. Marmot et al. (2020) showed that ten years of welfare reform through austerity policies greatly contributed to health disparities and homelessness in England, creating a policy-level determinant of primary care access failure. Watts-Cobbe et al. (2025) reported an acute change in homelessness of 45 per cent since 2012, putting into perspective the magnitude of structural exclusion in which barriers to access are faced individually.</w:t>
      </w:r>
    </w:p>
    <w:p w14:paraId="1B503CE0"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Armstrong et al. (2021) discovered that most hostel residents prioritised survival over primary care on the back of competing survival needs, including food, safety, substance use, among others. This observation was supported by Howard, Low and Howard (2025), who found that participants reported that they had challenges with prioritising appointments when they had to address urgent day-to-day survival requirements. These results indicate that individual-level barriers cannot be explicably comprehended in isolation from the structural circumstances of homelessness that generate them. Armstrong et al. (2021) and Howard, Low and Howard (2025) employed qualitative designs, but the sample size was rather small, which restricted the possibility of generalisation. Nonetheless, their results are also backed by the population-wide data provided by Marmot et al. (2020).</w:t>
      </w:r>
    </w:p>
    <w:p w14:paraId="703C24C7" w14:textId="77777777" w:rsidR="0049712A" w:rsidRPr="00457F66" w:rsidRDefault="0049712A" w:rsidP="008452C0">
      <w:pPr>
        <w:pStyle w:val="Heading3"/>
        <w:spacing w:line="360" w:lineRule="auto"/>
      </w:pPr>
      <w:bookmarkStart w:id="51" w:name="_Toc240922966"/>
      <w:r w:rsidRPr="00457F66">
        <w:t>4.4.2 Tri-Morbidity and Complex Health Need</w:t>
      </w:r>
      <w:bookmarkEnd w:id="51"/>
    </w:p>
    <w:p w14:paraId="4E5BEA77" w14:textId="2FC5B55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In a cross-sectional study of 1,336 homeless </w:t>
      </w:r>
      <w:r w:rsidR="00A23698" w:rsidRPr="00457F66">
        <w:rPr>
          <w:rFonts w:ascii="Arial" w:hAnsi="Arial" w:cs="Arial"/>
          <w:sz w:val="22"/>
          <w:szCs w:val="22"/>
        </w:rPr>
        <w:t xml:space="preserve">participants </w:t>
      </w:r>
      <w:r w:rsidRPr="00457F66">
        <w:rPr>
          <w:rFonts w:ascii="Arial" w:hAnsi="Arial" w:cs="Arial"/>
          <w:sz w:val="22"/>
          <w:szCs w:val="22"/>
        </w:rPr>
        <w:t xml:space="preserve">versus 13,360 age- and sex-matched housed controls obtained through the Health Survey for England, Lewer et al. (2019) observed that homeless participants were at higher risk of five of </w:t>
      </w:r>
      <w:r w:rsidR="00A23698" w:rsidRPr="00457F66">
        <w:rPr>
          <w:rFonts w:ascii="Arial" w:hAnsi="Arial" w:cs="Arial"/>
          <w:sz w:val="22"/>
          <w:szCs w:val="22"/>
        </w:rPr>
        <w:t xml:space="preserve">the </w:t>
      </w:r>
      <w:r w:rsidRPr="00457F66">
        <w:rPr>
          <w:rFonts w:ascii="Arial" w:hAnsi="Arial" w:cs="Arial"/>
          <w:sz w:val="22"/>
          <w:szCs w:val="22"/>
        </w:rPr>
        <w:t>six major chronic conditions measured, such as cardiovascular disease and respiratory conditions, than even the most deprived housed quintile. This result is specifically strong since the use of matched controls based on a nationally representative survey greatly mitigates the risk of confounding. In a scoping review of evidence, McNeill et al. (2022), in the UK and Ireland, affirmed that complex, co-occurring health needs present specific challenges when it comes to interacting with conventional models of primary care based on appointments, which are designed to present single conditions.</w:t>
      </w:r>
    </w:p>
    <w:p w14:paraId="7D7D35CA" w14:textId="77777777" w:rsidR="0049712A" w:rsidRPr="00457F66" w:rsidRDefault="0049712A" w:rsidP="008452C0">
      <w:pPr>
        <w:pStyle w:val="Heading2"/>
        <w:spacing w:line="360" w:lineRule="auto"/>
      </w:pPr>
      <w:bookmarkStart w:id="52" w:name="_Toc240922967"/>
      <w:r w:rsidRPr="00457F66">
        <w:t>4.5 Theme 4: Healthcare Policy, Service Design, and COVID-19</w:t>
      </w:r>
      <w:bookmarkEnd w:id="52"/>
    </w:p>
    <w:p w14:paraId="47858ED4" w14:textId="77777777" w:rsidR="0049712A" w:rsidRPr="00457F66" w:rsidRDefault="0049712A" w:rsidP="008452C0">
      <w:pPr>
        <w:pStyle w:val="Heading3"/>
        <w:spacing w:line="360" w:lineRule="auto"/>
      </w:pPr>
      <w:bookmarkStart w:id="53" w:name="_Toc240922968"/>
      <w:r w:rsidRPr="00457F66">
        <w:t>4.5.1 Service Design and Commissioning Failures</w:t>
      </w:r>
      <w:bookmarkEnd w:id="53"/>
    </w:p>
    <w:p w14:paraId="69C52C03"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NICE NG214 (2022) offers detailed recommendations, including flexible appointments, outreach, and trauma-informed care to homeless adults in primary care. McNeill et al. (2022) found that the application of such guidance in England and Ireland was more of a patchwork, with numerous regions having no specialist provision. Armstrong et al. (2021) discovered that mainstream GP practices using traditional methods of booking appointments, fixed consultation slots, and administrative procedures were active barriers to hostel residents, especially those dealing with complex needs or substance use disorders.</w:t>
      </w:r>
    </w:p>
    <w:p w14:paraId="4C36567E"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Howard, Low and Howard (2025) examined the subject of service design through the lens of patients and providers at Manchester and discovered that co-location of health and housing services, flexible drop-in models, and trusted relationships with key workers were the most effective facilitators of primary care engagement. Although this research study was geographically restricted to a city, its results are consistent with those by McNeill et al. (2022), which supports the conclusion that the conventional mainstream service design models are not well aligned with the needs of homeless adults in terms of access.</w:t>
      </w:r>
    </w:p>
    <w:p w14:paraId="5BA0ECB9" w14:textId="77777777" w:rsidR="0049712A" w:rsidRPr="00457F66" w:rsidRDefault="0049712A" w:rsidP="008452C0">
      <w:pPr>
        <w:pStyle w:val="Heading3"/>
        <w:spacing w:line="360" w:lineRule="auto"/>
      </w:pPr>
      <w:bookmarkStart w:id="54" w:name="_Toc240922969"/>
      <w:r w:rsidRPr="00457F66">
        <w:t>4.5.2 COVID-19 and Digital Exclusion</w:t>
      </w:r>
      <w:bookmarkEnd w:id="54"/>
    </w:p>
    <w:p w14:paraId="47A663F3" w14:textId="16020028"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In a qualitative study of three specialist primary care sites in England </w:t>
      </w:r>
      <w:r w:rsidR="00D63A0E" w:rsidRPr="00457F66">
        <w:rPr>
          <w:rFonts w:ascii="Arial" w:hAnsi="Arial" w:cs="Arial"/>
          <w:sz w:val="22"/>
          <w:szCs w:val="22"/>
        </w:rPr>
        <w:t>(Howells et al., 2022)</w:t>
      </w:r>
      <w:r w:rsidRPr="00457F66">
        <w:rPr>
          <w:rFonts w:ascii="Arial" w:hAnsi="Arial" w:cs="Arial"/>
          <w:sz w:val="22"/>
          <w:szCs w:val="22"/>
        </w:rPr>
        <w:t xml:space="preserve">, the authors observed that the transition to telephone-first and online appointments in the COVID-19 pandemic placed new and exacerbated barriers to accessing care among homeless adults, such as the inability to make or accept calls and a lack of awareness of digital platforms. The same authors, Howard, Low and Howard (2025), also found that digital exclusion was a key barrier to access in the post-pandemic primary care environment. Although Howells et al. (2022) targeted the specialist sites where the staff were more likely to be aware of the needs of homeless patients, their results might not reflect the barriers encountered in the general context. The directional consistency between Howells et al. (2022) and Howard, Low and Howard (2025) helps to bolster confidence in the fact that remote-by-default care is </w:t>
      </w:r>
      <w:r w:rsidR="00D63A0E" w:rsidRPr="00457F66">
        <w:rPr>
          <w:rFonts w:ascii="Arial" w:hAnsi="Arial" w:cs="Arial"/>
          <w:sz w:val="22"/>
          <w:szCs w:val="22"/>
        </w:rPr>
        <w:t>an extra layer of exclusion to this population, compounding pre-existing health disparities disproportionately affecting marginalised groups (Public Health England, 2020).</w:t>
      </w:r>
    </w:p>
    <w:p w14:paraId="4475E0CA" w14:textId="77777777" w:rsidR="0049712A" w:rsidRPr="00457F66" w:rsidRDefault="0049712A" w:rsidP="008452C0">
      <w:pPr>
        <w:pStyle w:val="Heading2"/>
        <w:spacing w:line="360" w:lineRule="auto"/>
      </w:pPr>
      <w:bookmarkStart w:id="55" w:name="_Toc240922970"/>
      <w:r w:rsidRPr="00457F66">
        <w:t>4.6 Theme 5: Health Inequalities, Preventable Mortality, and Evidence Quality</w:t>
      </w:r>
      <w:bookmarkEnd w:id="55"/>
    </w:p>
    <w:p w14:paraId="793D8F67" w14:textId="77777777" w:rsidR="0049712A" w:rsidRPr="00457F66" w:rsidRDefault="0049712A" w:rsidP="008452C0">
      <w:pPr>
        <w:pStyle w:val="Heading3"/>
        <w:spacing w:line="360" w:lineRule="auto"/>
      </w:pPr>
      <w:bookmarkStart w:id="56" w:name="_Toc240922971"/>
      <w:r w:rsidRPr="00457F66">
        <w:t>4.6.1 Preventable Mortality and Amenable Deaths</w:t>
      </w:r>
      <w:bookmarkEnd w:id="56"/>
    </w:p>
    <w:p w14:paraId="49B36372" w14:textId="7290444C"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In a population-based cross-sectional study of linked hospitalisation and mortality data in England, Aldridge et al. (2019) identified that 30.2% of homeless individuals died of causes that, according to them, met the criteria for timely primary healthcare intervention, which was 23.0% in the most deprived housed quintile. Nationally linked administrative data is a significant methodological strength of this study, and it significantly minimises the chances of recall or selection bias. In a meta-analysis of 73 studies on high-income countries, Aldridge et al. (2018) estimated a standardised mortality ratio of 7.88 among homeless men and 11.86 among women. England and Wales data on the number of deaths of homeless people in 2021 reported by ONS (2022) showed 741 deaths, with the average age of men at death being 45.4 years and women at 43.2 years.</w:t>
      </w:r>
    </w:p>
    <w:p w14:paraId="01FADE2A" w14:textId="41B7E961"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The combination of national statistics on population (ONS, 2022), linked administrative statistics (Aldridge et al., 2019), and international evidence of meta-analyses (Aldridge et al., 2018) creates a strong and multi-layered view of extreme preventable deaths due to failure of primary care access. Aldridge et al. (2018) recognised considerable methodological heterogeneity of included studies, such as in homelessness definitions, which restricts the accuracy of pooled estimates. However, the uniform direction and strength of results of several data sources make confidence in the conclusion substantially increased. </w:t>
      </w:r>
    </w:p>
    <w:p w14:paraId="1029AB41" w14:textId="77777777" w:rsidR="0049712A" w:rsidRPr="00457F66" w:rsidRDefault="0049712A" w:rsidP="008452C0">
      <w:pPr>
        <w:pStyle w:val="Heading3"/>
        <w:spacing w:line="360" w:lineRule="auto"/>
      </w:pPr>
      <w:bookmarkStart w:id="57" w:name="_Toc240922972"/>
      <w:r w:rsidRPr="00457F66">
        <w:t>4.6.2 Health-Related Quality of Life and Chronic Disease Burden</w:t>
      </w:r>
      <w:bookmarkEnd w:id="57"/>
    </w:p>
    <w:p w14:paraId="299BA6B9" w14:textId="4781157D" w:rsidR="0049712A" w:rsidRPr="00457F66" w:rsidRDefault="0049712A" w:rsidP="008452C0">
      <w:pPr>
        <w:spacing w:before="100" w:beforeAutospacing="1" w:after="100" w:afterAutospacing="1" w:line="360" w:lineRule="auto"/>
        <w:jc w:val="both"/>
        <w:rPr>
          <w:rFonts w:ascii="Arial" w:eastAsiaTheme="minorHAnsi" w:hAnsi="Arial" w:cs="Arial"/>
          <w:kern w:val="2"/>
          <w:sz w:val="22"/>
          <w:szCs w:val="22"/>
          <w:lang w:eastAsia="en-US"/>
          <w14:ligatures w14:val="standardContextual"/>
        </w:rPr>
      </w:pPr>
      <w:r w:rsidRPr="00457F66">
        <w:rPr>
          <w:rFonts w:ascii="Arial" w:hAnsi="Arial" w:cs="Arial"/>
          <w:sz w:val="22"/>
          <w:szCs w:val="22"/>
        </w:rPr>
        <w:t xml:space="preserve">Lewer et al. (2019) reported a significantly worse health-related quality of life of homeless participants in all of the dimensions of the EQ-5D-5L instrument than their matched housed controls. In a systematic review of effective interventions in socially excluded populations, </w:t>
      </w:r>
      <w:proofErr w:type="spellStart"/>
      <w:r w:rsidRPr="00457F66">
        <w:rPr>
          <w:rFonts w:ascii="Arial" w:hAnsi="Arial" w:cs="Arial"/>
          <w:sz w:val="22"/>
          <w:szCs w:val="22"/>
        </w:rPr>
        <w:t>Luchenski</w:t>
      </w:r>
      <w:proofErr w:type="spellEnd"/>
      <w:r w:rsidRPr="00457F66">
        <w:rPr>
          <w:rFonts w:ascii="Arial" w:hAnsi="Arial" w:cs="Arial"/>
          <w:sz w:val="22"/>
          <w:szCs w:val="22"/>
        </w:rPr>
        <w:t xml:space="preserve"> et al. (2018) showed that the health burden of homeless adults is greatly influenced by a failure of a healthcare system to respond appropriately, and not by unchangeable individual factors - indicating that the inequalities identified in this theme can be addressed by changing the system. Lewer et al. (2019) have a cross-sectional design, which does not reveal whether poor health caused homelessness or vice versa, so it is difficult to draw a cause-and-effect relationship. Nevertheless, the size of the differences that were found and their similarity to the international evidence published by Aldridge et al. (2018) allow concluding that homeless adults bear a significantly and uniquely high ill health burden when compared to the general and even the most deprived housed populations. </w:t>
      </w:r>
    </w:p>
    <w:p w14:paraId="5357C3F9" w14:textId="77777777" w:rsidR="0049712A" w:rsidRPr="00457F66" w:rsidRDefault="0049712A" w:rsidP="008452C0">
      <w:pPr>
        <w:pStyle w:val="Heading3"/>
        <w:spacing w:line="360" w:lineRule="auto"/>
      </w:pPr>
      <w:bookmarkStart w:id="58" w:name="_Toc240922973"/>
      <w:r w:rsidRPr="00457F66">
        <w:t>4.6.3 Facilitators and Solutions Identified Across the Included Studies</w:t>
      </w:r>
      <w:bookmarkEnd w:id="58"/>
      <w:r w:rsidRPr="00457F66">
        <w:t xml:space="preserve"> </w:t>
      </w:r>
    </w:p>
    <w:p w14:paraId="28359DB8" w14:textId="4AB24376"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In the studies included, a number of primary care access facilitators and barriers were found. Howard, Low and Howard (2025) discovered that the most frequently reported facilitators of primary care engagement were co-location of health and housing services, flexible drop-in appointments, and trusted key-worker relationships. The most effective structural solutions identified by McNeill et al. (2022)</w:t>
      </w:r>
      <w:r w:rsidR="00F00C7F" w:rsidRPr="00457F66">
        <w:rPr>
          <w:rFonts w:ascii="Arial" w:hAnsi="Arial" w:cs="Arial"/>
          <w:sz w:val="22"/>
          <w:szCs w:val="22"/>
        </w:rPr>
        <w:t xml:space="preserve"> and Crane et al. (2024)</w:t>
      </w:r>
      <w:r w:rsidRPr="00457F66">
        <w:rPr>
          <w:rFonts w:ascii="Arial" w:hAnsi="Arial" w:cs="Arial"/>
          <w:sz w:val="22"/>
          <w:szCs w:val="22"/>
        </w:rPr>
        <w:t xml:space="preserve"> include specialist primary care delivery, outreach services, and multidisciplinary team models, although their use is effective in the UK and Ireland. A synthesis of the evidence in NICE NG214 (2022) has suggested a framework of recommendations that include flexible registration, trauma-informed care, and combined health and housing services. </w:t>
      </w:r>
      <w:proofErr w:type="spellStart"/>
      <w:r w:rsidRPr="00457F66">
        <w:rPr>
          <w:rFonts w:ascii="Arial" w:hAnsi="Arial" w:cs="Arial"/>
          <w:sz w:val="22"/>
          <w:szCs w:val="22"/>
        </w:rPr>
        <w:t>Luchenski</w:t>
      </w:r>
      <w:proofErr w:type="spellEnd"/>
      <w:r w:rsidRPr="00457F66">
        <w:rPr>
          <w:rFonts w:ascii="Arial" w:hAnsi="Arial" w:cs="Arial"/>
          <w:sz w:val="22"/>
          <w:szCs w:val="22"/>
        </w:rPr>
        <w:t xml:space="preserve"> et al. (2018) proved that </w:t>
      </w:r>
      <w:r w:rsidR="002B2559">
        <w:rPr>
          <w:rFonts w:ascii="Arial" w:hAnsi="Arial" w:cs="Arial"/>
          <w:sz w:val="22"/>
          <w:szCs w:val="22"/>
        </w:rPr>
        <w:t xml:space="preserve">proactive </w:t>
      </w:r>
      <w:r w:rsidRPr="00457F66">
        <w:rPr>
          <w:rFonts w:ascii="Arial" w:hAnsi="Arial" w:cs="Arial"/>
          <w:sz w:val="22"/>
          <w:szCs w:val="22"/>
        </w:rPr>
        <w:t xml:space="preserve">outreach-based models that were proactive led to consistently better results compared to passive models of mainstream. Although the evidence on individual solutions differs in terms of methodological strength, </w:t>
      </w:r>
      <w:r w:rsidR="007F45EE" w:rsidRPr="00457F66">
        <w:rPr>
          <w:rFonts w:ascii="Arial" w:hAnsi="Arial" w:cs="Arial"/>
          <w:sz w:val="22"/>
          <w:szCs w:val="22"/>
        </w:rPr>
        <w:t>the similarities in the results of the included studies indicate consistently that flexible, outreach-based, co-located, and trauma-informed primary care models are the most strongly correlated with better access. These facilitators and solutions are drawn from the included evidence; specific recommendations arising from these findings are presented in Chapter 6.</w:t>
      </w:r>
    </w:p>
    <w:p w14:paraId="2BF0722A" w14:textId="77777777" w:rsidR="0049712A" w:rsidRPr="00457F66" w:rsidRDefault="0049712A" w:rsidP="008452C0">
      <w:pPr>
        <w:pStyle w:val="Heading2"/>
        <w:spacing w:line="360" w:lineRule="auto"/>
      </w:pPr>
      <w:bookmarkStart w:id="59" w:name="_Toc240922974"/>
      <w:r w:rsidRPr="00457F66">
        <w:t>4.7 Summary of Findings</w:t>
      </w:r>
      <w:bookmarkEnd w:id="59"/>
    </w:p>
    <w:p w14:paraId="42587253" w14:textId="1CADF34B" w:rsidR="0049712A" w:rsidRPr="00457F66" w:rsidRDefault="0049712A" w:rsidP="008452C0">
      <w:pPr>
        <w:pStyle w:val="text-15px"/>
        <w:spacing w:before="0" w:beforeAutospacing="0" w:after="0" w:afterAutospacing="0" w:line="360" w:lineRule="auto"/>
        <w:jc w:val="both"/>
        <w:rPr>
          <w:rFonts w:ascii="Arial" w:hAnsi="Arial" w:cs="Arial"/>
          <w:sz w:val="22"/>
          <w:szCs w:val="22"/>
        </w:rPr>
      </w:pPr>
      <w:r w:rsidRPr="00457F66">
        <w:rPr>
          <w:rFonts w:ascii="Arial" w:hAnsi="Arial" w:cs="Arial"/>
          <w:sz w:val="22"/>
          <w:szCs w:val="22"/>
        </w:rPr>
        <w:t xml:space="preserve">The fifteen studies used found a coherent and convergent image of multi-level obstacles to primary healthcare access by homeless adults in England. Failure of GP registration, stigmatising </w:t>
      </w:r>
      <w:r w:rsidR="00A23698" w:rsidRPr="00457F66">
        <w:rPr>
          <w:rFonts w:ascii="Arial" w:hAnsi="Arial" w:cs="Arial"/>
          <w:sz w:val="22"/>
          <w:szCs w:val="22"/>
        </w:rPr>
        <w:t>institutional practices</w:t>
      </w:r>
      <w:r w:rsidRPr="00457F66">
        <w:rPr>
          <w:rFonts w:ascii="Arial" w:hAnsi="Arial" w:cs="Arial"/>
          <w:sz w:val="22"/>
          <w:szCs w:val="22"/>
        </w:rPr>
        <w:t>, structural poverty, rigid service design, digital exclusion and severe health disparities were found to be synergistic and mutually reinforcing constraints that together lead to systematic primary care exclusion. The strongest evidence was found where a variety of methodologically different studies were united by the same findings. Chapter 5 critically reflects on these findings relative to the broader literature, the theoretical frameworks, and policy and practice implications.</w:t>
      </w:r>
    </w:p>
    <w:p w14:paraId="740377A3" w14:textId="77777777" w:rsidR="0049712A" w:rsidRPr="00457F66" w:rsidRDefault="0049712A" w:rsidP="008452C0">
      <w:pPr>
        <w:spacing w:line="360" w:lineRule="auto"/>
        <w:jc w:val="both"/>
        <w:rPr>
          <w:rFonts w:ascii="Arial" w:hAnsi="Arial" w:cs="Arial"/>
          <w:sz w:val="22"/>
          <w:szCs w:val="22"/>
        </w:rPr>
      </w:pPr>
      <w:r w:rsidRPr="00457F66">
        <w:rPr>
          <w:rFonts w:ascii="Arial" w:hAnsi="Arial" w:cs="Arial"/>
          <w:sz w:val="22"/>
          <w:szCs w:val="22"/>
        </w:rPr>
        <w:br w:type="page"/>
      </w:r>
    </w:p>
    <w:p w14:paraId="71E70D66" w14:textId="77777777" w:rsidR="0049712A" w:rsidRPr="00457F66" w:rsidRDefault="0049712A" w:rsidP="008452C0">
      <w:pPr>
        <w:pStyle w:val="Heading1"/>
        <w:spacing w:line="360" w:lineRule="auto"/>
      </w:pPr>
      <w:bookmarkStart w:id="60" w:name="_Toc240922975"/>
      <w:r w:rsidRPr="00457F66">
        <w:t>CHAPTER 5 — DISCUSSION</w:t>
      </w:r>
      <w:bookmarkEnd w:id="60"/>
    </w:p>
    <w:p w14:paraId="47F9F24C" w14:textId="77777777" w:rsidR="0049712A" w:rsidRPr="00457F66" w:rsidRDefault="0049712A" w:rsidP="008452C0">
      <w:pPr>
        <w:spacing w:line="360" w:lineRule="auto"/>
        <w:jc w:val="both"/>
        <w:rPr>
          <w:rFonts w:ascii="Arial" w:hAnsi="Arial" w:cs="Arial"/>
          <w:sz w:val="22"/>
          <w:szCs w:val="22"/>
        </w:rPr>
      </w:pPr>
    </w:p>
    <w:p w14:paraId="5AD12B58" w14:textId="77777777" w:rsidR="0049712A" w:rsidRPr="00457F66" w:rsidRDefault="0049712A" w:rsidP="008452C0">
      <w:pPr>
        <w:pStyle w:val="Heading2"/>
        <w:spacing w:line="360" w:lineRule="auto"/>
      </w:pPr>
      <w:bookmarkStart w:id="61" w:name="_Toc240922976"/>
      <w:r w:rsidRPr="00457F66">
        <w:t>5.1 Introduction</w:t>
      </w:r>
      <w:bookmarkEnd w:id="61"/>
    </w:p>
    <w:p w14:paraId="2246EF7C" w14:textId="20EC42A6"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chapter is a critical discussion of the findings of the systematic review in the context of the broader literature, three theoretical frameworks and the policy and practice context in England. In contrast to re-presenting the evidence in Chapter 4, this chapter provides an interpretation of what the findings imply - why the barriers identified exist, how they interact at structural, institutional and individual levels, and what the findings mean to NHS policy, primary care practice and future research. The chapter discusses each of the five themes separately, followed by an implementation of the three guiding frameworks and reflection on the policy implications and limitations of this review.</w:t>
      </w:r>
    </w:p>
    <w:p w14:paraId="165E2365" w14:textId="77777777" w:rsidR="0049712A" w:rsidRPr="00457F66" w:rsidRDefault="0049712A" w:rsidP="008452C0">
      <w:pPr>
        <w:pStyle w:val="Heading2"/>
        <w:spacing w:line="360" w:lineRule="auto"/>
      </w:pPr>
      <w:bookmarkStart w:id="62" w:name="_Toc240922977"/>
      <w:r w:rsidRPr="00457F66">
        <w:t>5.2 Discussion of Theme 1: GP Registration and Structural Access Barriers</w:t>
      </w:r>
      <w:bookmarkEnd w:id="62"/>
    </w:p>
    <w:p w14:paraId="348087C6"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result that a significant percentage of GP practices in England still refuse to accept homeless people on illegal grounds even in the face of clear and regularly reiterated national guidelines is one of the most impactful and most disturbing failures found during this review. The fact that Hodson et al. (2019), Elwell-Sutton et al. (2017), and Watts-Cobbe et al. (2025) all reach the same conclusion is not of an unimportant nature, since it indicates that the problem remains not despite the focus on the policy but in concert with it and after it. Publication NICE NG214 (2022) expressly affirmed the legal rights that existed, and advised particular implementation measures, but post-publication mystery-shopper exercises still found rampant refusal. This implies that the gap in implementation concerning English primary care is deeper than the lack of awareness of guidance, and embodies deeper errors in enforcement, accountability, and organisational culture.</w:t>
      </w:r>
    </w:p>
    <w:p w14:paraId="41E5859B"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Using the patient-centred access model developed by Levesque et al. (2013), registration barriers can be viewed as a failure of approachability, or the degree to which services are made visible to potential users, and the degree to which services are made to fit the social reality of the population, or acceptability. This interpretation is based on the broader literature: Homeless Link (2022) found that 48% of homeless adults interviewed had visited the accident and emergency services in the last year, three times the rate of the general population, which gives nationwide evidence of the systemic displacement of primary care needs to emergency settings as a consequence of failure in regulation. Bramley and Fitzpatrick (2018) proved that structural disadvantage accumulates over time; that is, people who have been homeless longer and longer found themselves in more and more serious obstacles in all five dimensions of the Levesque model. Access to primary care is recognised as a national priority in the Delivery Plan to Recovering Access to Primary Care (NHS England 2023), but there are no specific considerations concerning homeless people in this document, which, based on the evidence of this review, has an association with preventable mortality, though the direct nature of this relationship cannot be established from the available evidence.</w:t>
      </w:r>
    </w:p>
    <w:p w14:paraId="3BF406D7" w14:textId="77777777" w:rsidR="0049712A" w:rsidRPr="00457F66" w:rsidRDefault="0049712A" w:rsidP="008452C0">
      <w:pPr>
        <w:pStyle w:val="Heading2"/>
        <w:spacing w:line="360" w:lineRule="auto"/>
      </w:pPr>
      <w:bookmarkStart w:id="63" w:name="_Toc240922978"/>
      <w:r w:rsidRPr="00457F66">
        <w:t>5.3 Discussion of Theme 2: Stigma, Discrimination, and Institutional Exclusion</w:t>
      </w:r>
      <w:bookmarkEnd w:id="63"/>
    </w:p>
    <w:p w14:paraId="1BB7493D"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paper by Guise et al. (2025), Gunner et al. (2019), Armstrong et al. (2021), and Howard, Low and Howard (2025) confirms that stigmatising treatment in primary care practice serves as both a deterrent factor and a cumulative factor over time due to the compounding of negative healthcare experiences. This result aligns with Reilly et al. (2022), whose systematic review of 21 studies identified the stigma of healthcare providers as connected to worse health outcomes and less future help-seeking among homeless groups, further extending the evidence base to include more than the fifteen core studies to determine general convergence.</w:t>
      </w:r>
    </w:p>
    <w:p w14:paraId="6181688C" w14:textId="61CE13C4"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On the one hand, stigma can seem to be an attitudinal issue that needs to be addressed at the individual level by training and professional education. Nilsen (2015) asserts, though, that inclusive practice implementations cannot take place without systemic and organisational conditions, not attitudinal change among individual practitioners. This difference directly reflects on the design of anti-stigma interventions: ethnographically, </w:t>
      </w:r>
      <w:r w:rsidR="00B116C8" w:rsidRPr="00457F66">
        <w:rPr>
          <w:rFonts w:ascii="Arial" w:hAnsi="Arial" w:cs="Arial"/>
          <w:sz w:val="22"/>
          <w:szCs w:val="22"/>
        </w:rPr>
        <w:t>O'Carroll and Wainwright (2019; 2021) revealed that</w:t>
      </w:r>
      <w:r w:rsidRPr="00457F66">
        <w:rPr>
          <w:rFonts w:ascii="Arial" w:hAnsi="Arial" w:cs="Arial"/>
          <w:sz w:val="22"/>
          <w:szCs w:val="22"/>
        </w:rPr>
        <w:t xml:space="preserve"> the organisational practices of mainstream general practice, such as </w:t>
      </w:r>
      <w:r w:rsidR="00F00C7F" w:rsidRPr="00457F66">
        <w:rPr>
          <w:rFonts w:ascii="Arial" w:hAnsi="Arial" w:cs="Arial"/>
          <w:sz w:val="22"/>
          <w:szCs w:val="22"/>
        </w:rPr>
        <w:t>standardised consultation formats, appointment-based access, and limited consultation time,</w:t>
      </w:r>
      <w:r w:rsidRPr="00457F66">
        <w:rPr>
          <w:rFonts w:ascii="Arial" w:hAnsi="Arial" w:cs="Arial"/>
          <w:sz w:val="22"/>
          <w:szCs w:val="22"/>
        </w:rPr>
        <w:t xml:space="preserve"> disadvantage homeless patients at a structural level, no matter how favourable individual practitioner attitudes might be. This implies the need to redesign systems at the level of practice, as opposed to focusing on individual attitudes, in order to mitigate institutional exclusion.</w:t>
      </w:r>
    </w:p>
    <w:p w14:paraId="30236479" w14:textId="17C53DF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Using the Behavioural Model provided by Andersen (1995), stigma affects enabling resources, namely the social and relationship circumstances under which healthcare engagement occurs; i.e. it is a systemic degradation of the potential of homeless people to access primary care despite formal entitlement. This is especially worrisome because Guise et al. (2025) have discovered that unfair treatment was most regularly reported by those with the biggest burden of comorbidities - exactly those individuals for whom enduring primary care participation is most essential.</w:t>
      </w:r>
    </w:p>
    <w:p w14:paraId="58D23306" w14:textId="77777777" w:rsidR="0049712A" w:rsidRPr="00457F66" w:rsidRDefault="0049712A" w:rsidP="008452C0">
      <w:pPr>
        <w:pStyle w:val="Heading2"/>
        <w:spacing w:line="360" w:lineRule="auto"/>
      </w:pPr>
      <w:bookmarkStart w:id="64" w:name="_Toc240922979"/>
      <w:r w:rsidRPr="00457F66">
        <w:t>5.4 Discussion of Theme 3: Structural Poverty, Housing Instability, and Individual Barriers</w:t>
      </w:r>
      <w:bookmarkEnd w:id="64"/>
    </w:p>
    <w:p w14:paraId="12FC4872"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observation that the priority of competing survival needs always overrides primary care help-seeking among homeless adults, as identified by Armstrong et al. (2021) and Howard, Low and Howard (2025), is best interpreted not as a sign of individual disengagement but as a response to the realities of extreme structural disadvantage that homeless adults face in their daily lives. The social determinants model by Dahlgren and Whitehead (1991) is the necessary macro-level framework to make this interpretation: housing instability, poverty, and social exclusion are the upstream determinants where all the barriers to access are created and reproduced at the individual level. Marmot et al. (2020) empirically showed that sustained austerity 2010-2020 contributed to the expansion of such structural conditions and the direct impact on homelessness and the aggravation of health inequalities, which is why it is necessary to take a clear policy-level pathway between macro-structural choices and the barriers that are identified on an individual level in the current review.</w:t>
      </w:r>
    </w:p>
    <w:p w14:paraId="434BDCB9" w14:textId="558D9171"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This analysis is furthered in the wider literature. In a meta-analysis of Housing First randomised controlled trials, </w:t>
      </w:r>
      <w:r w:rsidR="00D63A0E" w:rsidRPr="00457F66">
        <w:rPr>
          <w:rFonts w:ascii="Arial" w:hAnsi="Arial" w:cs="Arial"/>
          <w:sz w:val="22"/>
          <w:szCs w:val="22"/>
        </w:rPr>
        <w:t>Baxter et al. (2019) and CFE Research and Moreton et al. (2019) showed</w:t>
      </w:r>
      <w:r w:rsidRPr="00457F66">
        <w:rPr>
          <w:rFonts w:ascii="Arial" w:hAnsi="Arial" w:cs="Arial"/>
          <w:sz w:val="22"/>
          <w:szCs w:val="22"/>
        </w:rPr>
        <w:t xml:space="preserve"> that housing instability as a conditional factor to improve health resulted in significant improvements in physical and mental health outcomes, indicating that the distinction between housing policy and healthcare policy is artificial and counterproductive. This directly relates to the implications of commissioning services by the Integrated Care Boards in England, which indicate the necessity of structural co-investment in housing-first strategies and interventions based on primary care access. The complicated and co-occurring health requirements identified by Lewer et al. (2019) - tri-morbidity, in particular - once again indicate that individual-level barriers are themselves crucially a downstream consequence of structural failures, and the Andersen (1995) model of utilisation as being largely a factor of enabling resources holds.</w:t>
      </w:r>
    </w:p>
    <w:p w14:paraId="505F7A8D" w14:textId="77777777" w:rsidR="0049712A" w:rsidRPr="00457F66" w:rsidRDefault="0049712A" w:rsidP="008452C0">
      <w:pPr>
        <w:pStyle w:val="Heading2"/>
        <w:spacing w:line="360" w:lineRule="auto"/>
      </w:pPr>
      <w:bookmarkStart w:id="65" w:name="_Toc240922980"/>
      <w:r w:rsidRPr="00457F66">
        <w:t>5.5 Discussion of Theme 4: Healthcare Policy, Service Design, and COVID-19</w:t>
      </w:r>
      <w:bookmarkEnd w:id="65"/>
    </w:p>
    <w:p w14:paraId="79ED48CA"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As McNeill et al. (2022), Armstrong et al. (2021), and Howard, Low and Howard (2025) all reveal, mainstream primary care service design is an active obstacle to homeless adults, rather than a situational background on which other obstacles act. Appointment-based reservation, fixed appointment times, telephone-first access and administrative procedures for a housed population with consistent contact information all combine to create a system that systematically misaligns the access needs of homeless adults. These mismatches are explicitly noted by NICE NG214 (2022), which suggests flexible, outreach-based, co-located service models, but these models are not uniformly implemented all over England, as the evidence of McNeill et al. (2022) and Watts-Cobbe et al. (2025) shows.</w:t>
      </w:r>
    </w:p>
    <w:p w14:paraId="1F0E57DC"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A key and potentially long-lasting complicating factor is the COVID-19-driven transition to remote-by-default primary care that Howells et al. (2022) and Howard, Low and Howard (2025) refer to. Lewer et al. (2020) simulated the uneven burden of COVID-19 among homeless people in England, discovering that vulnerabilities in population pre-existing conditions, such as access to healthcare, significantly increased the risk of the pandemic. The guidance on digital inclusion by NHS England (2021) recognises that non-digital access pathways cannot be removed, but the qualitative data obtained in this review indicates that this concept is not always applied in practice. Using the model of access as developed by Levesque et al. (2013), the transition to digital-first care is a failure of the availability of the physical and organisational resources that enable a population with a disproportionate number of people impacted by digital exclusion to access healthcare.</w:t>
      </w:r>
    </w:p>
    <w:p w14:paraId="2439413A" w14:textId="77777777" w:rsidR="0049712A" w:rsidRPr="00457F66" w:rsidRDefault="0049712A" w:rsidP="008452C0">
      <w:pPr>
        <w:pStyle w:val="Heading2"/>
        <w:spacing w:line="360" w:lineRule="auto"/>
      </w:pPr>
      <w:bookmarkStart w:id="66" w:name="_Toc240922981"/>
      <w:r w:rsidRPr="00457F66">
        <w:t>5.6 Discussion of Theme 5: Health Inequalities, Preventable Mortality, and Evidence Quality</w:t>
      </w:r>
      <w:bookmarkEnd w:id="66"/>
    </w:p>
    <w:p w14:paraId="43881E9E" w14:textId="3E2241CA"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Mortality and health disparity evidence is the strongest indictment of the existing primary care access shortfalls among homeless adults in England. Aldridge et al. (2019) showed that 30.2% of deaths among homeless people in England were amenable to timely healthcare intervention - a value that even exceeds that of the most deprived housed groups and clearly demonstrates that the barriers to access identified in the current review are not nuisances, but issues of life and death. Although national and international data are converged by Aldridge et al. (2018) and ONS (2022), this mortality gap is significant and long-lasting.</w:t>
      </w:r>
    </w:p>
    <w:p w14:paraId="61A135AC" w14:textId="378F5239" w:rsidR="0069267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interpretation of these mortality inequalities as the most downstream and consequential effects of upstream structural failures the terminal point of a plausible structural pathway</w:t>
      </w:r>
      <w:r w:rsidR="002B2559">
        <w:rPr>
          <w:rFonts w:ascii="Arial" w:hAnsi="Arial" w:cs="Arial"/>
          <w:sz w:val="22"/>
          <w:szCs w:val="22"/>
        </w:rPr>
        <w:t>- is</w:t>
      </w:r>
      <w:r w:rsidRPr="00457F66">
        <w:rPr>
          <w:rFonts w:ascii="Arial" w:hAnsi="Arial" w:cs="Arial"/>
          <w:sz w:val="22"/>
          <w:szCs w:val="22"/>
        </w:rPr>
        <w:t xml:space="preserve"> supported by the weight of evidence</w:t>
      </w:r>
      <w:r w:rsidR="002B2559">
        <w:rPr>
          <w:rFonts w:ascii="Arial" w:hAnsi="Arial" w:cs="Arial"/>
          <w:sz w:val="22"/>
          <w:szCs w:val="22"/>
        </w:rPr>
        <w:t>,</w:t>
      </w:r>
      <w:r w:rsidRPr="00457F66">
        <w:rPr>
          <w:rFonts w:ascii="Arial" w:hAnsi="Arial" w:cs="Arial"/>
          <w:sz w:val="22"/>
          <w:szCs w:val="22"/>
        </w:rPr>
        <w:t xml:space="preserve"> from welfare reform through housing instability to barriers in primary care access and premature mortality</w:t>
      </w:r>
      <w:r w:rsidR="002B2559">
        <w:rPr>
          <w:rFonts w:ascii="Arial" w:hAnsi="Arial" w:cs="Arial"/>
          <w:sz w:val="22"/>
          <w:szCs w:val="22"/>
        </w:rPr>
        <w:t>, and</w:t>
      </w:r>
      <w:r w:rsidRPr="00457F66">
        <w:rPr>
          <w:rFonts w:ascii="Arial" w:hAnsi="Arial" w:cs="Arial"/>
          <w:sz w:val="22"/>
          <w:szCs w:val="22"/>
        </w:rPr>
        <w:t xml:space="preserve"> is applied using the model proposed by Dahlgren and Whitehead (1991). This framing is opposed to the individualisation of inherently structural and systemic failure. </w:t>
      </w:r>
      <w:proofErr w:type="spellStart"/>
      <w:r w:rsidRPr="00457F66">
        <w:rPr>
          <w:rFonts w:ascii="Arial" w:hAnsi="Arial" w:cs="Arial"/>
          <w:sz w:val="22"/>
          <w:szCs w:val="22"/>
        </w:rPr>
        <w:t>Luchenski</w:t>
      </w:r>
      <w:proofErr w:type="spellEnd"/>
      <w:r w:rsidRPr="00457F66">
        <w:rPr>
          <w:rFonts w:ascii="Arial" w:hAnsi="Arial" w:cs="Arial"/>
          <w:sz w:val="22"/>
          <w:szCs w:val="22"/>
        </w:rPr>
        <w:t xml:space="preserve"> et al. (2018) showed that this mortality gap can be reduced with effective inclusion health interventions, but only when the healthcare system design actively responds to the needs of socially excluded groups, as opposed to expecting the socially excluded groups to work through systems designed without them in mind. The quality of the methodology used in the mortality evidence is fairly high - both Aldridge et al. (2019) and ONS (2022) rely on linked national administrative datasets, minimising the risks of selection and recall bias that underlie much of the evidence in the review on a qualitative and survey-based basis.</w:t>
      </w:r>
    </w:p>
    <w:p w14:paraId="3F183202" w14:textId="77777777" w:rsidR="0049712A" w:rsidRPr="00457F66" w:rsidRDefault="0049712A" w:rsidP="008452C0">
      <w:pPr>
        <w:pStyle w:val="Heading2"/>
        <w:spacing w:line="360" w:lineRule="auto"/>
      </w:pPr>
      <w:bookmarkStart w:id="67" w:name="_Toc240922982"/>
      <w:r w:rsidRPr="00457F66">
        <w:t>5.7 Application of Theoretical Frameworks</w:t>
      </w:r>
      <w:bookmarkEnd w:id="67"/>
    </w:p>
    <w:p w14:paraId="1E43512B" w14:textId="77777777"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The three frameworks used in this review, Dahlgren and Whitehead (1991), Levesque et al. (2013), and Andersen (1995), offer complementary lenses of analysis explaining why barriers to access to primary care among homeless adults in England are so ingrained and why single-level interventions have never worked.</w:t>
      </w:r>
    </w:p>
    <w:p w14:paraId="178D9B51" w14:textId="7ACA2E6A" w:rsidR="0049712A" w:rsidRPr="00457F66" w:rsidRDefault="0049712A" w:rsidP="008452C0">
      <w:pPr>
        <w:spacing w:before="100" w:beforeAutospacing="1" w:after="100" w:afterAutospacing="1" w:line="360" w:lineRule="auto"/>
        <w:jc w:val="both"/>
        <w:rPr>
          <w:rFonts w:ascii="Arial" w:eastAsiaTheme="minorHAnsi" w:hAnsi="Arial" w:cs="Arial"/>
          <w:kern w:val="2"/>
          <w:sz w:val="22"/>
          <w:szCs w:val="22"/>
          <w:lang w:eastAsia="en-US"/>
          <w14:ligatures w14:val="standardContextual"/>
        </w:rPr>
      </w:pPr>
      <w:r w:rsidRPr="00457F66">
        <w:rPr>
          <w:rFonts w:ascii="Arial" w:hAnsi="Arial" w:cs="Arial"/>
          <w:sz w:val="22"/>
          <w:szCs w:val="22"/>
        </w:rPr>
        <w:t>The social determinants model by Dahlgren and Whitehead (1991) identifies the underlying causes of the failure of access to primary care in the macro-structural factors of housing policy, welfare provision, poverty and social exclusion that induce homelessness in the first place. The factual basis of the attribution of deteriorating health inequalities among homeless adults to identifiable and reversible policy choices is the empirical updating of this framework by Marmot et al. (2020) in the English context. The patient-centred access model of Levesque et al. (2013) scales up the five themes of Chapter 4 to the five dimensions of access failure (approachability, acceptability, availability, affordability, and appropriateness) and shows the exclusion of homeless adults from primary care as a multi-dimensional systems failure, rather than a one-point access failure. The Behavioural Model by Andersen (1995) adds to this in that, despite partial addressing of structural and institutional barriers, the grossly impaired enabling resources of the homeless adult population, which include income instability, social isolation, digital exclusion, and transport poverty, systematically restrict the capability of transforming healthcare need into healthcare utilisation. Collectively, these three frameworks define that effective responses must be at work on structural, institutional, and individual levels.</w:t>
      </w:r>
    </w:p>
    <w:p w14:paraId="5254980E" w14:textId="2CAAD96D"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The model by Dahlgren and Whitehead (1991) is quite robust in terms of explaining the macro-level structural conditions but fails to explain how individuals move within healthcare systems under those conditions. The model by Levesque et al. (2013) best addresses this gap by plotting the interaction of service-level and individual-level factors to generate access failure in five dimensions. </w:t>
      </w:r>
      <w:r w:rsidR="00A23698" w:rsidRPr="00457F66">
        <w:rPr>
          <w:rFonts w:ascii="Arial" w:hAnsi="Arial" w:cs="Arial"/>
          <w:sz w:val="22"/>
          <w:szCs w:val="22"/>
        </w:rPr>
        <w:t>Andersen's</w:t>
      </w:r>
      <w:r w:rsidRPr="00457F66">
        <w:rPr>
          <w:rFonts w:ascii="Arial" w:hAnsi="Arial" w:cs="Arial"/>
          <w:sz w:val="22"/>
          <w:szCs w:val="22"/>
        </w:rPr>
        <w:t xml:space="preserve"> (1995) model provides explanatory value at the individual level</w:t>
      </w:r>
      <w:r w:rsidR="00A23698" w:rsidRPr="00457F66">
        <w:rPr>
          <w:rFonts w:ascii="Arial" w:hAnsi="Arial" w:cs="Arial"/>
          <w:sz w:val="22"/>
          <w:szCs w:val="22"/>
        </w:rPr>
        <w:t>,</w:t>
      </w:r>
      <w:r w:rsidRPr="00457F66">
        <w:rPr>
          <w:rFonts w:ascii="Arial" w:hAnsi="Arial" w:cs="Arial"/>
          <w:sz w:val="22"/>
          <w:szCs w:val="22"/>
        </w:rPr>
        <w:t xml:space="preserve"> but there is a risk of suggesting individual deficits in areas where the evidence is stronger in </w:t>
      </w:r>
      <w:r w:rsidR="00A23698" w:rsidRPr="00457F66">
        <w:rPr>
          <w:rFonts w:ascii="Arial" w:hAnsi="Arial" w:cs="Arial"/>
          <w:sz w:val="22"/>
          <w:szCs w:val="22"/>
        </w:rPr>
        <w:t>favour</w:t>
      </w:r>
      <w:r w:rsidRPr="00457F66">
        <w:rPr>
          <w:rFonts w:ascii="Arial" w:hAnsi="Arial" w:cs="Arial"/>
          <w:sz w:val="22"/>
          <w:szCs w:val="22"/>
        </w:rPr>
        <w:t xml:space="preserve"> of structural explanations. Collectively, the three frameworks are more encompassing than any one of them, and none of them sufficiently explains the overlapping impact of various simultaneous disadvantages on access capacity, which is still a field of theoretical advancement.</w:t>
      </w:r>
    </w:p>
    <w:p w14:paraId="125A2708" w14:textId="77777777" w:rsidR="0049712A" w:rsidRPr="00457F66" w:rsidRDefault="0049712A" w:rsidP="008452C0">
      <w:pPr>
        <w:pStyle w:val="Heading2"/>
        <w:spacing w:line="360" w:lineRule="auto"/>
      </w:pPr>
      <w:bookmarkStart w:id="68" w:name="_Toc240922983"/>
      <w:r w:rsidRPr="00457F66">
        <w:t>5.8 Policy and Practice Implications</w:t>
      </w:r>
      <w:bookmarkEnd w:id="68"/>
    </w:p>
    <w:p w14:paraId="27981E7F" w14:textId="3FCAB63C"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This review has important and direct implications for NHS policy and primary care practice in England. At practice level, </w:t>
      </w:r>
      <w:r w:rsidR="007F45EE" w:rsidRPr="00457F66">
        <w:rPr>
          <w:rFonts w:ascii="Arial" w:hAnsi="Arial" w:cs="Arial"/>
          <w:sz w:val="22"/>
          <w:szCs w:val="22"/>
        </w:rPr>
        <w:t>the evidence points to the need for monitoring and enforcement systems, beyond publication of guidance alone,</w:t>
      </w:r>
      <w:r w:rsidRPr="00457F66">
        <w:rPr>
          <w:rFonts w:ascii="Arial" w:hAnsi="Arial" w:cs="Arial"/>
          <w:sz w:val="22"/>
          <w:szCs w:val="22"/>
        </w:rPr>
        <w:t xml:space="preserve"> that identify and deal with illegal registration refusals. The Care Quality Commission (2023) directly inspects practice-level compliance, and registration policies of GP practices are expected to be included in the routine CQC inspections. </w:t>
      </w:r>
      <w:r w:rsidR="007F45EE" w:rsidRPr="00457F66">
        <w:rPr>
          <w:rFonts w:ascii="Arial" w:hAnsi="Arial" w:cs="Arial"/>
          <w:sz w:val="22"/>
          <w:szCs w:val="22"/>
        </w:rPr>
        <w:t>The findings suggest that training in trauma-informed care and registration processes for homeless adults represents an important area for practice-level improvement.</w:t>
      </w:r>
    </w:p>
    <w:p w14:paraId="11D6B7A5" w14:textId="4D435B6E"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The evidence at the commissioning level is in favour of the Integrated Care Board investment in </w:t>
      </w:r>
      <w:r w:rsidR="00B116C8" w:rsidRPr="00457F66">
        <w:rPr>
          <w:rFonts w:ascii="Arial" w:hAnsi="Arial" w:cs="Arial"/>
          <w:sz w:val="22"/>
          <w:szCs w:val="22"/>
        </w:rPr>
        <w:t>specialist homeless health services and multidisciplinary outreach teams, which have demonstrated effectiveness in improving health outcomes for homeless adults (Hwang and Burns, 2014)</w:t>
      </w:r>
      <w:r w:rsidRPr="00457F66">
        <w:rPr>
          <w:rFonts w:ascii="Arial" w:hAnsi="Arial" w:cs="Arial"/>
          <w:sz w:val="22"/>
          <w:szCs w:val="22"/>
        </w:rPr>
        <w:t xml:space="preserve">, and flexible access arrangements in line with the NICE NG214 (2022). </w:t>
      </w:r>
      <w:r w:rsidR="00870A90" w:rsidRPr="00457F66">
        <w:rPr>
          <w:rFonts w:ascii="Arial" w:hAnsi="Arial" w:cs="Arial"/>
          <w:sz w:val="22"/>
          <w:szCs w:val="22"/>
        </w:rPr>
        <w:t>The digital inclusion guidance provided by NHS England (2021) supports the establishment of clear standards for primary care providers</w:t>
      </w:r>
      <w:r w:rsidRPr="00457F66">
        <w:rPr>
          <w:rFonts w:ascii="Arial" w:hAnsi="Arial" w:cs="Arial"/>
          <w:sz w:val="22"/>
          <w:szCs w:val="22"/>
        </w:rPr>
        <w:t xml:space="preserve">, which would entail the preservation of truly functional non-digital alternatives. Social prescribing connects workers within primary care networks; formal collaborations between primary care and homelessness services are another example of evidence-based access improvement. </w:t>
      </w:r>
    </w:p>
    <w:p w14:paraId="16AAF600" w14:textId="3DBD9285"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At the structural level, the data considered in this dissertation are obvious: interventions based exclusively on healthcare cannot restore the health losses caused by homelessness, poverty, and social exclusion. These results greatly support the recommendations by Marmot et al. (2020) to take cross-government action on the social determinants of health, such as investing in Housing First strategies as illustrated by Baxter et al. (2019), providing affordable housing, and reversing welfare.</w:t>
      </w:r>
    </w:p>
    <w:p w14:paraId="37AC275B" w14:textId="77777777" w:rsidR="0049712A" w:rsidRPr="00457F66" w:rsidRDefault="0049712A" w:rsidP="008452C0">
      <w:pPr>
        <w:pStyle w:val="Heading2"/>
        <w:spacing w:line="360" w:lineRule="auto"/>
      </w:pPr>
      <w:bookmarkStart w:id="69" w:name="_Toc240922984"/>
      <w:r w:rsidRPr="00457F66">
        <w:t>5.9 Limitations of the Review</w:t>
      </w:r>
      <w:bookmarkEnd w:id="69"/>
    </w:p>
    <w:p w14:paraId="626EA13A" w14:textId="42F25A53" w:rsidR="0049712A" w:rsidRPr="00457F66" w:rsidRDefault="0049712A" w:rsidP="008452C0">
      <w:pPr>
        <w:spacing w:before="100" w:beforeAutospacing="1" w:after="100" w:afterAutospacing="1" w:line="360" w:lineRule="auto"/>
        <w:jc w:val="both"/>
        <w:rPr>
          <w:rFonts w:ascii="Arial" w:hAnsi="Arial" w:cs="Arial"/>
          <w:sz w:val="22"/>
          <w:szCs w:val="22"/>
        </w:rPr>
      </w:pPr>
      <w:r w:rsidRPr="00457F66">
        <w:rPr>
          <w:rFonts w:ascii="Arial" w:hAnsi="Arial" w:cs="Arial"/>
          <w:sz w:val="22"/>
          <w:szCs w:val="22"/>
        </w:rPr>
        <w:t xml:space="preserve">There are </w:t>
      </w:r>
      <w:r w:rsidR="002B2559">
        <w:rPr>
          <w:rFonts w:ascii="Arial" w:hAnsi="Arial" w:cs="Arial"/>
          <w:sz w:val="22"/>
          <w:szCs w:val="22"/>
        </w:rPr>
        <w:t>several</w:t>
      </w:r>
      <w:r w:rsidRPr="00457F66">
        <w:rPr>
          <w:rFonts w:ascii="Arial" w:hAnsi="Arial" w:cs="Arial"/>
          <w:sz w:val="22"/>
          <w:szCs w:val="22"/>
        </w:rPr>
        <w:t xml:space="preserve"> limitations associated with this review that need to be taken into consideration when interpreting findings of this review. Being a desk-based, single-reviewer study, there was no independent duplication of the screening and appraisal process, which has the potential to result in subjectivity in choosing studies and making quality judgements. The English-language limitation might have left out pertinent evidence in other languages. The evidence base provided is mostly qualitative in nature, with comparatively few strong quantitative research-based studies, restricting the accuracy of the population-level findings. Two of them (Guise et al., 2025 and Howard, Low and Howard, 2025) are considered pilot or geographically scoped studies, and the results obtained are to be viewed with justifiable caution.</w:t>
      </w:r>
    </w:p>
    <w:p w14:paraId="492C1FBC" w14:textId="77777777" w:rsidR="0049712A" w:rsidRPr="00457F66" w:rsidRDefault="0049712A" w:rsidP="008452C0">
      <w:pPr>
        <w:pStyle w:val="Heading2"/>
        <w:spacing w:line="360" w:lineRule="auto"/>
      </w:pPr>
      <w:bookmarkStart w:id="70" w:name="_Toc240922985"/>
      <w:r w:rsidRPr="00457F66">
        <w:t>5.10 Chapter Summary</w:t>
      </w:r>
      <w:bookmarkEnd w:id="70"/>
    </w:p>
    <w:p w14:paraId="3CCA5E31" w14:textId="442336EA" w:rsidR="0058019F" w:rsidRPr="00457F66" w:rsidRDefault="0049712A" w:rsidP="008452C0">
      <w:pPr>
        <w:pStyle w:val="text-15px"/>
        <w:spacing w:before="0" w:beforeAutospacing="0" w:after="0" w:afterAutospacing="0" w:line="360" w:lineRule="auto"/>
        <w:jc w:val="both"/>
        <w:rPr>
          <w:rFonts w:ascii="Arial" w:hAnsi="Arial" w:cs="Arial"/>
          <w:sz w:val="22"/>
          <w:szCs w:val="22"/>
        </w:rPr>
      </w:pPr>
      <w:r w:rsidRPr="00457F66">
        <w:rPr>
          <w:rFonts w:ascii="Arial" w:hAnsi="Arial" w:cs="Arial"/>
          <w:sz w:val="22"/>
          <w:szCs w:val="22"/>
        </w:rPr>
        <w:t>The chapter has critically explored the five themes identified in Chapter 4 in the context of the overall literature and the three theoretical frameworks that guided the study. The evidence consistently demonstrates that homeless adults' access to primary care in England is multi-dimensional, structural in nature, and to a great extent preventable. The results suggest the implementation of the current registration rights, the investment in models of inclusive and specialist primary care, and the joint structural response to the social factors of homelessness. In chapter 6, the conclusions, recommendations and reflective account are given, which makes this dissertation complete. The evidence consistently demonstrates that structural, institutional, and individual-level barriers interact dynamically to produce a multi-layered and self-reinforcing pattern of exclusion. Institutional barriers are experienced due to structural conditions, especially poverty, housing instability and welfare policy. It is these structural and institutional failures that are the major producers of individual-level barriers</w:t>
      </w:r>
      <w:r w:rsidR="00A23698" w:rsidRPr="00457F66">
        <w:rPr>
          <w:rFonts w:ascii="Arial" w:hAnsi="Arial" w:cs="Arial"/>
          <w:sz w:val="22"/>
          <w:szCs w:val="22"/>
        </w:rPr>
        <w:t>,</w:t>
      </w:r>
      <w:r w:rsidRPr="00457F66">
        <w:rPr>
          <w:rFonts w:ascii="Arial" w:hAnsi="Arial" w:cs="Arial"/>
          <w:sz w:val="22"/>
          <w:szCs w:val="22"/>
        </w:rPr>
        <w:t xml:space="preserve"> not personal traits. This is a multi-level and reinforcing pattern, which directly addresses the research question that informs this review.</w:t>
      </w:r>
    </w:p>
    <w:p w14:paraId="15FE8002" w14:textId="77777777"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br w:type="page"/>
      </w:r>
    </w:p>
    <w:p w14:paraId="10BD77EA" w14:textId="1C66A57D" w:rsidR="0058019F" w:rsidRPr="00457F66" w:rsidRDefault="0058019F" w:rsidP="008452C0">
      <w:pPr>
        <w:pStyle w:val="Heading1"/>
        <w:spacing w:line="360" w:lineRule="auto"/>
      </w:pPr>
      <w:bookmarkStart w:id="71" w:name="_Toc240922986"/>
      <w:r w:rsidRPr="00457F66">
        <w:t>CHAPTER 6 — CONCLUSION AND RECOMMENDATIONS</w:t>
      </w:r>
      <w:bookmarkEnd w:id="71"/>
    </w:p>
    <w:p w14:paraId="4FAE1151" w14:textId="77777777" w:rsidR="0058019F" w:rsidRPr="00457F66" w:rsidRDefault="0058019F" w:rsidP="008452C0">
      <w:pPr>
        <w:pStyle w:val="Heading2"/>
        <w:spacing w:line="360" w:lineRule="auto"/>
      </w:pPr>
      <w:bookmarkStart w:id="72" w:name="_Toc240922987"/>
      <w:r w:rsidRPr="00457F66">
        <w:t>6.1 Summary of Key Findings</w:t>
      </w:r>
      <w:bookmarkEnd w:id="72"/>
    </w:p>
    <w:p w14:paraId="63DB2AF0" w14:textId="77777777" w:rsidR="0058019F" w:rsidRPr="00457F66" w:rsidRDefault="0058019F" w:rsidP="008452C0">
      <w:pPr>
        <w:spacing w:line="360" w:lineRule="auto"/>
        <w:jc w:val="both"/>
        <w:rPr>
          <w:rFonts w:ascii="Arial" w:hAnsi="Arial" w:cs="Arial"/>
          <w:sz w:val="22"/>
          <w:szCs w:val="22"/>
        </w:rPr>
      </w:pPr>
    </w:p>
    <w:p w14:paraId="4852A948" w14:textId="22C5AC34"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This systematic review aimed to review the evidence on the barriers impacting access to primary healthcare services among homeless adults in England. After the intensive search of five electronic databases and targeted sources of grey literature that was conducted in accordance with the PRISMA 2020 guidelines, 15 studies were found to comply with the inclusion criteria and were subsequently subjected to formal quality assessment and narrative synthesis.</w:t>
      </w:r>
    </w:p>
    <w:p w14:paraId="5A6ABE88" w14:textId="0973E802" w:rsidR="0058019F"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There were five general themes identified in the review. To begin with, the most frequently reported barrier was GP registration and structural access barriers, and the data prove the prevalence of unlawful denial of registration in spite of explicit national guidance (NICE, 2022; Hodson et al., 2019; Watts-Cobbe et al., 2025). Second, direct and indirect role of stigma and discrimination in </w:t>
      </w:r>
      <w:r w:rsidR="002B2559">
        <w:rPr>
          <w:rFonts w:ascii="Arial" w:hAnsi="Arial" w:cs="Arial"/>
          <w:sz w:val="22"/>
          <w:szCs w:val="22"/>
        </w:rPr>
        <w:t xml:space="preserve">the </w:t>
      </w:r>
      <w:r w:rsidRPr="00457F66">
        <w:rPr>
          <w:rFonts w:ascii="Arial" w:hAnsi="Arial" w:cs="Arial"/>
          <w:sz w:val="22"/>
          <w:szCs w:val="22"/>
        </w:rPr>
        <w:t xml:space="preserve">primary care environment served as a direct and a long-term deterrent due to the accumulation of negative healthcare experiences (Guise et al., 2025; Gunner et al., 2019; Armstrong et al., 2021). Third, structural poverty, housing instability, and individual-level factors were found to be the determinants of all other access failures, enshrining primary care exclusion as a part of larger patterns of socially produced disadvantage (Marmot et al., 2020; Lewer et al., 2019). Fourth, the failures of service design and commissioning were identified </w:t>
      </w:r>
      <w:r w:rsidR="002B2559">
        <w:rPr>
          <w:rFonts w:ascii="Arial" w:hAnsi="Arial" w:cs="Arial"/>
          <w:sz w:val="22"/>
          <w:szCs w:val="22"/>
        </w:rPr>
        <w:t>as</w:t>
      </w:r>
      <w:r w:rsidRPr="00457F66">
        <w:rPr>
          <w:rFonts w:ascii="Arial" w:hAnsi="Arial" w:cs="Arial"/>
          <w:sz w:val="22"/>
          <w:szCs w:val="22"/>
        </w:rPr>
        <w:t xml:space="preserve"> actively </w:t>
      </w:r>
      <w:r w:rsidR="002B2559">
        <w:rPr>
          <w:rFonts w:ascii="Arial" w:hAnsi="Arial" w:cs="Arial"/>
          <w:sz w:val="22"/>
          <w:szCs w:val="22"/>
        </w:rPr>
        <w:t>marginalising</w:t>
      </w:r>
      <w:r w:rsidRPr="00457F66">
        <w:rPr>
          <w:rFonts w:ascii="Arial" w:hAnsi="Arial" w:cs="Arial"/>
          <w:sz w:val="22"/>
          <w:szCs w:val="22"/>
        </w:rPr>
        <w:t xml:space="preserve"> homeless adults </w:t>
      </w:r>
      <w:r w:rsidR="002B2559">
        <w:rPr>
          <w:rFonts w:ascii="Arial" w:hAnsi="Arial" w:cs="Arial"/>
          <w:sz w:val="22"/>
          <w:szCs w:val="22"/>
        </w:rPr>
        <w:t>from</w:t>
      </w:r>
      <w:r w:rsidRPr="00457F66">
        <w:rPr>
          <w:rFonts w:ascii="Arial" w:hAnsi="Arial" w:cs="Arial"/>
          <w:sz w:val="22"/>
          <w:szCs w:val="22"/>
        </w:rPr>
        <w:t xml:space="preserve"> mainstream primary care, such as inflexible appointment systems, fragmented care pathways, and the COVID-19-induced transition to digital-first delivery (McNeill et al., 2022; Howells et al., 2022; Howard, Low and Howard, 2025). Fifth, the long-term effects of such obstacles were reflected in the form of drastic and mostly avoidable health disparities, such as </w:t>
      </w:r>
      <w:r w:rsidR="002B2559">
        <w:rPr>
          <w:rFonts w:ascii="Arial" w:hAnsi="Arial" w:cs="Arial"/>
          <w:sz w:val="22"/>
          <w:szCs w:val="22"/>
        </w:rPr>
        <w:t>mortality</w:t>
      </w:r>
      <w:r w:rsidRPr="00457F66">
        <w:rPr>
          <w:rFonts w:ascii="Arial" w:hAnsi="Arial" w:cs="Arial"/>
          <w:sz w:val="22"/>
          <w:szCs w:val="22"/>
        </w:rPr>
        <w:t xml:space="preserve"> rates of mortality that are significantly greater than even the poorest housed communities (Aldridge et al., 2019; Aldridge et al., 2018; ONS, 2022).</w:t>
      </w:r>
    </w:p>
    <w:p w14:paraId="21611EC0" w14:textId="77777777" w:rsidR="00B84144" w:rsidRPr="00457F66" w:rsidRDefault="00B84144" w:rsidP="008452C0">
      <w:pPr>
        <w:spacing w:line="360" w:lineRule="auto"/>
        <w:jc w:val="both"/>
        <w:rPr>
          <w:rFonts w:ascii="Arial" w:hAnsi="Arial" w:cs="Arial"/>
          <w:sz w:val="22"/>
          <w:szCs w:val="22"/>
        </w:rPr>
      </w:pPr>
    </w:p>
    <w:p w14:paraId="77A02A46" w14:textId="10817684" w:rsidR="0058019F" w:rsidRPr="00457F66" w:rsidRDefault="0058019F" w:rsidP="008452C0">
      <w:pPr>
        <w:pStyle w:val="Heading2"/>
        <w:spacing w:line="360" w:lineRule="auto"/>
      </w:pPr>
      <w:bookmarkStart w:id="73" w:name="_Toc240922988"/>
      <w:r w:rsidRPr="00457F66">
        <w:t>6.2 Answering the Research Question</w:t>
      </w:r>
      <w:bookmarkEnd w:id="73"/>
    </w:p>
    <w:p w14:paraId="700C517E" w14:textId="77777777" w:rsidR="00B84144" w:rsidRDefault="00B84144" w:rsidP="008452C0">
      <w:pPr>
        <w:spacing w:line="360" w:lineRule="auto"/>
        <w:jc w:val="both"/>
        <w:rPr>
          <w:rFonts w:ascii="Arial" w:hAnsi="Arial" w:cs="Arial"/>
          <w:sz w:val="22"/>
          <w:szCs w:val="22"/>
        </w:rPr>
      </w:pPr>
    </w:p>
    <w:p w14:paraId="6F71CD71" w14:textId="25E57D80"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The question that guided this review was as follows: </w:t>
      </w:r>
      <w:r w:rsidR="005B3A5C" w:rsidRPr="00457F66">
        <w:rPr>
          <w:rFonts w:ascii="Arial" w:hAnsi="Arial" w:cs="Arial"/>
          <w:sz w:val="22"/>
          <w:szCs w:val="22"/>
        </w:rPr>
        <w:t>How do structural, institutional, and individual-level barriers influence access to primary healthcare services among homeless adults in England?</w:t>
      </w:r>
    </w:p>
    <w:p w14:paraId="5E1AB7AC" w14:textId="71873689"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The synthesised evidence shows that structural, institutional and </w:t>
      </w:r>
      <w:r w:rsidR="002B2559">
        <w:rPr>
          <w:rFonts w:ascii="Arial" w:hAnsi="Arial" w:cs="Arial"/>
          <w:sz w:val="22"/>
          <w:szCs w:val="22"/>
        </w:rPr>
        <w:t>individual-level</w:t>
      </w:r>
      <w:r w:rsidRPr="00457F66">
        <w:rPr>
          <w:rFonts w:ascii="Arial" w:hAnsi="Arial" w:cs="Arial"/>
          <w:sz w:val="22"/>
          <w:szCs w:val="22"/>
        </w:rPr>
        <w:t xml:space="preserve"> barriers do not work independently but interrelate in a dynamic way to create a multi-layered pattern of exclusion that reinforces itself. Institutional barriers are experienced over a background of structural barriers based on poverty, housing instability, and austerity-based policy failure. At the individual level, such barriers as tri-morbidity, digital exclusion, mistrust of services, and competing survival priorities are, in turn, mostly the result of structural and institutional failures, but not of inherent individual shortcomings.</w:t>
      </w:r>
    </w:p>
    <w:p w14:paraId="5AC1FC21" w14:textId="1A7D332E" w:rsidR="0058019F" w:rsidRDefault="0058019F" w:rsidP="008452C0">
      <w:pPr>
        <w:spacing w:line="360" w:lineRule="auto"/>
        <w:jc w:val="both"/>
        <w:rPr>
          <w:rFonts w:ascii="Arial" w:hAnsi="Arial" w:cs="Arial"/>
          <w:sz w:val="22"/>
          <w:szCs w:val="22"/>
        </w:rPr>
      </w:pPr>
      <w:r w:rsidRPr="00457F66">
        <w:rPr>
          <w:rFonts w:ascii="Arial" w:hAnsi="Arial" w:cs="Arial"/>
          <w:sz w:val="22"/>
          <w:szCs w:val="22"/>
        </w:rPr>
        <w:t>Using the patient-centred access model described by Levesque et al. (2013), these results demonstrate that there is a systematic access failure in all of the five dimensions of access: approachability, acceptability, availability, affordability, and appropriateness. The framework of social determinants provided by Dahlgren and Whitehead (1991) identifies the root causes of these failures in the macro-structural policy decisions which are identifiable, attributable and reversible. The Behavioural Model created by Andersen (1995) provides the answer to the question of why even the partially weakened structural and institutional obstacles prove not to be enough when the enabling resources of homeless adults - income, social, digital, and transport - are in a very bad condition. Collectively, these frameworks entail that effective responses should work in concert at structural, institutional, and individual levels.</w:t>
      </w:r>
    </w:p>
    <w:p w14:paraId="2F49F9BA" w14:textId="77777777" w:rsidR="00B84144" w:rsidRPr="00457F66" w:rsidRDefault="00B84144" w:rsidP="008452C0">
      <w:pPr>
        <w:spacing w:line="360" w:lineRule="auto"/>
        <w:jc w:val="both"/>
        <w:rPr>
          <w:rFonts w:ascii="Arial" w:hAnsi="Arial" w:cs="Arial"/>
          <w:sz w:val="22"/>
          <w:szCs w:val="22"/>
        </w:rPr>
      </w:pPr>
    </w:p>
    <w:p w14:paraId="16BABCAB" w14:textId="50211F7C" w:rsidR="0058019F" w:rsidRPr="00457F66" w:rsidRDefault="0058019F" w:rsidP="008452C0">
      <w:pPr>
        <w:pStyle w:val="Heading2"/>
        <w:spacing w:line="360" w:lineRule="auto"/>
      </w:pPr>
      <w:bookmarkStart w:id="74" w:name="_Toc240922989"/>
      <w:r w:rsidRPr="00457F66">
        <w:t>6.3 Recommendations</w:t>
      </w:r>
      <w:bookmarkEnd w:id="74"/>
    </w:p>
    <w:p w14:paraId="7C76DC6D" w14:textId="77777777" w:rsidR="00B84144" w:rsidRDefault="00B84144" w:rsidP="008452C0">
      <w:pPr>
        <w:spacing w:line="360" w:lineRule="auto"/>
        <w:jc w:val="both"/>
        <w:rPr>
          <w:rFonts w:ascii="Arial" w:hAnsi="Arial" w:cs="Arial"/>
          <w:sz w:val="22"/>
          <w:szCs w:val="22"/>
        </w:rPr>
      </w:pPr>
    </w:p>
    <w:p w14:paraId="217B05E1" w14:textId="2FFBB895"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This evidence synthesised in this review suggests the following recommendations </w:t>
      </w:r>
      <w:r w:rsidR="002B2559">
        <w:rPr>
          <w:rFonts w:ascii="Arial" w:hAnsi="Arial" w:cs="Arial"/>
          <w:sz w:val="22"/>
          <w:szCs w:val="22"/>
        </w:rPr>
        <w:t>at</w:t>
      </w:r>
      <w:r w:rsidRPr="00457F66">
        <w:rPr>
          <w:rFonts w:ascii="Arial" w:hAnsi="Arial" w:cs="Arial"/>
          <w:sz w:val="22"/>
          <w:szCs w:val="22"/>
        </w:rPr>
        <w:t xml:space="preserve"> three levels.</w:t>
      </w:r>
    </w:p>
    <w:p w14:paraId="36161BE9" w14:textId="21C62120"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Practice recommendations: Mandatory training in comprehensive registration processes, trauma-informed care, and particular health and social requirements of homeless adults should be offered by all GP practices. Non-digital ways of booking an appointment should be retained as truly working options. Primary care networks are to establish formal outreach initiatives with the local services of homelessness to actively target the individuals who are not already registered.</w:t>
      </w:r>
    </w:p>
    <w:p w14:paraId="0206C046" w14:textId="79BE5CCC" w:rsidR="0058019F" w:rsidRPr="00457F66" w:rsidRDefault="005B3A5C" w:rsidP="008452C0">
      <w:pPr>
        <w:spacing w:line="360" w:lineRule="auto"/>
        <w:jc w:val="both"/>
        <w:rPr>
          <w:rFonts w:ascii="Arial" w:hAnsi="Arial" w:cs="Arial"/>
          <w:sz w:val="22"/>
          <w:szCs w:val="22"/>
        </w:rPr>
      </w:pPr>
      <w:r w:rsidRPr="00457F66">
        <w:rPr>
          <w:rFonts w:ascii="Arial" w:hAnsi="Arial" w:cs="Arial"/>
          <w:sz w:val="22"/>
          <w:szCs w:val="22"/>
        </w:rPr>
        <w:t>Policy recommendations:</w:t>
      </w:r>
      <w:r w:rsidR="0058019F" w:rsidRPr="00457F66">
        <w:rPr>
          <w:rFonts w:ascii="Arial" w:hAnsi="Arial" w:cs="Arial"/>
          <w:sz w:val="22"/>
          <w:szCs w:val="22"/>
        </w:rPr>
        <w:t xml:space="preserve"> </w:t>
      </w:r>
      <w:r w:rsidR="007F45EE" w:rsidRPr="00457F66">
        <w:rPr>
          <w:rFonts w:ascii="Arial" w:hAnsi="Arial" w:cs="Arial"/>
          <w:sz w:val="22"/>
          <w:szCs w:val="22"/>
        </w:rPr>
        <w:t>The evidence supports the development of robust monitoring systems to identify GP practices that refuse registration of homeless people, with clear escalation procedures for non-compliance.</w:t>
      </w:r>
      <w:r w:rsidR="0058019F" w:rsidRPr="00457F66">
        <w:rPr>
          <w:rFonts w:ascii="Arial" w:hAnsi="Arial" w:cs="Arial"/>
          <w:sz w:val="22"/>
          <w:szCs w:val="22"/>
        </w:rPr>
        <w:t xml:space="preserve"> Specialist homeless health services should be commissioned by the Integrated Care Boards in line with the recommendations of the NICE NG214 (2022). The NHS digital inclusion guidance (NHS England, 2021) needs to be brought to life by making it mandatory through the availability of non-digital options in all primary care services in an accessible manner. On a structural level, the results support cross-governmental investment in Housing First strategies, affordable housing, and welfare reform</w:t>
      </w:r>
      <w:r w:rsidR="002B2559">
        <w:rPr>
          <w:rFonts w:ascii="Arial" w:hAnsi="Arial" w:cs="Arial"/>
          <w:sz w:val="22"/>
          <w:szCs w:val="22"/>
        </w:rPr>
        <w:t>,</w:t>
      </w:r>
      <w:r w:rsidR="0058019F" w:rsidRPr="00457F66">
        <w:rPr>
          <w:rFonts w:ascii="Arial" w:hAnsi="Arial" w:cs="Arial"/>
          <w:sz w:val="22"/>
          <w:szCs w:val="22"/>
        </w:rPr>
        <w:t xml:space="preserve"> because interventions based on healthcare alone will never be able to replace the health loss caused by structural exclusion (Marmot et al., 2020).</w:t>
      </w:r>
    </w:p>
    <w:p w14:paraId="35BA921D" w14:textId="1FAAFD8D" w:rsidR="0058019F"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Research recommendations: </w:t>
      </w:r>
      <w:r w:rsidR="007F45EE" w:rsidRPr="00457F66">
        <w:rPr>
          <w:rFonts w:ascii="Arial" w:hAnsi="Arial" w:cs="Arial"/>
          <w:sz w:val="22"/>
          <w:szCs w:val="22"/>
        </w:rPr>
        <w:t>Future studies would benefit from longitudinal study designs</w:t>
      </w:r>
      <w:r w:rsidRPr="00457F66">
        <w:rPr>
          <w:rFonts w:ascii="Arial" w:hAnsi="Arial" w:cs="Arial"/>
          <w:sz w:val="22"/>
          <w:szCs w:val="22"/>
        </w:rPr>
        <w:t xml:space="preserve"> that could follow the health outcomes of homeless adults with regard to primary care involvement over time. It is highly advised that co-produced research which includes lived-experience perspectives be incorporated. The relative effectiveness of specialist versus adapted mainstream primary care models in the context of the English NHS needs to be further assessed.</w:t>
      </w:r>
    </w:p>
    <w:p w14:paraId="6B6FBB64" w14:textId="77777777" w:rsidR="00B84144" w:rsidRPr="00457F66" w:rsidRDefault="00B84144" w:rsidP="008452C0">
      <w:pPr>
        <w:spacing w:line="360" w:lineRule="auto"/>
        <w:jc w:val="both"/>
        <w:rPr>
          <w:rFonts w:ascii="Arial" w:hAnsi="Arial" w:cs="Arial"/>
          <w:sz w:val="22"/>
          <w:szCs w:val="22"/>
        </w:rPr>
      </w:pPr>
    </w:p>
    <w:p w14:paraId="573E355E" w14:textId="4FB2D8C8" w:rsidR="0058019F" w:rsidRPr="00457F66" w:rsidRDefault="0058019F" w:rsidP="00A23CDC">
      <w:pPr>
        <w:pStyle w:val="Heading2"/>
        <w:spacing w:line="360" w:lineRule="auto"/>
      </w:pPr>
      <w:bookmarkStart w:id="75" w:name="_Toc240922990"/>
      <w:r w:rsidRPr="00457F66">
        <w:t xml:space="preserve">6.4 Limitations of the </w:t>
      </w:r>
      <w:r w:rsidR="00473F97" w:rsidRPr="00473F97">
        <w:rPr>
          <w:sz w:val="22"/>
          <w:szCs w:val="22"/>
          <w:lang w:val="en-GB"/>
        </w:rPr>
        <w:t>Dissertation</w:t>
      </w:r>
      <w:r w:rsidR="00473F97" w:rsidRPr="00457F66">
        <w:t xml:space="preserve"> </w:t>
      </w:r>
      <w:r w:rsidR="007F45EE" w:rsidRPr="00457F66">
        <w:t>Review</w:t>
      </w:r>
      <w:bookmarkEnd w:id="75"/>
    </w:p>
    <w:p w14:paraId="47C47B64" w14:textId="77777777" w:rsidR="00B84144" w:rsidRDefault="00B84144" w:rsidP="00473F97">
      <w:pPr>
        <w:spacing w:line="360" w:lineRule="auto"/>
        <w:jc w:val="both"/>
        <w:rPr>
          <w:rFonts w:ascii="Arial" w:hAnsi="Arial" w:cs="Arial"/>
          <w:sz w:val="22"/>
          <w:szCs w:val="22"/>
          <w:lang w:val="en-GB"/>
        </w:rPr>
      </w:pPr>
    </w:p>
    <w:p w14:paraId="5608BE5F" w14:textId="35F3099C" w:rsidR="00473F97" w:rsidRPr="00473F97" w:rsidRDefault="00473F97" w:rsidP="00473F97">
      <w:pPr>
        <w:spacing w:line="360" w:lineRule="auto"/>
        <w:jc w:val="both"/>
        <w:rPr>
          <w:rFonts w:ascii="Arial" w:hAnsi="Arial" w:cs="Arial"/>
          <w:sz w:val="22"/>
          <w:szCs w:val="22"/>
          <w:lang w:val="en-GB"/>
        </w:rPr>
      </w:pPr>
      <w:r w:rsidRPr="00473F97">
        <w:rPr>
          <w:rFonts w:ascii="Arial" w:hAnsi="Arial" w:cs="Arial"/>
          <w:sz w:val="22"/>
          <w:szCs w:val="22"/>
          <w:lang w:val="en-GB"/>
        </w:rPr>
        <w:t>Several limitations should be considered when interpreting the findings of this systematic review. First, the methodological characteristics of the included studies affect the strength of the conclusions that can be drawn. The evidence base included qualitative, cross-sectional and other observational research, which provided valuable insights into the experiences of homeless adults and the barriers associated with accessing primary healthcare. However, these study designs are generally unable to establish causal relationships. Therefore, although consistent patterns were identified across the evidence, the review cannot conclude that individual barriers directly cause particular patterns of healthcare utilisation or health outcomes. Nevertheless, the convergence of findings across different study designs and settings strengthens the evidence that structural, institutional and individual-level barriers commonly interact to restrict access to primary healthcare.</w:t>
      </w:r>
    </w:p>
    <w:p w14:paraId="287C396D" w14:textId="77777777" w:rsidR="00473F97" w:rsidRPr="00473F97" w:rsidRDefault="00473F97" w:rsidP="00473F97">
      <w:pPr>
        <w:spacing w:line="360" w:lineRule="auto"/>
        <w:jc w:val="both"/>
        <w:rPr>
          <w:rFonts w:ascii="Arial" w:hAnsi="Arial" w:cs="Arial"/>
          <w:sz w:val="22"/>
          <w:szCs w:val="22"/>
          <w:lang w:val="en-GB"/>
        </w:rPr>
      </w:pPr>
    </w:p>
    <w:p w14:paraId="40B3C830" w14:textId="77777777" w:rsidR="00473F97" w:rsidRPr="00473F97" w:rsidRDefault="00473F97" w:rsidP="00473F97">
      <w:pPr>
        <w:spacing w:line="360" w:lineRule="auto"/>
        <w:jc w:val="both"/>
        <w:rPr>
          <w:rFonts w:ascii="Arial" w:hAnsi="Arial" w:cs="Arial"/>
          <w:sz w:val="22"/>
          <w:szCs w:val="22"/>
          <w:lang w:val="en-GB"/>
        </w:rPr>
      </w:pPr>
      <w:r w:rsidRPr="00473F97">
        <w:rPr>
          <w:rFonts w:ascii="Arial" w:hAnsi="Arial" w:cs="Arial"/>
          <w:sz w:val="22"/>
          <w:szCs w:val="22"/>
          <w:lang w:val="en-GB"/>
        </w:rPr>
        <w:t>Second, there was considerable variation in the populations and settings represented within the included studies. Homelessness encompasses different circumstances, including rough sleeping, temporary accommodation and hidden homelessness, and individuals within these groups may experience healthcare access differently. Primary healthcare provision and the availability of specialist homelessness services may also vary between geographical areas in England. Consequently, findings from studies conducted within particular cities or services may not be fully transferable to all homeless adults or primary healthcare settings across England.</w:t>
      </w:r>
    </w:p>
    <w:p w14:paraId="4C13BF1D" w14:textId="77777777" w:rsidR="00473F97" w:rsidRPr="00473F97" w:rsidRDefault="00473F97" w:rsidP="00473F97">
      <w:pPr>
        <w:spacing w:line="360" w:lineRule="auto"/>
        <w:jc w:val="both"/>
        <w:rPr>
          <w:rFonts w:ascii="Arial" w:hAnsi="Arial" w:cs="Arial"/>
          <w:sz w:val="22"/>
          <w:szCs w:val="22"/>
          <w:lang w:val="en-GB"/>
        </w:rPr>
      </w:pPr>
    </w:p>
    <w:p w14:paraId="2C97A808" w14:textId="77777777" w:rsidR="00473F97" w:rsidRPr="00473F97" w:rsidRDefault="00473F97" w:rsidP="00473F97">
      <w:pPr>
        <w:spacing w:line="360" w:lineRule="auto"/>
        <w:jc w:val="both"/>
        <w:rPr>
          <w:rFonts w:ascii="Arial" w:hAnsi="Arial" w:cs="Arial"/>
          <w:sz w:val="22"/>
          <w:szCs w:val="22"/>
          <w:lang w:val="en-GB"/>
        </w:rPr>
      </w:pPr>
      <w:r w:rsidRPr="00473F97">
        <w:rPr>
          <w:rFonts w:ascii="Arial" w:hAnsi="Arial" w:cs="Arial"/>
          <w:sz w:val="22"/>
          <w:szCs w:val="22"/>
          <w:lang w:val="en-GB"/>
        </w:rPr>
        <w:t>A further limitation relates to the review process. Screening, data extraction, critical appraisal and interpretation of the evidence were undertaken by a single researcher. The absence of independent screening or appraisal by a second reviewer may have increased the potential for subjective decisions during study selection, assessment of methodological quality and thematic synthesis. The use of predefined eligibility criteria, structured critical appraisal tools and a transparent study-selection process helped to improve consistency; however, some degree of reviewer subjectivity cannot be excluded.</w:t>
      </w:r>
    </w:p>
    <w:p w14:paraId="51161558" w14:textId="77777777" w:rsidR="00473F97" w:rsidRPr="00473F97" w:rsidRDefault="00473F97" w:rsidP="00473F97">
      <w:pPr>
        <w:spacing w:line="360" w:lineRule="auto"/>
        <w:jc w:val="both"/>
        <w:rPr>
          <w:rFonts w:ascii="Arial" w:hAnsi="Arial" w:cs="Arial"/>
          <w:sz w:val="22"/>
          <w:szCs w:val="22"/>
          <w:lang w:val="en-GB"/>
        </w:rPr>
      </w:pPr>
      <w:r w:rsidRPr="00473F97">
        <w:rPr>
          <w:rFonts w:ascii="Arial" w:hAnsi="Arial" w:cs="Arial"/>
          <w:sz w:val="22"/>
          <w:szCs w:val="22"/>
          <w:lang w:val="en-GB"/>
        </w:rPr>
        <w:t>The scope of the search strategy should also be acknowledged. The review was restricted by the databases searched, predefined publication dates and English-language evidence, meaning that potentially relevant research may not have been identified. In addition, restricting inclusion to studies for which full text could be accessed through available sources may have resulted in the exclusion of otherwise relevant evidence. These restrictions may have affected the comprehensiveness of the review and should therefore be considered when interpreting the findings.</w:t>
      </w:r>
    </w:p>
    <w:p w14:paraId="573DB406" w14:textId="77777777" w:rsidR="00473F97" w:rsidRPr="00473F97" w:rsidRDefault="00473F97" w:rsidP="00473F97">
      <w:pPr>
        <w:spacing w:line="360" w:lineRule="auto"/>
        <w:jc w:val="both"/>
        <w:rPr>
          <w:rFonts w:ascii="Arial" w:hAnsi="Arial" w:cs="Arial"/>
          <w:sz w:val="22"/>
          <w:szCs w:val="22"/>
          <w:lang w:val="en-GB"/>
        </w:rPr>
      </w:pPr>
    </w:p>
    <w:p w14:paraId="753028F6" w14:textId="77777777" w:rsidR="00473F97" w:rsidRPr="00473F97" w:rsidRDefault="00473F97" w:rsidP="00473F97">
      <w:pPr>
        <w:spacing w:line="360" w:lineRule="auto"/>
        <w:jc w:val="both"/>
        <w:rPr>
          <w:rFonts w:ascii="Arial" w:hAnsi="Arial" w:cs="Arial"/>
          <w:sz w:val="22"/>
          <w:szCs w:val="22"/>
          <w:lang w:val="en-GB"/>
        </w:rPr>
      </w:pPr>
      <w:r w:rsidRPr="00473F97">
        <w:rPr>
          <w:rFonts w:ascii="Arial" w:hAnsi="Arial" w:cs="Arial"/>
          <w:sz w:val="22"/>
          <w:szCs w:val="22"/>
          <w:lang w:val="en-GB"/>
        </w:rPr>
        <w:t>Finally, the evidence considered within the wider dissertation included different forms of research and policy evidence. While empirical studies provided direct evidence concerning experiences of primary healthcare access, policy documents, guidelines and review-level evidence were also important for understanding the wider service and policy context. These sources do not provide equivalent forms or strengths of evidence and should therefore not be interpreted in the same way. Conclusions regarding the prevalence or direct effects of particular barriers should consequently be based primarily on the empirical evidence, while policy and review evidence can support interpretation of the wider context.</w:t>
      </w:r>
    </w:p>
    <w:p w14:paraId="53A05CF4" w14:textId="77777777" w:rsidR="00473F97" w:rsidRPr="00473F97" w:rsidRDefault="00473F97" w:rsidP="00473F97">
      <w:pPr>
        <w:spacing w:line="360" w:lineRule="auto"/>
        <w:jc w:val="both"/>
        <w:rPr>
          <w:rFonts w:ascii="Arial" w:hAnsi="Arial" w:cs="Arial"/>
          <w:sz w:val="22"/>
          <w:szCs w:val="22"/>
          <w:lang w:val="en-GB"/>
        </w:rPr>
      </w:pPr>
    </w:p>
    <w:p w14:paraId="6D0EF8D4" w14:textId="4A1AD295" w:rsidR="0058019F" w:rsidRDefault="00473F97" w:rsidP="00473F97">
      <w:pPr>
        <w:spacing w:line="360" w:lineRule="auto"/>
        <w:jc w:val="both"/>
        <w:rPr>
          <w:rFonts w:ascii="Arial" w:hAnsi="Arial" w:cs="Arial"/>
          <w:sz w:val="22"/>
          <w:szCs w:val="22"/>
          <w:lang w:val="en-GB"/>
        </w:rPr>
      </w:pPr>
      <w:r w:rsidRPr="00473F97">
        <w:rPr>
          <w:rFonts w:ascii="Arial" w:hAnsi="Arial" w:cs="Arial"/>
          <w:sz w:val="22"/>
          <w:szCs w:val="22"/>
          <w:lang w:val="en-GB"/>
        </w:rPr>
        <w:t>Overall, these limitations reduce the extent to which the findings can be generalised or interpreted causally, but they do not remove the value of the review. The consistency of several findings across different populations, settings and methodological approaches provides reasonable evidence that barriers to primary healthcare access among homeless adults in England are multi-level and interconnected. The conclusions should therefore be interpreted as identifying consistent patterns within the available evidence rather than providing definitive estimates of the effects of individual barriers.</w:t>
      </w:r>
    </w:p>
    <w:p w14:paraId="41DCA1BE" w14:textId="77777777" w:rsidR="00B84144" w:rsidRPr="00457F66" w:rsidRDefault="00B84144" w:rsidP="00473F97">
      <w:pPr>
        <w:spacing w:line="360" w:lineRule="auto"/>
        <w:jc w:val="both"/>
        <w:rPr>
          <w:rFonts w:ascii="Arial" w:hAnsi="Arial" w:cs="Arial"/>
          <w:sz w:val="22"/>
          <w:szCs w:val="22"/>
        </w:rPr>
      </w:pPr>
    </w:p>
    <w:p w14:paraId="520E4617" w14:textId="48A914B3" w:rsidR="0058019F" w:rsidRPr="00457F66" w:rsidRDefault="0058019F" w:rsidP="008452C0">
      <w:pPr>
        <w:pStyle w:val="Heading2"/>
        <w:spacing w:line="360" w:lineRule="auto"/>
      </w:pPr>
      <w:bookmarkStart w:id="76" w:name="_Toc240922991"/>
      <w:r w:rsidRPr="00457F66">
        <w:t>6.5 Future Research Directions</w:t>
      </w:r>
      <w:bookmarkEnd w:id="76"/>
    </w:p>
    <w:p w14:paraId="0C3FE0F9" w14:textId="77777777" w:rsidR="00B84144" w:rsidRDefault="00B84144" w:rsidP="008452C0">
      <w:pPr>
        <w:spacing w:line="360" w:lineRule="auto"/>
        <w:jc w:val="both"/>
        <w:rPr>
          <w:rFonts w:ascii="Arial" w:hAnsi="Arial" w:cs="Arial"/>
          <w:sz w:val="22"/>
          <w:szCs w:val="22"/>
        </w:rPr>
      </w:pPr>
    </w:p>
    <w:p w14:paraId="101EB451" w14:textId="4EBDB049" w:rsidR="0058019F"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The limitations of the current evidence base should be viewed as </w:t>
      </w:r>
      <w:r w:rsidR="00B84144">
        <w:rPr>
          <w:rFonts w:ascii="Arial" w:hAnsi="Arial" w:cs="Arial"/>
          <w:sz w:val="22"/>
          <w:szCs w:val="22"/>
        </w:rPr>
        <w:t>a</w:t>
      </w:r>
      <w:r w:rsidRPr="00457F66">
        <w:rPr>
          <w:rFonts w:ascii="Arial" w:hAnsi="Arial" w:cs="Arial"/>
          <w:sz w:val="22"/>
          <w:szCs w:val="22"/>
        </w:rPr>
        <w:t xml:space="preserve"> need to focus future research on longitudinal designs to examine the real-time interaction of primary care and health outcomes in homeless adults, instead of focusing on the current evidence base, which is mostly cross-sectional. It is highly advisable to employ participatory and co-produced research methods to produce evidence that is directly related to the lived realities of homeless adults. The digital exclusion concept as an obstacle to primary care access is a topical field of study that needs to be researched further due to the continued transformation of NHS primary care provision.</w:t>
      </w:r>
    </w:p>
    <w:p w14:paraId="295674A9" w14:textId="77777777" w:rsidR="00B84144" w:rsidRPr="00457F66" w:rsidRDefault="00B84144" w:rsidP="008452C0">
      <w:pPr>
        <w:spacing w:line="360" w:lineRule="auto"/>
        <w:jc w:val="both"/>
        <w:rPr>
          <w:rFonts w:ascii="Arial" w:hAnsi="Arial" w:cs="Arial"/>
          <w:sz w:val="22"/>
          <w:szCs w:val="22"/>
        </w:rPr>
      </w:pPr>
    </w:p>
    <w:p w14:paraId="42FB35F3" w14:textId="2AE04C96" w:rsidR="0058019F" w:rsidRPr="00457F66" w:rsidRDefault="0058019F" w:rsidP="008452C0">
      <w:pPr>
        <w:pStyle w:val="Heading2"/>
        <w:spacing w:line="360" w:lineRule="auto"/>
      </w:pPr>
      <w:bookmarkStart w:id="77" w:name="_Toc240922992"/>
      <w:r w:rsidRPr="00457F66">
        <w:t>6.6 Critical Reflection on Learning and Development</w:t>
      </w:r>
      <w:bookmarkEnd w:id="77"/>
    </w:p>
    <w:p w14:paraId="7766799F" w14:textId="77777777" w:rsidR="00B84144" w:rsidRDefault="00B84144" w:rsidP="008452C0">
      <w:pPr>
        <w:spacing w:line="360" w:lineRule="auto"/>
        <w:jc w:val="both"/>
        <w:rPr>
          <w:rFonts w:ascii="Arial" w:hAnsi="Arial" w:cs="Arial"/>
          <w:sz w:val="22"/>
          <w:szCs w:val="22"/>
        </w:rPr>
      </w:pPr>
    </w:p>
    <w:p w14:paraId="66440C5C" w14:textId="74C652E1"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The process of conducting this systematic review has been an important academic and professional development process. Using the Gibbs (1988) Reflective Cycle as a systematic framework, I will start by detailing the experience: this dissertation involved the independent planning and execution of a complex research process that included systematic searching, quality appraisal, narrative synthesis, and critical evaluation of a heterogeneous evidence base over 6 months of sustained scholarly involvement.</w:t>
      </w:r>
    </w:p>
    <w:p w14:paraId="6661A670" w14:textId="16FB0A27"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Regarding emotions, I went into this process with significant doubt about the systematic review process as well as the substantive literature on homeless healthcare access. Evaluating fifteen studies through formal tools, integrating various types of evidence, and </w:t>
      </w:r>
      <w:r w:rsidR="002B2559">
        <w:rPr>
          <w:rFonts w:ascii="Arial" w:hAnsi="Arial" w:cs="Arial"/>
          <w:sz w:val="22"/>
          <w:szCs w:val="22"/>
        </w:rPr>
        <w:t xml:space="preserve">maintaining </w:t>
      </w:r>
      <w:r w:rsidRPr="00457F66">
        <w:rPr>
          <w:rFonts w:ascii="Arial" w:hAnsi="Arial" w:cs="Arial"/>
          <w:sz w:val="22"/>
          <w:szCs w:val="22"/>
        </w:rPr>
        <w:t>methodological rigour in the process of it all presented me with challenges to build the level of critical thinking I was not previously forced to apply to myself.</w:t>
      </w:r>
    </w:p>
    <w:p w14:paraId="327D166F" w14:textId="4B44B072"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Assessing the experience, the most important lesson was to experience and have to reconcile conflicting evidence - situations where uniform qualitative descriptions of stigma could not be easily reconciled with the lack of strong quantitative data on the effectiveness of anti-stigma interventions. Such tensions are indicative of the real complexity of the evidence base and the correctly honest inferences that systematic review methodology requires.</w:t>
      </w:r>
    </w:p>
    <w:p w14:paraId="3DBF2242" w14:textId="2531DCC8" w:rsidR="0058019F" w:rsidRDefault="0058019F" w:rsidP="008452C0">
      <w:pPr>
        <w:spacing w:line="360" w:lineRule="auto"/>
        <w:jc w:val="both"/>
        <w:rPr>
          <w:rFonts w:ascii="Arial" w:hAnsi="Arial" w:cs="Arial"/>
          <w:sz w:val="22"/>
          <w:szCs w:val="22"/>
        </w:rPr>
      </w:pPr>
      <w:r w:rsidRPr="00457F66">
        <w:rPr>
          <w:rFonts w:ascii="Arial" w:hAnsi="Arial" w:cs="Arial"/>
          <w:sz w:val="22"/>
          <w:szCs w:val="22"/>
        </w:rPr>
        <w:t xml:space="preserve">Using the reflection-in-action idea presented by </w:t>
      </w:r>
      <w:r w:rsidR="005B3A5C" w:rsidRPr="00457F66">
        <w:rPr>
          <w:rFonts w:ascii="Arial" w:hAnsi="Arial" w:cs="Arial"/>
          <w:sz w:val="22"/>
          <w:szCs w:val="22"/>
        </w:rPr>
        <w:t>Schön (1983)</w:t>
      </w:r>
      <w:r w:rsidRPr="00457F66">
        <w:rPr>
          <w:rFonts w:ascii="Arial" w:hAnsi="Arial" w:cs="Arial"/>
          <w:sz w:val="22"/>
          <w:szCs w:val="22"/>
        </w:rPr>
        <w:t>, the ability to be able to tolerate and constructively respond to uncertainty and contradiction may be the most valuable transference skill that I have learned. According to Forrest (2018), critically reflective practice turns experience into actionable professional knowledge - and this fact is the same with my experience too, since the insights acquired as a result of this review have helped me directly to form my comprehension of health inequality and social exclusion in a way that will shape my future practice as a public health professional.</w:t>
      </w:r>
    </w:p>
    <w:p w14:paraId="1A86964F" w14:textId="77777777" w:rsidR="00B84144" w:rsidRPr="00457F66" w:rsidRDefault="00B84144" w:rsidP="008452C0">
      <w:pPr>
        <w:spacing w:line="360" w:lineRule="auto"/>
        <w:jc w:val="both"/>
        <w:rPr>
          <w:rFonts w:ascii="Arial" w:hAnsi="Arial" w:cs="Arial"/>
          <w:sz w:val="22"/>
          <w:szCs w:val="22"/>
        </w:rPr>
      </w:pPr>
    </w:p>
    <w:p w14:paraId="448F224B" w14:textId="04EFB68F" w:rsidR="0058019F" w:rsidRPr="00457F66" w:rsidRDefault="0058019F" w:rsidP="008452C0">
      <w:pPr>
        <w:pStyle w:val="Heading2"/>
        <w:spacing w:line="360" w:lineRule="auto"/>
      </w:pPr>
      <w:bookmarkStart w:id="78" w:name="_Toc240922993"/>
      <w:r w:rsidRPr="00457F66">
        <w:t>6.7 Concluding Statement</w:t>
      </w:r>
      <w:bookmarkEnd w:id="78"/>
    </w:p>
    <w:p w14:paraId="258590FC" w14:textId="77777777" w:rsidR="00B84144" w:rsidRDefault="00B84144" w:rsidP="008452C0">
      <w:pPr>
        <w:spacing w:line="360" w:lineRule="auto"/>
        <w:jc w:val="both"/>
        <w:rPr>
          <w:rFonts w:ascii="Arial" w:hAnsi="Arial" w:cs="Arial"/>
          <w:sz w:val="22"/>
          <w:szCs w:val="22"/>
        </w:rPr>
      </w:pPr>
    </w:p>
    <w:p w14:paraId="42236326" w14:textId="6C215A83" w:rsidR="0058019F" w:rsidRPr="00457F66" w:rsidRDefault="0058019F" w:rsidP="008452C0">
      <w:pPr>
        <w:spacing w:line="360" w:lineRule="auto"/>
        <w:jc w:val="both"/>
        <w:rPr>
          <w:rFonts w:ascii="Arial" w:hAnsi="Arial" w:cs="Arial"/>
          <w:sz w:val="22"/>
          <w:szCs w:val="22"/>
        </w:rPr>
      </w:pPr>
      <w:r w:rsidRPr="00457F66">
        <w:rPr>
          <w:rFonts w:ascii="Arial" w:hAnsi="Arial" w:cs="Arial"/>
          <w:sz w:val="22"/>
          <w:szCs w:val="22"/>
        </w:rPr>
        <w:t>This systematic review has revealed that homeless adults in England experience deep, multi-dimensional and mostly preventable barriers to primary healthcare access - which are based on structural poverty, institutional failure, and individual circumstances, the latter being a result of social exclusion. The case is clear-cut</w:t>
      </w:r>
      <w:r w:rsidR="002B2559">
        <w:rPr>
          <w:rFonts w:ascii="Arial" w:hAnsi="Arial" w:cs="Arial"/>
          <w:sz w:val="22"/>
          <w:szCs w:val="22"/>
        </w:rPr>
        <w:t>:</w:t>
      </w:r>
      <w:r w:rsidRPr="00457F66">
        <w:rPr>
          <w:rFonts w:ascii="Arial" w:hAnsi="Arial" w:cs="Arial"/>
          <w:sz w:val="22"/>
          <w:szCs w:val="22"/>
        </w:rPr>
        <w:t xml:space="preserve"> these barriers do not have to happen</w:t>
      </w:r>
      <w:r w:rsidR="002B2559">
        <w:rPr>
          <w:rFonts w:ascii="Arial" w:hAnsi="Arial" w:cs="Arial"/>
          <w:sz w:val="22"/>
          <w:szCs w:val="22"/>
        </w:rPr>
        <w:t>,</w:t>
      </w:r>
      <w:r w:rsidRPr="00457F66">
        <w:rPr>
          <w:rFonts w:ascii="Arial" w:hAnsi="Arial" w:cs="Arial"/>
          <w:sz w:val="22"/>
          <w:szCs w:val="22"/>
        </w:rPr>
        <w:t xml:space="preserve"> but they are the result of detectable and correctable policy failures. To respond</w:t>
      </w:r>
      <w:r w:rsidR="002B2559">
        <w:rPr>
          <w:rFonts w:ascii="Arial" w:hAnsi="Arial" w:cs="Arial"/>
          <w:sz w:val="22"/>
          <w:szCs w:val="22"/>
        </w:rPr>
        <w:t>,</w:t>
      </w:r>
      <w:r w:rsidRPr="00457F66">
        <w:rPr>
          <w:rFonts w:ascii="Arial" w:hAnsi="Arial" w:cs="Arial"/>
          <w:sz w:val="22"/>
          <w:szCs w:val="22"/>
        </w:rPr>
        <w:t xml:space="preserve"> they need action sustained, coordinated, and evidence-based in both practice, policy, and research - informed by the voices of homeless people themselves and by the firm belief in the underlying concept that equitable access to primary healthcare is not a privilege but a right.</w:t>
      </w:r>
    </w:p>
    <w:p w14:paraId="5AFA01C8" w14:textId="77777777" w:rsidR="0049712A" w:rsidRPr="00457F66" w:rsidRDefault="0049712A" w:rsidP="008452C0">
      <w:pPr>
        <w:pStyle w:val="text-15px"/>
        <w:spacing w:before="0" w:beforeAutospacing="0" w:after="0" w:afterAutospacing="0" w:line="360" w:lineRule="auto"/>
        <w:jc w:val="both"/>
        <w:rPr>
          <w:rFonts w:ascii="Arial" w:hAnsi="Arial" w:cs="Arial"/>
          <w:sz w:val="22"/>
          <w:szCs w:val="22"/>
        </w:rPr>
      </w:pPr>
    </w:p>
    <w:p w14:paraId="1F1E78FC" w14:textId="77777777" w:rsidR="0049712A" w:rsidRPr="00457F66" w:rsidRDefault="0049712A" w:rsidP="008452C0">
      <w:pPr>
        <w:pStyle w:val="text-15px"/>
        <w:spacing w:before="0" w:beforeAutospacing="0" w:after="0" w:afterAutospacing="0" w:line="360" w:lineRule="auto"/>
        <w:jc w:val="both"/>
        <w:rPr>
          <w:rFonts w:ascii="Arial" w:hAnsi="Arial" w:cs="Arial"/>
          <w:sz w:val="22"/>
          <w:szCs w:val="22"/>
        </w:rPr>
      </w:pPr>
    </w:p>
    <w:p w14:paraId="3F9CF63F" w14:textId="77777777" w:rsidR="0049712A" w:rsidRPr="00457F66" w:rsidRDefault="0049712A" w:rsidP="008452C0">
      <w:pPr>
        <w:spacing w:line="360" w:lineRule="auto"/>
        <w:jc w:val="both"/>
        <w:rPr>
          <w:rFonts w:ascii="Arial" w:hAnsi="Arial" w:cs="Arial"/>
          <w:sz w:val="22"/>
          <w:szCs w:val="22"/>
        </w:rPr>
      </w:pPr>
      <w:r w:rsidRPr="00457F66">
        <w:rPr>
          <w:rFonts w:ascii="Arial" w:hAnsi="Arial" w:cs="Arial"/>
          <w:sz w:val="22"/>
          <w:szCs w:val="22"/>
        </w:rPr>
        <w:br w:type="page"/>
      </w:r>
    </w:p>
    <w:p w14:paraId="289658BF" w14:textId="0B8EB69B" w:rsidR="00D86A53" w:rsidRPr="00457F66" w:rsidRDefault="00D86A53" w:rsidP="008452C0">
      <w:pPr>
        <w:pStyle w:val="Heading1"/>
        <w:spacing w:line="360" w:lineRule="auto"/>
      </w:pPr>
      <w:bookmarkStart w:id="79" w:name="_Toc240922994"/>
      <w:r w:rsidRPr="00457F66">
        <w:t>REFERENCE</w:t>
      </w:r>
      <w:r w:rsidR="00D54CEC" w:rsidRPr="00457F66">
        <w:t xml:space="preserve"> LIST</w:t>
      </w:r>
      <w:bookmarkEnd w:id="79"/>
    </w:p>
    <w:p w14:paraId="5199C1B9" w14:textId="70DA1849"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Aldridge, R.W., Story, A., Hwang, S.W., Nordentoft, M., Luchenski, S.A., Hartwell, G., Tweed, E.J., Lewer, D., Katikireddi, S.V. and Hayward, A.C. (2018) 'Morbidity and mortality in homeless individuals, prisoners, sex workers, and individuals with substance use disorders in high-income countries: a systematic review and meta-analysis', </w:t>
      </w:r>
      <w:r w:rsidRPr="00457F66">
        <w:rPr>
          <w:rStyle w:val="Emphasis"/>
          <w:rFonts w:ascii="Arial" w:hAnsi="Arial" w:cs="Arial"/>
          <w:sz w:val="22"/>
          <w:szCs w:val="22"/>
        </w:rPr>
        <w:t>The Lancet</w:t>
      </w:r>
      <w:r w:rsidRPr="00457F66">
        <w:rPr>
          <w:rFonts w:ascii="Arial" w:hAnsi="Arial" w:cs="Arial"/>
          <w:sz w:val="22"/>
          <w:szCs w:val="22"/>
        </w:rPr>
        <w:t>, 391(10117), pp. 241–250.</w:t>
      </w:r>
    </w:p>
    <w:p w14:paraId="117D7D6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Aldridge, R.W., Menezes, D., Lewer, D., Cornes, M., Evans, H., Blackburn, R.M. et al. (2019) 'Causes of death among homeless people: a population-based cross-sectional study of linked hospitalisation and mortality data in England', </w:t>
      </w:r>
      <w:r w:rsidRPr="00457F66">
        <w:rPr>
          <w:rStyle w:val="Emphasis"/>
          <w:rFonts w:ascii="Arial" w:hAnsi="Arial" w:cs="Arial"/>
          <w:sz w:val="22"/>
          <w:szCs w:val="22"/>
        </w:rPr>
        <w:t>Wellcome Open Research</w:t>
      </w:r>
      <w:r w:rsidRPr="00457F66">
        <w:rPr>
          <w:rFonts w:ascii="Arial" w:hAnsi="Arial" w:cs="Arial"/>
          <w:sz w:val="22"/>
          <w:szCs w:val="22"/>
        </w:rPr>
        <w:t>, 4, 49.</w:t>
      </w:r>
    </w:p>
    <w:p w14:paraId="1641694F"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Andersen, R.M. (1995) 'Revisiting the behavioral model and access to medical care: does it matter?', </w:t>
      </w:r>
      <w:r w:rsidRPr="00457F66">
        <w:rPr>
          <w:rStyle w:val="Emphasis"/>
          <w:rFonts w:ascii="Arial" w:hAnsi="Arial" w:cs="Arial"/>
          <w:sz w:val="22"/>
          <w:szCs w:val="22"/>
        </w:rPr>
        <w:t>Journal of Health and Social Behavior</w:t>
      </w:r>
      <w:r w:rsidRPr="00457F66">
        <w:rPr>
          <w:rFonts w:ascii="Arial" w:hAnsi="Arial" w:cs="Arial"/>
          <w:sz w:val="22"/>
          <w:szCs w:val="22"/>
        </w:rPr>
        <w:t>, 36(1), pp. 1–10.</w:t>
      </w:r>
    </w:p>
    <w:p w14:paraId="6671C3B4"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Armstrong, M., Shulman, C., Hudson, B., Stone, P. and Hewett, N. (2021) 'Barriers and facilitators to accessing health and social care services for people living in homeless hostels: a qualitative study of the experiences of hostel staff and residents in UK hostels', </w:t>
      </w:r>
      <w:r w:rsidRPr="00457F66">
        <w:rPr>
          <w:rStyle w:val="Emphasis"/>
          <w:rFonts w:ascii="Arial" w:hAnsi="Arial" w:cs="Arial"/>
          <w:sz w:val="22"/>
          <w:szCs w:val="22"/>
        </w:rPr>
        <w:t>BMJ Open</w:t>
      </w:r>
      <w:r w:rsidRPr="00457F66">
        <w:rPr>
          <w:rFonts w:ascii="Arial" w:hAnsi="Arial" w:cs="Arial"/>
          <w:sz w:val="22"/>
          <w:szCs w:val="22"/>
        </w:rPr>
        <w:t>, 11(10), e053185.</w:t>
      </w:r>
    </w:p>
    <w:p w14:paraId="356DBF96"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Aveyard, H. (2019) </w:t>
      </w:r>
      <w:r w:rsidRPr="00457F66">
        <w:rPr>
          <w:rStyle w:val="Emphasis"/>
          <w:rFonts w:ascii="Arial" w:hAnsi="Arial" w:cs="Arial"/>
          <w:sz w:val="22"/>
          <w:szCs w:val="22"/>
        </w:rPr>
        <w:t>Doing a Literature Review in Health and Social Care</w:t>
      </w:r>
      <w:r w:rsidRPr="00457F66">
        <w:rPr>
          <w:rFonts w:ascii="Arial" w:hAnsi="Arial" w:cs="Arial"/>
          <w:sz w:val="22"/>
          <w:szCs w:val="22"/>
        </w:rPr>
        <w:t>. 4th edn. Maidenhead: Open University Press/McGraw-Hill.</w:t>
      </w:r>
    </w:p>
    <w:p w14:paraId="4E5BA63F"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Bambra, C., Riordan, R., Ford, J. and Matthews, F. (2020) 'The COVID-19 pandemic and health inequalities', </w:t>
      </w:r>
      <w:r w:rsidRPr="00457F66">
        <w:rPr>
          <w:rStyle w:val="Emphasis"/>
          <w:rFonts w:ascii="Arial" w:hAnsi="Arial" w:cs="Arial"/>
          <w:sz w:val="22"/>
          <w:szCs w:val="22"/>
        </w:rPr>
        <w:t>Journal of Epidemiology and Community Health</w:t>
      </w:r>
      <w:r w:rsidRPr="00457F66">
        <w:rPr>
          <w:rFonts w:ascii="Arial" w:hAnsi="Arial" w:cs="Arial"/>
          <w:sz w:val="22"/>
          <w:szCs w:val="22"/>
        </w:rPr>
        <w:t>, 74(11), pp. 964–968.</w:t>
      </w:r>
    </w:p>
    <w:p w14:paraId="75744DC3" w14:textId="7E70F7EA" w:rsidR="000B326A" w:rsidRPr="00457F66" w:rsidRDefault="000B326A"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Baxter, A.J., Tweed, E.J., Katikireddi, S.V. and Thomson, H. (2019) 'Effects of Housing First approaches on health and well-being of adults who are homeless or at risk of homelessness: systematic review and meta-analysis of randomised controlled trials', </w:t>
      </w:r>
      <w:r w:rsidRPr="00457F66">
        <w:rPr>
          <w:rFonts w:ascii="Arial" w:hAnsi="Arial" w:cs="Arial"/>
          <w:i/>
          <w:iCs/>
          <w:sz w:val="22"/>
          <w:szCs w:val="22"/>
        </w:rPr>
        <w:t>Journal of Epidemiology and Community Health</w:t>
      </w:r>
      <w:r w:rsidRPr="00457F66">
        <w:rPr>
          <w:rFonts w:ascii="Arial" w:hAnsi="Arial" w:cs="Arial"/>
          <w:sz w:val="22"/>
          <w:szCs w:val="22"/>
        </w:rPr>
        <w:t>, 73(5), pp. 379–387.</w:t>
      </w:r>
    </w:p>
    <w:p w14:paraId="2D05A70A" w14:textId="4AAD4D1E"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Bevan, C. (2022) 'The Homelessness Reduction Act 2017: furthering not fracturing marginalisation of those experiencing homelessness', </w:t>
      </w:r>
      <w:r w:rsidRPr="00457F66">
        <w:rPr>
          <w:rStyle w:val="Emphasis"/>
          <w:rFonts w:ascii="Arial" w:hAnsi="Arial" w:cs="Arial"/>
          <w:sz w:val="22"/>
          <w:szCs w:val="22"/>
        </w:rPr>
        <w:t>International Journal of Law in Context</w:t>
      </w:r>
      <w:r w:rsidRPr="00457F66">
        <w:rPr>
          <w:rFonts w:ascii="Arial" w:hAnsi="Arial" w:cs="Arial"/>
          <w:sz w:val="22"/>
          <w:szCs w:val="22"/>
        </w:rPr>
        <w:t>, 18(1), pp. 41–54.</w:t>
      </w:r>
    </w:p>
    <w:p w14:paraId="4CE5F08A"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Booth, A., Sutton, A. and Papaioannou, D. (2016) </w:t>
      </w:r>
      <w:r w:rsidRPr="00457F66">
        <w:rPr>
          <w:rStyle w:val="Emphasis"/>
          <w:rFonts w:ascii="Arial" w:hAnsi="Arial" w:cs="Arial"/>
          <w:sz w:val="22"/>
          <w:szCs w:val="22"/>
        </w:rPr>
        <w:t>Systematic Approaches to a Successful Literature Review</w:t>
      </w:r>
      <w:r w:rsidRPr="00457F66">
        <w:rPr>
          <w:rFonts w:ascii="Arial" w:hAnsi="Arial" w:cs="Arial"/>
          <w:sz w:val="22"/>
          <w:szCs w:val="22"/>
        </w:rPr>
        <w:t>. 2nd edn. London: SAGE.</w:t>
      </w:r>
    </w:p>
    <w:p w14:paraId="2C49CA0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Bramley, G. (2017) </w:t>
      </w:r>
      <w:r w:rsidRPr="00457F66">
        <w:rPr>
          <w:rStyle w:val="Emphasis"/>
          <w:rFonts w:ascii="Arial" w:hAnsi="Arial" w:cs="Arial"/>
          <w:sz w:val="22"/>
          <w:szCs w:val="22"/>
        </w:rPr>
        <w:t>Homelessness Projections: Core Homelessness in Great Britain. Summary Report</w:t>
      </w:r>
      <w:r w:rsidRPr="00457F66">
        <w:rPr>
          <w:rFonts w:ascii="Arial" w:hAnsi="Arial" w:cs="Arial"/>
          <w:sz w:val="22"/>
          <w:szCs w:val="22"/>
        </w:rPr>
        <w:t xml:space="preserve">. London: Crisis. Available at: </w:t>
      </w:r>
      <w:hyperlink r:id="rId11" w:history="1">
        <w:r w:rsidRPr="00457F66">
          <w:rPr>
            <w:rStyle w:val="Hyperlink"/>
            <w:rFonts w:ascii="Arial" w:hAnsi="Arial" w:cs="Arial"/>
            <w:sz w:val="22"/>
            <w:szCs w:val="22"/>
          </w:rPr>
          <w:t>https://www.crisis.org.uk/media/237582/crisis_homelessness_projections_2017.pdf</w:t>
        </w:r>
      </w:hyperlink>
      <w:r w:rsidRPr="00457F66">
        <w:rPr>
          <w:rFonts w:ascii="Arial" w:hAnsi="Arial" w:cs="Arial"/>
          <w:sz w:val="22"/>
          <w:szCs w:val="22"/>
        </w:rPr>
        <w:t xml:space="preserve"> (Accessed: 10 July 2026).</w:t>
      </w:r>
    </w:p>
    <w:p w14:paraId="25D85DF7"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Bramley, G. and Fitzpatrick, S. (2018) 'Homelessness in the UK: who is most at risk?', </w:t>
      </w:r>
      <w:r w:rsidRPr="00457F66">
        <w:rPr>
          <w:rStyle w:val="Emphasis"/>
          <w:rFonts w:ascii="Arial" w:hAnsi="Arial" w:cs="Arial"/>
          <w:sz w:val="22"/>
          <w:szCs w:val="22"/>
        </w:rPr>
        <w:t>Housing Studies</w:t>
      </w:r>
      <w:r w:rsidRPr="00457F66">
        <w:rPr>
          <w:rFonts w:ascii="Arial" w:hAnsi="Arial" w:cs="Arial"/>
          <w:sz w:val="22"/>
          <w:szCs w:val="22"/>
        </w:rPr>
        <w:t>, 33(1), pp. 96–116.</w:t>
      </w:r>
    </w:p>
    <w:p w14:paraId="6E1A5769" w14:textId="05624BBE" w:rsidR="000B326A" w:rsidRPr="00457F66" w:rsidRDefault="000B326A"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Braun, V. and Clarke, V. (2006) 'Using thematic analysis in psychology', </w:t>
      </w:r>
      <w:r w:rsidRPr="00457F66">
        <w:rPr>
          <w:rFonts w:ascii="Arial" w:hAnsi="Arial" w:cs="Arial"/>
          <w:i/>
          <w:iCs/>
          <w:sz w:val="22"/>
          <w:szCs w:val="22"/>
        </w:rPr>
        <w:t>Qualitative Research in Psychology</w:t>
      </w:r>
      <w:r w:rsidRPr="00457F66">
        <w:rPr>
          <w:rFonts w:ascii="Arial" w:hAnsi="Arial" w:cs="Arial"/>
          <w:sz w:val="22"/>
          <w:szCs w:val="22"/>
        </w:rPr>
        <w:t>, 3(2), pp. 77–101.</w:t>
      </w:r>
    </w:p>
    <w:p w14:paraId="02936FF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Care Quality Commission (2023) </w:t>
      </w:r>
      <w:r w:rsidRPr="00457F66">
        <w:rPr>
          <w:rStyle w:val="Emphasis"/>
          <w:rFonts w:ascii="Arial" w:hAnsi="Arial" w:cs="Arial"/>
          <w:sz w:val="22"/>
          <w:szCs w:val="22"/>
        </w:rPr>
        <w:t xml:space="preserve">GP </w:t>
      </w:r>
      <w:proofErr w:type="spellStart"/>
      <w:r w:rsidRPr="00457F66">
        <w:rPr>
          <w:rStyle w:val="Emphasis"/>
          <w:rFonts w:ascii="Arial" w:hAnsi="Arial" w:cs="Arial"/>
          <w:sz w:val="22"/>
          <w:szCs w:val="22"/>
        </w:rPr>
        <w:t>Mythbuster</w:t>
      </w:r>
      <w:proofErr w:type="spellEnd"/>
      <w:r w:rsidRPr="00457F66">
        <w:rPr>
          <w:rStyle w:val="Emphasis"/>
          <w:rFonts w:ascii="Arial" w:hAnsi="Arial" w:cs="Arial"/>
          <w:sz w:val="22"/>
          <w:szCs w:val="22"/>
        </w:rPr>
        <w:t xml:space="preserve"> 29: Looking After Homeless Patients in General Practice</w:t>
      </w:r>
      <w:r w:rsidRPr="00457F66">
        <w:rPr>
          <w:rFonts w:ascii="Arial" w:hAnsi="Arial" w:cs="Arial"/>
          <w:sz w:val="22"/>
          <w:szCs w:val="22"/>
        </w:rPr>
        <w:t xml:space="preserve">. Newcastle upon Tyne: CQC. Available at: </w:t>
      </w:r>
      <w:hyperlink r:id="rId12" w:history="1">
        <w:r w:rsidRPr="00457F66">
          <w:rPr>
            <w:rStyle w:val="Hyperlink"/>
            <w:rFonts w:ascii="Arial" w:hAnsi="Arial" w:cs="Arial"/>
            <w:sz w:val="22"/>
            <w:szCs w:val="22"/>
          </w:rPr>
          <w:t>https://www.cqc.org.uk/guidance-providers/gps/gp-mythbusters/gp-mythbuster-29-looking-after-homeless-patients-general-practice</w:t>
        </w:r>
      </w:hyperlink>
      <w:r w:rsidRPr="00457F66">
        <w:rPr>
          <w:rFonts w:ascii="Arial" w:hAnsi="Arial" w:cs="Arial"/>
          <w:sz w:val="22"/>
          <w:szCs w:val="22"/>
        </w:rPr>
        <w:t xml:space="preserve"> (Accessed: 10 July 2026).</w:t>
      </w:r>
    </w:p>
    <w:p w14:paraId="6D3BFED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CASP (2018) </w:t>
      </w:r>
      <w:r w:rsidRPr="00457F66">
        <w:rPr>
          <w:rStyle w:val="Emphasis"/>
          <w:rFonts w:ascii="Arial" w:hAnsi="Arial" w:cs="Arial"/>
          <w:sz w:val="22"/>
          <w:szCs w:val="22"/>
        </w:rPr>
        <w:t>CASP Qualitative Studies Checklist</w:t>
      </w:r>
      <w:r w:rsidRPr="00457F66">
        <w:rPr>
          <w:rFonts w:ascii="Arial" w:hAnsi="Arial" w:cs="Arial"/>
          <w:sz w:val="22"/>
          <w:szCs w:val="22"/>
        </w:rPr>
        <w:t xml:space="preserve">. Oxford: Critical Appraisal Skills Programme. Available at: </w:t>
      </w:r>
      <w:hyperlink r:id="rId13" w:history="1">
        <w:r w:rsidRPr="00457F66">
          <w:rPr>
            <w:rStyle w:val="Hyperlink"/>
            <w:rFonts w:ascii="Arial" w:hAnsi="Arial" w:cs="Arial"/>
            <w:sz w:val="22"/>
            <w:szCs w:val="22"/>
          </w:rPr>
          <w:t>https://casp-uk.net/casp-tools-checklists/</w:t>
        </w:r>
      </w:hyperlink>
      <w:r w:rsidRPr="00457F66">
        <w:rPr>
          <w:rFonts w:ascii="Arial" w:hAnsi="Arial" w:cs="Arial"/>
          <w:sz w:val="22"/>
          <w:szCs w:val="22"/>
        </w:rPr>
        <w:t xml:space="preserve"> (Accessed: 10 July 2026).</w:t>
      </w:r>
    </w:p>
    <w:p w14:paraId="31AC9EAE"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CFE Research and Moreton, R. et al. (2019) </w:t>
      </w:r>
      <w:r w:rsidRPr="00457F66">
        <w:rPr>
          <w:rStyle w:val="Emphasis"/>
          <w:rFonts w:ascii="Arial" w:hAnsi="Arial" w:cs="Arial"/>
          <w:sz w:val="22"/>
          <w:szCs w:val="22"/>
        </w:rPr>
        <w:t>Evaluation of Housing First England: Final Report</w:t>
      </w:r>
      <w:r w:rsidRPr="00457F66">
        <w:rPr>
          <w:rFonts w:ascii="Arial" w:hAnsi="Arial" w:cs="Arial"/>
          <w:sz w:val="22"/>
          <w:szCs w:val="22"/>
        </w:rPr>
        <w:t xml:space="preserve">. Leicester and London: CFE Research and Homeless Link. Available at: </w:t>
      </w:r>
      <w:hyperlink r:id="rId14" w:history="1">
        <w:r w:rsidRPr="00457F66">
          <w:rPr>
            <w:rStyle w:val="Hyperlink"/>
            <w:rFonts w:ascii="Arial" w:hAnsi="Arial" w:cs="Arial"/>
            <w:sz w:val="22"/>
            <w:szCs w:val="22"/>
          </w:rPr>
          <w:t>https://www.homeless.org.uk</w:t>
        </w:r>
      </w:hyperlink>
      <w:r w:rsidRPr="00457F66">
        <w:rPr>
          <w:rFonts w:ascii="Arial" w:hAnsi="Arial" w:cs="Arial"/>
          <w:sz w:val="22"/>
          <w:szCs w:val="22"/>
        </w:rPr>
        <w:t xml:space="preserve"> (Accessed: 10 July 2026).</w:t>
      </w:r>
    </w:p>
    <w:p w14:paraId="46504D81"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Crane, M., Joly, L., Daly, B.J.M. et al. (2024) 'Primary health care for people experiencing homelessness: the effectiveness of specialist and mainstream health service provision', </w:t>
      </w:r>
      <w:r w:rsidRPr="00457F66">
        <w:rPr>
          <w:rStyle w:val="Emphasis"/>
          <w:rFonts w:ascii="Arial" w:hAnsi="Arial" w:cs="Arial"/>
          <w:sz w:val="22"/>
          <w:szCs w:val="22"/>
        </w:rPr>
        <w:t>British Journal of General Practice</w:t>
      </w:r>
      <w:r w:rsidRPr="00457F66">
        <w:rPr>
          <w:rFonts w:ascii="Arial" w:hAnsi="Arial" w:cs="Arial"/>
          <w:sz w:val="22"/>
          <w:szCs w:val="22"/>
        </w:rPr>
        <w:t>, 74(749), pp. e568–e575.</w:t>
      </w:r>
    </w:p>
    <w:p w14:paraId="2F8EBF2C"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Creswell, J.W. and Creswell, J.D. (2018) </w:t>
      </w:r>
      <w:r w:rsidRPr="00457F66">
        <w:rPr>
          <w:rStyle w:val="Emphasis"/>
          <w:rFonts w:ascii="Arial" w:hAnsi="Arial" w:cs="Arial"/>
          <w:sz w:val="22"/>
          <w:szCs w:val="22"/>
        </w:rPr>
        <w:t>Research Design: Qualitative, Quantitative, and Mixed Methods Approaches</w:t>
      </w:r>
      <w:r w:rsidRPr="00457F66">
        <w:rPr>
          <w:rFonts w:ascii="Arial" w:hAnsi="Arial" w:cs="Arial"/>
          <w:sz w:val="22"/>
          <w:szCs w:val="22"/>
        </w:rPr>
        <w:t>. 5th edn. Los Angeles: SAGE.</w:t>
      </w:r>
    </w:p>
    <w:p w14:paraId="1248D3DA"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Dahlgren, G. and Whitehead, M. (1991) </w:t>
      </w:r>
      <w:r w:rsidRPr="00457F66">
        <w:rPr>
          <w:rStyle w:val="Emphasis"/>
          <w:rFonts w:ascii="Arial" w:hAnsi="Arial" w:cs="Arial"/>
          <w:sz w:val="22"/>
          <w:szCs w:val="22"/>
        </w:rPr>
        <w:t>Policies and Strategies to Promote Social Equity in Health</w:t>
      </w:r>
      <w:r w:rsidRPr="00457F66">
        <w:rPr>
          <w:rFonts w:ascii="Arial" w:hAnsi="Arial" w:cs="Arial"/>
          <w:sz w:val="22"/>
          <w:szCs w:val="22"/>
        </w:rPr>
        <w:t>. Stockholm: Institute for Futures Studies.</w:t>
      </w:r>
    </w:p>
    <w:p w14:paraId="44FD0CF7"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Department of Health (2010) </w:t>
      </w:r>
      <w:r w:rsidRPr="00457F66">
        <w:rPr>
          <w:rStyle w:val="Emphasis"/>
          <w:rFonts w:ascii="Arial" w:hAnsi="Arial" w:cs="Arial"/>
          <w:sz w:val="22"/>
          <w:szCs w:val="22"/>
        </w:rPr>
        <w:t>Healthcare for Single Homeless People</w:t>
      </w:r>
      <w:r w:rsidRPr="00457F66">
        <w:rPr>
          <w:rFonts w:ascii="Arial" w:hAnsi="Arial" w:cs="Arial"/>
          <w:sz w:val="22"/>
          <w:szCs w:val="22"/>
        </w:rPr>
        <w:t>. London: Department of Health.</w:t>
      </w:r>
    </w:p>
    <w:p w14:paraId="3AE72916"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Dixon-Woods, M., Agarwal, S., Jones, D., Young, B. and Sutton, A. (2005) 'Synthesising qualitative and quantitative evidence: a review of possible methods', </w:t>
      </w:r>
      <w:r w:rsidRPr="00457F66">
        <w:rPr>
          <w:rStyle w:val="Emphasis"/>
          <w:rFonts w:ascii="Arial" w:hAnsi="Arial" w:cs="Arial"/>
          <w:sz w:val="22"/>
          <w:szCs w:val="22"/>
        </w:rPr>
        <w:t>Journal of Health Services Research and Policy</w:t>
      </w:r>
      <w:r w:rsidRPr="00457F66">
        <w:rPr>
          <w:rFonts w:ascii="Arial" w:hAnsi="Arial" w:cs="Arial"/>
          <w:sz w:val="22"/>
          <w:szCs w:val="22"/>
        </w:rPr>
        <w:t>, 10(1), pp. 45–53.</w:t>
      </w:r>
    </w:p>
    <w:p w14:paraId="51200429"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Elwell-Sutton, T., Fok, J., Albanese, F., Mathie, H. and Holland, R. (2017) 'Factors associated with access to care and healthcare utilization in the homeless population of England', </w:t>
      </w:r>
      <w:r w:rsidRPr="00457F66">
        <w:rPr>
          <w:rStyle w:val="Emphasis"/>
          <w:rFonts w:ascii="Arial" w:hAnsi="Arial" w:cs="Arial"/>
          <w:sz w:val="22"/>
          <w:szCs w:val="22"/>
        </w:rPr>
        <w:t>Journal of Public Health</w:t>
      </w:r>
      <w:r w:rsidRPr="00457F66">
        <w:rPr>
          <w:rFonts w:ascii="Arial" w:hAnsi="Arial" w:cs="Arial"/>
          <w:sz w:val="22"/>
          <w:szCs w:val="22"/>
        </w:rPr>
        <w:t>, 39(1), pp. 26–33.</w:t>
      </w:r>
    </w:p>
    <w:p w14:paraId="384AF7B7"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Fitzpatrick, S., Bramley, G. and Johnsen, S. (2013) 'Pathways into multiple exclusion homelessness in seven UK cities', </w:t>
      </w:r>
      <w:r w:rsidRPr="00457F66">
        <w:rPr>
          <w:rStyle w:val="Emphasis"/>
          <w:rFonts w:ascii="Arial" w:hAnsi="Arial" w:cs="Arial"/>
          <w:sz w:val="22"/>
          <w:szCs w:val="22"/>
        </w:rPr>
        <w:t>Urban Studies</w:t>
      </w:r>
      <w:r w:rsidRPr="00457F66">
        <w:rPr>
          <w:rFonts w:ascii="Arial" w:hAnsi="Arial" w:cs="Arial"/>
          <w:sz w:val="22"/>
          <w:szCs w:val="22"/>
        </w:rPr>
        <w:t>, 50(1), pp. 148–168.</w:t>
      </w:r>
    </w:p>
    <w:p w14:paraId="2F0DF9C1" w14:textId="7CAB43BB"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Fitzpatrick, S., Pawson, H., Bramley, G., Wood, J., Watts, B., Stephens, M. and Blenkinsopp, J. (2019) </w:t>
      </w:r>
      <w:r w:rsidRPr="00457F66">
        <w:rPr>
          <w:rStyle w:val="Emphasis"/>
          <w:rFonts w:ascii="Arial" w:hAnsi="Arial" w:cs="Arial"/>
          <w:sz w:val="22"/>
          <w:szCs w:val="22"/>
        </w:rPr>
        <w:t>The Homelessness Monitor: England 2019</w:t>
      </w:r>
      <w:r w:rsidRPr="00457F66">
        <w:rPr>
          <w:rFonts w:ascii="Arial" w:hAnsi="Arial" w:cs="Arial"/>
          <w:sz w:val="22"/>
          <w:szCs w:val="22"/>
        </w:rPr>
        <w:t xml:space="preserve">. London: Crisis. Available at: </w:t>
      </w:r>
      <w:hyperlink r:id="rId15" w:history="1">
        <w:r w:rsidRPr="00457F66">
          <w:rPr>
            <w:rStyle w:val="Hyperlink"/>
            <w:rFonts w:ascii="Arial" w:hAnsi="Arial" w:cs="Arial"/>
            <w:sz w:val="22"/>
            <w:szCs w:val="22"/>
          </w:rPr>
          <w:t>https://www.crisis.org.uk/media/240419/the_homelessness_monitor_england_2019.pdf</w:t>
        </w:r>
      </w:hyperlink>
      <w:r w:rsidRPr="00457F66">
        <w:rPr>
          <w:rFonts w:ascii="Arial" w:hAnsi="Arial" w:cs="Arial"/>
          <w:sz w:val="22"/>
          <w:szCs w:val="22"/>
        </w:rPr>
        <w:t xml:space="preserve"> (Accessed: </w:t>
      </w:r>
      <w:r w:rsidR="00077402" w:rsidRPr="00457F66">
        <w:rPr>
          <w:rFonts w:ascii="Arial" w:hAnsi="Arial" w:cs="Arial"/>
          <w:sz w:val="22"/>
          <w:szCs w:val="22"/>
        </w:rPr>
        <w:t>25 July</w:t>
      </w:r>
      <w:r w:rsidRPr="00457F66">
        <w:rPr>
          <w:rFonts w:ascii="Arial" w:hAnsi="Arial" w:cs="Arial"/>
          <w:sz w:val="22"/>
          <w:szCs w:val="22"/>
        </w:rPr>
        <w:t xml:space="preserve"> 2026).</w:t>
      </w:r>
    </w:p>
    <w:p w14:paraId="120544F5" w14:textId="5765990D" w:rsidR="000B326A" w:rsidRPr="00457F66" w:rsidRDefault="000B326A"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Forrest, M.E. (2018) 'On becoming a critically reflective practitioner redux: a systematic literature review', </w:t>
      </w:r>
      <w:r w:rsidRPr="00457F66">
        <w:rPr>
          <w:rFonts w:ascii="Arial" w:hAnsi="Arial" w:cs="Arial"/>
          <w:i/>
          <w:iCs/>
          <w:sz w:val="22"/>
          <w:szCs w:val="22"/>
        </w:rPr>
        <w:t>Health Information and Libraries Journal</w:t>
      </w:r>
      <w:r w:rsidRPr="00457F66">
        <w:rPr>
          <w:rFonts w:ascii="Arial" w:hAnsi="Arial" w:cs="Arial"/>
          <w:sz w:val="22"/>
          <w:szCs w:val="22"/>
        </w:rPr>
        <w:t>, 35(2), pp. 108–119.</w:t>
      </w:r>
    </w:p>
    <w:p w14:paraId="2AC992D3" w14:textId="5E9B6708" w:rsidR="000B326A" w:rsidRPr="00457F66" w:rsidRDefault="000B326A"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Gibbs, G. (1988) </w:t>
      </w:r>
      <w:r w:rsidRPr="00457F66">
        <w:rPr>
          <w:rFonts w:ascii="Arial" w:hAnsi="Arial" w:cs="Arial"/>
          <w:i/>
          <w:iCs/>
          <w:sz w:val="22"/>
          <w:szCs w:val="22"/>
        </w:rPr>
        <w:t>Learning by Doing: A Guide to Teaching and Learning Methods</w:t>
      </w:r>
      <w:r w:rsidRPr="00457F66">
        <w:rPr>
          <w:rFonts w:ascii="Arial" w:hAnsi="Arial" w:cs="Arial"/>
          <w:sz w:val="22"/>
          <w:szCs w:val="22"/>
        </w:rPr>
        <w:t>. Oxford: Further Education Unit, Oxford Polytechnic.</w:t>
      </w:r>
    </w:p>
    <w:p w14:paraId="3333594D" w14:textId="77B3A850"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Good Things Foundation (2021) </w:t>
      </w:r>
      <w:r w:rsidRPr="00457F66">
        <w:rPr>
          <w:rStyle w:val="Emphasis"/>
          <w:rFonts w:ascii="Arial" w:hAnsi="Arial" w:cs="Arial"/>
          <w:sz w:val="22"/>
          <w:szCs w:val="22"/>
        </w:rPr>
        <w:t>A Blueprint to Fix the Digital Divide</w:t>
      </w:r>
      <w:r w:rsidRPr="00457F66">
        <w:rPr>
          <w:rFonts w:ascii="Arial" w:hAnsi="Arial" w:cs="Arial"/>
          <w:sz w:val="22"/>
          <w:szCs w:val="22"/>
        </w:rPr>
        <w:t xml:space="preserve">. Sheffield: Good Things Foundation. Available at: </w:t>
      </w:r>
      <w:hyperlink r:id="rId16" w:history="1">
        <w:r w:rsidRPr="00457F66">
          <w:rPr>
            <w:rStyle w:val="Hyperlink"/>
            <w:rFonts w:ascii="Arial" w:hAnsi="Arial" w:cs="Arial"/>
            <w:sz w:val="22"/>
            <w:szCs w:val="22"/>
          </w:rPr>
          <w:t>https://www.goodthingsfoundation.org/dam/jcr:d3098155-60e6-4531-ae59-4fe7109f5861/GoodThings_BlueprintForDigitalDivide_2021.pdf</w:t>
        </w:r>
      </w:hyperlink>
      <w:r w:rsidRPr="00457F66">
        <w:rPr>
          <w:rFonts w:ascii="Arial" w:hAnsi="Arial" w:cs="Arial"/>
          <w:sz w:val="22"/>
          <w:szCs w:val="22"/>
        </w:rPr>
        <w:t xml:space="preserve"> (Accessed: </w:t>
      </w:r>
      <w:r w:rsidR="00077402" w:rsidRPr="00457F66">
        <w:rPr>
          <w:rFonts w:ascii="Arial" w:hAnsi="Arial" w:cs="Arial"/>
          <w:sz w:val="22"/>
          <w:szCs w:val="22"/>
        </w:rPr>
        <w:t>27 July</w:t>
      </w:r>
      <w:r w:rsidRPr="00457F66">
        <w:rPr>
          <w:rFonts w:ascii="Arial" w:hAnsi="Arial" w:cs="Arial"/>
          <w:sz w:val="22"/>
          <w:szCs w:val="22"/>
        </w:rPr>
        <w:t xml:space="preserve"> 2026).</w:t>
      </w:r>
    </w:p>
    <w:p w14:paraId="53F5ADB9"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Gough, D., Oliver, S. and Thomas, J. (2017) </w:t>
      </w:r>
      <w:r w:rsidRPr="00457F66">
        <w:rPr>
          <w:rStyle w:val="Emphasis"/>
          <w:rFonts w:ascii="Arial" w:hAnsi="Arial" w:cs="Arial"/>
          <w:sz w:val="22"/>
          <w:szCs w:val="22"/>
        </w:rPr>
        <w:t>An Introduction to Systematic Reviews</w:t>
      </w:r>
      <w:r w:rsidRPr="00457F66">
        <w:rPr>
          <w:rFonts w:ascii="Arial" w:hAnsi="Arial" w:cs="Arial"/>
          <w:sz w:val="22"/>
          <w:szCs w:val="22"/>
        </w:rPr>
        <w:t>. 2nd edn. London: SAGE.</w:t>
      </w:r>
    </w:p>
    <w:p w14:paraId="5DAF005E"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Guise, A., McCusker, M., Adams, J., </w:t>
      </w:r>
      <w:proofErr w:type="spellStart"/>
      <w:r w:rsidRPr="00457F66">
        <w:rPr>
          <w:rFonts w:ascii="Arial" w:hAnsi="Arial" w:cs="Arial"/>
          <w:sz w:val="22"/>
          <w:szCs w:val="22"/>
        </w:rPr>
        <w:t>Újhadbor</w:t>
      </w:r>
      <w:proofErr w:type="spellEnd"/>
      <w:r w:rsidRPr="00457F66">
        <w:rPr>
          <w:rFonts w:ascii="Arial" w:hAnsi="Arial" w:cs="Arial"/>
          <w:sz w:val="22"/>
          <w:szCs w:val="22"/>
        </w:rPr>
        <w:t xml:space="preserve">, R., Helleren, S., Mazhari, T., Elton, L., Rathod, S.D. and Platt, L. (2025) 'Experiences of stigma and discrimination among people experiencing homelessness: a cross-sectional pilot survey in South London, UK', </w:t>
      </w:r>
      <w:r w:rsidRPr="00457F66">
        <w:rPr>
          <w:rStyle w:val="Emphasis"/>
          <w:rFonts w:ascii="Arial" w:hAnsi="Arial" w:cs="Arial"/>
          <w:sz w:val="22"/>
          <w:szCs w:val="22"/>
        </w:rPr>
        <w:t>BMJ Open</w:t>
      </w:r>
      <w:r w:rsidRPr="00457F66">
        <w:rPr>
          <w:rFonts w:ascii="Arial" w:hAnsi="Arial" w:cs="Arial"/>
          <w:sz w:val="22"/>
          <w:szCs w:val="22"/>
        </w:rPr>
        <w:t>, 15(10), e103529.</w:t>
      </w:r>
    </w:p>
    <w:p w14:paraId="1DADF9A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Gunner, E., Chandan, S.K., Marwick, S., Saunders, K., Burwood, S., </w:t>
      </w:r>
      <w:proofErr w:type="spellStart"/>
      <w:r w:rsidRPr="00457F66">
        <w:rPr>
          <w:rFonts w:ascii="Arial" w:hAnsi="Arial" w:cs="Arial"/>
          <w:sz w:val="22"/>
          <w:szCs w:val="22"/>
        </w:rPr>
        <w:t>Yahyouche</w:t>
      </w:r>
      <w:proofErr w:type="spellEnd"/>
      <w:r w:rsidRPr="00457F66">
        <w:rPr>
          <w:rFonts w:ascii="Arial" w:hAnsi="Arial" w:cs="Arial"/>
          <w:sz w:val="22"/>
          <w:szCs w:val="22"/>
        </w:rPr>
        <w:t xml:space="preserve">, A. and Paudyal, V. (2019) 'Provision and accessibility of primary healthcare services for people who are homeless: a qualitative study of patient perspectives in the UK', </w:t>
      </w:r>
      <w:r w:rsidRPr="00457F66">
        <w:rPr>
          <w:rStyle w:val="Emphasis"/>
          <w:rFonts w:ascii="Arial" w:hAnsi="Arial" w:cs="Arial"/>
          <w:sz w:val="22"/>
          <w:szCs w:val="22"/>
        </w:rPr>
        <w:t>British Journal of General Practice</w:t>
      </w:r>
      <w:r w:rsidRPr="00457F66">
        <w:rPr>
          <w:rFonts w:ascii="Arial" w:hAnsi="Arial" w:cs="Arial"/>
          <w:sz w:val="22"/>
          <w:szCs w:val="22"/>
        </w:rPr>
        <w:t>, 69(685), pp. e526–e536.</w:t>
      </w:r>
    </w:p>
    <w:p w14:paraId="364F5DE6"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Gutwinski, S., Schreiter, S., Deutscher, K. and Fazel, S. (2021) 'The prevalence of mental disorders among homeless people in high-income countries: an updated systematic review and meta-regression analysis', </w:t>
      </w:r>
      <w:r w:rsidRPr="00457F66">
        <w:rPr>
          <w:rStyle w:val="Emphasis"/>
          <w:rFonts w:ascii="Arial" w:hAnsi="Arial" w:cs="Arial"/>
          <w:sz w:val="22"/>
          <w:szCs w:val="22"/>
        </w:rPr>
        <w:t>PLoS Medicine</w:t>
      </w:r>
      <w:r w:rsidRPr="00457F66">
        <w:rPr>
          <w:rFonts w:ascii="Arial" w:hAnsi="Arial" w:cs="Arial"/>
          <w:sz w:val="22"/>
          <w:szCs w:val="22"/>
        </w:rPr>
        <w:t>, 18(8), e1003750.</w:t>
      </w:r>
    </w:p>
    <w:p w14:paraId="210BFDB3"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Hodson, N., Ford, E. and Cooper, M. (2019) 'Adherence to guidelines on documentation required for registration to London GP practice websites: a mixed-methods cross-sectional study', </w:t>
      </w:r>
      <w:r w:rsidRPr="00457F66">
        <w:rPr>
          <w:rStyle w:val="Emphasis"/>
          <w:rFonts w:ascii="Arial" w:hAnsi="Arial" w:cs="Arial"/>
          <w:sz w:val="22"/>
          <w:szCs w:val="22"/>
        </w:rPr>
        <w:t>British Journal of General Practice</w:t>
      </w:r>
      <w:r w:rsidRPr="00457F66">
        <w:rPr>
          <w:rFonts w:ascii="Arial" w:hAnsi="Arial" w:cs="Arial"/>
          <w:sz w:val="22"/>
          <w:szCs w:val="22"/>
        </w:rPr>
        <w:t>, 69(687), pp. e731–e739.</w:t>
      </w:r>
    </w:p>
    <w:p w14:paraId="64108DD9" w14:textId="1E3635AF"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Homeless Link (2022) </w:t>
      </w:r>
      <w:r w:rsidRPr="00457F66">
        <w:rPr>
          <w:rStyle w:val="Emphasis"/>
          <w:rFonts w:ascii="Arial" w:hAnsi="Arial" w:cs="Arial"/>
          <w:sz w:val="22"/>
          <w:szCs w:val="22"/>
        </w:rPr>
        <w:t>The Unhealthy State of Homelessness 2022: Findings from the Homeless Health Needs Audit</w:t>
      </w:r>
      <w:r w:rsidRPr="00457F66">
        <w:rPr>
          <w:rFonts w:ascii="Arial" w:hAnsi="Arial" w:cs="Arial"/>
          <w:sz w:val="22"/>
          <w:szCs w:val="22"/>
        </w:rPr>
        <w:t xml:space="preserve">. London: Homeless Link. Available at: </w:t>
      </w:r>
      <w:hyperlink r:id="rId17" w:history="1">
        <w:r w:rsidRPr="00457F66">
          <w:rPr>
            <w:rStyle w:val="Hyperlink"/>
            <w:rFonts w:ascii="Arial" w:hAnsi="Arial" w:cs="Arial"/>
            <w:sz w:val="22"/>
            <w:szCs w:val="22"/>
          </w:rPr>
          <w:t>https://homeless.org.uk/knowledge-hub/unhealthy-state-of-homelessness-2022-findings-from-the-homeless-health-needs-audit/</w:t>
        </w:r>
      </w:hyperlink>
      <w:r w:rsidRPr="00457F66">
        <w:rPr>
          <w:rFonts w:ascii="Arial" w:hAnsi="Arial" w:cs="Arial"/>
          <w:sz w:val="22"/>
          <w:szCs w:val="22"/>
        </w:rPr>
        <w:t xml:space="preserve"> (Accessed: </w:t>
      </w:r>
      <w:r w:rsidR="00077402" w:rsidRPr="00457F66">
        <w:rPr>
          <w:rFonts w:ascii="Arial" w:hAnsi="Arial" w:cs="Arial"/>
          <w:sz w:val="22"/>
          <w:szCs w:val="22"/>
        </w:rPr>
        <w:t>28</w:t>
      </w:r>
      <w:r w:rsidRPr="00457F66">
        <w:rPr>
          <w:rFonts w:ascii="Arial" w:hAnsi="Arial" w:cs="Arial"/>
          <w:sz w:val="22"/>
          <w:szCs w:val="22"/>
        </w:rPr>
        <w:t xml:space="preserve"> July 2026).</w:t>
      </w:r>
    </w:p>
    <w:p w14:paraId="6A1EA52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Homelessness Reduction Act (2017) c.13. London: HMSO.</w:t>
      </w:r>
    </w:p>
    <w:p w14:paraId="4CAA133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Housing Act (1996) c.52. London: HMSO.</w:t>
      </w:r>
    </w:p>
    <w:p w14:paraId="33B0F675"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Howard, A., Low, A. and Howard, N. (2025) 'Exploring ways to improve healthcare service access for people experiencing homelessness in Manchester, UK', </w:t>
      </w:r>
      <w:r w:rsidRPr="00457F66">
        <w:rPr>
          <w:rStyle w:val="Emphasis"/>
          <w:rFonts w:ascii="Arial" w:hAnsi="Arial" w:cs="Arial"/>
          <w:sz w:val="22"/>
          <w:szCs w:val="22"/>
        </w:rPr>
        <w:t>Health Promotion International</w:t>
      </w:r>
      <w:r w:rsidRPr="00457F66">
        <w:rPr>
          <w:rFonts w:ascii="Arial" w:hAnsi="Arial" w:cs="Arial"/>
          <w:sz w:val="22"/>
          <w:szCs w:val="22"/>
        </w:rPr>
        <w:t>, 40(4), daaf108.</w:t>
      </w:r>
    </w:p>
    <w:p w14:paraId="26EBC48A"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Howells, K., Amp, M., Burrows, M., Brown, J., Brennan, R., Dickinson, J., Jackson, S., Yeung, W-L., Ashcroft, D., Campbell, S., Blakeman, T. and Sanders, C. (2022) 'Remote primary care during the COVID-19 pandemic for people experiencing homelessness: a qualitative study', </w:t>
      </w:r>
      <w:r w:rsidRPr="00457F66">
        <w:rPr>
          <w:rStyle w:val="Emphasis"/>
          <w:rFonts w:ascii="Arial" w:hAnsi="Arial" w:cs="Arial"/>
          <w:sz w:val="22"/>
          <w:szCs w:val="22"/>
        </w:rPr>
        <w:t>British Journal of General Practice</w:t>
      </w:r>
      <w:r w:rsidRPr="00457F66">
        <w:rPr>
          <w:rFonts w:ascii="Arial" w:hAnsi="Arial" w:cs="Arial"/>
          <w:sz w:val="22"/>
          <w:szCs w:val="22"/>
        </w:rPr>
        <w:t>, 72(720), pp. e492–e500.</w:t>
      </w:r>
    </w:p>
    <w:p w14:paraId="3DDFBA66" w14:textId="6A32E22F"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Hwang, S.W. (2001) 'Homelessness and health', </w:t>
      </w:r>
      <w:r w:rsidRPr="00457F66">
        <w:rPr>
          <w:rStyle w:val="Emphasis"/>
          <w:rFonts w:ascii="Arial" w:hAnsi="Arial" w:cs="Arial"/>
          <w:sz w:val="22"/>
          <w:szCs w:val="22"/>
        </w:rPr>
        <w:t>Canadian Medical Association Journal</w:t>
      </w:r>
      <w:r w:rsidRPr="00457F66">
        <w:rPr>
          <w:rFonts w:ascii="Arial" w:hAnsi="Arial" w:cs="Arial"/>
          <w:sz w:val="22"/>
          <w:szCs w:val="22"/>
        </w:rPr>
        <w:t xml:space="preserve">, 164(2), pp. 229–233. Available at: </w:t>
      </w:r>
      <w:hyperlink r:id="rId18" w:history="1">
        <w:r w:rsidRPr="00457F66">
          <w:rPr>
            <w:rStyle w:val="Hyperlink"/>
            <w:rFonts w:ascii="Arial" w:hAnsi="Arial" w:cs="Arial"/>
            <w:sz w:val="22"/>
            <w:szCs w:val="22"/>
          </w:rPr>
          <w:t>https://www.cmaj.ca/content/164/2/229</w:t>
        </w:r>
      </w:hyperlink>
      <w:r w:rsidRPr="00457F66">
        <w:rPr>
          <w:rFonts w:ascii="Arial" w:hAnsi="Arial" w:cs="Arial"/>
          <w:sz w:val="22"/>
          <w:szCs w:val="22"/>
        </w:rPr>
        <w:t xml:space="preserve"> (Accessed: </w:t>
      </w:r>
      <w:r w:rsidR="00077402" w:rsidRPr="00457F66">
        <w:rPr>
          <w:rFonts w:ascii="Arial" w:hAnsi="Arial" w:cs="Arial"/>
          <w:sz w:val="22"/>
          <w:szCs w:val="22"/>
        </w:rPr>
        <w:t>22</w:t>
      </w:r>
      <w:r w:rsidRPr="00457F66">
        <w:rPr>
          <w:rFonts w:ascii="Arial" w:hAnsi="Arial" w:cs="Arial"/>
          <w:sz w:val="22"/>
          <w:szCs w:val="22"/>
        </w:rPr>
        <w:t xml:space="preserve"> July 2026).</w:t>
      </w:r>
    </w:p>
    <w:p w14:paraId="4AFEB3D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Hwang, S.W. and Burns, T. (2014) 'Health interventions for people who are homeless', </w:t>
      </w:r>
      <w:r w:rsidRPr="00457F66">
        <w:rPr>
          <w:rStyle w:val="Emphasis"/>
          <w:rFonts w:ascii="Arial" w:hAnsi="Arial" w:cs="Arial"/>
          <w:sz w:val="22"/>
          <w:szCs w:val="22"/>
        </w:rPr>
        <w:t>The Lancet</w:t>
      </w:r>
      <w:r w:rsidRPr="00457F66">
        <w:rPr>
          <w:rFonts w:ascii="Arial" w:hAnsi="Arial" w:cs="Arial"/>
          <w:sz w:val="22"/>
          <w:szCs w:val="22"/>
        </w:rPr>
        <w:t>, 384(9953), pp. 1541–1547.</w:t>
      </w:r>
    </w:p>
    <w:p w14:paraId="284648A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Khan, Z., Haine, P. and Dorney-Smith, S. (2019) 'Homeless medicine: the GP role in improving outcomes for homeless inpatients', </w:t>
      </w:r>
      <w:r w:rsidRPr="00457F66">
        <w:rPr>
          <w:rStyle w:val="Emphasis"/>
          <w:rFonts w:ascii="Arial" w:hAnsi="Arial" w:cs="Arial"/>
          <w:sz w:val="22"/>
          <w:szCs w:val="22"/>
        </w:rPr>
        <w:t>Housing, Care and Support</w:t>
      </w:r>
      <w:r w:rsidRPr="00457F66">
        <w:rPr>
          <w:rFonts w:ascii="Arial" w:hAnsi="Arial" w:cs="Arial"/>
          <w:sz w:val="22"/>
          <w:szCs w:val="22"/>
        </w:rPr>
        <w:t>, 22(1), pp. 15–26.</w:t>
      </w:r>
    </w:p>
    <w:p w14:paraId="2B5EDB35"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Levesque, J.-F., Harris, M.F. and Russell, G. (2013) 'Patient-centred access to health care: conceptualising access at the interface of health systems and populations', </w:t>
      </w:r>
      <w:r w:rsidRPr="00457F66">
        <w:rPr>
          <w:rStyle w:val="Emphasis"/>
          <w:rFonts w:ascii="Arial" w:hAnsi="Arial" w:cs="Arial"/>
          <w:sz w:val="22"/>
          <w:szCs w:val="22"/>
        </w:rPr>
        <w:t>International Journal for Equity in Health</w:t>
      </w:r>
      <w:r w:rsidRPr="00457F66">
        <w:rPr>
          <w:rFonts w:ascii="Arial" w:hAnsi="Arial" w:cs="Arial"/>
          <w:sz w:val="22"/>
          <w:szCs w:val="22"/>
        </w:rPr>
        <w:t>, 12, article 18.</w:t>
      </w:r>
    </w:p>
    <w:p w14:paraId="710C493B"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Lewer, D., Aldridge, R.W., Menezes, D., Sawyer, C., Zaninotto, P., </w:t>
      </w:r>
      <w:proofErr w:type="spellStart"/>
      <w:r w:rsidRPr="00457F66">
        <w:rPr>
          <w:rFonts w:ascii="Arial" w:hAnsi="Arial" w:cs="Arial"/>
          <w:sz w:val="22"/>
          <w:szCs w:val="22"/>
        </w:rPr>
        <w:t>Dedicoat</w:t>
      </w:r>
      <w:proofErr w:type="spellEnd"/>
      <w:r w:rsidRPr="00457F66">
        <w:rPr>
          <w:rFonts w:ascii="Arial" w:hAnsi="Arial" w:cs="Arial"/>
          <w:sz w:val="22"/>
          <w:szCs w:val="22"/>
        </w:rPr>
        <w:t xml:space="preserve">, M., Ahmed, I., </w:t>
      </w:r>
      <w:proofErr w:type="spellStart"/>
      <w:r w:rsidRPr="00457F66">
        <w:rPr>
          <w:rFonts w:ascii="Arial" w:hAnsi="Arial" w:cs="Arial"/>
          <w:sz w:val="22"/>
          <w:szCs w:val="22"/>
        </w:rPr>
        <w:t>Luchenski</w:t>
      </w:r>
      <w:proofErr w:type="spellEnd"/>
      <w:r w:rsidRPr="00457F66">
        <w:rPr>
          <w:rFonts w:ascii="Arial" w:hAnsi="Arial" w:cs="Arial"/>
          <w:sz w:val="22"/>
          <w:szCs w:val="22"/>
        </w:rPr>
        <w:t xml:space="preserve">, S., Hayward, A. and Story, A. (2019) 'Health-related quality of life and prevalence of six chronic diseases in homeless and housed people: a cross-sectional study in London and Birmingham, England', </w:t>
      </w:r>
      <w:r w:rsidRPr="00457F66">
        <w:rPr>
          <w:rStyle w:val="Emphasis"/>
          <w:rFonts w:ascii="Arial" w:hAnsi="Arial" w:cs="Arial"/>
          <w:sz w:val="22"/>
          <w:szCs w:val="22"/>
        </w:rPr>
        <w:t>BMJ Open</w:t>
      </w:r>
      <w:r w:rsidRPr="00457F66">
        <w:rPr>
          <w:rFonts w:ascii="Arial" w:hAnsi="Arial" w:cs="Arial"/>
          <w:sz w:val="22"/>
          <w:szCs w:val="22"/>
        </w:rPr>
        <w:t>, 9(4), e025192.</w:t>
      </w:r>
    </w:p>
    <w:p w14:paraId="7BEB62A9" w14:textId="29EEFEE3" w:rsidR="000B326A" w:rsidRPr="00457F66" w:rsidRDefault="000B326A"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Lewer, D., Braithwaite, I., Bullock, M., Eyre, M.T., White, P.J., Aldridge, R.W., Story, A. and Hayward, A.C. (2020) 'COVID-19 among people experiencing homelessness in England: a modelling study', </w:t>
      </w:r>
      <w:r w:rsidRPr="00457F66">
        <w:rPr>
          <w:rFonts w:ascii="Arial" w:hAnsi="Arial" w:cs="Arial"/>
          <w:i/>
          <w:iCs/>
          <w:sz w:val="22"/>
          <w:szCs w:val="22"/>
        </w:rPr>
        <w:t>The Lancet Respiratory Medicine</w:t>
      </w:r>
      <w:r w:rsidRPr="00457F66">
        <w:rPr>
          <w:rFonts w:ascii="Arial" w:hAnsi="Arial" w:cs="Arial"/>
          <w:sz w:val="22"/>
          <w:szCs w:val="22"/>
        </w:rPr>
        <w:t>, 8(12), pp. 1181–1191.</w:t>
      </w:r>
    </w:p>
    <w:p w14:paraId="2D862065"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Luchenski, S., Maguire, N., Aldridge, R.W., Hayward, A., Story, A., Perri, P., Withers, J., Clint, S., Fitzpatrick, S. and Hewett, N. (2018) 'What works in inclusion health: overview of effective interventions for marginalised and excluded populations', </w:t>
      </w:r>
      <w:r w:rsidRPr="00457F66">
        <w:rPr>
          <w:rStyle w:val="Emphasis"/>
          <w:rFonts w:ascii="Arial" w:hAnsi="Arial" w:cs="Arial"/>
          <w:sz w:val="22"/>
          <w:szCs w:val="22"/>
        </w:rPr>
        <w:t>The Lancet</w:t>
      </w:r>
      <w:r w:rsidRPr="00457F66">
        <w:rPr>
          <w:rFonts w:ascii="Arial" w:hAnsi="Arial" w:cs="Arial"/>
          <w:sz w:val="22"/>
          <w:szCs w:val="22"/>
        </w:rPr>
        <w:t>, 391(10117), pp. 266–280.</w:t>
      </w:r>
    </w:p>
    <w:p w14:paraId="0D95841B" w14:textId="0BF10653"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Marmot, M. (2010) </w:t>
      </w:r>
      <w:r w:rsidRPr="00457F66">
        <w:rPr>
          <w:rStyle w:val="Emphasis"/>
          <w:rFonts w:ascii="Arial" w:hAnsi="Arial" w:cs="Arial"/>
          <w:sz w:val="22"/>
          <w:szCs w:val="22"/>
        </w:rPr>
        <w:t>Fair Society, Healthy Lives: The Marmot Review</w:t>
      </w:r>
      <w:r w:rsidRPr="00457F66">
        <w:rPr>
          <w:rFonts w:ascii="Arial" w:hAnsi="Arial" w:cs="Arial"/>
          <w:sz w:val="22"/>
          <w:szCs w:val="22"/>
        </w:rPr>
        <w:t xml:space="preserve">. London: UCL Institute of Health Equity. Available at: </w:t>
      </w:r>
      <w:hyperlink r:id="rId19" w:history="1">
        <w:r w:rsidRPr="00457F66">
          <w:rPr>
            <w:rStyle w:val="Hyperlink"/>
            <w:rFonts w:ascii="Arial" w:hAnsi="Arial" w:cs="Arial"/>
            <w:sz w:val="22"/>
            <w:szCs w:val="22"/>
          </w:rPr>
          <w:t>https://www.instituteofhealthequity.org/resources-reports/fair-society-healthy-lives-the-marmot-review</w:t>
        </w:r>
      </w:hyperlink>
      <w:r w:rsidRPr="00457F66">
        <w:rPr>
          <w:rFonts w:ascii="Arial" w:hAnsi="Arial" w:cs="Arial"/>
          <w:sz w:val="22"/>
          <w:szCs w:val="22"/>
        </w:rPr>
        <w:t xml:space="preserve"> (Accessed: </w:t>
      </w:r>
      <w:r w:rsidR="00077402" w:rsidRPr="00457F66">
        <w:rPr>
          <w:rFonts w:ascii="Arial" w:hAnsi="Arial" w:cs="Arial"/>
          <w:sz w:val="22"/>
          <w:szCs w:val="22"/>
        </w:rPr>
        <w:t>20</w:t>
      </w:r>
      <w:r w:rsidRPr="00457F66">
        <w:rPr>
          <w:rFonts w:ascii="Arial" w:hAnsi="Arial" w:cs="Arial"/>
          <w:sz w:val="22"/>
          <w:szCs w:val="22"/>
        </w:rPr>
        <w:t xml:space="preserve"> July 2026).</w:t>
      </w:r>
    </w:p>
    <w:p w14:paraId="3BF9C93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Marmot, M., Allen, J., Boyce, T., Goldblatt, P. and Morrison, J. (2020) </w:t>
      </w:r>
      <w:r w:rsidRPr="00457F66">
        <w:rPr>
          <w:rStyle w:val="Emphasis"/>
          <w:rFonts w:ascii="Arial" w:hAnsi="Arial" w:cs="Arial"/>
          <w:sz w:val="22"/>
          <w:szCs w:val="22"/>
        </w:rPr>
        <w:t>Health Equity in England: The Marmot Review 10 Years On</w:t>
      </w:r>
      <w:r w:rsidRPr="00457F66">
        <w:rPr>
          <w:rFonts w:ascii="Arial" w:hAnsi="Arial" w:cs="Arial"/>
          <w:sz w:val="22"/>
          <w:szCs w:val="22"/>
        </w:rPr>
        <w:t>. London: Institute of Health Equity / The Health Foundation.</w:t>
      </w:r>
    </w:p>
    <w:p w14:paraId="2D4D682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McNeill, S., O'Donovan, D. and Hart, N. (2022) 'Access to healthcare for people experiencing homelessness in the UK and Ireland: a scoping review', </w:t>
      </w:r>
      <w:r w:rsidRPr="00457F66">
        <w:rPr>
          <w:rStyle w:val="Emphasis"/>
          <w:rFonts w:ascii="Arial" w:hAnsi="Arial" w:cs="Arial"/>
          <w:sz w:val="22"/>
          <w:szCs w:val="22"/>
        </w:rPr>
        <w:t>BMC Health Services Research</w:t>
      </w:r>
      <w:r w:rsidRPr="00457F66">
        <w:rPr>
          <w:rFonts w:ascii="Arial" w:hAnsi="Arial" w:cs="Arial"/>
          <w:sz w:val="22"/>
          <w:szCs w:val="22"/>
        </w:rPr>
        <w:t>, 22, 910.</w:t>
      </w:r>
    </w:p>
    <w:p w14:paraId="0DA18F97"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Miller, J.P., Hutton, J., Doherty, C., Vallesi, S., Currie, J., Rushworth, K., Larkin, M., Scott, M., Morrow, J. and Wood, L. (2024) 'A scoping review examining patient experience and what matters to people experiencing homelessness when seeking healthcare', </w:t>
      </w:r>
      <w:r w:rsidRPr="00457F66">
        <w:rPr>
          <w:rStyle w:val="Emphasis"/>
          <w:rFonts w:ascii="Arial" w:hAnsi="Arial" w:cs="Arial"/>
          <w:sz w:val="22"/>
          <w:szCs w:val="22"/>
        </w:rPr>
        <w:t>BMC Health Services Research</w:t>
      </w:r>
      <w:r w:rsidRPr="00457F66">
        <w:rPr>
          <w:rFonts w:ascii="Arial" w:hAnsi="Arial" w:cs="Arial"/>
          <w:sz w:val="22"/>
          <w:szCs w:val="22"/>
        </w:rPr>
        <w:t>, 24(1), article 492.</w:t>
      </w:r>
    </w:p>
    <w:p w14:paraId="0A0E4B28" w14:textId="46EE3588"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Ministry of Housing, Communities and Local Government (2020) </w:t>
      </w:r>
      <w:r w:rsidRPr="00457F66">
        <w:rPr>
          <w:rStyle w:val="Emphasis"/>
          <w:rFonts w:ascii="Arial" w:hAnsi="Arial" w:cs="Arial"/>
          <w:sz w:val="22"/>
          <w:szCs w:val="22"/>
        </w:rPr>
        <w:t>Homelessness Reduction Act 2017: Government Response to the Call for Evidence</w:t>
      </w:r>
      <w:r w:rsidRPr="00457F66">
        <w:rPr>
          <w:rFonts w:ascii="Arial" w:hAnsi="Arial" w:cs="Arial"/>
          <w:sz w:val="22"/>
          <w:szCs w:val="22"/>
        </w:rPr>
        <w:t xml:space="preserve">. London: MHCLG. Available at: </w:t>
      </w:r>
      <w:hyperlink r:id="rId20" w:history="1">
        <w:r w:rsidRPr="00457F66">
          <w:rPr>
            <w:rStyle w:val="Hyperlink"/>
            <w:rFonts w:ascii="Arial" w:hAnsi="Arial" w:cs="Arial"/>
            <w:sz w:val="22"/>
            <w:szCs w:val="22"/>
          </w:rPr>
          <w:t>https://www.gov.uk/government/consultations/homelessness-reduction-act-2017-call-for-evidence</w:t>
        </w:r>
      </w:hyperlink>
      <w:r w:rsidRPr="00457F66">
        <w:rPr>
          <w:rFonts w:ascii="Arial" w:hAnsi="Arial" w:cs="Arial"/>
          <w:sz w:val="22"/>
          <w:szCs w:val="22"/>
        </w:rPr>
        <w:t xml:space="preserve"> (Accessed: 10 </w:t>
      </w:r>
      <w:r w:rsidR="00077402" w:rsidRPr="00457F66">
        <w:rPr>
          <w:rFonts w:ascii="Arial" w:hAnsi="Arial" w:cs="Arial"/>
          <w:sz w:val="22"/>
          <w:szCs w:val="22"/>
        </w:rPr>
        <w:t>August</w:t>
      </w:r>
      <w:r w:rsidRPr="00457F66">
        <w:rPr>
          <w:rFonts w:ascii="Arial" w:hAnsi="Arial" w:cs="Arial"/>
          <w:sz w:val="22"/>
          <w:szCs w:val="22"/>
        </w:rPr>
        <w:t xml:space="preserve"> 2026).</w:t>
      </w:r>
    </w:p>
    <w:p w14:paraId="6165F2F4"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National Institute for Health and Care Excellence (2022) </w:t>
      </w:r>
      <w:r w:rsidRPr="00457F66">
        <w:rPr>
          <w:rStyle w:val="Emphasis"/>
          <w:rFonts w:ascii="Arial" w:hAnsi="Arial" w:cs="Arial"/>
          <w:sz w:val="22"/>
          <w:szCs w:val="22"/>
        </w:rPr>
        <w:t>Integrated Health and Social Care for People Experiencing Homelessness</w:t>
      </w:r>
      <w:r w:rsidRPr="00457F66">
        <w:rPr>
          <w:rFonts w:ascii="Arial" w:hAnsi="Arial" w:cs="Arial"/>
          <w:sz w:val="22"/>
          <w:szCs w:val="22"/>
        </w:rPr>
        <w:t xml:space="preserve">. NICE guideline [NG214]. London: NICE. Available at: </w:t>
      </w:r>
      <w:hyperlink r:id="rId21" w:history="1">
        <w:r w:rsidRPr="00457F66">
          <w:rPr>
            <w:rStyle w:val="Hyperlink"/>
            <w:rFonts w:ascii="Arial" w:hAnsi="Arial" w:cs="Arial"/>
            <w:sz w:val="22"/>
            <w:szCs w:val="22"/>
          </w:rPr>
          <w:t>https://www.ncbi.nlm.nih.gov/books/NBK579613/</w:t>
        </w:r>
      </w:hyperlink>
      <w:r w:rsidRPr="00457F66">
        <w:rPr>
          <w:rFonts w:ascii="Arial" w:hAnsi="Arial" w:cs="Arial"/>
          <w:sz w:val="22"/>
          <w:szCs w:val="22"/>
        </w:rPr>
        <w:t xml:space="preserve"> (Accessed: 17 August 2026).</w:t>
      </w:r>
    </w:p>
    <w:p w14:paraId="1F26680A"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NHS England (2021) </w:t>
      </w:r>
      <w:r w:rsidRPr="00457F66">
        <w:rPr>
          <w:rStyle w:val="Emphasis"/>
          <w:rFonts w:ascii="Arial" w:hAnsi="Arial" w:cs="Arial"/>
          <w:sz w:val="22"/>
          <w:szCs w:val="22"/>
        </w:rPr>
        <w:t>Making Digital Health Services Work for Everyone: Digital Inclusion Guide for Health and Social Care</w:t>
      </w:r>
      <w:r w:rsidRPr="00457F66">
        <w:rPr>
          <w:rFonts w:ascii="Arial" w:hAnsi="Arial" w:cs="Arial"/>
          <w:sz w:val="22"/>
          <w:szCs w:val="22"/>
        </w:rPr>
        <w:t>. London: NHS England.</w:t>
      </w:r>
    </w:p>
    <w:p w14:paraId="1F72029B" w14:textId="20EDC58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NHS England (2023) </w:t>
      </w:r>
      <w:r w:rsidRPr="00457F66">
        <w:rPr>
          <w:rStyle w:val="Emphasis"/>
          <w:rFonts w:ascii="Arial" w:hAnsi="Arial" w:cs="Arial"/>
          <w:sz w:val="22"/>
          <w:szCs w:val="22"/>
        </w:rPr>
        <w:t>Delivery Plan for Recovering Access to Primary Care</w:t>
      </w:r>
      <w:r w:rsidRPr="00457F66">
        <w:rPr>
          <w:rFonts w:ascii="Arial" w:hAnsi="Arial" w:cs="Arial"/>
          <w:sz w:val="22"/>
          <w:szCs w:val="22"/>
        </w:rPr>
        <w:t xml:space="preserve">. London: NHS England. Available at: </w:t>
      </w:r>
      <w:hyperlink r:id="rId22" w:history="1">
        <w:r w:rsidRPr="00457F66">
          <w:rPr>
            <w:rStyle w:val="Hyperlink"/>
            <w:rFonts w:ascii="Arial" w:hAnsi="Arial" w:cs="Arial"/>
            <w:sz w:val="22"/>
            <w:szCs w:val="22"/>
          </w:rPr>
          <w:t>https://www.england.nhs.uk/publication/delivery-plan-for-recovering-access-to-primary-care/</w:t>
        </w:r>
      </w:hyperlink>
      <w:r w:rsidRPr="00457F66">
        <w:rPr>
          <w:rFonts w:ascii="Arial" w:hAnsi="Arial" w:cs="Arial"/>
          <w:sz w:val="22"/>
          <w:szCs w:val="22"/>
        </w:rPr>
        <w:t xml:space="preserve"> (Accessed: </w:t>
      </w:r>
      <w:r w:rsidR="00077402" w:rsidRPr="00457F66">
        <w:rPr>
          <w:rFonts w:ascii="Arial" w:hAnsi="Arial" w:cs="Arial"/>
          <w:sz w:val="22"/>
          <w:szCs w:val="22"/>
        </w:rPr>
        <w:t>20</w:t>
      </w:r>
      <w:r w:rsidRPr="00457F66">
        <w:rPr>
          <w:rFonts w:ascii="Arial" w:hAnsi="Arial" w:cs="Arial"/>
          <w:sz w:val="22"/>
          <w:szCs w:val="22"/>
        </w:rPr>
        <w:t xml:space="preserve"> </w:t>
      </w:r>
      <w:r w:rsidR="00077402" w:rsidRPr="00457F66">
        <w:rPr>
          <w:rFonts w:ascii="Arial" w:hAnsi="Arial" w:cs="Arial"/>
          <w:sz w:val="22"/>
          <w:szCs w:val="22"/>
        </w:rPr>
        <w:t>August</w:t>
      </w:r>
      <w:r w:rsidRPr="00457F66">
        <w:rPr>
          <w:rFonts w:ascii="Arial" w:hAnsi="Arial" w:cs="Arial"/>
          <w:sz w:val="22"/>
          <w:szCs w:val="22"/>
        </w:rPr>
        <w:t xml:space="preserve"> 2026).</w:t>
      </w:r>
    </w:p>
    <w:p w14:paraId="7B8B827A" w14:textId="272BBB17" w:rsidR="00817239" w:rsidRPr="00457F66" w:rsidRDefault="00817239"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Nilsen, P. (2015) 'Making sense of implementation theories, models and frameworks', </w:t>
      </w:r>
      <w:r w:rsidRPr="00457F66">
        <w:rPr>
          <w:rFonts w:ascii="Arial" w:hAnsi="Arial" w:cs="Arial"/>
          <w:i/>
          <w:iCs/>
          <w:sz w:val="22"/>
          <w:szCs w:val="22"/>
        </w:rPr>
        <w:t>Implementation Science</w:t>
      </w:r>
      <w:r w:rsidRPr="00457F66">
        <w:rPr>
          <w:rFonts w:ascii="Arial" w:hAnsi="Arial" w:cs="Arial"/>
          <w:sz w:val="22"/>
          <w:szCs w:val="22"/>
        </w:rPr>
        <w:t>, 10, article 53.</w:t>
      </w:r>
    </w:p>
    <w:p w14:paraId="73DAA5E9"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O'Carroll, A. and Wainwright, D. (2019) 'Making sense of street chaos: an ethnographic exploration of homeless people's health service utilization', </w:t>
      </w:r>
      <w:r w:rsidRPr="00457F66">
        <w:rPr>
          <w:rStyle w:val="Emphasis"/>
          <w:rFonts w:ascii="Arial" w:hAnsi="Arial" w:cs="Arial"/>
          <w:sz w:val="22"/>
          <w:szCs w:val="22"/>
        </w:rPr>
        <w:t>International Journal for Equity in Health</w:t>
      </w:r>
      <w:r w:rsidRPr="00457F66">
        <w:rPr>
          <w:rFonts w:ascii="Arial" w:hAnsi="Arial" w:cs="Arial"/>
          <w:sz w:val="22"/>
          <w:szCs w:val="22"/>
        </w:rPr>
        <w:t>, 18(1), article 113.</w:t>
      </w:r>
    </w:p>
    <w:p w14:paraId="261BBEE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O'Carroll, A. and Wainwright, D. (2021) 'Doctor–patient interactions that exclude patients experiencing homelessness from health services: an ethnographic exploration', </w:t>
      </w:r>
      <w:r w:rsidRPr="00457F66">
        <w:rPr>
          <w:rStyle w:val="Emphasis"/>
          <w:rFonts w:ascii="Arial" w:hAnsi="Arial" w:cs="Arial"/>
          <w:sz w:val="22"/>
          <w:szCs w:val="22"/>
        </w:rPr>
        <w:t>BJGP Open</w:t>
      </w:r>
      <w:r w:rsidRPr="00457F66">
        <w:rPr>
          <w:rFonts w:ascii="Arial" w:hAnsi="Arial" w:cs="Arial"/>
          <w:sz w:val="22"/>
          <w:szCs w:val="22"/>
        </w:rPr>
        <w:t>, 5(3), BJGPO.2021.0031.</w:t>
      </w:r>
    </w:p>
    <w:p w14:paraId="11785780" w14:textId="04622BB5"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Office for National Statistics (2022) </w:t>
      </w:r>
      <w:r w:rsidRPr="00457F66">
        <w:rPr>
          <w:rStyle w:val="Emphasis"/>
          <w:rFonts w:ascii="Arial" w:hAnsi="Arial" w:cs="Arial"/>
          <w:sz w:val="22"/>
          <w:szCs w:val="22"/>
        </w:rPr>
        <w:t>Deaths of Homeless People in England and Wales: 2021 Registrations</w:t>
      </w:r>
      <w:r w:rsidRPr="00457F66">
        <w:rPr>
          <w:rFonts w:ascii="Arial" w:hAnsi="Arial" w:cs="Arial"/>
          <w:sz w:val="22"/>
          <w:szCs w:val="22"/>
        </w:rPr>
        <w:t xml:space="preserve">. Newport: ONS. Available at: </w:t>
      </w:r>
      <w:hyperlink r:id="rId23" w:history="1">
        <w:r w:rsidRPr="00457F66">
          <w:rPr>
            <w:rStyle w:val="Hyperlink"/>
            <w:rFonts w:ascii="Arial" w:hAnsi="Arial" w:cs="Arial"/>
            <w:sz w:val="22"/>
            <w:szCs w:val="22"/>
          </w:rPr>
          <w:t>https://www.ons.gov.uk/peoplepopulationandcommunity/birthsdeathsandmarriages/deaths/bulletins/deathsofhomelesspeopleinenglandandwales/2021registrations</w:t>
        </w:r>
      </w:hyperlink>
      <w:r w:rsidRPr="00457F66">
        <w:rPr>
          <w:rFonts w:ascii="Arial" w:hAnsi="Arial" w:cs="Arial"/>
          <w:sz w:val="22"/>
          <w:szCs w:val="22"/>
        </w:rPr>
        <w:t xml:space="preserve"> (Accessed: </w:t>
      </w:r>
      <w:r w:rsidR="00077402" w:rsidRPr="00457F66">
        <w:rPr>
          <w:rFonts w:ascii="Arial" w:hAnsi="Arial" w:cs="Arial"/>
          <w:sz w:val="22"/>
          <w:szCs w:val="22"/>
        </w:rPr>
        <w:t>2</w:t>
      </w:r>
      <w:r w:rsidR="00E329DF" w:rsidRPr="00457F66">
        <w:rPr>
          <w:rFonts w:ascii="Arial" w:hAnsi="Arial" w:cs="Arial"/>
          <w:sz w:val="22"/>
          <w:szCs w:val="22"/>
        </w:rPr>
        <w:t>1</w:t>
      </w:r>
      <w:r w:rsidRPr="00457F66">
        <w:rPr>
          <w:rFonts w:ascii="Arial" w:hAnsi="Arial" w:cs="Arial"/>
          <w:sz w:val="22"/>
          <w:szCs w:val="22"/>
        </w:rPr>
        <w:t xml:space="preserve"> July 2026).</w:t>
      </w:r>
    </w:p>
    <w:p w14:paraId="50C19554"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Omerov, P., </w:t>
      </w:r>
      <w:proofErr w:type="spellStart"/>
      <w:r w:rsidRPr="00457F66">
        <w:rPr>
          <w:rFonts w:ascii="Arial" w:hAnsi="Arial" w:cs="Arial"/>
          <w:sz w:val="22"/>
          <w:szCs w:val="22"/>
        </w:rPr>
        <w:t>Craftman</w:t>
      </w:r>
      <w:proofErr w:type="spellEnd"/>
      <w:r w:rsidRPr="00457F66">
        <w:rPr>
          <w:rFonts w:ascii="Arial" w:hAnsi="Arial" w:cs="Arial"/>
          <w:sz w:val="22"/>
          <w:szCs w:val="22"/>
        </w:rPr>
        <w:t xml:space="preserve">, Å.G., </w:t>
      </w:r>
      <w:proofErr w:type="spellStart"/>
      <w:r w:rsidRPr="00457F66">
        <w:rPr>
          <w:rFonts w:ascii="Arial" w:hAnsi="Arial" w:cs="Arial"/>
          <w:sz w:val="22"/>
          <w:szCs w:val="22"/>
        </w:rPr>
        <w:t>Mattsson</w:t>
      </w:r>
      <w:proofErr w:type="spellEnd"/>
      <w:r w:rsidRPr="00457F66">
        <w:rPr>
          <w:rFonts w:ascii="Arial" w:hAnsi="Arial" w:cs="Arial"/>
          <w:sz w:val="22"/>
          <w:szCs w:val="22"/>
        </w:rPr>
        <w:t xml:space="preserve">, E. and </w:t>
      </w:r>
      <w:proofErr w:type="spellStart"/>
      <w:r w:rsidRPr="00457F66">
        <w:rPr>
          <w:rFonts w:ascii="Arial" w:hAnsi="Arial" w:cs="Arial"/>
          <w:sz w:val="22"/>
          <w:szCs w:val="22"/>
        </w:rPr>
        <w:t>Klarare</w:t>
      </w:r>
      <w:proofErr w:type="spellEnd"/>
      <w:r w:rsidRPr="00457F66">
        <w:rPr>
          <w:rFonts w:ascii="Arial" w:hAnsi="Arial" w:cs="Arial"/>
          <w:sz w:val="22"/>
          <w:szCs w:val="22"/>
        </w:rPr>
        <w:t xml:space="preserve">, A. (2020) 'Homeless persons' experiences of health- and social care: a systematic integrative review', </w:t>
      </w:r>
      <w:r w:rsidRPr="00457F66">
        <w:rPr>
          <w:rStyle w:val="Emphasis"/>
          <w:rFonts w:ascii="Arial" w:hAnsi="Arial" w:cs="Arial"/>
          <w:sz w:val="22"/>
          <w:szCs w:val="22"/>
        </w:rPr>
        <w:t>Health and Social Care in the Community</w:t>
      </w:r>
      <w:r w:rsidRPr="00457F66">
        <w:rPr>
          <w:rFonts w:ascii="Arial" w:hAnsi="Arial" w:cs="Arial"/>
          <w:sz w:val="22"/>
          <w:szCs w:val="22"/>
        </w:rPr>
        <w:t>, 28(1), pp. 1–11.</w:t>
      </w:r>
    </w:p>
    <w:p w14:paraId="2D8A8A76"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457F66">
        <w:rPr>
          <w:rStyle w:val="Emphasis"/>
          <w:rFonts w:ascii="Arial" w:hAnsi="Arial" w:cs="Arial"/>
          <w:sz w:val="22"/>
          <w:szCs w:val="22"/>
        </w:rPr>
        <w:t>BMJ</w:t>
      </w:r>
      <w:r w:rsidRPr="00457F66">
        <w:rPr>
          <w:rFonts w:ascii="Arial" w:hAnsi="Arial" w:cs="Arial"/>
          <w:sz w:val="22"/>
          <w:szCs w:val="22"/>
        </w:rPr>
        <w:t>, 372, n71.</w:t>
      </w:r>
    </w:p>
    <w:p w14:paraId="36EEADA1" w14:textId="23632635"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Pathway and Crisis (2024) </w:t>
      </w:r>
      <w:r w:rsidRPr="00457F66">
        <w:rPr>
          <w:rStyle w:val="Emphasis"/>
          <w:rFonts w:ascii="Arial" w:hAnsi="Arial" w:cs="Arial"/>
          <w:sz w:val="22"/>
          <w:szCs w:val="22"/>
        </w:rPr>
        <w:t>The Unseen Struggle: The Invisibility of Homelessness in NHS Data</w:t>
      </w:r>
      <w:r w:rsidRPr="00457F66">
        <w:rPr>
          <w:rFonts w:ascii="Arial" w:hAnsi="Arial" w:cs="Arial"/>
          <w:sz w:val="22"/>
          <w:szCs w:val="22"/>
        </w:rPr>
        <w:t xml:space="preserve">. London: Pathway. Available at: </w:t>
      </w:r>
      <w:hyperlink r:id="rId24" w:history="1">
        <w:r w:rsidRPr="00457F66">
          <w:rPr>
            <w:rStyle w:val="Hyperlink"/>
            <w:rFonts w:ascii="Arial" w:hAnsi="Arial" w:cs="Arial"/>
            <w:sz w:val="22"/>
            <w:szCs w:val="22"/>
          </w:rPr>
          <w:t>https://www.pathway.org.uk/app/uploads/2024/07/The-unseen-struggle-the-invisibility-of-homelessness-in-NHS-data-CF-and-Pathway-Report.pdf</w:t>
        </w:r>
      </w:hyperlink>
      <w:r w:rsidRPr="00457F66">
        <w:rPr>
          <w:rFonts w:ascii="Arial" w:hAnsi="Arial" w:cs="Arial"/>
          <w:sz w:val="22"/>
          <w:szCs w:val="22"/>
        </w:rPr>
        <w:t xml:space="preserve"> (Accessed: </w:t>
      </w:r>
      <w:r w:rsidR="00E329DF" w:rsidRPr="00457F66">
        <w:rPr>
          <w:rFonts w:ascii="Arial" w:hAnsi="Arial" w:cs="Arial"/>
          <w:sz w:val="22"/>
          <w:szCs w:val="22"/>
        </w:rPr>
        <w:t>19</w:t>
      </w:r>
      <w:r w:rsidRPr="00457F66">
        <w:rPr>
          <w:rFonts w:ascii="Arial" w:hAnsi="Arial" w:cs="Arial"/>
          <w:sz w:val="22"/>
          <w:szCs w:val="22"/>
        </w:rPr>
        <w:t xml:space="preserve"> July 2026).</w:t>
      </w:r>
    </w:p>
    <w:p w14:paraId="7D87CE61"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Penchansky, R. and Thomas, J.W. (1981) 'The concept of access: definition and relationship to consumer satisfaction', </w:t>
      </w:r>
      <w:r w:rsidRPr="00457F66">
        <w:rPr>
          <w:rStyle w:val="Emphasis"/>
          <w:rFonts w:ascii="Arial" w:hAnsi="Arial" w:cs="Arial"/>
          <w:sz w:val="22"/>
          <w:szCs w:val="22"/>
        </w:rPr>
        <w:t>Medical Care</w:t>
      </w:r>
      <w:r w:rsidRPr="00457F66">
        <w:rPr>
          <w:rFonts w:ascii="Arial" w:hAnsi="Arial" w:cs="Arial"/>
          <w:sz w:val="22"/>
          <w:szCs w:val="22"/>
        </w:rPr>
        <w:t>, 19(2), pp. 127–140.</w:t>
      </w:r>
    </w:p>
    <w:p w14:paraId="0E03310C" w14:textId="542067C6"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Public Health England (2020) </w:t>
      </w:r>
      <w:r w:rsidRPr="00457F66">
        <w:rPr>
          <w:rStyle w:val="Emphasis"/>
          <w:rFonts w:ascii="Arial" w:hAnsi="Arial" w:cs="Arial"/>
          <w:sz w:val="22"/>
          <w:szCs w:val="22"/>
        </w:rPr>
        <w:t>Disparities in the Risk and Outcomes of COVID-19</w:t>
      </w:r>
      <w:r w:rsidRPr="00457F66">
        <w:rPr>
          <w:rFonts w:ascii="Arial" w:hAnsi="Arial" w:cs="Arial"/>
          <w:sz w:val="22"/>
          <w:szCs w:val="22"/>
        </w:rPr>
        <w:t xml:space="preserve">. London: PHE. Available at: </w:t>
      </w:r>
      <w:hyperlink r:id="rId25" w:history="1">
        <w:r w:rsidRPr="00457F66">
          <w:rPr>
            <w:rStyle w:val="Hyperlink"/>
            <w:rFonts w:ascii="Arial" w:hAnsi="Arial" w:cs="Arial"/>
            <w:sz w:val="22"/>
            <w:szCs w:val="22"/>
          </w:rPr>
          <w:t>https://www.gov.uk/government/publications/covid-19-review-of-disparities-in-risks-and-outcomes</w:t>
        </w:r>
      </w:hyperlink>
      <w:r w:rsidRPr="00457F66">
        <w:rPr>
          <w:rFonts w:ascii="Arial" w:hAnsi="Arial" w:cs="Arial"/>
          <w:sz w:val="22"/>
          <w:szCs w:val="22"/>
        </w:rPr>
        <w:t xml:space="preserve"> (Accessed: 10 </w:t>
      </w:r>
      <w:r w:rsidR="00E329DF" w:rsidRPr="00457F66">
        <w:rPr>
          <w:rFonts w:ascii="Arial" w:hAnsi="Arial" w:cs="Arial"/>
          <w:sz w:val="22"/>
          <w:szCs w:val="22"/>
        </w:rPr>
        <w:t>August</w:t>
      </w:r>
      <w:r w:rsidRPr="00457F66">
        <w:rPr>
          <w:rFonts w:ascii="Arial" w:hAnsi="Arial" w:cs="Arial"/>
          <w:sz w:val="22"/>
          <w:szCs w:val="22"/>
        </w:rPr>
        <w:t xml:space="preserve"> 2026).</w:t>
      </w:r>
    </w:p>
    <w:p w14:paraId="2B7D4EDC"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Rae, B.E. and Rees, S. (2015) 'The perceptions of homeless people regarding their healthcare needs and experiences of receiving health care', </w:t>
      </w:r>
      <w:r w:rsidRPr="00457F66">
        <w:rPr>
          <w:rStyle w:val="Emphasis"/>
          <w:rFonts w:ascii="Arial" w:hAnsi="Arial" w:cs="Arial"/>
          <w:sz w:val="22"/>
          <w:szCs w:val="22"/>
        </w:rPr>
        <w:t>Journal of Advanced Nursing</w:t>
      </w:r>
      <w:r w:rsidRPr="00457F66">
        <w:rPr>
          <w:rFonts w:ascii="Arial" w:hAnsi="Arial" w:cs="Arial"/>
          <w:sz w:val="22"/>
          <w:szCs w:val="22"/>
        </w:rPr>
        <w:t>, 71(9), pp. 2096–2107.</w:t>
      </w:r>
    </w:p>
    <w:p w14:paraId="01471BED"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Reilly, J., Ho, I. and Williamson, A. (2022) 'A systematic review of the effect of stigma on the health of people experiencing homelessness', </w:t>
      </w:r>
      <w:r w:rsidRPr="00457F66">
        <w:rPr>
          <w:rStyle w:val="Emphasis"/>
          <w:rFonts w:ascii="Arial" w:hAnsi="Arial" w:cs="Arial"/>
          <w:sz w:val="22"/>
          <w:szCs w:val="22"/>
        </w:rPr>
        <w:t>Health and Social Care in the Community</w:t>
      </w:r>
      <w:r w:rsidRPr="00457F66">
        <w:rPr>
          <w:rFonts w:ascii="Arial" w:hAnsi="Arial" w:cs="Arial"/>
          <w:sz w:val="22"/>
          <w:szCs w:val="22"/>
        </w:rPr>
        <w:t>, 30(5), pp. 2128–2141.</w:t>
      </w:r>
    </w:p>
    <w:p w14:paraId="0E79EAC9" w14:textId="5AD26DD0" w:rsidR="000B326A" w:rsidRPr="00457F66" w:rsidRDefault="000B326A"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Schön, D.A. (1983) </w:t>
      </w:r>
      <w:r w:rsidRPr="00457F66">
        <w:rPr>
          <w:rFonts w:ascii="Arial" w:hAnsi="Arial" w:cs="Arial"/>
          <w:i/>
          <w:iCs/>
          <w:sz w:val="22"/>
          <w:szCs w:val="22"/>
        </w:rPr>
        <w:t>The Reflective Practitioner: How Professionals Think in Action</w:t>
      </w:r>
      <w:r w:rsidRPr="00457F66">
        <w:rPr>
          <w:rFonts w:ascii="Arial" w:hAnsi="Arial" w:cs="Arial"/>
          <w:sz w:val="22"/>
          <w:szCs w:val="22"/>
        </w:rPr>
        <w:t>. New York: Basic Books.</w:t>
      </w:r>
    </w:p>
    <w:p w14:paraId="4712BB98"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Tsai, J. and Wilson, M. (2020) 'COVID-19: a potential public health problem for homeless populations', </w:t>
      </w:r>
      <w:r w:rsidRPr="00457F66">
        <w:rPr>
          <w:rStyle w:val="Emphasis"/>
          <w:rFonts w:ascii="Arial" w:hAnsi="Arial" w:cs="Arial"/>
          <w:sz w:val="22"/>
          <w:szCs w:val="22"/>
        </w:rPr>
        <w:t>The Lancet Public Health</w:t>
      </w:r>
      <w:r w:rsidRPr="00457F66">
        <w:rPr>
          <w:rFonts w:ascii="Arial" w:hAnsi="Arial" w:cs="Arial"/>
          <w:sz w:val="22"/>
          <w:szCs w:val="22"/>
        </w:rPr>
        <w:t>, 5(4), pp. e186–e187.</w:t>
      </w:r>
    </w:p>
    <w:p w14:paraId="34B3A411"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Tweed, E.J., Thomson, R.M., Lewer, D., Sumpter, C., Kirolos, A., </w:t>
      </w:r>
      <w:proofErr w:type="spellStart"/>
      <w:r w:rsidRPr="00457F66">
        <w:rPr>
          <w:rFonts w:ascii="Arial" w:hAnsi="Arial" w:cs="Arial"/>
          <w:sz w:val="22"/>
          <w:szCs w:val="22"/>
        </w:rPr>
        <w:t>Southworth</w:t>
      </w:r>
      <w:proofErr w:type="spellEnd"/>
      <w:r w:rsidRPr="00457F66">
        <w:rPr>
          <w:rFonts w:ascii="Arial" w:hAnsi="Arial" w:cs="Arial"/>
          <w:sz w:val="22"/>
          <w:szCs w:val="22"/>
        </w:rPr>
        <w:t xml:space="preserve">, P.M., </w:t>
      </w:r>
      <w:proofErr w:type="spellStart"/>
      <w:r w:rsidRPr="00457F66">
        <w:rPr>
          <w:rFonts w:ascii="Arial" w:hAnsi="Arial" w:cs="Arial"/>
          <w:sz w:val="22"/>
          <w:szCs w:val="22"/>
        </w:rPr>
        <w:t>Purba</w:t>
      </w:r>
      <w:proofErr w:type="spellEnd"/>
      <w:r w:rsidRPr="00457F66">
        <w:rPr>
          <w:rFonts w:ascii="Arial" w:hAnsi="Arial" w:cs="Arial"/>
          <w:sz w:val="22"/>
          <w:szCs w:val="22"/>
        </w:rPr>
        <w:t xml:space="preserve">, A.K., Aldridge, R.W., Hayward, A., Story, A., Hwang, S.W. and Katikireddi, S.V. (2021) 'Health of people experiencing co-occurring homelessness, imprisonment, substance use, sex work and/or severe mental illness in high-income countries: a systematic review and meta-analysis', </w:t>
      </w:r>
      <w:r w:rsidRPr="00457F66">
        <w:rPr>
          <w:rStyle w:val="Emphasis"/>
          <w:rFonts w:ascii="Arial" w:hAnsi="Arial" w:cs="Arial"/>
          <w:sz w:val="22"/>
          <w:szCs w:val="22"/>
        </w:rPr>
        <w:t>Journal of Epidemiology and Community Health</w:t>
      </w:r>
      <w:r w:rsidRPr="00457F66">
        <w:rPr>
          <w:rFonts w:ascii="Arial" w:hAnsi="Arial" w:cs="Arial"/>
          <w:sz w:val="22"/>
          <w:szCs w:val="22"/>
        </w:rPr>
        <w:t>, 75(10), pp. 1010–1018.</w:t>
      </w:r>
    </w:p>
    <w:p w14:paraId="6AA9DE97" w14:textId="681B36EF"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Tyndall, J. (2010) </w:t>
      </w:r>
      <w:r w:rsidRPr="00457F66">
        <w:rPr>
          <w:rStyle w:val="Emphasis"/>
          <w:rFonts w:ascii="Arial" w:hAnsi="Arial" w:cs="Arial"/>
          <w:sz w:val="22"/>
          <w:szCs w:val="22"/>
        </w:rPr>
        <w:t>AACODS Checklist</w:t>
      </w:r>
      <w:r w:rsidRPr="00457F66">
        <w:rPr>
          <w:rFonts w:ascii="Arial" w:hAnsi="Arial" w:cs="Arial"/>
          <w:sz w:val="22"/>
          <w:szCs w:val="22"/>
        </w:rPr>
        <w:t xml:space="preserve">. Adelaide: Flinders University. Available at: </w:t>
      </w:r>
      <w:hyperlink r:id="rId26" w:history="1">
        <w:r w:rsidRPr="00457F66">
          <w:rPr>
            <w:rStyle w:val="Hyperlink"/>
            <w:rFonts w:ascii="Arial" w:hAnsi="Arial" w:cs="Arial"/>
            <w:sz w:val="22"/>
            <w:szCs w:val="22"/>
          </w:rPr>
          <w:t>https://dspace.flinders.edu.au</w:t>
        </w:r>
      </w:hyperlink>
      <w:r w:rsidRPr="00457F66">
        <w:rPr>
          <w:rFonts w:ascii="Arial" w:hAnsi="Arial" w:cs="Arial"/>
          <w:sz w:val="22"/>
          <w:szCs w:val="22"/>
        </w:rPr>
        <w:t xml:space="preserve"> (handle 2328/3326) (Accessed: 1</w:t>
      </w:r>
      <w:r w:rsidR="00E329DF" w:rsidRPr="00457F66">
        <w:rPr>
          <w:rFonts w:ascii="Arial" w:hAnsi="Arial" w:cs="Arial"/>
          <w:sz w:val="22"/>
          <w:szCs w:val="22"/>
        </w:rPr>
        <w:t>7</w:t>
      </w:r>
      <w:r w:rsidRPr="00457F66">
        <w:rPr>
          <w:rFonts w:ascii="Arial" w:hAnsi="Arial" w:cs="Arial"/>
          <w:sz w:val="22"/>
          <w:szCs w:val="22"/>
        </w:rPr>
        <w:t xml:space="preserve"> </w:t>
      </w:r>
      <w:r w:rsidR="00E329DF" w:rsidRPr="00457F66">
        <w:rPr>
          <w:rFonts w:ascii="Arial" w:hAnsi="Arial" w:cs="Arial"/>
          <w:sz w:val="22"/>
          <w:szCs w:val="22"/>
        </w:rPr>
        <w:t>August</w:t>
      </w:r>
      <w:r w:rsidRPr="00457F66">
        <w:rPr>
          <w:rFonts w:ascii="Arial" w:hAnsi="Arial" w:cs="Arial"/>
          <w:sz w:val="22"/>
          <w:szCs w:val="22"/>
        </w:rPr>
        <w:t xml:space="preserve"> 2026).</w:t>
      </w:r>
    </w:p>
    <w:p w14:paraId="11CD2C76" w14:textId="77777777" w:rsidR="00D86A53" w:rsidRPr="00457F66" w:rsidRDefault="00D86A53" w:rsidP="008452C0">
      <w:pPr>
        <w:pStyle w:val="NormalWeb"/>
        <w:spacing w:line="360" w:lineRule="auto"/>
        <w:jc w:val="both"/>
        <w:rPr>
          <w:rFonts w:ascii="Arial" w:hAnsi="Arial" w:cs="Arial"/>
          <w:sz w:val="22"/>
          <w:szCs w:val="22"/>
        </w:rPr>
      </w:pPr>
      <w:proofErr w:type="spellStart"/>
      <w:r w:rsidRPr="00457F66">
        <w:rPr>
          <w:rFonts w:ascii="Arial" w:hAnsi="Arial" w:cs="Arial"/>
          <w:sz w:val="22"/>
          <w:szCs w:val="22"/>
        </w:rPr>
        <w:t>Ungpakorn</w:t>
      </w:r>
      <w:proofErr w:type="spellEnd"/>
      <w:r w:rsidRPr="00457F66">
        <w:rPr>
          <w:rFonts w:ascii="Arial" w:hAnsi="Arial" w:cs="Arial"/>
          <w:sz w:val="22"/>
          <w:szCs w:val="22"/>
        </w:rPr>
        <w:t xml:space="preserve">, R. and Rae, B. (2020) 'Health-related street outreach: exploring the perceptions of homeless people with experience of sleeping rough', </w:t>
      </w:r>
      <w:r w:rsidRPr="00457F66">
        <w:rPr>
          <w:rStyle w:val="Emphasis"/>
          <w:rFonts w:ascii="Arial" w:hAnsi="Arial" w:cs="Arial"/>
          <w:sz w:val="22"/>
          <w:szCs w:val="22"/>
        </w:rPr>
        <w:t>Journal of Advanced Nursing</w:t>
      </w:r>
      <w:r w:rsidRPr="00457F66">
        <w:rPr>
          <w:rFonts w:ascii="Arial" w:hAnsi="Arial" w:cs="Arial"/>
          <w:sz w:val="22"/>
          <w:szCs w:val="22"/>
        </w:rPr>
        <w:t>, 76(1), pp. 253–263.</w:t>
      </w:r>
    </w:p>
    <w:p w14:paraId="072F6A09"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University of Wales Trinity Saint David (2022) </w:t>
      </w:r>
      <w:r w:rsidRPr="00457F66">
        <w:rPr>
          <w:rStyle w:val="Emphasis"/>
          <w:rFonts w:ascii="Arial" w:hAnsi="Arial" w:cs="Arial"/>
          <w:sz w:val="22"/>
          <w:szCs w:val="22"/>
        </w:rPr>
        <w:t>Research Ethics and Integrity Code of Practice</w:t>
      </w:r>
      <w:r w:rsidRPr="00457F66">
        <w:rPr>
          <w:rFonts w:ascii="Arial" w:hAnsi="Arial" w:cs="Arial"/>
          <w:sz w:val="22"/>
          <w:szCs w:val="22"/>
        </w:rPr>
        <w:t>. Lampeter: UWTSD.</w:t>
      </w:r>
    </w:p>
    <w:p w14:paraId="413D1EE9" w14:textId="5517E3F8"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Watts-Cobbe, B., Bramley, G., Pawson, H., Young, G., Sims, R., McMordie, L. and Fitzpatrick, S. (2025) </w:t>
      </w:r>
      <w:r w:rsidRPr="00457F66">
        <w:rPr>
          <w:rStyle w:val="Emphasis"/>
          <w:rFonts w:ascii="Arial" w:hAnsi="Arial" w:cs="Arial"/>
          <w:sz w:val="22"/>
          <w:szCs w:val="22"/>
        </w:rPr>
        <w:t>The Homelessness Monitor: England 2025</w:t>
      </w:r>
      <w:r w:rsidRPr="00457F66">
        <w:rPr>
          <w:rFonts w:ascii="Arial" w:hAnsi="Arial" w:cs="Arial"/>
          <w:sz w:val="22"/>
          <w:szCs w:val="22"/>
        </w:rPr>
        <w:t xml:space="preserve">. London: Crisis. Available at: </w:t>
      </w:r>
      <w:hyperlink r:id="rId27" w:history="1">
        <w:r w:rsidRPr="00457F66">
          <w:rPr>
            <w:rStyle w:val="Hyperlink"/>
            <w:rFonts w:ascii="Arial" w:hAnsi="Arial" w:cs="Arial"/>
            <w:sz w:val="22"/>
            <w:szCs w:val="22"/>
          </w:rPr>
          <w:t>https://www.crisis.org.uk/ending-homelessness/homelessness-monitor/the-homelessness-monitor-england-2025/</w:t>
        </w:r>
      </w:hyperlink>
      <w:r w:rsidRPr="00457F66">
        <w:rPr>
          <w:rFonts w:ascii="Arial" w:hAnsi="Arial" w:cs="Arial"/>
          <w:sz w:val="22"/>
          <w:szCs w:val="22"/>
        </w:rPr>
        <w:t xml:space="preserve"> (Accessed: </w:t>
      </w:r>
      <w:r w:rsidR="00E329DF" w:rsidRPr="00457F66">
        <w:rPr>
          <w:rFonts w:ascii="Arial" w:hAnsi="Arial" w:cs="Arial"/>
          <w:sz w:val="22"/>
          <w:szCs w:val="22"/>
        </w:rPr>
        <w:t>5</w:t>
      </w:r>
      <w:r w:rsidRPr="00457F66">
        <w:rPr>
          <w:rFonts w:ascii="Arial" w:hAnsi="Arial" w:cs="Arial"/>
          <w:sz w:val="22"/>
          <w:szCs w:val="22"/>
        </w:rPr>
        <w:t xml:space="preserve"> </w:t>
      </w:r>
      <w:r w:rsidR="00E329DF" w:rsidRPr="00457F66">
        <w:rPr>
          <w:rFonts w:ascii="Arial" w:hAnsi="Arial" w:cs="Arial"/>
          <w:sz w:val="22"/>
          <w:szCs w:val="22"/>
        </w:rPr>
        <w:t xml:space="preserve">August </w:t>
      </w:r>
      <w:r w:rsidRPr="00457F66">
        <w:rPr>
          <w:rFonts w:ascii="Arial" w:hAnsi="Arial" w:cs="Arial"/>
          <w:sz w:val="22"/>
          <w:szCs w:val="22"/>
        </w:rPr>
        <w:t>2026).</w:t>
      </w:r>
    </w:p>
    <w:p w14:paraId="4DF8FA1B" w14:textId="77777777"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White, B.M. and Newman, S.D. (2015) 'Access to primary care services among the homeless: a synthesis of the literature using the equity of access to medical care framework', </w:t>
      </w:r>
      <w:r w:rsidRPr="00457F66">
        <w:rPr>
          <w:rStyle w:val="Emphasis"/>
          <w:rFonts w:ascii="Arial" w:hAnsi="Arial" w:cs="Arial"/>
          <w:sz w:val="22"/>
          <w:szCs w:val="22"/>
        </w:rPr>
        <w:t>Journal of Primary Care and Community Health</w:t>
      </w:r>
      <w:r w:rsidRPr="00457F66">
        <w:rPr>
          <w:rFonts w:ascii="Arial" w:hAnsi="Arial" w:cs="Arial"/>
          <w:sz w:val="22"/>
          <w:szCs w:val="22"/>
        </w:rPr>
        <w:t>, 6(2), pp. 77–87.</w:t>
      </w:r>
    </w:p>
    <w:p w14:paraId="0077D6F0" w14:textId="1FF94051"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World Health Organization (1978) </w:t>
      </w:r>
      <w:r w:rsidRPr="00457F66">
        <w:rPr>
          <w:rStyle w:val="Emphasis"/>
          <w:rFonts w:ascii="Arial" w:hAnsi="Arial" w:cs="Arial"/>
          <w:sz w:val="22"/>
          <w:szCs w:val="22"/>
        </w:rPr>
        <w:t>Declaration of Alma-Ata</w:t>
      </w:r>
      <w:r w:rsidRPr="00457F66">
        <w:rPr>
          <w:rFonts w:ascii="Arial" w:hAnsi="Arial" w:cs="Arial"/>
          <w:sz w:val="22"/>
          <w:szCs w:val="22"/>
        </w:rPr>
        <w:t xml:space="preserve">. International Conference on Primary Health Care, Alma-Ata, USSR, 6–12 September 1978. Geneva: WHO. Available at: </w:t>
      </w:r>
      <w:hyperlink r:id="rId28" w:history="1">
        <w:r w:rsidRPr="00457F66">
          <w:rPr>
            <w:rStyle w:val="Hyperlink"/>
            <w:rFonts w:ascii="Arial" w:hAnsi="Arial" w:cs="Arial"/>
            <w:sz w:val="22"/>
            <w:szCs w:val="22"/>
          </w:rPr>
          <w:t>https://www.who.int/docs/default-source/documents/almaata-declaration-en.pdf</w:t>
        </w:r>
      </w:hyperlink>
      <w:r w:rsidRPr="00457F66">
        <w:rPr>
          <w:rFonts w:ascii="Arial" w:hAnsi="Arial" w:cs="Arial"/>
          <w:sz w:val="22"/>
          <w:szCs w:val="22"/>
        </w:rPr>
        <w:t xml:space="preserve"> (Accessed: 1</w:t>
      </w:r>
      <w:r w:rsidR="00E329DF" w:rsidRPr="00457F66">
        <w:rPr>
          <w:rFonts w:ascii="Arial" w:hAnsi="Arial" w:cs="Arial"/>
          <w:sz w:val="22"/>
          <w:szCs w:val="22"/>
        </w:rPr>
        <w:t>1</w:t>
      </w:r>
      <w:r w:rsidRPr="00457F66">
        <w:rPr>
          <w:rFonts w:ascii="Arial" w:hAnsi="Arial" w:cs="Arial"/>
          <w:sz w:val="22"/>
          <w:szCs w:val="22"/>
        </w:rPr>
        <w:t xml:space="preserve"> </w:t>
      </w:r>
      <w:r w:rsidR="00E329DF" w:rsidRPr="00457F66">
        <w:rPr>
          <w:rFonts w:ascii="Arial" w:hAnsi="Arial" w:cs="Arial"/>
          <w:sz w:val="22"/>
          <w:szCs w:val="22"/>
        </w:rPr>
        <w:t>August</w:t>
      </w:r>
      <w:r w:rsidRPr="00457F66">
        <w:rPr>
          <w:rFonts w:ascii="Arial" w:hAnsi="Arial" w:cs="Arial"/>
          <w:sz w:val="22"/>
          <w:szCs w:val="22"/>
        </w:rPr>
        <w:t xml:space="preserve"> 2026).</w:t>
      </w:r>
    </w:p>
    <w:p w14:paraId="107D72A2" w14:textId="2FB1E4EF" w:rsidR="00D86A53" w:rsidRPr="00457F66" w:rsidRDefault="00D86A53" w:rsidP="008452C0">
      <w:pPr>
        <w:pStyle w:val="NormalWeb"/>
        <w:spacing w:line="360" w:lineRule="auto"/>
        <w:jc w:val="both"/>
        <w:rPr>
          <w:rFonts w:ascii="Arial" w:hAnsi="Arial" w:cs="Arial"/>
          <w:sz w:val="22"/>
          <w:szCs w:val="22"/>
        </w:rPr>
      </w:pPr>
      <w:r w:rsidRPr="00457F66">
        <w:rPr>
          <w:rFonts w:ascii="Arial" w:hAnsi="Arial" w:cs="Arial"/>
          <w:sz w:val="22"/>
          <w:szCs w:val="22"/>
        </w:rPr>
        <w:t xml:space="preserve">World Health Organization and UNICEF (2018) </w:t>
      </w:r>
      <w:r w:rsidRPr="00457F66">
        <w:rPr>
          <w:rStyle w:val="Emphasis"/>
          <w:rFonts w:ascii="Arial" w:hAnsi="Arial" w:cs="Arial"/>
          <w:sz w:val="22"/>
          <w:szCs w:val="22"/>
        </w:rPr>
        <w:t>Declaration of Astana</w:t>
      </w:r>
      <w:r w:rsidRPr="00457F66">
        <w:rPr>
          <w:rFonts w:ascii="Arial" w:hAnsi="Arial" w:cs="Arial"/>
          <w:sz w:val="22"/>
          <w:szCs w:val="22"/>
        </w:rPr>
        <w:t xml:space="preserve">. Global Conference on Primary Health Care, Astana, 25–26 October 2018. Geneva: WHO. Available at: </w:t>
      </w:r>
      <w:hyperlink r:id="rId29" w:history="1">
        <w:r w:rsidRPr="00457F66">
          <w:rPr>
            <w:rStyle w:val="Hyperlink"/>
            <w:rFonts w:ascii="Arial" w:hAnsi="Arial" w:cs="Arial"/>
            <w:sz w:val="22"/>
            <w:szCs w:val="22"/>
          </w:rPr>
          <w:t>https://www.who.int/docs/default-source/primary-health/declaration/gcphc-declaration.pdf</w:t>
        </w:r>
      </w:hyperlink>
      <w:r w:rsidRPr="00457F66">
        <w:rPr>
          <w:rFonts w:ascii="Arial" w:hAnsi="Arial" w:cs="Arial"/>
          <w:sz w:val="22"/>
          <w:szCs w:val="22"/>
        </w:rPr>
        <w:t xml:space="preserve"> (Accessed: </w:t>
      </w:r>
      <w:r w:rsidR="00E329DF" w:rsidRPr="00457F66">
        <w:rPr>
          <w:rFonts w:ascii="Arial" w:hAnsi="Arial" w:cs="Arial"/>
          <w:sz w:val="22"/>
          <w:szCs w:val="22"/>
        </w:rPr>
        <w:t>1 August</w:t>
      </w:r>
      <w:r w:rsidRPr="00457F66">
        <w:rPr>
          <w:rFonts w:ascii="Arial" w:hAnsi="Arial" w:cs="Arial"/>
          <w:sz w:val="22"/>
          <w:szCs w:val="22"/>
        </w:rPr>
        <w:t xml:space="preserve"> 2026).</w:t>
      </w:r>
    </w:p>
    <w:p w14:paraId="4291236A" w14:textId="77777777" w:rsidR="0049712A" w:rsidRPr="00457F66" w:rsidRDefault="0049712A" w:rsidP="008452C0">
      <w:pPr>
        <w:pStyle w:val="text-15px"/>
        <w:spacing w:before="0" w:beforeAutospacing="0" w:after="0" w:afterAutospacing="0" w:line="360" w:lineRule="auto"/>
        <w:jc w:val="both"/>
        <w:rPr>
          <w:rFonts w:ascii="Arial" w:hAnsi="Arial" w:cs="Arial"/>
          <w:sz w:val="22"/>
          <w:szCs w:val="22"/>
        </w:rPr>
      </w:pPr>
    </w:p>
    <w:p w14:paraId="52B129F5" w14:textId="77777777" w:rsidR="0049712A" w:rsidRPr="00457F66" w:rsidRDefault="0049712A" w:rsidP="008452C0">
      <w:pPr>
        <w:pStyle w:val="font-claude-response-body"/>
        <w:spacing w:line="360" w:lineRule="auto"/>
        <w:jc w:val="both"/>
        <w:rPr>
          <w:rStyle w:val="cursor-pointer"/>
          <w:rFonts w:ascii="Arial" w:hAnsi="Arial" w:cs="Arial"/>
          <w:sz w:val="22"/>
          <w:szCs w:val="22"/>
        </w:rPr>
      </w:pPr>
    </w:p>
    <w:p w14:paraId="34451801" w14:textId="77777777" w:rsidR="0049712A" w:rsidRPr="00457F66" w:rsidRDefault="0049712A" w:rsidP="008452C0">
      <w:pPr>
        <w:spacing w:line="360" w:lineRule="auto"/>
        <w:jc w:val="both"/>
        <w:rPr>
          <w:rStyle w:val="cursor-pointer"/>
          <w:rFonts w:ascii="Arial" w:hAnsi="Arial" w:cs="Arial"/>
          <w:sz w:val="22"/>
          <w:szCs w:val="22"/>
        </w:rPr>
      </w:pPr>
      <w:r w:rsidRPr="00457F66">
        <w:rPr>
          <w:rStyle w:val="cursor-pointer"/>
          <w:rFonts w:ascii="Arial" w:hAnsi="Arial" w:cs="Arial"/>
          <w:sz w:val="22"/>
          <w:szCs w:val="22"/>
        </w:rPr>
        <w:br w:type="page"/>
      </w:r>
    </w:p>
    <w:p w14:paraId="71DE2900" w14:textId="09D9BE3C" w:rsidR="00E358E2" w:rsidRPr="00457F66" w:rsidRDefault="00E358E2" w:rsidP="008452C0">
      <w:pPr>
        <w:pStyle w:val="Heading1"/>
        <w:spacing w:line="360" w:lineRule="auto"/>
      </w:pPr>
      <w:bookmarkStart w:id="80" w:name="_Toc240922995"/>
      <w:r w:rsidRPr="00457F66">
        <w:t>APPENDIX A</w:t>
      </w:r>
      <w:r w:rsidR="00077402" w:rsidRPr="00457F66">
        <w:t xml:space="preserve"> — PRISMA 2020 Flow Diagram</w:t>
      </w:r>
      <w:bookmarkEnd w:id="80"/>
    </w:p>
    <w:p w14:paraId="2C9AA273" w14:textId="6FB56A70" w:rsidR="005F1F7C" w:rsidRPr="00457F66" w:rsidRDefault="005F1F7C" w:rsidP="008452C0">
      <w:pPr>
        <w:spacing w:after="160" w:line="360" w:lineRule="auto"/>
        <w:jc w:val="both"/>
        <w:rPr>
          <w:rStyle w:val="cursor-pointer"/>
          <w:rFonts w:ascii="Arial" w:hAnsi="Arial" w:cs="Arial"/>
          <w:sz w:val="22"/>
          <w:szCs w:val="22"/>
        </w:rPr>
      </w:pPr>
      <w:r w:rsidRPr="00457F66">
        <w:rPr>
          <w:rFonts w:ascii="Arial" w:hAnsi="Arial" w:cs="Arial"/>
          <w:noProof/>
          <w:sz w:val="22"/>
          <w:szCs w:val="22"/>
        </w:rPr>
        <w:drawing>
          <wp:inline distT="0" distB="0" distL="0" distR="0" wp14:anchorId="0A1EC2FA" wp14:editId="40A3C825">
            <wp:extent cx="5730240" cy="5608320"/>
            <wp:effectExtent l="0" t="0" r="3810" b="0"/>
            <wp:docPr id="668325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30240" cy="5608320"/>
                    </a:xfrm>
                    <a:prstGeom prst="rect">
                      <a:avLst/>
                    </a:prstGeom>
                    <a:noFill/>
                    <a:ln>
                      <a:noFill/>
                    </a:ln>
                    <a:extLst>
                      <a:ext uri="{53640926-AAD7-44D8-BBD7-CCE9431645EC}">
                        <a14:shadowObscured xmlns:a14="http://schemas.microsoft.com/office/drawing/2010/main"/>
                      </a:ext>
                    </a:extLst>
                  </pic:spPr>
                </pic:pic>
              </a:graphicData>
            </a:graphic>
          </wp:inline>
        </w:drawing>
      </w:r>
    </w:p>
    <w:p w14:paraId="1DC1390F" w14:textId="095832F1" w:rsidR="005F1F7C" w:rsidRPr="00457F66" w:rsidRDefault="005F1F7C" w:rsidP="008452C0">
      <w:pPr>
        <w:spacing w:after="240" w:line="360" w:lineRule="auto"/>
        <w:rPr>
          <w:rStyle w:val="cursor-pointer"/>
          <w:rFonts w:ascii="Arial" w:hAnsi="Arial" w:cs="Arial"/>
          <w:sz w:val="22"/>
          <w:szCs w:val="22"/>
        </w:rPr>
      </w:pPr>
      <w:r w:rsidRPr="00457F66">
        <w:rPr>
          <w:rStyle w:val="cursor-pointer"/>
          <w:rFonts w:ascii="Arial" w:hAnsi="Arial" w:cs="Arial"/>
          <w:sz w:val="22"/>
          <w:szCs w:val="22"/>
        </w:rPr>
        <w:br w:type="page"/>
      </w:r>
      <w:r w:rsidR="00077402" w:rsidRPr="00457F66">
        <w:rPr>
          <w:rStyle w:val="Emphasis"/>
          <w:rFonts w:ascii="Arial" w:hAnsi="Arial" w:cs="Arial"/>
        </w:rPr>
        <w:t>Figure A.1: PRISMA 2020 flow diagram showing the study selection process for this systematic review (n = 15 included studies). Adapted from Page et al. (2021).</w:t>
      </w:r>
    </w:p>
    <w:p w14:paraId="75551E3F" w14:textId="0F591BDD" w:rsidR="0008262A" w:rsidRPr="00457F66" w:rsidRDefault="00E358E2" w:rsidP="008452C0">
      <w:pPr>
        <w:pStyle w:val="Heading1"/>
        <w:spacing w:line="360" w:lineRule="auto"/>
      </w:pPr>
      <w:bookmarkStart w:id="81" w:name="_Toc240922996"/>
      <w:r w:rsidRPr="00457F66">
        <w:t xml:space="preserve">APPENDIX B </w:t>
      </w:r>
      <w:r w:rsidR="0008262A" w:rsidRPr="00457F66">
        <w:t>— Included Studies Table</w:t>
      </w:r>
      <w:bookmarkEnd w:id="81"/>
    </w:p>
    <w:tbl>
      <w:tblPr>
        <w:tblpPr w:leftFromText="180" w:rightFromText="180" w:vertAnchor="text" w:horzAnchor="page" w:tblpXSpec="center" w:tblpY="287"/>
        <w:tblW w:w="8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51"/>
        <w:gridCol w:w="1001"/>
        <w:gridCol w:w="1011"/>
        <w:gridCol w:w="1131"/>
        <w:gridCol w:w="1171"/>
        <w:gridCol w:w="1441"/>
        <w:gridCol w:w="901"/>
        <w:gridCol w:w="661"/>
      </w:tblGrid>
      <w:tr w:rsidR="009F7234" w:rsidRPr="00457F66" w14:paraId="5DFF4D52" w14:textId="77777777" w:rsidTr="009F7234">
        <w:trPr>
          <w:trHeight w:val="445"/>
          <w:tblHeader/>
        </w:trPr>
        <w:tc>
          <w:tcPr>
            <w:tcW w:w="851" w:type="dxa"/>
            <w:tcBorders>
              <w:top w:val="single" w:sz="4" w:space="0" w:color="auto"/>
              <w:left w:val="single" w:sz="4" w:space="0" w:color="auto"/>
              <w:bottom w:val="single" w:sz="4" w:space="0" w:color="auto"/>
              <w:right w:val="single" w:sz="4" w:space="0" w:color="auto"/>
            </w:tcBorders>
            <w:shd w:val="clear" w:color="auto" w:fill="003087"/>
            <w:hideMark/>
          </w:tcPr>
          <w:p w14:paraId="43134F2C"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Author(s) &amp; Year</w:t>
            </w:r>
          </w:p>
        </w:tc>
        <w:tc>
          <w:tcPr>
            <w:tcW w:w="1001" w:type="dxa"/>
            <w:tcBorders>
              <w:top w:val="single" w:sz="4" w:space="0" w:color="auto"/>
              <w:left w:val="single" w:sz="4" w:space="0" w:color="auto"/>
              <w:bottom w:val="single" w:sz="4" w:space="0" w:color="auto"/>
              <w:right w:val="single" w:sz="4" w:space="0" w:color="auto"/>
            </w:tcBorders>
            <w:shd w:val="clear" w:color="auto" w:fill="003087"/>
            <w:hideMark/>
          </w:tcPr>
          <w:p w14:paraId="56D113BD"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Study Design</w:t>
            </w:r>
          </w:p>
        </w:tc>
        <w:tc>
          <w:tcPr>
            <w:tcW w:w="1011" w:type="dxa"/>
            <w:tcBorders>
              <w:top w:val="single" w:sz="4" w:space="0" w:color="auto"/>
              <w:left w:val="single" w:sz="4" w:space="0" w:color="auto"/>
              <w:bottom w:val="single" w:sz="4" w:space="0" w:color="auto"/>
              <w:right w:val="single" w:sz="4" w:space="0" w:color="auto"/>
            </w:tcBorders>
            <w:shd w:val="clear" w:color="auto" w:fill="003087"/>
            <w:hideMark/>
          </w:tcPr>
          <w:p w14:paraId="2DEF21D0"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Country / Setting</w:t>
            </w:r>
          </w:p>
        </w:tc>
        <w:tc>
          <w:tcPr>
            <w:tcW w:w="1131" w:type="dxa"/>
            <w:tcBorders>
              <w:top w:val="single" w:sz="4" w:space="0" w:color="auto"/>
              <w:left w:val="single" w:sz="4" w:space="0" w:color="auto"/>
              <w:bottom w:val="single" w:sz="4" w:space="0" w:color="auto"/>
              <w:right w:val="single" w:sz="4" w:space="0" w:color="auto"/>
            </w:tcBorders>
            <w:shd w:val="clear" w:color="auto" w:fill="003087"/>
            <w:hideMark/>
          </w:tcPr>
          <w:p w14:paraId="49F0EE78"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Sample</w:t>
            </w:r>
          </w:p>
        </w:tc>
        <w:tc>
          <w:tcPr>
            <w:tcW w:w="1171" w:type="dxa"/>
            <w:tcBorders>
              <w:top w:val="single" w:sz="4" w:space="0" w:color="auto"/>
              <w:left w:val="single" w:sz="4" w:space="0" w:color="auto"/>
              <w:bottom w:val="single" w:sz="4" w:space="0" w:color="auto"/>
              <w:right w:val="single" w:sz="4" w:space="0" w:color="auto"/>
            </w:tcBorders>
            <w:shd w:val="clear" w:color="auto" w:fill="003087"/>
            <w:hideMark/>
          </w:tcPr>
          <w:p w14:paraId="3AF95D7E"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Aim</w:t>
            </w:r>
          </w:p>
        </w:tc>
        <w:tc>
          <w:tcPr>
            <w:tcW w:w="1441" w:type="dxa"/>
            <w:tcBorders>
              <w:top w:val="single" w:sz="4" w:space="0" w:color="auto"/>
              <w:left w:val="single" w:sz="4" w:space="0" w:color="auto"/>
              <w:bottom w:val="single" w:sz="4" w:space="0" w:color="auto"/>
              <w:right w:val="single" w:sz="4" w:space="0" w:color="auto"/>
            </w:tcBorders>
            <w:shd w:val="clear" w:color="auto" w:fill="003087"/>
            <w:hideMark/>
          </w:tcPr>
          <w:p w14:paraId="0B8473D5"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Key Findings</w:t>
            </w:r>
          </w:p>
        </w:tc>
        <w:tc>
          <w:tcPr>
            <w:tcW w:w="901" w:type="dxa"/>
            <w:tcBorders>
              <w:top w:val="single" w:sz="4" w:space="0" w:color="auto"/>
              <w:left w:val="single" w:sz="4" w:space="0" w:color="auto"/>
              <w:bottom w:val="single" w:sz="4" w:space="0" w:color="auto"/>
              <w:right w:val="single" w:sz="4" w:space="0" w:color="auto"/>
            </w:tcBorders>
            <w:shd w:val="clear" w:color="auto" w:fill="003087"/>
            <w:hideMark/>
          </w:tcPr>
          <w:p w14:paraId="735C69AC"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Appraisal Tool</w:t>
            </w:r>
          </w:p>
        </w:tc>
        <w:tc>
          <w:tcPr>
            <w:tcW w:w="661" w:type="dxa"/>
            <w:tcBorders>
              <w:top w:val="single" w:sz="4" w:space="0" w:color="auto"/>
              <w:left w:val="single" w:sz="4" w:space="0" w:color="auto"/>
              <w:bottom w:val="single" w:sz="4" w:space="0" w:color="auto"/>
              <w:right w:val="single" w:sz="4" w:space="0" w:color="auto"/>
            </w:tcBorders>
            <w:shd w:val="clear" w:color="auto" w:fill="003087"/>
            <w:hideMark/>
          </w:tcPr>
          <w:p w14:paraId="3B4EEDA3" w14:textId="77777777" w:rsidR="009F7234" w:rsidRPr="00457F66" w:rsidRDefault="009F7234" w:rsidP="008452C0">
            <w:pPr>
              <w:spacing w:before="60" w:after="60" w:line="360" w:lineRule="auto"/>
              <w:rPr>
                <w:rFonts w:ascii="Arial" w:hAnsi="Arial" w:cs="Arial"/>
                <w:sz w:val="18"/>
                <w:szCs w:val="18"/>
              </w:rPr>
            </w:pPr>
            <w:r w:rsidRPr="00457F66">
              <w:rPr>
                <w:rFonts w:ascii="Arial" w:eastAsia="Arial" w:hAnsi="Arial" w:cs="Arial"/>
                <w:b/>
                <w:bCs/>
                <w:color w:val="FFFFFF"/>
                <w:sz w:val="18"/>
                <w:szCs w:val="18"/>
              </w:rPr>
              <w:t>Quality Rating</w:t>
            </w:r>
          </w:p>
        </w:tc>
      </w:tr>
      <w:tr w:rsidR="009F7234" w:rsidRPr="00457F66" w14:paraId="10B202E1" w14:textId="77777777" w:rsidTr="009F7234">
        <w:trPr>
          <w:trHeight w:val="1676"/>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26462B1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Gunner et al. (2019)</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6CEFE53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Qualitative (semi-structured interviews)</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4A38B92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UK — West Midlands primary care</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7D250A0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25 homeless adults</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10FE931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Explore provision and accessibility of primary healthcare for homeless patients</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115DF6E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Stigma, loss of dignity, and bureaucratic processes identified as core barriers; negative consultations deterred future GP engagement</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5CD6E1E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CASP Qualitative</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3AA6164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266698E5" w14:textId="77777777" w:rsidTr="009F7234">
        <w:trPr>
          <w:trHeight w:val="1845"/>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18253E18"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Elwell-Sutton et al. (2017)</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67CBD5B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Cross-sectional survey</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11D2B3C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 19 regions</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5B46F0F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2,505 homeless adults</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4B98201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Investigate factors associated with healthcare access and utilisation among homeless people</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261491D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GP registration significantly predicted healthcare utilisation; unregistered individuals disproportionately reliant on A&amp;E</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7E2C8DE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JBI Cross-sectional</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0E4C7664"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1C411535" w14:textId="77777777" w:rsidTr="009F7234">
        <w:trPr>
          <w:trHeight w:val="1676"/>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4904565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McNeill et al. (2022)</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4672316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Scoping review</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25DF4EA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UK and Ireland</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02D8787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34 included studies</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459332D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Review evidence on healthcare access for homeless people in UK and Ireland</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3B13583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Identified multi-level structural, institutional and individual barriers; specialist models outperformed mainstream provision</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702C70E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CASP Systematic Review</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73F5155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3036FF8A" w14:textId="77777777" w:rsidTr="009F7234">
        <w:trPr>
          <w:trHeight w:val="1845"/>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07D7614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Armstrong et al. (2021)</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6CBCB90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Qualitative (interviews)</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1F12937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UK — hostels, multiple sites</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26AFFAF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Hostel staff and residents</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483AF10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Examine barriers and facilitators to health and social care access from hostel settings</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183D6E9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Shortened consultations, dismissive attitudes, and inflexible appointment systems identified as key institutional barriers</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07C8508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CASP Qualitative</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2AC705D1"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2488FE2D" w14:textId="77777777" w:rsidTr="009F7234">
        <w:trPr>
          <w:trHeight w:val="1491"/>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48F6181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Hodson et al. (2019)</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240704B9"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Mixed methods audit</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3C4CE2E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London — 10 boroughs</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6CAAA75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100 GP practice websites</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69E391F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Audit compliance with NHS registration guidance for homeless patients on GP websites</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5A64BD2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75% required documentation unlawfully; only 12% offered alternatives for those without documentation</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65BA4382"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JBI Cross-sectional</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35BCBC1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17B07812" w14:textId="77777777" w:rsidTr="009F7234">
        <w:trPr>
          <w:trHeight w:val="1261"/>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368BB7D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Lewer et al. (2019)</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2917EB5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Cross-sectional comparative study</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15ABA88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 London and Birmingham</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756DAAB8"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1,336 homeless vs 13,360 matched controls</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0B3B46F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Compare health-related quality of life and chronic disease between homeless and housed populations</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7C1E176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Homeless adults significantly more likely to experience 5 of 6 major chronic conditions than even the most deprived housed quintile</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29754BB9"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JBI Cross-sectional</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13E6C8C2"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7B3367BB" w14:textId="77777777" w:rsidTr="009F7234">
        <w:trPr>
          <w:trHeight w:val="123"/>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67FB09D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Aldridge et al. (2019)</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24B5DCB2"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Population-based cross-sectional analysis</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6FE04CB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 national linked data</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0AECD1B8"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National administrative dataset</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3A36386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Examine causes of death among homeless people in England</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4D1F19A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30.2% of deaths amenable to timely primary healthcare; exceeds 23.0% in most deprived housed quintile</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3D2882D2"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JBI Cross-sectional</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562F99F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080E8383" w14:textId="77777777" w:rsidTr="009F7234">
        <w:trPr>
          <w:trHeight w:val="123"/>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7E1F758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Guise et al. (2025)</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17EDB5E9"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Cross-sectional pilot survey</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15685FB9"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South London</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602CF8E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74 homeless adults</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38556E5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Explore stigma and discrimination experiences in health settings</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4076D0D4"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65% reported unfair treatment; prevalence increased with comorbidity burden</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29362AF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JBI Cross-sectional</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1E1ADFF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Medium (pilot)</w:t>
            </w:r>
          </w:p>
        </w:tc>
      </w:tr>
      <w:tr w:rsidR="009F7234" w:rsidRPr="00457F66" w14:paraId="10266540" w14:textId="77777777" w:rsidTr="009F7234">
        <w:trPr>
          <w:trHeight w:val="123"/>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2FD7F35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Howard, Low and Howard (2025)</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0A9EED4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Qualitative (interviews)</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0E02929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Manchester, England</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13BF839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Homeless adults and service providers</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35287A5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Explore ways to improve healthcare service access for homeless adults</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6CEB56A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Co-location, trusted key workers, and flexible drop-in models identified as the most effective facilitators</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1B68B4E4"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CASP Qualitative</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1AF04F7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Medium (geog. limited)</w:t>
            </w:r>
          </w:p>
        </w:tc>
      </w:tr>
      <w:tr w:rsidR="009F7234" w:rsidRPr="00457F66" w14:paraId="0BBE97C9" w14:textId="77777777" w:rsidTr="009F7234">
        <w:trPr>
          <w:trHeight w:val="123"/>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2C06FEE0"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Aldridge et al. (2018)</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236C9AD0"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Systematic review and meta-analysis</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187BE35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High-income countries — international</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63CC9EB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73 included studies</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3BF2FD0C"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Examine morbidity and mortality among homeless and other excluded populations</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73E2924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Standardised mortality ratio 7.88 (men) and 11.86 (women); extreme premature mortality confirmed across high-income settings</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561243E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CASP Systematic Review</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15C3988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3B2D85F6" w14:textId="77777777" w:rsidTr="009F7234">
        <w:trPr>
          <w:trHeight w:val="123"/>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29D1A45B" w14:textId="77777777" w:rsidR="009F7234" w:rsidRPr="00457F66" w:rsidRDefault="009F7234" w:rsidP="008452C0">
            <w:pPr>
              <w:spacing w:line="360" w:lineRule="auto"/>
              <w:rPr>
                <w:rFonts w:ascii="Arial" w:hAnsi="Arial" w:cs="Arial"/>
                <w:sz w:val="18"/>
                <w:szCs w:val="18"/>
              </w:rPr>
            </w:pPr>
            <w:proofErr w:type="spellStart"/>
            <w:r w:rsidRPr="00457F66">
              <w:rPr>
                <w:rFonts w:ascii="Arial" w:eastAsia="Arial" w:hAnsi="Arial" w:cs="Arial"/>
                <w:sz w:val="18"/>
                <w:szCs w:val="18"/>
              </w:rPr>
              <w:t>Luchenski</w:t>
            </w:r>
            <w:proofErr w:type="spellEnd"/>
            <w:r w:rsidRPr="00457F66">
              <w:rPr>
                <w:rFonts w:ascii="Arial" w:eastAsia="Arial" w:hAnsi="Arial" w:cs="Arial"/>
                <w:sz w:val="18"/>
                <w:szCs w:val="18"/>
              </w:rPr>
              <w:t xml:space="preserve"> et al. (2018)</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6A9B029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Systematic review</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57BF11E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International — inclusion health populations</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581F9E58"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Multiple included studies</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500A695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Identify effective interventions for marginalised and excluded populations</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3A78F4F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Proactive outreach models consistently outperform passive mainstream services; access failures are systemic, not individual</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4D5B96C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CASP Systematic Review</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4DB53134"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399164B7" w14:textId="77777777" w:rsidTr="009F7234">
        <w:trPr>
          <w:trHeight w:val="123"/>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5C7901B0"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NICE (2022) NG214</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2942962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Clinical guideline (grey literature)</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7A8822FF"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 national guideline</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53B38AF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N/A</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29E823F1"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Provide evidence-based guidance on integrated health and social care for homeless people</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49B79D1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Confirms legal right to GP registration; recommends trauma-informed care, flexible access, outreach, and integrated services</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241201E0"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AACODS</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61DEC0A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337B4084" w14:textId="77777777" w:rsidTr="009F7234">
        <w:trPr>
          <w:trHeight w:val="1491"/>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19D1941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ONS (2022)</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182B7833"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National statistical report (grey literature)</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56AEEC5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and Wales — national statistics</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0FAD4E60"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741 recorded deaths</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06A4760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Report on deaths of homeless people in England and Wales: 2021 registrations</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6E5059AE"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741 deaths recorded; mean age 45.4 (men) and 43.2 (women) — approximately 30 years below national average</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1B8D6D70"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AACODS</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1BAC13A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5DA225D8" w14:textId="77777777" w:rsidTr="009F7234">
        <w:trPr>
          <w:trHeight w:val="1491"/>
        </w:trPr>
        <w:tc>
          <w:tcPr>
            <w:tcW w:w="851" w:type="dxa"/>
            <w:tcBorders>
              <w:top w:val="single" w:sz="4" w:space="0" w:color="auto"/>
              <w:left w:val="single" w:sz="4" w:space="0" w:color="auto"/>
              <w:bottom w:val="single" w:sz="4" w:space="0" w:color="auto"/>
              <w:right w:val="single" w:sz="4" w:space="0" w:color="auto"/>
            </w:tcBorders>
            <w:shd w:val="clear" w:color="auto" w:fill="E8F0FA"/>
            <w:hideMark/>
          </w:tcPr>
          <w:p w14:paraId="1A66E70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Marmot et al. (2020)</w:t>
            </w:r>
          </w:p>
        </w:tc>
        <w:tc>
          <w:tcPr>
            <w:tcW w:w="1001" w:type="dxa"/>
            <w:tcBorders>
              <w:top w:val="single" w:sz="4" w:space="0" w:color="auto"/>
              <w:left w:val="single" w:sz="4" w:space="0" w:color="auto"/>
              <w:bottom w:val="single" w:sz="4" w:space="0" w:color="auto"/>
              <w:right w:val="single" w:sz="4" w:space="0" w:color="auto"/>
            </w:tcBorders>
            <w:shd w:val="clear" w:color="auto" w:fill="E8F0FA"/>
            <w:hideMark/>
          </w:tcPr>
          <w:p w14:paraId="78BA315D"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Policy review (grey literature)</w:t>
            </w:r>
          </w:p>
        </w:tc>
        <w:tc>
          <w:tcPr>
            <w:tcW w:w="1011" w:type="dxa"/>
            <w:tcBorders>
              <w:top w:val="single" w:sz="4" w:space="0" w:color="auto"/>
              <w:left w:val="single" w:sz="4" w:space="0" w:color="auto"/>
              <w:bottom w:val="single" w:sz="4" w:space="0" w:color="auto"/>
              <w:right w:val="single" w:sz="4" w:space="0" w:color="auto"/>
            </w:tcBorders>
            <w:shd w:val="clear" w:color="auto" w:fill="E8F0FA"/>
            <w:hideMark/>
          </w:tcPr>
          <w:p w14:paraId="1A04A89C"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 national review</w:t>
            </w:r>
          </w:p>
        </w:tc>
        <w:tc>
          <w:tcPr>
            <w:tcW w:w="1131" w:type="dxa"/>
            <w:tcBorders>
              <w:top w:val="single" w:sz="4" w:space="0" w:color="auto"/>
              <w:left w:val="single" w:sz="4" w:space="0" w:color="auto"/>
              <w:bottom w:val="single" w:sz="4" w:space="0" w:color="auto"/>
              <w:right w:val="single" w:sz="4" w:space="0" w:color="auto"/>
            </w:tcBorders>
            <w:shd w:val="clear" w:color="auto" w:fill="E8F0FA"/>
            <w:hideMark/>
          </w:tcPr>
          <w:p w14:paraId="3FC52AD5"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National population data</w:t>
            </w:r>
          </w:p>
        </w:tc>
        <w:tc>
          <w:tcPr>
            <w:tcW w:w="1171" w:type="dxa"/>
            <w:tcBorders>
              <w:top w:val="single" w:sz="4" w:space="0" w:color="auto"/>
              <w:left w:val="single" w:sz="4" w:space="0" w:color="auto"/>
              <w:bottom w:val="single" w:sz="4" w:space="0" w:color="auto"/>
              <w:right w:val="single" w:sz="4" w:space="0" w:color="auto"/>
            </w:tcBorders>
            <w:shd w:val="clear" w:color="auto" w:fill="E8F0FA"/>
            <w:hideMark/>
          </w:tcPr>
          <w:p w14:paraId="0A091622"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Assess health equity in England a decade after the original Marmot Review</w:t>
            </w:r>
          </w:p>
        </w:tc>
        <w:tc>
          <w:tcPr>
            <w:tcW w:w="1441" w:type="dxa"/>
            <w:tcBorders>
              <w:top w:val="single" w:sz="4" w:space="0" w:color="auto"/>
              <w:left w:val="single" w:sz="4" w:space="0" w:color="auto"/>
              <w:bottom w:val="single" w:sz="4" w:space="0" w:color="auto"/>
              <w:right w:val="single" w:sz="4" w:space="0" w:color="auto"/>
            </w:tcBorders>
            <w:shd w:val="clear" w:color="auto" w:fill="E8F0FA"/>
            <w:hideMark/>
          </w:tcPr>
          <w:p w14:paraId="19A2C748"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Sustained austerity widened health inequalities and increased homelessness; structural policy failure is the root cause</w:t>
            </w:r>
          </w:p>
        </w:tc>
        <w:tc>
          <w:tcPr>
            <w:tcW w:w="901" w:type="dxa"/>
            <w:tcBorders>
              <w:top w:val="single" w:sz="4" w:space="0" w:color="auto"/>
              <w:left w:val="single" w:sz="4" w:space="0" w:color="auto"/>
              <w:bottom w:val="single" w:sz="4" w:space="0" w:color="auto"/>
              <w:right w:val="single" w:sz="4" w:space="0" w:color="auto"/>
            </w:tcBorders>
            <w:shd w:val="clear" w:color="auto" w:fill="E8F0FA"/>
            <w:hideMark/>
          </w:tcPr>
          <w:p w14:paraId="14C3E01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AACODS</w:t>
            </w:r>
          </w:p>
        </w:tc>
        <w:tc>
          <w:tcPr>
            <w:tcW w:w="661" w:type="dxa"/>
            <w:tcBorders>
              <w:top w:val="single" w:sz="4" w:space="0" w:color="auto"/>
              <w:left w:val="single" w:sz="4" w:space="0" w:color="auto"/>
              <w:bottom w:val="single" w:sz="4" w:space="0" w:color="auto"/>
              <w:right w:val="single" w:sz="4" w:space="0" w:color="auto"/>
            </w:tcBorders>
            <w:shd w:val="clear" w:color="auto" w:fill="E8F0FA"/>
            <w:hideMark/>
          </w:tcPr>
          <w:p w14:paraId="3978780C"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r w:rsidR="009F7234" w:rsidRPr="00457F66" w14:paraId="661DDD5D" w14:textId="77777777" w:rsidTr="009F7234">
        <w:trPr>
          <w:trHeight w:val="1845"/>
        </w:trPr>
        <w:tc>
          <w:tcPr>
            <w:tcW w:w="851" w:type="dxa"/>
            <w:tcBorders>
              <w:top w:val="single" w:sz="4" w:space="0" w:color="auto"/>
              <w:left w:val="single" w:sz="4" w:space="0" w:color="auto"/>
              <w:bottom w:val="single" w:sz="4" w:space="0" w:color="auto"/>
              <w:right w:val="single" w:sz="4" w:space="0" w:color="auto"/>
            </w:tcBorders>
            <w:shd w:val="clear" w:color="auto" w:fill="FFFFFF"/>
            <w:hideMark/>
          </w:tcPr>
          <w:p w14:paraId="3092C63B"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Watts-Cobbe et al. (2025)</w:t>
            </w:r>
          </w:p>
        </w:tc>
        <w:tc>
          <w:tcPr>
            <w:tcW w:w="1001" w:type="dxa"/>
            <w:tcBorders>
              <w:top w:val="single" w:sz="4" w:space="0" w:color="auto"/>
              <w:left w:val="single" w:sz="4" w:space="0" w:color="auto"/>
              <w:bottom w:val="single" w:sz="4" w:space="0" w:color="auto"/>
              <w:right w:val="single" w:sz="4" w:space="0" w:color="auto"/>
            </w:tcBorders>
            <w:shd w:val="clear" w:color="auto" w:fill="FFFFFF"/>
            <w:hideMark/>
          </w:tcPr>
          <w:p w14:paraId="09CB9B74"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Annual monitoring report (grey literature)</w:t>
            </w:r>
          </w:p>
        </w:tc>
        <w:tc>
          <w:tcPr>
            <w:tcW w:w="1011" w:type="dxa"/>
            <w:tcBorders>
              <w:top w:val="single" w:sz="4" w:space="0" w:color="auto"/>
              <w:left w:val="single" w:sz="4" w:space="0" w:color="auto"/>
              <w:bottom w:val="single" w:sz="4" w:space="0" w:color="auto"/>
              <w:right w:val="single" w:sz="4" w:space="0" w:color="auto"/>
            </w:tcBorders>
            <w:shd w:val="clear" w:color="auto" w:fill="FFFFFF"/>
            <w:hideMark/>
          </w:tcPr>
          <w:p w14:paraId="631778B2"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England — national monitor</w:t>
            </w:r>
          </w:p>
        </w:tc>
        <w:tc>
          <w:tcPr>
            <w:tcW w:w="1131" w:type="dxa"/>
            <w:tcBorders>
              <w:top w:val="single" w:sz="4" w:space="0" w:color="auto"/>
              <w:left w:val="single" w:sz="4" w:space="0" w:color="auto"/>
              <w:bottom w:val="single" w:sz="4" w:space="0" w:color="auto"/>
              <w:right w:val="single" w:sz="4" w:space="0" w:color="auto"/>
            </w:tcBorders>
            <w:shd w:val="clear" w:color="auto" w:fill="FFFFFF"/>
            <w:hideMark/>
          </w:tcPr>
          <w:p w14:paraId="167E306A"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National survey and audit data</w:t>
            </w:r>
          </w:p>
        </w:tc>
        <w:tc>
          <w:tcPr>
            <w:tcW w:w="1171" w:type="dxa"/>
            <w:tcBorders>
              <w:top w:val="single" w:sz="4" w:space="0" w:color="auto"/>
              <w:left w:val="single" w:sz="4" w:space="0" w:color="auto"/>
              <w:bottom w:val="single" w:sz="4" w:space="0" w:color="auto"/>
              <w:right w:val="single" w:sz="4" w:space="0" w:color="auto"/>
            </w:tcBorders>
            <w:shd w:val="clear" w:color="auto" w:fill="FFFFFF"/>
            <w:hideMark/>
          </w:tcPr>
          <w:p w14:paraId="02140DA1"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Monitor and report on the extent and nature of homelessness in England</w:t>
            </w:r>
          </w:p>
        </w:tc>
        <w:tc>
          <w:tcPr>
            <w:tcW w:w="1441" w:type="dxa"/>
            <w:tcBorders>
              <w:top w:val="single" w:sz="4" w:space="0" w:color="auto"/>
              <w:left w:val="single" w:sz="4" w:space="0" w:color="auto"/>
              <w:bottom w:val="single" w:sz="4" w:space="0" w:color="auto"/>
              <w:right w:val="single" w:sz="4" w:space="0" w:color="auto"/>
            </w:tcBorders>
            <w:shd w:val="clear" w:color="auto" w:fill="FFFFFF"/>
            <w:hideMark/>
          </w:tcPr>
          <w:p w14:paraId="565B9907"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299,100 households in acute homelessness in 2024 (45% increase since 2012); GP registration refusals persist post-NG214</w:t>
            </w:r>
          </w:p>
        </w:tc>
        <w:tc>
          <w:tcPr>
            <w:tcW w:w="901" w:type="dxa"/>
            <w:tcBorders>
              <w:top w:val="single" w:sz="4" w:space="0" w:color="auto"/>
              <w:left w:val="single" w:sz="4" w:space="0" w:color="auto"/>
              <w:bottom w:val="single" w:sz="4" w:space="0" w:color="auto"/>
              <w:right w:val="single" w:sz="4" w:space="0" w:color="auto"/>
            </w:tcBorders>
            <w:shd w:val="clear" w:color="auto" w:fill="FFFFFF"/>
            <w:hideMark/>
          </w:tcPr>
          <w:p w14:paraId="130A7C9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AACODS</w:t>
            </w:r>
          </w:p>
        </w:tc>
        <w:tc>
          <w:tcPr>
            <w:tcW w:w="661" w:type="dxa"/>
            <w:tcBorders>
              <w:top w:val="single" w:sz="4" w:space="0" w:color="auto"/>
              <w:left w:val="single" w:sz="4" w:space="0" w:color="auto"/>
              <w:bottom w:val="single" w:sz="4" w:space="0" w:color="auto"/>
              <w:right w:val="single" w:sz="4" w:space="0" w:color="auto"/>
            </w:tcBorders>
            <w:shd w:val="clear" w:color="auto" w:fill="FFFFFF"/>
            <w:hideMark/>
          </w:tcPr>
          <w:p w14:paraId="145A4536" w14:textId="77777777" w:rsidR="009F7234" w:rsidRPr="00457F66" w:rsidRDefault="009F7234" w:rsidP="008452C0">
            <w:pPr>
              <w:spacing w:line="360" w:lineRule="auto"/>
              <w:rPr>
                <w:rFonts w:ascii="Arial" w:hAnsi="Arial" w:cs="Arial"/>
                <w:sz w:val="18"/>
                <w:szCs w:val="18"/>
              </w:rPr>
            </w:pPr>
            <w:r w:rsidRPr="00457F66">
              <w:rPr>
                <w:rFonts w:ascii="Arial" w:eastAsia="Arial" w:hAnsi="Arial" w:cs="Arial"/>
                <w:sz w:val="18"/>
                <w:szCs w:val="18"/>
              </w:rPr>
              <w:t>High</w:t>
            </w:r>
          </w:p>
        </w:tc>
      </w:tr>
    </w:tbl>
    <w:p w14:paraId="5D76482D" w14:textId="77777777" w:rsidR="0008262A" w:rsidRPr="00457F66" w:rsidRDefault="0008262A" w:rsidP="008452C0">
      <w:pPr>
        <w:spacing w:line="360" w:lineRule="auto"/>
        <w:rPr>
          <w:rFonts w:ascii="Arial" w:hAnsi="Arial" w:cs="Arial"/>
        </w:rPr>
      </w:pPr>
      <w:r w:rsidRPr="00457F66">
        <w:rPr>
          <w:rFonts w:ascii="Arial" w:eastAsia="Arial" w:hAnsi="Arial" w:cs="Arial"/>
          <w:i/>
          <w:iCs/>
          <w:color w:val="555555"/>
          <w:sz w:val="18"/>
          <w:szCs w:val="18"/>
        </w:rPr>
        <w:t>Table B.1: Summary of the 15 studies included in the systematic review, showing study design, setting, sample, aim, key</w:t>
      </w:r>
      <w:r w:rsidRPr="00457F66">
        <w:rPr>
          <w:rFonts w:ascii="Arial" w:eastAsia="Arial" w:hAnsi="Arial" w:cs="Arial"/>
          <w:i/>
          <w:iCs/>
          <w:color w:val="555555"/>
          <w:sz w:val="16"/>
          <w:szCs w:val="16"/>
        </w:rPr>
        <w:t xml:space="preserve"> findings, appraisal tool used, and overall quality rating.</w:t>
      </w:r>
    </w:p>
    <w:p w14:paraId="22FDB967" w14:textId="2D50C32D" w:rsidR="00E358E2" w:rsidRPr="00457F66" w:rsidRDefault="00E358E2" w:rsidP="008452C0">
      <w:pPr>
        <w:spacing w:after="160" w:line="360" w:lineRule="auto"/>
        <w:jc w:val="both"/>
        <w:rPr>
          <w:rFonts w:ascii="Arial" w:hAnsi="Arial" w:cs="Arial"/>
          <w:b/>
          <w:bCs/>
          <w:color w:val="003087"/>
          <w:sz w:val="22"/>
          <w:szCs w:val="22"/>
        </w:rPr>
      </w:pPr>
      <w:r w:rsidRPr="00457F66">
        <w:rPr>
          <w:rFonts w:ascii="Arial" w:hAnsi="Arial" w:cs="Arial"/>
          <w:b/>
          <w:bCs/>
          <w:color w:val="003087"/>
          <w:sz w:val="22"/>
          <w:szCs w:val="22"/>
        </w:rPr>
        <w:br w:type="page"/>
      </w:r>
    </w:p>
    <w:p w14:paraId="6B31AC0E" w14:textId="35A556BF" w:rsidR="005A34E8" w:rsidRPr="00457F66" w:rsidRDefault="005A34E8" w:rsidP="008452C0">
      <w:pPr>
        <w:pStyle w:val="Heading1"/>
        <w:spacing w:line="360" w:lineRule="auto"/>
      </w:pPr>
      <w:bookmarkStart w:id="82" w:name="_Toc240922997"/>
      <w:r w:rsidRPr="00457F66">
        <w:t>APPENDIX C — Data Extraction Table: 15 Included Studies</w:t>
      </w:r>
      <w:bookmarkEnd w:id="82"/>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12"/>
        <w:gridCol w:w="1170"/>
        <w:gridCol w:w="1168"/>
        <w:gridCol w:w="1131"/>
        <w:gridCol w:w="1531"/>
        <w:gridCol w:w="1707"/>
        <w:gridCol w:w="1181"/>
      </w:tblGrid>
      <w:tr w:rsidR="005A34E8" w:rsidRPr="00457F66" w14:paraId="6B559738" w14:textId="77777777" w:rsidTr="0069267A">
        <w:trPr>
          <w:tblHeader/>
        </w:trPr>
        <w:tc>
          <w:tcPr>
            <w:tcW w:w="1400" w:type="dxa"/>
            <w:tcBorders>
              <w:top w:val="single" w:sz="4" w:space="0" w:color="auto"/>
              <w:left w:val="single" w:sz="4" w:space="0" w:color="auto"/>
              <w:bottom w:val="single" w:sz="4" w:space="0" w:color="auto"/>
              <w:right w:val="single" w:sz="4" w:space="0" w:color="auto"/>
            </w:tcBorders>
            <w:shd w:val="clear" w:color="auto" w:fill="003087"/>
            <w:hideMark/>
          </w:tcPr>
          <w:p w14:paraId="6BA284E0"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Author(s) and Year</w:t>
            </w:r>
          </w:p>
        </w:tc>
        <w:tc>
          <w:tcPr>
            <w:tcW w:w="1200" w:type="dxa"/>
            <w:tcBorders>
              <w:top w:val="single" w:sz="4" w:space="0" w:color="auto"/>
              <w:left w:val="single" w:sz="4" w:space="0" w:color="auto"/>
              <w:bottom w:val="single" w:sz="4" w:space="0" w:color="auto"/>
              <w:right w:val="single" w:sz="4" w:space="0" w:color="auto"/>
            </w:tcBorders>
            <w:shd w:val="clear" w:color="auto" w:fill="003087"/>
            <w:hideMark/>
          </w:tcPr>
          <w:p w14:paraId="54D085E0"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Country / Setting</w:t>
            </w:r>
          </w:p>
        </w:tc>
        <w:tc>
          <w:tcPr>
            <w:tcW w:w="1200" w:type="dxa"/>
            <w:tcBorders>
              <w:top w:val="single" w:sz="4" w:space="0" w:color="auto"/>
              <w:left w:val="single" w:sz="4" w:space="0" w:color="auto"/>
              <w:bottom w:val="single" w:sz="4" w:space="0" w:color="auto"/>
              <w:right w:val="single" w:sz="4" w:space="0" w:color="auto"/>
            </w:tcBorders>
            <w:shd w:val="clear" w:color="auto" w:fill="003087"/>
            <w:hideMark/>
          </w:tcPr>
          <w:p w14:paraId="5EACCFFE"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Study Design</w:t>
            </w:r>
          </w:p>
        </w:tc>
        <w:tc>
          <w:tcPr>
            <w:tcW w:w="1000" w:type="dxa"/>
            <w:tcBorders>
              <w:top w:val="single" w:sz="4" w:space="0" w:color="auto"/>
              <w:left w:val="single" w:sz="4" w:space="0" w:color="auto"/>
              <w:bottom w:val="single" w:sz="4" w:space="0" w:color="auto"/>
              <w:right w:val="single" w:sz="4" w:space="0" w:color="auto"/>
            </w:tcBorders>
            <w:shd w:val="clear" w:color="auto" w:fill="003087"/>
            <w:hideMark/>
          </w:tcPr>
          <w:p w14:paraId="26B43983"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Sample</w:t>
            </w:r>
          </w:p>
        </w:tc>
        <w:tc>
          <w:tcPr>
            <w:tcW w:w="1600" w:type="dxa"/>
            <w:tcBorders>
              <w:top w:val="single" w:sz="4" w:space="0" w:color="auto"/>
              <w:left w:val="single" w:sz="4" w:space="0" w:color="auto"/>
              <w:bottom w:val="single" w:sz="4" w:space="0" w:color="auto"/>
              <w:right w:val="single" w:sz="4" w:space="0" w:color="auto"/>
            </w:tcBorders>
            <w:shd w:val="clear" w:color="auto" w:fill="003087"/>
            <w:hideMark/>
          </w:tcPr>
          <w:p w14:paraId="6B0F2231"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Aim</w:t>
            </w:r>
          </w:p>
        </w:tc>
        <w:tc>
          <w:tcPr>
            <w:tcW w:w="1800" w:type="dxa"/>
            <w:tcBorders>
              <w:top w:val="single" w:sz="4" w:space="0" w:color="auto"/>
              <w:left w:val="single" w:sz="4" w:space="0" w:color="auto"/>
              <w:bottom w:val="single" w:sz="4" w:space="0" w:color="auto"/>
              <w:right w:val="single" w:sz="4" w:space="0" w:color="auto"/>
            </w:tcBorders>
            <w:shd w:val="clear" w:color="auto" w:fill="003087"/>
            <w:hideMark/>
          </w:tcPr>
          <w:p w14:paraId="3E9F9635"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Key Findings</w:t>
            </w:r>
          </w:p>
        </w:tc>
        <w:tc>
          <w:tcPr>
            <w:tcW w:w="1000" w:type="dxa"/>
            <w:tcBorders>
              <w:top w:val="single" w:sz="4" w:space="0" w:color="auto"/>
              <w:left w:val="single" w:sz="4" w:space="0" w:color="auto"/>
              <w:bottom w:val="single" w:sz="4" w:space="0" w:color="auto"/>
              <w:right w:val="single" w:sz="4" w:space="0" w:color="auto"/>
            </w:tcBorders>
            <w:shd w:val="clear" w:color="auto" w:fill="003087"/>
            <w:hideMark/>
          </w:tcPr>
          <w:p w14:paraId="0B523205" w14:textId="77777777" w:rsidR="005A34E8" w:rsidRPr="00457F66" w:rsidRDefault="005A34E8" w:rsidP="008452C0">
            <w:pPr>
              <w:spacing w:line="360" w:lineRule="auto"/>
              <w:jc w:val="both"/>
              <w:rPr>
                <w:rFonts w:ascii="Arial" w:hAnsi="Arial" w:cs="Arial"/>
                <w:sz w:val="18"/>
                <w:szCs w:val="18"/>
              </w:rPr>
            </w:pPr>
            <w:r w:rsidRPr="00457F66">
              <w:rPr>
                <w:rFonts w:ascii="Arial" w:hAnsi="Arial" w:cs="Arial"/>
                <w:b/>
                <w:bCs/>
                <w:color w:val="FFFFFF"/>
                <w:sz w:val="18"/>
                <w:szCs w:val="18"/>
              </w:rPr>
              <w:t>Quality Rating</w:t>
            </w:r>
          </w:p>
        </w:tc>
      </w:tr>
      <w:tr w:rsidR="005A34E8" w:rsidRPr="00457F66" w14:paraId="38A95353"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4D97426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Gunner et al. (2019)</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3EDAEAB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UK – West Midlands primary care settings</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6F6A658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Qualitative (interviews)</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5FC52AE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25 homeless adults</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2A0CCC4C"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Explore provision and accessibility of primary healthcare for homeless patients</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48063F4C"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Identified stigma, poor dignity, and bureaucratic barriers as key themes; negative experiences deterred future engagement</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32B72F96"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(CASP)</w:t>
            </w:r>
          </w:p>
        </w:tc>
      </w:tr>
      <w:tr w:rsidR="005A34E8" w:rsidRPr="00457F66" w14:paraId="6DA64B1D"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52EE7C14"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Elwell-Sutton et al. (2017)</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221AFEC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 19 areas</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00AE0220"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Cross-sectional survey</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2E943E9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2,505 homeless individuals</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083142A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Investigate factors associated with healthcare access and utilisation</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64D7D1C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GP registration strongly predicted healthcare utilisation; unregistered individuals more reliant on A&amp;E</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4698C40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(JBI)</w:t>
            </w:r>
          </w:p>
        </w:tc>
      </w:tr>
      <w:tr w:rsidR="005A34E8" w:rsidRPr="00457F66" w14:paraId="1EAD5BC4"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1F9C854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McNeill et al. (2022)</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52B2DF38"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UK and Ireland</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332A5809"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Scoping review</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7A80324C"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34 included studies</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2316966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Review evidence on healthcare access for homeless people in UK and Ireland</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3495C783"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Identified structural, institutional and individual barriers; specialist services more effective than mainstream provision</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7113C65A"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(CASP systematic review)</w:t>
            </w:r>
          </w:p>
        </w:tc>
      </w:tr>
      <w:tr w:rsidR="005A34E8" w:rsidRPr="00457F66" w14:paraId="210568D6"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7BA6256C"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Armstrong et al. (2021)</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2FF69B6B"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UK – hostels across multiple sites</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22B5230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Qualitative (interviews)</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1A0D7E24"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Hostel staff and residents</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12ACE03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Examine barriers and facilitators to accessing health and social care from hostel settings</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0D21FC6B"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Shortened consultations, dismissive attitudes, and inflexible booking systems identified as key institutional barriers</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6BDD39F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(CASP)</w:t>
            </w:r>
          </w:p>
        </w:tc>
      </w:tr>
      <w:tr w:rsidR="005A34E8" w:rsidRPr="00457F66" w14:paraId="1CF87EB4"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6793A4E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Hodson et al. (2019)</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2629C62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London – 10 boroughs</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2BA37B4B"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Mixed methods audit</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39BDBDC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100 GP practice websites</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3F25FA0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Audit GP practice website compliance with registration guidance</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2EF56849"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75% required documentation unlawfully; only 12% offered alternatives for those without documentation</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17AE838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(JBI)</w:t>
            </w:r>
          </w:p>
        </w:tc>
      </w:tr>
      <w:tr w:rsidR="005A34E8" w:rsidRPr="00457F66" w14:paraId="343C0535"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04217CC3"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Lewer et al. (2019)</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13BBEF4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 London and Birmingham</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2BD63CB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Cross-sectional comparative study</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54E544B3"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1,336 homeless vs 13,360 matched controls</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7A8974A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Compare health-related quality of life and chronic disease between homeless and housed populations</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064CD42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Homeless adults significantly more likely to experience five of six chronic conditions than even most deprived housed quintile</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4C74B47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(JBI)</w:t>
            </w:r>
          </w:p>
        </w:tc>
      </w:tr>
      <w:tr w:rsidR="005A34E8" w:rsidRPr="00457F66" w14:paraId="32A2828E"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7DA0A32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Aldridge et al. (2019)</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169F4A3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 national linked data</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77EFB570"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Population-based cross-sectional analysis</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42107B2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National administrative dataset</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0D507B2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Examine causes of death among homeless people in England</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6390682B"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30.2% of deaths from causes amenable to timely primary healthcare; higher than most deprived housed quintile (23.0%)</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35F928E4"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(JBI)</w:t>
            </w:r>
          </w:p>
        </w:tc>
      </w:tr>
      <w:tr w:rsidR="005A34E8" w:rsidRPr="00457F66" w14:paraId="30711501"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1F773F4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Guise et al. (2025)</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3CC266E6"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South London – pilot study</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08F2479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Cross-sectional pilot survey</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51B0607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74 homeless adults</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76727AF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Explore stigma and discrimination experiences in health settings</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20E36018"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65% reported unfair treatment; rates increased with comorbidity burden</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4DEA4BF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Medium (JBI – pilot limitations)</w:t>
            </w:r>
          </w:p>
        </w:tc>
      </w:tr>
      <w:tr w:rsidR="005A34E8" w:rsidRPr="00457F66" w14:paraId="556442BD"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7D3F8BC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Howard, Low and Howard (2025)</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09E1FE8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Manchester, England</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3DEF35F9"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Qualitative (interviews)</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1CF667A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Homeless adults and service providers</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33F23A9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Explore ways to improve healthcare access for homeless adults</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6EBFA2E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Co-location, trusted key workers, and flexible drop-in models identified as key facilitators</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48D95A26"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Medium (CASP – geographically limited)</w:t>
            </w:r>
          </w:p>
        </w:tc>
      </w:tr>
      <w:tr w:rsidR="005A34E8" w:rsidRPr="00457F66" w14:paraId="794B7B9E"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02612BD3" w14:textId="19C9D0DA"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Aldridge et al. (2018)</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64DAE4F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High-income countries – international</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3C8FA59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Systematic review and meta-analysis</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6DD1517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73 studies included</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123070B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Examine morbidity and mortality among homeless and other excluded populations</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6760245E" w14:textId="2CB45705"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 xml:space="preserve">SMR 7.88 men, 11.86 women; extreme premature mortality compared with </w:t>
            </w:r>
            <w:r w:rsidR="002B2559">
              <w:rPr>
                <w:rFonts w:ascii="Arial" w:hAnsi="Arial" w:cs="Arial"/>
                <w:sz w:val="18"/>
                <w:szCs w:val="18"/>
              </w:rPr>
              <w:t xml:space="preserve">the </w:t>
            </w:r>
            <w:r w:rsidRPr="00457F66">
              <w:rPr>
                <w:rFonts w:ascii="Arial" w:hAnsi="Arial" w:cs="Arial"/>
                <w:sz w:val="18"/>
                <w:szCs w:val="18"/>
              </w:rPr>
              <w:t>general population</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6E6023D4"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(CASP)</w:t>
            </w:r>
          </w:p>
        </w:tc>
      </w:tr>
      <w:tr w:rsidR="005A34E8" w:rsidRPr="00457F66" w14:paraId="6208627C"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5FD24320" w14:textId="77777777" w:rsidR="005A34E8" w:rsidRPr="00457F66" w:rsidRDefault="005A34E8" w:rsidP="008452C0">
            <w:pPr>
              <w:spacing w:line="360" w:lineRule="auto"/>
              <w:rPr>
                <w:rFonts w:ascii="Arial" w:hAnsi="Arial" w:cs="Arial"/>
                <w:sz w:val="18"/>
                <w:szCs w:val="18"/>
              </w:rPr>
            </w:pPr>
            <w:proofErr w:type="spellStart"/>
            <w:r w:rsidRPr="00457F66">
              <w:rPr>
                <w:rFonts w:ascii="Arial" w:hAnsi="Arial" w:cs="Arial"/>
                <w:sz w:val="18"/>
                <w:szCs w:val="18"/>
              </w:rPr>
              <w:t>Luchenski</w:t>
            </w:r>
            <w:proofErr w:type="spellEnd"/>
            <w:r w:rsidRPr="00457F66">
              <w:rPr>
                <w:rFonts w:ascii="Arial" w:hAnsi="Arial" w:cs="Arial"/>
                <w:sz w:val="18"/>
                <w:szCs w:val="18"/>
              </w:rPr>
              <w:t xml:space="preserve"> et al. (2018)</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2065FDAA"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International – inclusion health populations</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03C130D6"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Systematic review</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257B3F8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Multiple included studies</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0442252C"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Identify effective interventions for marginalised and socially excluded populations</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7898C2C0" w14:textId="148E287F"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Outreach-based and proactive models consistently outperform passive mainstream services; healthcare access failures are largely systemic</w:t>
            </w:r>
            <w:r w:rsidR="002B2559">
              <w:rPr>
                <w:rFonts w:ascii="Arial" w:hAnsi="Arial" w:cs="Arial"/>
                <w:sz w:val="18"/>
                <w:szCs w:val="18"/>
              </w:rPr>
              <w:t>.</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177441A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(CASP)</w:t>
            </w:r>
          </w:p>
        </w:tc>
      </w:tr>
      <w:tr w:rsidR="005A34E8" w:rsidRPr="00457F66" w14:paraId="6AD6B39F"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76B72AA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NICE (2022) NG214</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6BED23C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 national guideline</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0383AAD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Clinical guideline (grey literature)</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6D3EEB6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N/A</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21DA9A34"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Provide evidence-based guidance on integrated health and social care for homeless people</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5A5A7C0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Confirms legal right to GP registration; recommends flexible access, trauma-informed care, outreach, and integrated services</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5C5603A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(AACODS)</w:t>
            </w:r>
          </w:p>
        </w:tc>
      </w:tr>
      <w:tr w:rsidR="005A34E8" w:rsidRPr="00457F66" w14:paraId="117ED85A"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49B5BD1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ONS (2022)</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5C231B00"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and Wales – national statistics</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49CFC96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National statistical report (grey literature)</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436F7985"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741 recorded deaths</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2695C71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Report on deaths of homeless people in England and Wales in 2021</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5B04C800"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741 deaths recorded; mean age 45.4 years (men) and 43.2 years (women) – approximately 30 years below national average</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61799CBD"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(AACODS)</w:t>
            </w:r>
          </w:p>
        </w:tc>
      </w:tr>
      <w:tr w:rsidR="005A34E8" w:rsidRPr="00457F66" w14:paraId="0943217B"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E8F0F8"/>
            <w:hideMark/>
          </w:tcPr>
          <w:p w14:paraId="4A3EB86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Marmot et al. (2020)</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6336359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 national review</w:t>
            </w:r>
          </w:p>
        </w:tc>
        <w:tc>
          <w:tcPr>
            <w:tcW w:w="1200" w:type="dxa"/>
            <w:tcBorders>
              <w:top w:val="single" w:sz="4" w:space="0" w:color="auto"/>
              <w:left w:val="single" w:sz="4" w:space="0" w:color="auto"/>
              <w:bottom w:val="single" w:sz="4" w:space="0" w:color="auto"/>
              <w:right w:val="single" w:sz="4" w:space="0" w:color="auto"/>
            </w:tcBorders>
            <w:shd w:val="clear" w:color="auto" w:fill="E8F0F8"/>
            <w:hideMark/>
          </w:tcPr>
          <w:p w14:paraId="31B2D5B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Policy review (grey literature)</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34BCE076"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National population data</w:t>
            </w:r>
          </w:p>
        </w:tc>
        <w:tc>
          <w:tcPr>
            <w:tcW w:w="1600" w:type="dxa"/>
            <w:tcBorders>
              <w:top w:val="single" w:sz="4" w:space="0" w:color="auto"/>
              <w:left w:val="single" w:sz="4" w:space="0" w:color="auto"/>
              <w:bottom w:val="single" w:sz="4" w:space="0" w:color="auto"/>
              <w:right w:val="single" w:sz="4" w:space="0" w:color="auto"/>
            </w:tcBorders>
            <w:shd w:val="clear" w:color="auto" w:fill="E8F0F8"/>
            <w:hideMark/>
          </w:tcPr>
          <w:p w14:paraId="4CFBDDB1"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Assess health equity in England a decade after the original Marmot Review</w:t>
            </w:r>
          </w:p>
        </w:tc>
        <w:tc>
          <w:tcPr>
            <w:tcW w:w="1800" w:type="dxa"/>
            <w:tcBorders>
              <w:top w:val="single" w:sz="4" w:space="0" w:color="auto"/>
              <w:left w:val="single" w:sz="4" w:space="0" w:color="auto"/>
              <w:bottom w:val="single" w:sz="4" w:space="0" w:color="auto"/>
              <w:right w:val="single" w:sz="4" w:space="0" w:color="auto"/>
            </w:tcBorders>
            <w:shd w:val="clear" w:color="auto" w:fill="E8F0F8"/>
            <w:hideMark/>
          </w:tcPr>
          <w:p w14:paraId="7574AC6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Austerity widened health inequalities and increased homelessness; structural policy decisions are key drivers of health inequality</w:t>
            </w:r>
          </w:p>
        </w:tc>
        <w:tc>
          <w:tcPr>
            <w:tcW w:w="1000" w:type="dxa"/>
            <w:tcBorders>
              <w:top w:val="single" w:sz="4" w:space="0" w:color="auto"/>
              <w:left w:val="single" w:sz="4" w:space="0" w:color="auto"/>
              <w:bottom w:val="single" w:sz="4" w:space="0" w:color="auto"/>
              <w:right w:val="single" w:sz="4" w:space="0" w:color="auto"/>
            </w:tcBorders>
            <w:shd w:val="clear" w:color="auto" w:fill="E8F0F8"/>
            <w:hideMark/>
          </w:tcPr>
          <w:p w14:paraId="18081610"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(AACODS)</w:t>
            </w:r>
          </w:p>
        </w:tc>
      </w:tr>
      <w:tr w:rsidR="005A34E8" w:rsidRPr="00457F66" w14:paraId="255D3160" w14:textId="77777777" w:rsidTr="0069267A">
        <w:tc>
          <w:tcPr>
            <w:tcW w:w="1400" w:type="dxa"/>
            <w:tcBorders>
              <w:top w:val="single" w:sz="4" w:space="0" w:color="auto"/>
              <w:left w:val="single" w:sz="4" w:space="0" w:color="auto"/>
              <w:bottom w:val="single" w:sz="4" w:space="0" w:color="auto"/>
              <w:right w:val="single" w:sz="4" w:space="0" w:color="auto"/>
            </w:tcBorders>
            <w:shd w:val="clear" w:color="auto" w:fill="FFFFFF"/>
            <w:hideMark/>
          </w:tcPr>
          <w:p w14:paraId="6F6831F7"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Watts-Cobbe et al. (2025)</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0B51B91C"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England – national monitor</w:t>
            </w:r>
          </w:p>
        </w:tc>
        <w:tc>
          <w:tcPr>
            <w:tcW w:w="1200" w:type="dxa"/>
            <w:tcBorders>
              <w:top w:val="single" w:sz="4" w:space="0" w:color="auto"/>
              <w:left w:val="single" w:sz="4" w:space="0" w:color="auto"/>
              <w:bottom w:val="single" w:sz="4" w:space="0" w:color="auto"/>
              <w:right w:val="single" w:sz="4" w:space="0" w:color="auto"/>
            </w:tcBorders>
            <w:shd w:val="clear" w:color="auto" w:fill="FFFFFF"/>
            <w:hideMark/>
          </w:tcPr>
          <w:p w14:paraId="59371BB2"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Annual monitoring report (grey literature)</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322E622B"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National survey and audit data</w:t>
            </w:r>
          </w:p>
        </w:tc>
        <w:tc>
          <w:tcPr>
            <w:tcW w:w="1600" w:type="dxa"/>
            <w:tcBorders>
              <w:top w:val="single" w:sz="4" w:space="0" w:color="auto"/>
              <w:left w:val="single" w:sz="4" w:space="0" w:color="auto"/>
              <w:bottom w:val="single" w:sz="4" w:space="0" w:color="auto"/>
              <w:right w:val="single" w:sz="4" w:space="0" w:color="auto"/>
            </w:tcBorders>
            <w:shd w:val="clear" w:color="auto" w:fill="FFFFFF"/>
            <w:hideMark/>
          </w:tcPr>
          <w:p w14:paraId="3878D1AE"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Monitor and report on the extent and nature of homelessness in England</w:t>
            </w:r>
          </w:p>
        </w:tc>
        <w:tc>
          <w:tcPr>
            <w:tcW w:w="1800" w:type="dxa"/>
            <w:tcBorders>
              <w:top w:val="single" w:sz="4" w:space="0" w:color="auto"/>
              <w:left w:val="single" w:sz="4" w:space="0" w:color="auto"/>
              <w:bottom w:val="single" w:sz="4" w:space="0" w:color="auto"/>
              <w:right w:val="single" w:sz="4" w:space="0" w:color="auto"/>
            </w:tcBorders>
            <w:shd w:val="clear" w:color="auto" w:fill="FFFFFF"/>
            <w:hideMark/>
          </w:tcPr>
          <w:p w14:paraId="0E10D3AF"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299,100 households in acute homelessness in 2024 (45% increase since 2012); mystery-shopper exercises confirmed continued GP registration refusals post-NG214</w:t>
            </w:r>
          </w:p>
        </w:tc>
        <w:tc>
          <w:tcPr>
            <w:tcW w:w="1000" w:type="dxa"/>
            <w:tcBorders>
              <w:top w:val="single" w:sz="4" w:space="0" w:color="auto"/>
              <w:left w:val="single" w:sz="4" w:space="0" w:color="auto"/>
              <w:bottom w:val="single" w:sz="4" w:space="0" w:color="auto"/>
              <w:right w:val="single" w:sz="4" w:space="0" w:color="auto"/>
            </w:tcBorders>
            <w:shd w:val="clear" w:color="auto" w:fill="FFFFFF"/>
            <w:hideMark/>
          </w:tcPr>
          <w:p w14:paraId="3695A163" w14:textId="77777777" w:rsidR="005A34E8" w:rsidRPr="00457F66" w:rsidRDefault="005A34E8" w:rsidP="008452C0">
            <w:pPr>
              <w:spacing w:line="360" w:lineRule="auto"/>
              <w:rPr>
                <w:rFonts w:ascii="Arial" w:hAnsi="Arial" w:cs="Arial"/>
                <w:sz w:val="18"/>
                <w:szCs w:val="18"/>
              </w:rPr>
            </w:pPr>
            <w:r w:rsidRPr="00457F66">
              <w:rPr>
                <w:rFonts w:ascii="Arial" w:hAnsi="Arial" w:cs="Arial"/>
                <w:sz w:val="18"/>
                <w:szCs w:val="18"/>
              </w:rPr>
              <w:t>High (AACODS)</w:t>
            </w:r>
          </w:p>
        </w:tc>
      </w:tr>
    </w:tbl>
    <w:p w14:paraId="033C049F" w14:textId="77777777" w:rsidR="005A34E8" w:rsidRPr="00457F66" w:rsidRDefault="005A34E8" w:rsidP="008452C0">
      <w:pPr>
        <w:spacing w:line="360" w:lineRule="auto"/>
        <w:jc w:val="both"/>
        <w:rPr>
          <w:rFonts w:ascii="Arial" w:hAnsi="Arial" w:cs="Arial"/>
          <w:sz w:val="22"/>
          <w:szCs w:val="22"/>
        </w:rPr>
      </w:pPr>
    </w:p>
    <w:p w14:paraId="3FF8250F" w14:textId="18B6BD5B" w:rsidR="005F1F7C" w:rsidRPr="00457F66" w:rsidRDefault="005F1F7C" w:rsidP="008452C0">
      <w:pPr>
        <w:spacing w:after="160" w:line="360" w:lineRule="auto"/>
        <w:rPr>
          <w:rFonts w:ascii="Arial" w:eastAsiaTheme="minorHAnsi" w:hAnsi="Arial" w:cs="Arial"/>
          <w:kern w:val="2"/>
          <w:sz w:val="22"/>
          <w:szCs w:val="22"/>
          <w:lang w:eastAsia="en-US"/>
          <w14:ligatures w14:val="standardContextual"/>
        </w:rPr>
      </w:pPr>
      <w:r w:rsidRPr="00457F66">
        <w:rPr>
          <w:rFonts w:ascii="Arial" w:eastAsiaTheme="minorHAnsi" w:hAnsi="Arial" w:cs="Arial"/>
          <w:kern w:val="2"/>
          <w:sz w:val="22"/>
          <w:szCs w:val="22"/>
          <w:lang w:eastAsia="en-US"/>
          <w14:ligatures w14:val="standardContextual"/>
        </w:rPr>
        <w:br w:type="page"/>
      </w:r>
    </w:p>
    <w:p w14:paraId="3618CBCC" w14:textId="5105BE2F" w:rsidR="00E358E2" w:rsidRPr="00457F66" w:rsidRDefault="00E358E2" w:rsidP="008452C0">
      <w:pPr>
        <w:pStyle w:val="Heading1"/>
        <w:spacing w:line="360" w:lineRule="auto"/>
      </w:pPr>
      <w:bookmarkStart w:id="83" w:name="_Toc240922998"/>
      <w:r w:rsidRPr="00457F66">
        <w:t>APPENDIX D</w:t>
      </w:r>
      <w:r w:rsidR="009F7234" w:rsidRPr="00457F66">
        <w:rPr>
          <w:rFonts w:eastAsia="Times New Roman"/>
        </w:rPr>
        <w:t xml:space="preserve"> — Quality Appraisal Tables</w:t>
      </w:r>
      <w:bookmarkEnd w:id="83"/>
    </w:p>
    <w:p w14:paraId="6330D6D8" w14:textId="77777777" w:rsidR="0008262A" w:rsidRPr="00457F66" w:rsidRDefault="0008262A" w:rsidP="008452C0">
      <w:pPr>
        <w:spacing w:before="60" w:after="120" w:line="360" w:lineRule="auto"/>
        <w:rPr>
          <w:rFonts w:ascii="Arial" w:hAnsi="Arial" w:cs="Arial"/>
        </w:rPr>
      </w:pPr>
      <w:r w:rsidRPr="00457F66">
        <w:rPr>
          <w:rFonts w:ascii="Arial" w:eastAsia="Arial" w:hAnsi="Arial" w:cs="Arial"/>
          <w:i/>
          <w:iCs/>
          <w:color w:val="555555"/>
          <w:sz w:val="16"/>
          <w:szCs w:val="16"/>
        </w:rPr>
        <w:t>Quality appraisal was conducted using design-appropriate tools: CASP Qualitative Checklist (qualitative studies), CASP Systematic Review Checklist (systematic and scoping reviews), JBI Cross-Sectional Checklist (cross-sectional studies), and AACODS Checklist (grey literature). Ratings: Yes = criterion met; No = criterion not met; Unclear = insufficient information.</w:t>
      </w:r>
    </w:p>
    <w:p w14:paraId="63AEF867" w14:textId="77777777" w:rsidR="0008262A" w:rsidRPr="00457F66" w:rsidRDefault="0008262A" w:rsidP="008452C0">
      <w:pPr>
        <w:spacing w:before="240" w:after="100" w:line="360" w:lineRule="auto"/>
        <w:rPr>
          <w:rFonts w:ascii="Arial" w:hAnsi="Arial" w:cs="Arial"/>
        </w:rPr>
      </w:pPr>
      <w:r w:rsidRPr="00457F66">
        <w:rPr>
          <w:rFonts w:ascii="Arial" w:eastAsia="Arial" w:hAnsi="Arial" w:cs="Arial"/>
          <w:b/>
          <w:bCs/>
          <w:color w:val="003087"/>
          <w:sz w:val="22"/>
          <w:szCs w:val="22"/>
        </w:rPr>
        <w:t>Table D.1 — CASP Qualitative Checklist (Gunner et al., 2019; Armstrong et al., 2021; Howard et al., 2025)</w:t>
      </w:r>
    </w:p>
    <w:tbl>
      <w:tblPr>
        <w:tblW w:w="81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77"/>
        <w:gridCol w:w="722"/>
        <w:gridCol w:w="952"/>
        <w:gridCol w:w="928"/>
        <w:gridCol w:w="928"/>
        <w:gridCol w:w="713"/>
        <w:gridCol w:w="911"/>
        <w:gridCol w:w="854"/>
        <w:gridCol w:w="804"/>
        <w:gridCol w:w="722"/>
        <w:gridCol w:w="705"/>
      </w:tblGrid>
      <w:tr w:rsidR="0008262A" w:rsidRPr="00457F66" w14:paraId="2B55678A" w14:textId="77777777" w:rsidTr="00340C69">
        <w:trPr>
          <w:tblHeader/>
        </w:trPr>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4A7C82C0"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Study</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25B0D8D7"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Clear statement of aims?</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0C7B88D3"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Qualitative methodology appropriate?</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7A3CBC86"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Research design appropriate?</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07195187"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Recruitment strategy appropriate?</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71594A6F"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Data collection rigorous?</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09896C7A"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Researcher–participant relationship considered?</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78134A60"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Ethical issues addressed?</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17193EB6"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Data analysis sufficiently rigorous?</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3E878D15"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Clear statement of findings?</w:t>
            </w:r>
          </w:p>
        </w:tc>
        <w:tc>
          <w:tcPr>
            <w:tcW w:w="737" w:type="dxa"/>
            <w:tcBorders>
              <w:top w:val="single" w:sz="4" w:space="0" w:color="auto"/>
              <w:left w:val="single" w:sz="4" w:space="0" w:color="auto"/>
              <w:bottom w:val="single" w:sz="4" w:space="0" w:color="auto"/>
              <w:right w:val="single" w:sz="4" w:space="0" w:color="auto"/>
            </w:tcBorders>
            <w:shd w:val="clear" w:color="auto" w:fill="003087"/>
            <w:hideMark/>
          </w:tcPr>
          <w:p w14:paraId="713C249C"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Research valuable?</w:t>
            </w:r>
          </w:p>
        </w:tc>
      </w:tr>
      <w:tr w:rsidR="0008262A" w:rsidRPr="00457F66" w14:paraId="12520E24" w14:textId="77777777" w:rsidTr="00340C69">
        <w:tc>
          <w:tcPr>
            <w:tcW w:w="737" w:type="dxa"/>
            <w:tcBorders>
              <w:top w:val="single" w:sz="4" w:space="0" w:color="auto"/>
              <w:left w:val="single" w:sz="4" w:space="0" w:color="auto"/>
              <w:bottom w:val="single" w:sz="4" w:space="0" w:color="auto"/>
              <w:right w:val="single" w:sz="4" w:space="0" w:color="auto"/>
            </w:tcBorders>
            <w:shd w:val="clear" w:color="auto" w:fill="FFFFFF"/>
            <w:hideMark/>
          </w:tcPr>
          <w:p w14:paraId="0671DE25"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Gunner et al. (2019)</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963F015"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69FE29C5"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6956A1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3D13FA6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427A1989"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6132679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65BE2A35"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4B661F3A"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27C8C41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C17A64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08262A" w:rsidRPr="00457F66" w14:paraId="4669B1D8" w14:textId="77777777" w:rsidTr="00340C69">
        <w:tc>
          <w:tcPr>
            <w:tcW w:w="737" w:type="dxa"/>
            <w:tcBorders>
              <w:top w:val="single" w:sz="4" w:space="0" w:color="auto"/>
              <w:left w:val="single" w:sz="4" w:space="0" w:color="auto"/>
              <w:bottom w:val="single" w:sz="4" w:space="0" w:color="auto"/>
              <w:right w:val="single" w:sz="4" w:space="0" w:color="auto"/>
            </w:tcBorders>
            <w:shd w:val="clear" w:color="auto" w:fill="E8F0FA"/>
            <w:hideMark/>
          </w:tcPr>
          <w:p w14:paraId="70F53E96"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Armstrong et al. (2021)</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0B6EF39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3A8374F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602B1FC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716E7B9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3688447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24B6952B"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0B855E9A"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168AF47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6BD14DB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7A0946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08262A" w:rsidRPr="00457F66" w14:paraId="047CF1EA" w14:textId="77777777" w:rsidTr="00340C69">
        <w:tc>
          <w:tcPr>
            <w:tcW w:w="737" w:type="dxa"/>
            <w:tcBorders>
              <w:top w:val="single" w:sz="4" w:space="0" w:color="auto"/>
              <w:left w:val="single" w:sz="4" w:space="0" w:color="auto"/>
              <w:bottom w:val="single" w:sz="4" w:space="0" w:color="auto"/>
              <w:right w:val="single" w:sz="4" w:space="0" w:color="auto"/>
            </w:tcBorders>
            <w:shd w:val="clear" w:color="auto" w:fill="FFFFFF"/>
            <w:hideMark/>
          </w:tcPr>
          <w:p w14:paraId="5FD88C6D"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Howard et al. (2025)</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11900D1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E52D683"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2AFC516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2CCBD940"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235A374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FFF8E6"/>
            <w:hideMark/>
          </w:tcPr>
          <w:p w14:paraId="57068BA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7A5A00"/>
                <w:sz w:val="16"/>
                <w:szCs w:val="16"/>
              </w:rPr>
              <w:t>Unclear</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3127A995"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9A189E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2534356A"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737" w:type="dxa"/>
            <w:tcBorders>
              <w:top w:val="single" w:sz="4" w:space="0" w:color="auto"/>
              <w:left w:val="single" w:sz="4" w:space="0" w:color="auto"/>
              <w:bottom w:val="single" w:sz="4" w:space="0" w:color="auto"/>
              <w:right w:val="single" w:sz="4" w:space="0" w:color="auto"/>
            </w:tcBorders>
            <w:shd w:val="clear" w:color="auto" w:fill="E6F4EA"/>
            <w:hideMark/>
          </w:tcPr>
          <w:p w14:paraId="5EF1FCD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bl>
    <w:p w14:paraId="48594785" w14:textId="77777777" w:rsidR="0008262A" w:rsidRPr="00457F66" w:rsidRDefault="0008262A" w:rsidP="008452C0">
      <w:pPr>
        <w:spacing w:before="240" w:after="100" w:line="360" w:lineRule="auto"/>
        <w:rPr>
          <w:rFonts w:ascii="Arial" w:hAnsi="Arial" w:cs="Arial"/>
        </w:rPr>
      </w:pPr>
      <w:r w:rsidRPr="00457F66">
        <w:rPr>
          <w:rFonts w:ascii="Arial" w:eastAsia="Arial" w:hAnsi="Arial" w:cs="Arial"/>
          <w:b/>
          <w:bCs/>
          <w:color w:val="003087"/>
          <w:sz w:val="22"/>
          <w:szCs w:val="22"/>
        </w:rPr>
        <w:t xml:space="preserve">Table D.2 — CASP Systematic Review Checklist (McNeill et al., 2022; </w:t>
      </w:r>
      <w:proofErr w:type="spellStart"/>
      <w:r w:rsidRPr="00457F66">
        <w:rPr>
          <w:rFonts w:ascii="Arial" w:eastAsia="Arial" w:hAnsi="Arial" w:cs="Arial"/>
          <w:b/>
          <w:bCs/>
          <w:color w:val="003087"/>
          <w:sz w:val="22"/>
          <w:szCs w:val="22"/>
        </w:rPr>
        <w:t>Luchenski</w:t>
      </w:r>
      <w:proofErr w:type="spellEnd"/>
      <w:r w:rsidRPr="00457F66">
        <w:rPr>
          <w:rFonts w:ascii="Arial" w:eastAsia="Arial" w:hAnsi="Arial" w:cs="Arial"/>
          <w:b/>
          <w:bCs/>
          <w:color w:val="003087"/>
          <w:sz w:val="22"/>
          <w:szCs w:val="22"/>
        </w:rPr>
        <w:t xml:space="preserve"> et al., 2018; Aldridge et al., 2018)</w:t>
      </w:r>
    </w:p>
    <w:tbl>
      <w:tblPr>
        <w:tblW w:w="7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78"/>
        <w:gridCol w:w="754"/>
        <w:gridCol w:w="626"/>
        <w:gridCol w:w="745"/>
        <w:gridCol w:w="805"/>
        <w:gridCol w:w="1086"/>
        <w:gridCol w:w="848"/>
        <w:gridCol w:w="652"/>
        <w:gridCol w:w="771"/>
        <w:gridCol w:w="933"/>
        <w:gridCol w:w="1018"/>
      </w:tblGrid>
      <w:tr w:rsidR="00340C69" w:rsidRPr="00457F66" w14:paraId="5D11153E" w14:textId="77777777" w:rsidTr="00340C69">
        <w:trPr>
          <w:tblHeader/>
        </w:trPr>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241984EC"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Study</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020D0FC7"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Clearly focused question?</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4A23080E"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Right type of papers sought?</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3CF8D4DC"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Important studies included?</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310AC940"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Study quality assessed?</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05D7611D"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Results combined appropriately?</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32B5463D"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Overall results presented?</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6F546E8B"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Results precise?</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1521C947"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Results applicable locally?</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4C336928"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All outcomes considered?</w:t>
            </w:r>
          </w:p>
        </w:tc>
        <w:tc>
          <w:tcPr>
            <w:tcW w:w="680" w:type="dxa"/>
            <w:tcBorders>
              <w:top w:val="single" w:sz="4" w:space="0" w:color="auto"/>
              <w:left w:val="single" w:sz="4" w:space="0" w:color="auto"/>
              <w:bottom w:val="single" w:sz="4" w:space="0" w:color="auto"/>
              <w:right w:val="single" w:sz="4" w:space="0" w:color="auto"/>
            </w:tcBorders>
            <w:shd w:val="clear" w:color="auto" w:fill="003087"/>
            <w:hideMark/>
          </w:tcPr>
          <w:p w14:paraId="6B55FE7E"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Benefits outweigh harms/costs?</w:t>
            </w:r>
          </w:p>
        </w:tc>
      </w:tr>
      <w:tr w:rsidR="00340C69" w:rsidRPr="00457F66" w14:paraId="21B5AA58" w14:textId="77777777" w:rsidTr="00340C69">
        <w:tc>
          <w:tcPr>
            <w:tcW w:w="680" w:type="dxa"/>
            <w:tcBorders>
              <w:top w:val="single" w:sz="4" w:space="0" w:color="auto"/>
              <w:left w:val="single" w:sz="4" w:space="0" w:color="auto"/>
              <w:bottom w:val="single" w:sz="4" w:space="0" w:color="auto"/>
              <w:right w:val="single" w:sz="4" w:space="0" w:color="auto"/>
            </w:tcBorders>
            <w:shd w:val="clear" w:color="auto" w:fill="FFFFFF"/>
            <w:hideMark/>
          </w:tcPr>
          <w:p w14:paraId="7368D3E5"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McNeill et al. (2022)</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1795F95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6F8C6AA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78E585C0"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1849105D"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46056BC5"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59042FF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10B0266B"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50BE7FA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7333C80"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43A4BB63"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340C69" w:rsidRPr="00457F66" w14:paraId="5098E33E" w14:textId="77777777" w:rsidTr="00340C69">
        <w:tc>
          <w:tcPr>
            <w:tcW w:w="680" w:type="dxa"/>
            <w:tcBorders>
              <w:top w:val="single" w:sz="4" w:space="0" w:color="auto"/>
              <w:left w:val="single" w:sz="4" w:space="0" w:color="auto"/>
              <w:bottom w:val="single" w:sz="4" w:space="0" w:color="auto"/>
              <w:right w:val="single" w:sz="4" w:space="0" w:color="auto"/>
            </w:tcBorders>
            <w:shd w:val="clear" w:color="auto" w:fill="E8F0FA"/>
            <w:hideMark/>
          </w:tcPr>
          <w:p w14:paraId="5154C297" w14:textId="77777777" w:rsidR="0008262A" w:rsidRPr="00457F66" w:rsidRDefault="0008262A" w:rsidP="008452C0">
            <w:pPr>
              <w:spacing w:before="50" w:after="50" w:line="360" w:lineRule="auto"/>
              <w:rPr>
                <w:rFonts w:ascii="Arial" w:hAnsi="Arial" w:cs="Arial"/>
              </w:rPr>
            </w:pPr>
            <w:proofErr w:type="spellStart"/>
            <w:r w:rsidRPr="00457F66">
              <w:rPr>
                <w:rFonts w:ascii="Arial" w:eastAsia="Arial" w:hAnsi="Arial" w:cs="Arial"/>
                <w:b/>
                <w:bCs/>
                <w:sz w:val="17"/>
                <w:szCs w:val="17"/>
              </w:rPr>
              <w:t>Luchenski</w:t>
            </w:r>
            <w:proofErr w:type="spellEnd"/>
            <w:r w:rsidRPr="00457F66">
              <w:rPr>
                <w:rFonts w:ascii="Arial" w:eastAsia="Arial" w:hAnsi="Arial" w:cs="Arial"/>
                <w:b/>
                <w:bCs/>
                <w:sz w:val="17"/>
                <w:szCs w:val="17"/>
              </w:rPr>
              <w:t xml:space="preserve"> et al. (2018)</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BBA05C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6A7C84D9"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460165B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EA7814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B18822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645CC7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2EC1B0D9"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57AA3079"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712824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5C1C9BFB"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340C69" w:rsidRPr="00457F66" w14:paraId="7106E5D6" w14:textId="77777777" w:rsidTr="00340C69">
        <w:tc>
          <w:tcPr>
            <w:tcW w:w="680" w:type="dxa"/>
            <w:tcBorders>
              <w:top w:val="single" w:sz="4" w:space="0" w:color="auto"/>
              <w:left w:val="single" w:sz="4" w:space="0" w:color="auto"/>
              <w:bottom w:val="single" w:sz="4" w:space="0" w:color="auto"/>
              <w:right w:val="single" w:sz="4" w:space="0" w:color="auto"/>
            </w:tcBorders>
            <w:shd w:val="clear" w:color="auto" w:fill="FFFFFF"/>
            <w:hideMark/>
          </w:tcPr>
          <w:p w14:paraId="1452B36B"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Aldridge et al. (2018)</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43B9C6F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4911F8CC"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51827D8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16159E13"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565DFB1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6E75B5E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4D0735A"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3BE6171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0510AD9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680" w:type="dxa"/>
            <w:tcBorders>
              <w:top w:val="single" w:sz="4" w:space="0" w:color="auto"/>
              <w:left w:val="single" w:sz="4" w:space="0" w:color="auto"/>
              <w:bottom w:val="single" w:sz="4" w:space="0" w:color="auto"/>
              <w:right w:val="single" w:sz="4" w:space="0" w:color="auto"/>
            </w:tcBorders>
            <w:shd w:val="clear" w:color="auto" w:fill="E6F4EA"/>
            <w:hideMark/>
          </w:tcPr>
          <w:p w14:paraId="6BDF4FD7"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bl>
    <w:p w14:paraId="30AC30F7" w14:textId="77777777" w:rsidR="0008262A" w:rsidRPr="00457F66" w:rsidRDefault="0008262A" w:rsidP="008452C0">
      <w:pPr>
        <w:spacing w:before="240" w:after="100" w:line="360" w:lineRule="auto"/>
        <w:rPr>
          <w:rFonts w:ascii="Arial" w:hAnsi="Arial" w:cs="Arial"/>
        </w:rPr>
      </w:pPr>
      <w:r w:rsidRPr="00457F66">
        <w:rPr>
          <w:rFonts w:ascii="Arial" w:eastAsia="Arial" w:hAnsi="Arial" w:cs="Arial"/>
          <w:b/>
          <w:bCs/>
          <w:color w:val="003087"/>
          <w:sz w:val="22"/>
          <w:szCs w:val="22"/>
        </w:rPr>
        <w:t>Table D.3 — JBI Cross-Sectional Checklist (Elwell-Sutton et al., 2017; Hodson et al., 2019; Lewer et al., 2019; Aldridge et al., 2019; Guise et al., 2025)</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65"/>
        <w:gridCol w:w="893"/>
        <w:gridCol w:w="1334"/>
        <w:gridCol w:w="921"/>
        <w:gridCol w:w="902"/>
        <w:gridCol w:w="1078"/>
        <w:gridCol w:w="1154"/>
        <w:gridCol w:w="936"/>
        <w:gridCol w:w="984"/>
      </w:tblGrid>
      <w:tr w:rsidR="00340C69" w:rsidRPr="00457F66" w14:paraId="7EDFA876" w14:textId="77777777" w:rsidTr="009F7234">
        <w:trPr>
          <w:tblHeader/>
        </w:trPr>
        <w:tc>
          <w:tcPr>
            <w:tcW w:w="889" w:type="dxa"/>
            <w:tcBorders>
              <w:top w:val="single" w:sz="4" w:space="0" w:color="auto"/>
              <w:left w:val="single" w:sz="4" w:space="0" w:color="auto"/>
              <w:bottom w:val="single" w:sz="4" w:space="0" w:color="auto"/>
              <w:right w:val="single" w:sz="4" w:space="0" w:color="auto"/>
            </w:tcBorders>
            <w:shd w:val="clear" w:color="auto" w:fill="003087"/>
            <w:hideMark/>
          </w:tcPr>
          <w:p w14:paraId="58DF2EB3"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Study</w:t>
            </w:r>
          </w:p>
        </w:tc>
        <w:tc>
          <w:tcPr>
            <w:tcW w:w="913" w:type="dxa"/>
            <w:tcBorders>
              <w:top w:val="single" w:sz="4" w:space="0" w:color="auto"/>
              <w:left w:val="single" w:sz="4" w:space="0" w:color="auto"/>
              <w:bottom w:val="single" w:sz="4" w:space="0" w:color="auto"/>
              <w:right w:val="single" w:sz="4" w:space="0" w:color="auto"/>
            </w:tcBorders>
            <w:shd w:val="clear" w:color="auto" w:fill="003087"/>
            <w:hideMark/>
          </w:tcPr>
          <w:p w14:paraId="050F60FF"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Inclusion criteria clear?</w:t>
            </w:r>
          </w:p>
        </w:tc>
        <w:tc>
          <w:tcPr>
            <w:tcW w:w="1334" w:type="dxa"/>
            <w:tcBorders>
              <w:top w:val="single" w:sz="4" w:space="0" w:color="auto"/>
              <w:left w:val="single" w:sz="4" w:space="0" w:color="auto"/>
              <w:bottom w:val="single" w:sz="4" w:space="0" w:color="auto"/>
              <w:right w:val="single" w:sz="4" w:space="0" w:color="auto"/>
            </w:tcBorders>
            <w:shd w:val="clear" w:color="auto" w:fill="003087"/>
            <w:hideMark/>
          </w:tcPr>
          <w:p w14:paraId="3A08D38E"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Setting/subjects described?</w:t>
            </w:r>
          </w:p>
        </w:tc>
        <w:tc>
          <w:tcPr>
            <w:tcW w:w="937" w:type="dxa"/>
            <w:tcBorders>
              <w:top w:val="single" w:sz="4" w:space="0" w:color="auto"/>
              <w:left w:val="single" w:sz="4" w:space="0" w:color="auto"/>
              <w:bottom w:val="single" w:sz="4" w:space="0" w:color="auto"/>
              <w:right w:val="single" w:sz="4" w:space="0" w:color="auto"/>
            </w:tcBorders>
            <w:shd w:val="clear" w:color="auto" w:fill="003087"/>
            <w:hideMark/>
          </w:tcPr>
          <w:p w14:paraId="7FA8BBE9"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Exposure measured validly?</w:t>
            </w:r>
          </w:p>
        </w:tc>
        <w:tc>
          <w:tcPr>
            <w:tcW w:w="921" w:type="dxa"/>
            <w:tcBorders>
              <w:top w:val="single" w:sz="4" w:space="0" w:color="auto"/>
              <w:left w:val="single" w:sz="4" w:space="0" w:color="auto"/>
              <w:bottom w:val="single" w:sz="4" w:space="0" w:color="auto"/>
              <w:right w:val="single" w:sz="4" w:space="0" w:color="auto"/>
            </w:tcBorders>
            <w:shd w:val="clear" w:color="auto" w:fill="003087"/>
            <w:hideMark/>
          </w:tcPr>
          <w:p w14:paraId="073DC4DF"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Objective criteria used?</w:t>
            </w:r>
          </w:p>
        </w:tc>
        <w:tc>
          <w:tcPr>
            <w:tcW w:w="1078" w:type="dxa"/>
            <w:tcBorders>
              <w:top w:val="single" w:sz="4" w:space="0" w:color="auto"/>
              <w:left w:val="single" w:sz="4" w:space="0" w:color="auto"/>
              <w:bottom w:val="single" w:sz="4" w:space="0" w:color="auto"/>
              <w:right w:val="single" w:sz="4" w:space="0" w:color="auto"/>
            </w:tcBorders>
            <w:shd w:val="clear" w:color="auto" w:fill="003087"/>
            <w:hideMark/>
          </w:tcPr>
          <w:p w14:paraId="67B64FCA"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Confounders identified?</w:t>
            </w:r>
          </w:p>
        </w:tc>
        <w:tc>
          <w:tcPr>
            <w:tcW w:w="1154" w:type="dxa"/>
            <w:tcBorders>
              <w:top w:val="single" w:sz="4" w:space="0" w:color="auto"/>
              <w:left w:val="single" w:sz="4" w:space="0" w:color="auto"/>
              <w:bottom w:val="single" w:sz="4" w:space="0" w:color="auto"/>
              <w:right w:val="single" w:sz="4" w:space="0" w:color="auto"/>
            </w:tcBorders>
            <w:shd w:val="clear" w:color="auto" w:fill="003087"/>
            <w:hideMark/>
          </w:tcPr>
          <w:p w14:paraId="581FDBBD"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Strategies to address confounders?</w:t>
            </w:r>
          </w:p>
        </w:tc>
        <w:tc>
          <w:tcPr>
            <w:tcW w:w="949" w:type="dxa"/>
            <w:tcBorders>
              <w:top w:val="single" w:sz="4" w:space="0" w:color="auto"/>
              <w:left w:val="single" w:sz="4" w:space="0" w:color="auto"/>
              <w:bottom w:val="single" w:sz="4" w:space="0" w:color="auto"/>
              <w:right w:val="single" w:sz="4" w:space="0" w:color="auto"/>
            </w:tcBorders>
            <w:shd w:val="clear" w:color="auto" w:fill="003087"/>
            <w:hideMark/>
          </w:tcPr>
          <w:p w14:paraId="593DB5F4"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Outcomes measured validly?</w:t>
            </w:r>
          </w:p>
        </w:tc>
        <w:tc>
          <w:tcPr>
            <w:tcW w:w="892" w:type="dxa"/>
            <w:tcBorders>
              <w:top w:val="single" w:sz="4" w:space="0" w:color="auto"/>
              <w:left w:val="single" w:sz="4" w:space="0" w:color="auto"/>
              <w:bottom w:val="single" w:sz="4" w:space="0" w:color="auto"/>
              <w:right w:val="single" w:sz="4" w:space="0" w:color="auto"/>
            </w:tcBorders>
            <w:shd w:val="clear" w:color="auto" w:fill="003087"/>
            <w:hideMark/>
          </w:tcPr>
          <w:p w14:paraId="2F7A38BE" w14:textId="77777777" w:rsidR="0008262A" w:rsidRPr="00457F66" w:rsidRDefault="0008262A" w:rsidP="008452C0">
            <w:pPr>
              <w:spacing w:before="60" w:after="60" w:line="360" w:lineRule="auto"/>
              <w:rPr>
                <w:rFonts w:ascii="Arial" w:hAnsi="Arial" w:cs="Arial"/>
              </w:rPr>
            </w:pPr>
            <w:r w:rsidRPr="00457F66">
              <w:rPr>
                <w:rFonts w:ascii="Arial" w:eastAsia="Arial" w:hAnsi="Arial" w:cs="Arial"/>
                <w:b/>
                <w:bCs/>
                <w:color w:val="FFFFFF"/>
                <w:sz w:val="17"/>
                <w:szCs w:val="17"/>
              </w:rPr>
              <w:t>Appropriate statistical analysis?</w:t>
            </w:r>
          </w:p>
        </w:tc>
      </w:tr>
      <w:tr w:rsidR="00340C69" w:rsidRPr="00457F66" w14:paraId="6E16D1E1" w14:textId="77777777" w:rsidTr="009F7234">
        <w:tc>
          <w:tcPr>
            <w:tcW w:w="889" w:type="dxa"/>
            <w:tcBorders>
              <w:top w:val="single" w:sz="4" w:space="0" w:color="auto"/>
              <w:left w:val="single" w:sz="4" w:space="0" w:color="auto"/>
              <w:bottom w:val="single" w:sz="4" w:space="0" w:color="auto"/>
              <w:right w:val="single" w:sz="4" w:space="0" w:color="auto"/>
            </w:tcBorders>
            <w:shd w:val="clear" w:color="auto" w:fill="FFFFFF"/>
            <w:hideMark/>
          </w:tcPr>
          <w:p w14:paraId="654EB618"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Elwell-Sutton et al. (2017)</w:t>
            </w:r>
          </w:p>
        </w:tc>
        <w:tc>
          <w:tcPr>
            <w:tcW w:w="913" w:type="dxa"/>
            <w:tcBorders>
              <w:top w:val="single" w:sz="4" w:space="0" w:color="auto"/>
              <w:left w:val="single" w:sz="4" w:space="0" w:color="auto"/>
              <w:bottom w:val="single" w:sz="4" w:space="0" w:color="auto"/>
              <w:right w:val="single" w:sz="4" w:space="0" w:color="auto"/>
            </w:tcBorders>
            <w:shd w:val="clear" w:color="auto" w:fill="E6F4EA"/>
            <w:hideMark/>
          </w:tcPr>
          <w:p w14:paraId="17ACA10B"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334" w:type="dxa"/>
            <w:tcBorders>
              <w:top w:val="single" w:sz="4" w:space="0" w:color="auto"/>
              <w:left w:val="single" w:sz="4" w:space="0" w:color="auto"/>
              <w:bottom w:val="single" w:sz="4" w:space="0" w:color="auto"/>
              <w:right w:val="single" w:sz="4" w:space="0" w:color="auto"/>
            </w:tcBorders>
            <w:shd w:val="clear" w:color="auto" w:fill="E6F4EA"/>
            <w:hideMark/>
          </w:tcPr>
          <w:p w14:paraId="54AAF32B"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37" w:type="dxa"/>
            <w:tcBorders>
              <w:top w:val="single" w:sz="4" w:space="0" w:color="auto"/>
              <w:left w:val="single" w:sz="4" w:space="0" w:color="auto"/>
              <w:bottom w:val="single" w:sz="4" w:space="0" w:color="auto"/>
              <w:right w:val="single" w:sz="4" w:space="0" w:color="auto"/>
            </w:tcBorders>
            <w:shd w:val="clear" w:color="auto" w:fill="E6F4EA"/>
            <w:hideMark/>
          </w:tcPr>
          <w:p w14:paraId="3D3FA019"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21" w:type="dxa"/>
            <w:tcBorders>
              <w:top w:val="single" w:sz="4" w:space="0" w:color="auto"/>
              <w:left w:val="single" w:sz="4" w:space="0" w:color="auto"/>
              <w:bottom w:val="single" w:sz="4" w:space="0" w:color="auto"/>
              <w:right w:val="single" w:sz="4" w:space="0" w:color="auto"/>
            </w:tcBorders>
            <w:shd w:val="clear" w:color="auto" w:fill="E6F4EA"/>
            <w:hideMark/>
          </w:tcPr>
          <w:p w14:paraId="4CEDB300"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078" w:type="dxa"/>
            <w:tcBorders>
              <w:top w:val="single" w:sz="4" w:space="0" w:color="auto"/>
              <w:left w:val="single" w:sz="4" w:space="0" w:color="auto"/>
              <w:bottom w:val="single" w:sz="4" w:space="0" w:color="auto"/>
              <w:right w:val="single" w:sz="4" w:space="0" w:color="auto"/>
            </w:tcBorders>
            <w:shd w:val="clear" w:color="auto" w:fill="E6F4EA"/>
            <w:hideMark/>
          </w:tcPr>
          <w:p w14:paraId="55F8F19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154" w:type="dxa"/>
            <w:tcBorders>
              <w:top w:val="single" w:sz="4" w:space="0" w:color="auto"/>
              <w:left w:val="single" w:sz="4" w:space="0" w:color="auto"/>
              <w:bottom w:val="single" w:sz="4" w:space="0" w:color="auto"/>
              <w:right w:val="single" w:sz="4" w:space="0" w:color="auto"/>
            </w:tcBorders>
            <w:shd w:val="clear" w:color="auto" w:fill="E6F4EA"/>
            <w:hideMark/>
          </w:tcPr>
          <w:p w14:paraId="4A5A4CC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49" w:type="dxa"/>
            <w:tcBorders>
              <w:top w:val="single" w:sz="4" w:space="0" w:color="auto"/>
              <w:left w:val="single" w:sz="4" w:space="0" w:color="auto"/>
              <w:bottom w:val="single" w:sz="4" w:space="0" w:color="auto"/>
              <w:right w:val="single" w:sz="4" w:space="0" w:color="auto"/>
            </w:tcBorders>
            <w:shd w:val="clear" w:color="auto" w:fill="E6F4EA"/>
            <w:hideMark/>
          </w:tcPr>
          <w:p w14:paraId="0541783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892" w:type="dxa"/>
            <w:tcBorders>
              <w:top w:val="single" w:sz="4" w:space="0" w:color="auto"/>
              <w:left w:val="single" w:sz="4" w:space="0" w:color="auto"/>
              <w:bottom w:val="single" w:sz="4" w:space="0" w:color="auto"/>
              <w:right w:val="single" w:sz="4" w:space="0" w:color="auto"/>
            </w:tcBorders>
            <w:shd w:val="clear" w:color="auto" w:fill="E6F4EA"/>
            <w:hideMark/>
          </w:tcPr>
          <w:p w14:paraId="3BACC53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340C69" w:rsidRPr="00457F66" w14:paraId="34D848BF" w14:textId="77777777" w:rsidTr="009F7234">
        <w:tc>
          <w:tcPr>
            <w:tcW w:w="889" w:type="dxa"/>
            <w:tcBorders>
              <w:top w:val="single" w:sz="4" w:space="0" w:color="auto"/>
              <w:left w:val="single" w:sz="4" w:space="0" w:color="auto"/>
              <w:bottom w:val="single" w:sz="4" w:space="0" w:color="auto"/>
              <w:right w:val="single" w:sz="4" w:space="0" w:color="auto"/>
            </w:tcBorders>
            <w:shd w:val="clear" w:color="auto" w:fill="E8F0FA"/>
            <w:hideMark/>
          </w:tcPr>
          <w:p w14:paraId="7C7E8B16"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Hodson et al. (2019)</w:t>
            </w:r>
          </w:p>
        </w:tc>
        <w:tc>
          <w:tcPr>
            <w:tcW w:w="913" w:type="dxa"/>
            <w:tcBorders>
              <w:top w:val="single" w:sz="4" w:space="0" w:color="auto"/>
              <w:left w:val="single" w:sz="4" w:space="0" w:color="auto"/>
              <w:bottom w:val="single" w:sz="4" w:space="0" w:color="auto"/>
              <w:right w:val="single" w:sz="4" w:space="0" w:color="auto"/>
            </w:tcBorders>
            <w:shd w:val="clear" w:color="auto" w:fill="E6F4EA"/>
            <w:hideMark/>
          </w:tcPr>
          <w:p w14:paraId="1DAACFF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334" w:type="dxa"/>
            <w:tcBorders>
              <w:top w:val="single" w:sz="4" w:space="0" w:color="auto"/>
              <w:left w:val="single" w:sz="4" w:space="0" w:color="auto"/>
              <w:bottom w:val="single" w:sz="4" w:space="0" w:color="auto"/>
              <w:right w:val="single" w:sz="4" w:space="0" w:color="auto"/>
            </w:tcBorders>
            <w:shd w:val="clear" w:color="auto" w:fill="E6F4EA"/>
            <w:hideMark/>
          </w:tcPr>
          <w:p w14:paraId="3CFA06A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37" w:type="dxa"/>
            <w:tcBorders>
              <w:top w:val="single" w:sz="4" w:space="0" w:color="auto"/>
              <w:left w:val="single" w:sz="4" w:space="0" w:color="auto"/>
              <w:bottom w:val="single" w:sz="4" w:space="0" w:color="auto"/>
              <w:right w:val="single" w:sz="4" w:space="0" w:color="auto"/>
            </w:tcBorders>
            <w:shd w:val="clear" w:color="auto" w:fill="E6F4EA"/>
            <w:hideMark/>
          </w:tcPr>
          <w:p w14:paraId="5EDD5A0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21" w:type="dxa"/>
            <w:tcBorders>
              <w:top w:val="single" w:sz="4" w:space="0" w:color="auto"/>
              <w:left w:val="single" w:sz="4" w:space="0" w:color="auto"/>
              <w:bottom w:val="single" w:sz="4" w:space="0" w:color="auto"/>
              <w:right w:val="single" w:sz="4" w:space="0" w:color="auto"/>
            </w:tcBorders>
            <w:shd w:val="clear" w:color="auto" w:fill="E6F4EA"/>
            <w:hideMark/>
          </w:tcPr>
          <w:p w14:paraId="6CD2BA7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078" w:type="dxa"/>
            <w:tcBorders>
              <w:top w:val="single" w:sz="4" w:space="0" w:color="auto"/>
              <w:left w:val="single" w:sz="4" w:space="0" w:color="auto"/>
              <w:bottom w:val="single" w:sz="4" w:space="0" w:color="auto"/>
              <w:right w:val="single" w:sz="4" w:space="0" w:color="auto"/>
            </w:tcBorders>
            <w:shd w:val="clear" w:color="auto" w:fill="FFEEEE"/>
            <w:hideMark/>
          </w:tcPr>
          <w:p w14:paraId="6B47785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900000"/>
                <w:sz w:val="16"/>
                <w:szCs w:val="16"/>
              </w:rPr>
              <w:t>No</w:t>
            </w:r>
          </w:p>
        </w:tc>
        <w:tc>
          <w:tcPr>
            <w:tcW w:w="1154" w:type="dxa"/>
            <w:tcBorders>
              <w:top w:val="single" w:sz="4" w:space="0" w:color="auto"/>
              <w:left w:val="single" w:sz="4" w:space="0" w:color="auto"/>
              <w:bottom w:val="single" w:sz="4" w:space="0" w:color="auto"/>
              <w:right w:val="single" w:sz="4" w:space="0" w:color="auto"/>
            </w:tcBorders>
            <w:shd w:val="clear" w:color="auto" w:fill="FFF8E6"/>
            <w:hideMark/>
          </w:tcPr>
          <w:p w14:paraId="2FE05BAD"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7A5A00"/>
                <w:sz w:val="16"/>
                <w:szCs w:val="16"/>
              </w:rPr>
              <w:t>Unclear</w:t>
            </w:r>
          </w:p>
        </w:tc>
        <w:tc>
          <w:tcPr>
            <w:tcW w:w="949" w:type="dxa"/>
            <w:tcBorders>
              <w:top w:val="single" w:sz="4" w:space="0" w:color="auto"/>
              <w:left w:val="single" w:sz="4" w:space="0" w:color="auto"/>
              <w:bottom w:val="single" w:sz="4" w:space="0" w:color="auto"/>
              <w:right w:val="single" w:sz="4" w:space="0" w:color="auto"/>
            </w:tcBorders>
            <w:shd w:val="clear" w:color="auto" w:fill="E6F4EA"/>
            <w:hideMark/>
          </w:tcPr>
          <w:p w14:paraId="4D29CCF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892" w:type="dxa"/>
            <w:tcBorders>
              <w:top w:val="single" w:sz="4" w:space="0" w:color="auto"/>
              <w:left w:val="single" w:sz="4" w:space="0" w:color="auto"/>
              <w:bottom w:val="single" w:sz="4" w:space="0" w:color="auto"/>
              <w:right w:val="single" w:sz="4" w:space="0" w:color="auto"/>
            </w:tcBorders>
            <w:shd w:val="clear" w:color="auto" w:fill="E6F4EA"/>
            <w:hideMark/>
          </w:tcPr>
          <w:p w14:paraId="57AA219C"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340C69" w:rsidRPr="00457F66" w14:paraId="4B1B492C" w14:textId="77777777" w:rsidTr="009F7234">
        <w:tc>
          <w:tcPr>
            <w:tcW w:w="889" w:type="dxa"/>
            <w:tcBorders>
              <w:top w:val="single" w:sz="4" w:space="0" w:color="auto"/>
              <w:left w:val="single" w:sz="4" w:space="0" w:color="auto"/>
              <w:bottom w:val="single" w:sz="4" w:space="0" w:color="auto"/>
              <w:right w:val="single" w:sz="4" w:space="0" w:color="auto"/>
            </w:tcBorders>
            <w:shd w:val="clear" w:color="auto" w:fill="FFFFFF"/>
            <w:hideMark/>
          </w:tcPr>
          <w:p w14:paraId="686B9084"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Lewer et al. (2019)</w:t>
            </w:r>
          </w:p>
        </w:tc>
        <w:tc>
          <w:tcPr>
            <w:tcW w:w="913" w:type="dxa"/>
            <w:tcBorders>
              <w:top w:val="single" w:sz="4" w:space="0" w:color="auto"/>
              <w:left w:val="single" w:sz="4" w:space="0" w:color="auto"/>
              <w:bottom w:val="single" w:sz="4" w:space="0" w:color="auto"/>
              <w:right w:val="single" w:sz="4" w:space="0" w:color="auto"/>
            </w:tcBorders>
            <w:shd w:val="clear" w:color="auto" w:fill="E6F4EA"/>
            <w:hideMark/>
          </w:tcPr>
          <w:p w14:paraId="0193FC9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334" w:type="dxa"/>
            <w:tcBorders>
              <w:top w:val="single" w:sz="4" w:space="0" w:color="auto"/>
              <w:left w:val="single" w:sz="4" w:space="0" w:color="auto"/>
              <w:bottom w:val="single" w:sz="4" w:space="0" w:color="auto"/>
              <w:right w:val="single" w:sz="4" w:space="0" w:color="auto"/>
            </w:tcBorders>
            <w:shd w:val="clear" w:color="auto" w:fill="E6F4EA"/>
            <w:hideMark/>
          </w:tcPr>
          <w:p w14:paraId="254DB7CC"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37" w:type="dxa"/>
            <w:tcBorders>
              <w:top w:val="single" w:sz="4" w:space="0" w:color="auto"/>
              <w:left w:val="single" w:sz="4" w:space="0" w:color="auto"/>
              <w:bottom w:val="single" w:sz="4" w:space="0" w:color="auto"/>
              <w:right w:val="single" w:sz="4" w:space="0" w:color="auto"/>
            </w:tcBorders>
            <w:shd w:val="clear" w:color="auto" w:fill="E6F4EA"/>
            <w:hideMark/>
          </w:tcPr>
          <w:p w14:paraId="3190D485"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21" w:type="dxa"/>
            <w:tcBorders>
              <w:top w:val="single" w:sz="4" w:space="0" w:color="auto"/>
              <w:left w:val="single" w:sz="4" w:space="0" w:color="auto"/>
              <w:bottom w:val="single" w:sz="4" w:space="0" w:color="auto"/>
              <w:right w:val="single" w:sz="4" w:space="0" w:color="auto"/>
            </w:tcBorders>
            <w:shd w:val="clear" w:color="auto" w:fill="E6F4EA"/>
            <w:hideMark/>
          </w:tcPr>
          <w:p w14:paraId="1C35B54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078" w:type="dxa"/>
            <w:tcBorders>
              <w:top w:val="single" w:sz="4" w:space="0" w:color="auto"/>
              <w:left w:val="single" w:sz="4" w:space="0" w:color="auto"/>
              <w:bottom w:val="single" w:sz="4" w:space="0" w:color="auto"/>
              <w:right w:val="single" w:sz="4" w:space="0" w:color="auto"/>
            </w:tcBorders>
            <w:shd w:val="clear" w:color="auto" w:fill="E6F4EA"/>
            <w:hideMark/>
          </w:tcPr>
          <w:p w14:paraId="5377C3B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154" w:type="dxa"/>
            <w:tcBorders>
              <w:top w:val="single" w:sz="4" w:space="0" w:color="auto"/>
              <w:left w:val="single" w:sz="4" w:space="0" w:color="auto"/>
              <w:bottom w:val="single" w:sz="4" w:space="0" w:color="auto"/>
              <w:right w:val="single" w:sz="4" w:space="0" w:color="auto"/>
            </w:tcBorders>
            <w:shd w:val="clear" w:color="auto" w:fill="E6F4EA"/>
            <w:hideMark/>
          </w:tcPr>
          <w:p w14:paraId="349C02AF"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49" w:type="dxa"/>
            <w:tcBorders>
              <w:top w:val="single" w:sz="4" w:space="0" w:color="auto"/>
              <w:left w:val="single" w:sz="4" w:space="0" w:color="auto"/>
              <w:bottom w:val="single" w:sz="4" w:space="0" w:color="auto"/>
              <w:right w:val="single" w:sz="4" w:space="0" w:color="auto"/>
            </w:tcBorders>
            <w:shd w:val="clear" w:color="auto" w:fill="E6F4EA"/>
            <w:hideMark/>
          </w:tcPr>
          <w:p w14:paraId="601FC26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892" w:type="dxa"/>
            <w:tcBorders>
              <w:top w:val="single" w:sz="4" w:space="0" w:color="auto"/>
              <w:left w:val="single" w:sz="4" w:space="0" w:color="auto"/>
              <w:bottom w:val="single" w:sz="4" w:space="0" w:color="auto"/>
              <w:right w:val="single" w:sz="4" w:space="0" w:color="auto"/>
            </w:tcBorders>
            <w:shd w:val="clear" w:color="auto" w:fill="E6F4EA"/>
            <w:hideMark/>
          </w:tcPr>
          <w:p w14:paraId="3D71A031"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340C69" w:rsidRPr="00457F66" w14:paraId="6F52934C" w14:textId="77777777" w:rsidTr="009F7234">
        <w:tc>
          <w:tcPr>
            <w:tcW w:w="889" w:type="dxa"/>
            <w:tcBorders>
              <w:top w:val="single" w:sz="4" w:space="0" w:color="auto"/>
              <w:left w:val="single" w:sz="4" w:space="0" w:color="auto"/>
              <w:bottom w:val="single" w:sz="4" w:space="0" w:color="auto"/>
              <w:right w:val="single" w:sz="4" w:space="0" w:color="auto"/>
            </w:tcBorders>
            <w:shd w:val="clear" w:color="auto" w:fill="E8F0FA"/>
            <w:hideMark/>
          </w:tcPr>
          <w:p w14:paraId="70D300DC"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Aldridge et al. (2019)</w:t>
            </w:r>
          </w:p>
        </w:tc>
        <w:tc>
          <w:tcPr>
            <w:tcW w:w="913" w:type="dxa"/>
            <w:tcBorders>
              <w:top w:val="single" w:sz="4" w:space="0" w:color="auto"/>
              <w:left w:val="single" w:sz="4" w:space="0" w:color="auto"/>
              <w:bottom w:val="single" w:sz="4" w:space="0" w:color="auto"/>
              <w:right w:val="single" w:sz="4" w:space="0" w:color="auto"/>
            </w:tcBorders>
            <w:shd w:val="clear" w:color="auto" w:fill="E6F4EA"/>
            <w:hideMark/>
          </w:tcPr>
          <w:p w14:paraId="69D4FCF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334" w:type="dxa"/>
            <w:tcBorders>
              <w:top w:val="single" w:sz="4" w:space="0" w:color="auto"/>
              <w:left w:val="single" w:sz="4" w:space="0" w:color="auto"/>
              <w:bottom w:val="single" w:sz="4" w:space="0" w:color="auto"/>
              <w:right w:val="single" w:sz="4" w:space="0" w:color="auto"/>
            </w:tcBorders>
            <w:shd w:val="clear" w:color="auto" w:fill="E6F4EA"/>
            <w:hideMark/>
          </w:tcPr>
          <w:p w14:paraId="2AFA8CE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37" w:type="dxa"/>
            <w:tcBorders>
              <w:top w:val="single" w:sz="4" w:space="0" w:color="auto"/>
              <w:left w:val="single" w:sz="4" w:space="0" w:color="auto"/>
              <w:bottom w:val="single" w:sz="4" w:space="0" w:color="auto"/>
              <w:right w:val="single" w:sz="4" w:space="0" w:color="auto"/>
            </w:tcBorders>
            <w:shd w:val="clear" w:color="auto" w:fill="E6F4EA"/>
            <w:hideMark/>
          </w:tcPr>
          <w:p w14:paraId="68FBE0E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21" w:type="dxa"/>
            <w:tcBorders>
              <w:top w:val="single" w:sz="4" w:space="0" w:color="auto"/>
              <w:left w:val="single" w:sz="4" w:space="0" w:color="auto"/>
              <w:bottom w:val="single" w:sz="4" w:space="0" w:color="auto"/>
              <w:right w:val="single" w:sz="4" w:space="0" w:color="auto"/>
            </w:tcBorders>
            <w:shd w:val="clear" w:color="auto" w:fill="E6F4EA"/>
            <w:hideMark/>
          </w:tcPr>
          <w:p w14:paraId="21EF7168"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078" w:type="dxa"/>
            <w:tcBorders>
              <w:top w:val="single" w:sz="4" w:space="0" w:color="auto"/>
              <w:left w:val="single" w:sz="4" w:space="0" w:color="auto"/>
              <w:bottom w:val="single" w:sz="4" w:space="0" w:color="auto"/>
              <w:right w:val="single" w:sz="4" w:space="0" w:color="auto"/>
            </w:tcBorders>
            <w:shd w:val="clear" w:color="auto" w:fill="E6F4EA"/>
            <w:hideMark/>
          </w:tcPr>
          <w:p w14:paraId="79DE6FC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154" w:type="dxa"/>
            <w:tcBorders>
              <w:top w:val="single" w:sz="4" w:space="0" w:color="auto"/>
              <w:left w:val="single" w:sz="4" w:space="0" w:color="auto"/>
              <w:bottom w:val="single" w:sz="4" w:space="0" w:color="auto"/>
              <w:right w:val="single" w:sz="4" w:space="0" w:color="auto"/>
            </w:tcBorders>
            <w:shd w:val="clear" w:color="auto" w:fill="E6F4EA"/>
            <w:hideMark/>
          </w:tcPr>
          <w:p w14:paraId="6574278C"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49" w:type="dxa"/>
            <w:tcBorders>
              <w:top w:val="single" w:sz="4" w:space="0" w:color="auto"/>
              <w:left w:val="single" w:sz="4" w:space="0" w:color="auto"/>
              <w:bottom w:val="single" w:sz="4" w:space="0" w:color="auto"/>
              <w:right w:val="single" w:sz="4" w:space="0" w:color="auto"/>
            </w:tcBorders>
            <w:shd w:val="clear" w:color="auto" w:fill="E6F4EA"/>
            <w:hideMark/>
          </w:tcPr>
          <w:p w14:paraId="341E0D7C"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892" w:type="dxa"/>
            <w:tcBorders>
              <w:top w:val="single" w:sz="4" w:space="0" w:color="auto"/>
              <w:left w:val="single" w:sz="4" w:space="0" w:color="auto"/>
              <w:bottom w:val="single" w:sz="4" w:space="0" w:color="auto"/>
              <w:right w:val="single" w:sz="4" w:space="0" w:color="auto"/>
            </w:tcBorders>
            <w:shd w:val="clear" w:color="auto" w:fill="E6F4EA"/>
            <w:hideMark/>
          </w:tcPr>
          <w:p w14:paraId="7FF82FE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r w:rsidR="00340C69" w:rsidRPr="00457F66" w14:paraId="217AAF88" w14:textId="77777777" w:rsidTr="009F7234">
        <w:tc>
          <w:tcPr>
            <w:tcW w:w="889" w:type="dxa"/>
            <w:tcBorders>
              <w:top w:val="single" w:sz="4" w:space="0" w:color="auto"/>
              <w:left w:val="single" w:sz="4" w:space="0" w:color="auto"/>
              <w:bottom w:val="single" w:sz="4" w:space="0" w:color="auto"/>
              <w:right w:val="single" w:sz="4" w:space="0" w:color="auto"/>
            </w:tcBorders>
            <w:shd w:val="clear" w:color="auto" w:fill="FFFFFF"/>
            <w:hideMark/>
          </w:tcPr>
          <w:p w14:paraId="4DE9B77B" w14:textId="77777777" w:rsidR="0008262A" w:rsidRPr="00457F66" w:rsidRDefault="0008262A" w:rsidP="008452C0">
            <w:pPr>
              <w:spacing w:before="50" w:after="50" w:line="360" w:lineRule="auto"/>
              <w:rPr>
                <w:rFonts w:ascii="Arial" w:hAnsi="Arial" w:cs="Arial"/>
              </w:rPr>
            </w:pPr>
            <w:r w:rsidRPr="00457F66">
              <w:rPr>
                <w:rFonts w:ascii="Arial" w:eastAsia="Arial" w:hAnsi="Arial" w:cs="Arial"/>
                <w:b/>
                <w:bCs/>
                <w:sz w:val="17"/>
                <w:szCs w:val="17"/>
              </w:rPr>
              <w:t>Guise et al. (2025)</w:t>
            </w:r>
          </w:p>
        </w:tc>
        <w:tc>
          <w:tcPr>
            <w:tcW w:w="913" w:type="dxa"/>
            <w:tcBorders>
              <w:top w:val="single" w:sz="4" w:space="0" w:color="auto"/>
              <w:left w:val="single" w:sz="4" w:space="0" w:color="auto"/>
              <w:bottom w:val="single" w:sz="4" w:space="0" w:color="auto"/>
              <w:right w:val="single" w:sz="4" w:space="0" w:color="auto"/>
            </w:tcBorders>
            <w:shd w:val="clear" w:color="auto" w:fill="E6F4EA"/>
            <w:hideMark/>
          </w:tcPr>
          <w:p w14:paraId="1A30C0A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334" w:type="dxa"/>
            <w:tcBorders>
              <w:top w:val="single" w:sz="4" w:space="0" w:color="auto"/>
              <w:left w:val="single" w:sz="4" w:space="0" w:color="auto"/>
              <w:bottom w:val="single" w:sz="4" w:space="0" w:color="auto"/>
              <w:right w:val="single" w:sz="4" w:space="0" w:color="auto"/>
            </w:tcBorders>
            <w:shd w:val="clear" w:color="auto" w:fill="E6F4EA"/>
            <w:hideMark/>
          </w:tcPr>
          <w:p w14:paraId="5B5C8244"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37" w:type="dxa"/>
            <w:tcBorders>
              <w:top w:val="single" w:sz="4" w:space="0" w:color="auto"/>
              <w:left w:val="single" w:sz="4" w:space="0" w:color="auto"/>
              <w:bottom w:val="single" w:sz="4" w:space="0" w:color="auto"/>
              <w:right w:val="single" w:sz="4" w:space="0" w:color="auto"/>
            </w:tcBorders>
            <w:shd w:val="clear" w:color="auto" w:fill="E6F4EA"/>
            <w:hideMark/>
          </w:tcPr>
          <w:p w14:paraId="06FE473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921" w:type="dxa"/>
            <w:tcBorders>
              <w:top w:val="single" w:sz="4" w:space="0" w:color="auto"/>
              <w:left w:val="single" w:sz="4" w:space="0" w:color="auto"/>
              <w:bottom w:val="single" w:sz="4" w:space="0" w:color="auto"/>
              <w:right w:val="single" w:sz="4" w:space="0" w:color="auto"/>
            </w:tcBorders>
            <w:shd w:val="clear" w:color="auto" w:fill="E6F4EA"/>
            <w:hideMark/>
          </w:tcPr>
          <w:p w14:paraId="63FFD583"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1078" w:type="dxa"/>
            <w:tcBorders>
              <w:top w:val="single" w:sz="4" w:space="0" w:color="auto"/>
              <w:left w:val="single" w:sz="4" w:space="0" w:color="auto"/>
              <w:bottom w:val="single" w:sz="4" w:space="0" w:color="auto"/>
              <w:right w:val="single" w:sz="4" w:space="0" w:color="auto"/>
            </w:tcBorders>
            <w:shd w:val="clear" w:color="auto" w:fill="FFF8E6"/>
            <w:hideMark/>
          </w:tcPr>
          <w:p w14:paraId="68AEE112"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7A5A00"/>
                <w:sz w:val="16"/>
                <w:szCs w:val="16"/>
              </w:rPr>
              <w:t>Unclear</w:t>
            </w:r>
          </w:p>
        </w:tc>
        <w:tc>
          <w:tcPr>
            <w:tcW w:w="1154" w:type="dxa"/>
            <w:tcBorders>
              <w:top w:val="single" w:sz="4" w:space="0" w:color="auto"/>
              <w:left w:val="single" w:sz="4" w:space="0" w:color="auto"/>
              <w:bottom w:val="single" w:sz="4" w:space="0" w:color="auto"/>
              <w:right w:val="single" w:sz="4" w:space="0" w:color="auto"/>
            </w:tcBorders>
            <w:shd w:val="clear" w:color="auto" w:fill="FFF8E6"/>
            <w:hideMark/>
          </w:tcPr>
          <w:p w14:paraId="17FD719E"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7A5A00"/>
                <w:sz w:val="16"/>
                <w:szCs w:val="16"/>
              </w:rPr>
              <w:t>Unclear</w:t>
            </w:r>
          </w:p>
        </w:tc>
        <w:tc>
          <w:tcPr>
            <w:tcW w:w="949" w:type="dxa"/>
            <w:tcBorders>
              <w:top w:val="single" w:sz="4" w:space="0" w:color="auto"/>
              <w:left w:val="single" w:sz="4" w:space="0" w:color="auto"/>
              <w:bottom w:val="single" w:sz="4" w:space="0" w:color="auto"/>
              <w:right w:val="single" w:sz="4" w:space="0" w:color="auto"/>
            </w:tcBorders>
            <w:shd w:val="clear" w:color="auto" w:fill="E6F4EA"/>
            <w:hideMark/>
          </w:tcPr>
          <w:p w14:paraId="70FC7A76"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c>
          <w:tcPr>
            <w:tcW w:w="892" w:type="dxa"/>
            <w:tcBorders>
              <w:top w:val="single" w:sz="4" w:space="0" w:color="auto"/>
              <w:left w:val="single" w:sz="4" w:space="0" w:color="auto"/>
              <w:bottom w:val="single" w:sz="4" w:space="0" w:color="auto"/>
              <w:right w:val="single" w:sz="4" w:space="0" w:color="auto"/>
            </w:tcBorders>
            <w:shd w:val="clear" w:color="auto" w:fill="E6F4EA"/>
            <w:hideMark/>
          </w:tcPr>
          <w:p w14:paraId="20F2E653" w14:textId="77777777" w:rsidR="0008262A" w:rsidRPr="00457F66" w:rsidRDefault="0008262A" w:rsidP="008452C0">
            <w:pPr>
              <w:spacing w:before="50" w:after="50" w:line="360" w:lineRule="auto"/>
              <w:jc w:val="center"/>
              <w:rPr>
                <w:rFonts w:ascii="Arial" w:hAnsi="Arial" w:cs="Arial"/>
              </w:rPr>
            </w:pPr>
            <w:r w:rsidRPr="00457F66">
              <w:rPr>
                <w:rFonts w:ascii="Arial" w:eastAsia="Arial" w:hAnsi="Arial" w:cs="Arial"/>
                <w:b/>
                <w:bCs/>
                <w:color w:val="0A6040"/>
                <w:sz w:val="16"/>
                <w:szCs w:val="16"/>
              </w:rPr>
              <w:t>Yes</w:t>
            </w:r>
          </w:p>
        </w:tc>
      </w:tr>
    </w:tbl>
    <w:p w14:paraId="7AACC2C7" w14:textId="77777777" w:rsidR="0008262A" w:rsidRPr="00457F66" w:rsidRDefault="0008262A" w:rsidP="008452C0">
      <w:pPr>
        <w:spacing w:before="240" w:after="100" w:line="360" w:lineRule="auto"/>
        <w:rPr>
          <w:rFonts w:ascii="Arial" w:hAnsi="Arial" w:cs="Arial"/>
        </w:rPr>
      </w:pPr>
      <w:r w:rsidRPr="00457F66">
        <w:rPr>
          <w:rFonts w:ascii="Arial" w:eastAsia="Arial" w:hAnsi="Arial" w:cs="Arial"/>
          <w:b/>
          <w:bCs/>
          <w:color w:val="003087"/>
          <w:sz w:val="22"/>
          <w:szCs w:val="22"/>
        </w:rPr>
        <w:t>Table D.4 — AACODS Checklist for Grey Literature (NICE, 2022; ONS, 2022; Marmot et al., 2020; Watts-Cobbe et al., 2025)</w:t>
      </w:r>
    </w:p>
    <w:tbl>
      <w:tblPr>
        <w:tblW w:w="9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04"/>
        <w:gridCol w:w="1304"/>
        <w:gridCol w:w="1304"/>
        <w:gridCol w:w="1304"/>
        <w:gridCol w:w="1304"/>
        <w:gridCol w:w="1304"/>
        <w:gridCol w:w="1304"/>
      </w:tblGrid>
      <w:tr w:rsidR="0008262A" w:rsidRPr="00457F66" w14:paraId="23340B22" w14:textId="77777777" w:rsidTr="00340C69">
        <w:trPr>
          <w:tblHeader/>
        </w:trPr>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50B94C58"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Study</w:t>
            </w:r>
          </w:p>
        </w:tc>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6FB2B624"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Authority</w:t>
            </w:r>
          </w:p>
        </w:tc>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36026BAE"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Accuracy</w:t>
            </w:r>
          </w:p>
        </w:tc>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15E9BB92"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Coverage</w:t>
            </w:r>
          </w:p>
        </w:tc>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42CD7CD9"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Objectivity</w:t>
            </w:r>
          </w:p>
        </w:tc>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603B5C22"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Date</w:t>
            </w:r>
          </w:p>
        </w:tc>
        <w:tc>
          <w:tcPr>
            <w:tcW w:w="1304" w:type="dxa"/>
            <w:tcBorders>
              <w:top w:val="single" w:sz="4" w:space="0" w:color="auto"/>
              <w:left w:val="single" w:sz="4" w:space="0" w:color="auto"/>
              <w:bottom w:val="single" w:sz="4" w:space="0" w:color="auto"/>
              <w:right w:val="single" w:sz="4" w:space="0" w:color="auto"/>
            </w:tcBorders>
            <w:shd w:val="clear" w:color="auto" w:fill="003087"/>
            <w:hideMark/>
          </w:tcPr>
          <w:p w14:paraId="604A733E" w14:textId="77777777" w:rsidR="0008262A" w:rsidRPr="00457F66" w:rsidRDefault="0008262A" w:rsidP="008452C0">
            <w:pPr>
              <w:spacing w:before="60" w:after="60" w:line="360" w:lineRule="auto"/>
              <w:ind w:right="57"/>
              <w:rPr>
                <w:rFonts w:ascii="Arial" w:hAnsi="Arial" w:cs="Arial"/>
              </w:rPr>
            </w:pPr>
            <w:r w:rsidRPr="00457F66">
              <w:rPr>
                <w:rFonts w:ascii="Arial" w:eastAsia="Arial" w:hAnsi="Arial" w:cs="Arial"/>
                <w:b/>
                <w:bCs/>
                <w:color w:val="FFFFFF"/>
                <w:sz w:val="17"/>
                <w:szCs w:val="17"/>
              </w:rPr>
              <w:t>Significance</w:t>
            </w:r>
          </w:p>
        </w:tc>
      </w:tr>
      <w:tr w:rsidR="0008262A" w:rsidRPr="00457F66" w14:paraId="5079DC31" w14:textId="77777777" w:rsidTr="00340C69">
        <w:tc>
          <w:tcPr>
            <w:tcW w:w="1304" w:type="dxa"/>
            <w:tcBorders>
              <w:top w:val="single" w:sz="4" w:space="0" w:color="auto"/>
              <w:left w:val="single" w:sz="4" w:space="0" w:color="auto"/>
              <w:bottom w:val="single" w:sz="4" w:space="0" w:color="auto"/>
              <w:right w:val="single" w:sz="4" w:space="0" w:color="auto"/>
            </w:tcBorders>
            <w:shd w:val="clear" w:color="auto" w:fill="FFFFFF"/>
            <w:hideMark/>
          </w:tcPr>
          <w:p w14:paraId="1E9BE9A0" w14:textId="77777777" w:rsidR="0008262A" w:rsidRPr="00457F66" w:rsidRDefault="0008262A" w:rsidP="008452C0">
            <w:pPr>
              <w:spacing w:before="50" w:after="50" w:line="360" w:lineRule="auto"/>
              <w:ind w:right="57"/>
              <w:rPr>
                <w:rFonts w:ascii="Arial" w:hAnsi="Arial" w:cs="Arial"/>
              </w:rPr>
            </w:pPr>
            <w:r w:rsidRPr="00457F66">
              <w:rPr>
                <w:rFonts w:ascii="Arial" w:eastAsia="Arial" w:hAnsi="Arial" w:cs="Arial"/>
                <w:b/>
                <w:bCs/>
                <w:sz w:val="17"/>
                <w:szCs w:val="17"/>
              </w:rPr>
              <w:t>NICE (2022) NG214</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5E5E6388"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661D5263"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0DEE9515"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14D9F670"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08CFD5D2"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284A966F"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r>
      <w:tr w:rsidR="0008262A" w:rsidRPr="00457F66" w14:paraId="3BB37C5B" w14:textId="77777777" w:rsidTr="00340C69">
        <w:tc>
          <w:tcPr>
            <w:tcW w:w="1304" w:type="dxa"/>
            <w:tcBorders>
              <w:top w:val="single" w:sz="4" w:space="0" w:color="auto"/>
              <w:left w:val="single" w:sz="4" w:space="0" w:color="auto"/>
              <w:bottom w:val="single" w:sz="4" w:space="0" w:color="auto"/>
              <w:right w:val="single" w:sz="4" w:space="0" w:color="auto"/>
            </w:tcBorders>
            <w:shd w:val="clear" w:color="auto" w:fill="E8F0FA"/>
            <w:hideMark/>
          </w:tcPr>
          <w:p w14:paraId="6E0122A8" w14:textId="77777777" w:rsidR="0008262A" w:rsidRPr="00457F66" w:rsidRDefault="0008262A" w:rsidP="008452C0">
            <w:pPr>
              <w:spacing w:before="50" w:after="50" w:line="360" w:lineRule="auto"/>
              <w:ind w:right="57"/>
              <w:rPr>
                <w:rFonts w:ascii="Arial" w:hAnsi="Arial" w:cs="Arial"/>
              </w:rPr>
            </w:pPr>
            <w:r w:rsidRPr="00457F66">
              <w:rPr>
                <w:rFonts w:ascii="Arial" w:eastAsia="Arial" w:hAnsi="Arial" w:cs="Arial"/>
                <w:b/>
                <w:bCs/>
                <w:sz w:val="17"/>
                <w:szCs w:val="17"/>
              </w:rPr>
              <w:t>ONS (2022)</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3C9B8596"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35609D64"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5682CD42"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73094533"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45B0A8C4"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25474F21"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r>
      <w:tr w:rsidR="0008262A" w:rsidRPr="00457F66" w14:paraId="0CAAC86D" w14:textId="77777777" w:rsidTr="00340C69">
        <w:tc>
          <w:tcPr>
            <w:tcW w:w="1304" w:type="dxa"/>
            <w:tcBorders>
              <w:top w:val="single" w:sz="4" w:space="0" w:color="auto"/>
              <w:left w:val="single" w:sz="4" w:space="0" w:color="auto"/>
              <w:bottom w:val="single" w:sz="4" w:space="0" w:color="auto"/>
              <w:right w:val="single" w:sz="4" w:space="0" w:color="auto"/>
            </w:tcBorders>
            <w:shd w:val="clear" w:color="auto" w:fill="FFFFFF"/>
            <w:hideMark/>
          </w:tcPr>
          <w:p w14:paraId="6FB680F4" w14:textId="77777777" w:rsidR="0008262A" w:rsidRPr="00457F66" w:rsidRDefault="0008262A" w:rsidP="008452C0">
            <w:pPr>
              <w:spacing w:before="50" w:after="50" w:line="360" w:lineRule="auto"/>
              <w:ind w:right="57"/>
              <w:rPr>
                <w:rFonts w:ascii="Arial" w:hAnsi="Arial" w:cs="Arial"/>
              </w:rPr>
            </w:pPr>
            <w:r w:rsidRPr="00457F66">
              <w:rPr>
                <w:rFonts w:ascii="Arial" w:eastAsia="Arial" w:hAnsi="Arial" w:cs="Arial"/>
                <w:b/>
                <w:bCs/>
                <w:sz w:val="17"/>
                <w:szCs w:val="17"/>
              </w:rPr>
              <w:t>Marmot et al. (2020)</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477DFEEF"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47A9FF0D"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5FAA6299"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26956F5C"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4DDDE5DA"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54C7B655"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r>
      <w:tr w:rsidR="0008262A" w:rsidRPr="00457F66" w14:paraId="1149C0FA" w14:textId="77777777" w:rsidTr="00340C69">
        <w:tc>
          <w:tcPr>
            <w:tcW w:w="1304" w:type="dxa"/>
            <w:tcBorders>
              <w:top w:val="single" w:sz="4" w:space="0" w:color="auto"/>
              <w:left w:val="single" w:sz="4" w:space="0" w:color="auto"/>
              <w:bottom w:val="single" w:sz="4" w:space="0" w:color="auto"/>
              <w:right w:val="single" w:sz="4" w:space="0" w:color="auto"/>
            </w:tcBorders>
            <w:shd w:val="clear" w:color="auto" w:fill="E8F0FA"/>
            <w:hideMark/>
          </w:tcPr>
          <w:p w14:paraId="0ED7C682" w14:textId="77777777" w:rsidR="0008262A" w:rsidRPr="00457F66" w:rsidRDefault="0008262A" w:rsidP="008452C0">
            <w:pPr>
              <w:spacing w:before="50" w:after="50" w:line="360" w:lineRule="auto"/>
              <w:ind w:right="57"/>
              <w:rPr>
                <w:rFonts w:ascii="Arial" w:hAnsi="Arial" w:cs="Arial"/>
              </w:rPr>
            </w:pPr>
            <w:r w:rsidRPr="00457F66">
              <w:rPr>
                <w:rFonts w:ascii="Arial" w:eastAsia="Arial" w:hAnsi="Arial" w:cs="Arial"/>
                <w:b/>
                <w:bCs/>
                <w:sz w:val="17"/>
                <w:szCs w:val="17"/>
              </w:rPr>
              <w:t>Watts-Cobbe et al. (2025)</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06E71297"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69C0E885"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28A522F7"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623B1FBE"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113D96D7"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c>
          <w:tcPr>
            <w:tcW w:w="1304" w:type="dxa"/>
            <w:tcBorders>
              <w:top w:val="single" w:sz="4" w:space="0" w:color="auto"/>
              <w:left w:val="single" w:sz="4" w:space="0" w:color="auto"/>
              <w:bottom w:val="single" w:sz="4" w:space="0" w:color="auto"/>
              <w:right w:val="single" w:sz="4" w:space="0" w:color="auto"/>
            </w:tcBorders>
            <w:shd w:val="clear" w:color="auto" w:fill="E6F4EA"/>
            <w:hideMark/>
          </w:tcPr>
          <w:p w14:paraId="02D06F48" w14:textId="77777777" w:rsidR="0008262A" w:rsidRPr="00457F66" w:rsidRDefault="0008262A" w:rsidP="008452C0">
            <w:pPr>
              <w:spacing w:before="50" w:after="50" w:line="360" w:lineRule="auto"/>
              <w:ind w:right="57"/>
              <w:jc w:val="center"/>
              <w:rPr>
                <w:rFonts w:ascii="Arial" w:hAnsi="Arial" w:cs="Arial"/>
              </w:rPr>
            </w:pPr>
            <w:r w:rsidRPr="00457F66">
              <w:rPr>
                <w:rFonts w:ascii="Arial" w:eastAsia="Arial" w:hAnsi="Arial" w:cs="Arial"/>
                <w:b/>
                <w:bCs/>
                <w:color w:val="0A6040"/>
                <w:sz w:val="16"/>
                <w:szCs w:val="16"/>
              </w:rPr>
              <w:t>Yes</w:t>
            </w:r>
          </w:p>
        </w:tc>
      </w:tr>
    </w:tbl>
    <w:p w14:paraId="557CE38E" w14:textId="3BB7C85B" w:rsidR="0008262A" w:rsidRPr="00457F66" w:rsidRDefault="0008262A" w:rsidP="008452C0">
      <w:pPr>
        <w:spacing w:before="160" w:line="360" w:lineRule="auto"/>
        <w:rPr>
          <w:rFonts w:ascii="Arial" w:hAnsi="Arial" w:cs="Arial"/>
        </w:rPr>
      </w:pPr>
      <w:r w:rsidRPr="00457F66">
        <w:rPr>
          <w:rFonts w:ascii="Arial" w:eastAsia="Arial" w:hAnsi="Arial" w:cs="Arial"/>
          <w:i/>
          <w:iCs/>
          <w:color w:val="666666"/>
          <w:sz w:val="16"/>
          <w:szCs w:val="16"/>
        </w:rPr>
        <w:t xml:space="preserve">Sources: CASP (2018); Joanna Briggs Institute (2020); Tyndall (2010). All appraisal criteria </w:t>
      </w:r>
      <w:r w:rsidR="002B2559">
        <w:rPr>
          <w:rFonts w:ascii="Arial" w:eastAsia="Arial" w:hAnsi="Arial" w:cs="Arial"/>
          <w:i/>
          <w:iCs/>
          <w:color w:val="666666"/>
          <w:sz w:val="16"/>
          <w:szCs w:val="16"/>
        </w:rPr>
        <w:t xml:space="preserve">were </w:t>
      </w:r>
      <w:r w:rsidRPr="00457F66">
        <w:rPr>
          <w:rFonts w:ascii="Arial" w:eastAsia="Arial" w:hAnsi="Arial" w:cs="Arial"/>
          <w:i/>
          <w:iCs/>
          <w:color w:val="666666"/>
          <w:sz w:val="16"/>
          <w:szCs w:val="16"/>
        </w:rPr>
        <w:t xml:space="preserve">applied by the researcher and interpreted in </w:t>
      </w:r>
      <w:r w:rsidR="002B2559">
        <w:rPr>
          <w:rFonts w:ascii="Arial" w:eastAsia="Arial" w:hAnsi="Arial" w:cs="Arial"/>
          <w:i/>
          <w:iCs/>
          <w:color w:val="666666"/>
          <w:sz w:val="16"/>
          <w:szCs w:val="16"/>
        </w:rPr>
        <w:t xml:space="preserve">the </w:t>
      </w:r>
      <w:r w:rsidRPr="00457F66">
        <w:rPr>
          <w:rFonts w:ascii="Arial" w:eastAsia="Arial" w:hAnsi="Arial" w:cs="Arial"/>
          <w:i/>
          <w:iCs/>
          <w:color w:val="666666"/>
          <w:sz w:val="16"/>
          <w:szCs w:val="16"/>
        </w:rPr>
        <w:t>context of each study's design and scope.</w:t>
      </w:r>
    </w:p>
    <w:p w14:paraId="38884539" w14:textId="5420549D" w:rsidR="005F1F7C" w:rsidRPr="00457F66" w:rsidRDefault="005F1F7C" w:rsidP="008452C0">
      <w:pPr>
        <w:spacing w:after="160" w:line="360" w:lineRule="auto"/>
        <w:rPr>
          <w:rFonts w:ascii="Arial" w:hAnsi="Arial" w:cs="Arial"/>
          <w:b/>
          <w:bCs/>
          <w:color w:val="003087"/>
          <w:sz w:val="22"/>
          <w:szCs w:val="22"/>
        </w:rPr>
      </w:pPr>
    </w:p>
    <w:sectPr w:rsidR="005F1F7C" w:rsidRPr="00457F66" w:rsidSect="00C754DB">
      <w:footerReference w:type="default" r:id="rId30"/>
      <w:pgSz w:w="11906" w:h="16838"/>
      <w:pgMar w:top="1440" w:right="1440" w:bottom="1440" w:left="1440" w:header="708"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755740" w14:textId="77777777" w:rsidR="006959A7" w:rsidRDefault="006959A7" w:rsidP="00DC4B6E">
      <w:r>
        <w:separator/>
      </w:r>
    </w:p>
  </w:endnote>
  <w:endnote w:type="continuationSeparator" w:id="0">
    <w:p w14:paraId="2467A85D" w14:textId="77777777" w:rsidR="006959A7" w:rsidRDefault="006959A7" w:rsidP="00DC4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8610653"/>
      <w:docPartObj>
        <w:docPartGallery w:val="Page Numbers (Bottom of Page)"/>
        <w:docPartUnique/>
      </w:docPartObj>
    </w:sdtPr>
    <w:sdtEndPr/>
    <w:sdtContent>
      <w:p w14:paraId="18538EBB" w14:textId="38F597FA" w:rsidR="00C9524C" w:rsidRDefault="00C9524C">
        <w:pPr>
          <w:pStyle w:val="Footer"/>
          <w:jc w:val="right"/>
        </w:pPr>
        <w:r>
          <w:fldChar w:fldCharType="begin"/>
        </w:r>
        <w:r>
          <w:instrText>PAGE   \* MERGEFORMAT</w:instrText>
        </w:r>
        <w:r>
          <w:fldChar w:fldCharType="separate"/>
        </w:r>
        <w:r>
          <w:rPr>
            <w:lang w:val="en-GB"/>
          </w:rPr>
          <w:t>2</w:t>
        </w:r>
        <w:r>
          <w:fldChar w:fldCharType="end"/>
        </w:r>
      </w:p>
    </w:sdtContent>
  </w:sdt>
  <w:p w14:paraId="22577FB6" w14:textId="1D6DE522" w:rsidR="00170D44" w:rsidRPr="009E27E4" w:rsidRDefault="00170D44" w:rsidP="00381117">
    <w:pPr>
      <w:pStyle w:val="Footer"/>
      <w:rPr>
        <w:rFonts w:ascii="Calibri" w:hAnsi="Calibri" w:cs="Calibri"/>
      </w:rPr>
    </w:pPr>
    <w:r w:rsidRPr="007E5E25">
      <w:rPr>
        <w:rFonts w:ascii="Calibri" w:hAnsi="Calibri" w:cs="Calibri"/>
        <w:sz w:val="22"/>
        <w:szCs w:val="22"/>
      </w:rPr>
      <w:t>Krishna Snehalgiri Goswami</w:t>
    </w:r>
    <w:r w:rsidR="009E27E4" w:rsidRPr="007E5E25">
      <w:rPr>
        <w:rFonts w:ascii="Calibri" w:hAnsi="Calibri" w:cs="Calibri"/>
        <w:sz w:val="22"/>
        <w:szCs w:val="22"/>
      </w:rPr>
      <w:t xml:space="preserve">                   </w:t>
    </w:r>
    <w:r w:rsidR="00381117" w:rsidRPr="007E5E25">
      <w:rPr>
        <w:rFonts w:ascii="Calibri" w:hAnsi="Calibri" w:cs="Calibri"/>
        <w:sz w:val="22"/>
        <w:szCs w:val="22"/>
      </w:rPr>
      <w:t xml:space="preserve">           </w:t>
    </w:r>
    <w:r w:rsidR="009E27E4" w:rsidRPr="007E5E25">
      <w:rPr>
        <w:rFonts w:ascii="Calibri" w:hAnsi="Calibri" w:cs="Calibri"/>
        <w:sz w:val="22"/>
        <w:szCs w:val="22"/>
      </w:rPr>
      <w:t>Dissertation</w:t>
    </w:r>
  </w:p>
  <w:p w14:paraId="11CB352C" w14:textId="4EB7541B" w:rsidR="00170D44" w:rsidRPr="00170D44" w:rsidRDefault="00170D44" w:rsidP="00170D44">
    <w:pPr>
      <w:pStyle w:val="Footer"/>
      <w:tabs>
        <w:tab w:val="clear" w:pos="4513"/>
        <w:tab w:val="clear" w:pos="9026"/>
        <w:tab w:val="left" w:pos="3891"/>
      </w:tabs>
    </w:pPr>
    <w:r w:rsidRPr="00170D44">
      <w:t xml:space="preserve"> </w:t>
    </w:r>
    <w:r>
      <w:tab/>
    </w:r>
  </w:p>
  <w:p w14:paraId="24717095" w14:textId="7D7BD602" w:rsidR="00F449C3" w:rsidRDefault="00F449C3" w:rsidP="00170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68A258" w14:textId="77777777" w:rsidR="006959A7" w:rsidRDefault="006959A7" w:rsidP="00DC4B6E">
      <w:r>
        <w:separator/>
      </w:r>
    </w:p>
  </w:footnote>
  <w:footnote w:type="continuationSeparator" w:id="0">
    <w:p w14:paraId="26C0ED7C" w14:textId="77777777" w:rsidR="006959A7" w:rsidRDefault="006959A7" w:rsidP="00DC4B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385493"/>
    <w:multiLevelType w:val="hybridMultilevel"/>
    <w:tmpl w:val="9E7432C6"/>
    <w:lvl w:ilvl="0" w:tplc="5D2A7734">
      <w:start w:val="1"/>
      <w:numFmt w:val="decimal"/>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2C393A0F"/>
    <w:multiLevelType w:val="hybridMultilevel"/>
    <w:tmpl w:val="163C53EA"/>
    <w:lvl w:ilvl="0" w:tplc="5D2A7734">
      <w:start w:val="1"/>
      <w:numFmt w:val="decimal"/>
      <w:lvlText w:val="%1."/>
      <w:lvlJc w:val="left"/>
      <w:pPr>
        <w:ind w:left="720" w:hanging="720"/>
      </w:pPr>
      <w:rPr>
        <w:rFonts w:hint="default"/>
      </w:rPr>
    </w:lvl>
    <w:lvl w:ilvl="1" w:tplc="40090019" w:tentative="1">
      <w:start w:val="1"/>
      <w:numFmt w:val="lowerLetter"/>
      <w:lvlText w:val="%2."/>
      <w:lvlJc w:val="left"/>
      <w:pPr>
        <w:ind w:left="720" w:hanging="360"/>
      </w:pPr>
    </w:lvl>
    <w:lvl w:ilvl="2" w:tplc="4009001B" w:tentative="1">
      <w:start w:val="1"/>
      <w:numFmt w:val="lowerRoman"/>
      <w:lvlText w:val="%3."/>
      <w:lvlJc w:val="right"/>
      <w:pPr>
        <w:ind w:left="1440" w:hanging="180"/>
      </w:pPr>
    </w:lvl>
    <w:lvl w:ilvl="3" w:tplc="4009000F" w:tentative="1">
      <w:start w:val="1"/>
      <w:numFmt w:val="decimal"/>
      <w:lvlText w:val="%4."/>
      <w:lvlJc w:val="left"/>
      <w:pPr>
        <w:ind w:left="2160" w:hanging="360"/>
      </w:pPr>
    </w:lvl>
    <w:lvl w:ilvl="4" w:tplc="40090019" w:tentative="1">
      <w:start w:val="1"/>
      <w:numFmt w:val="lowerLetter"/>
      <w:lvlText w:val="%5."/>
      <w:lvlJc w:val="left"/>
      <w:pPr>
        <w:ind w:left="2880" w:hanging="360"/>
      </w:pPr>
    </w:lvl>
    <w:lvl w:ilvl="5" w:tplc="4009001B" w:tentative="1">
      <w:start w:val="1"/>
      <w:numFmt w:val="lowerRoman"/>
      <w:lvlText w:val="%6."/>
      <w:lvlJc w:val="right"/>
      <w:pPr>
        <w:ind w:left="3600" w:hanging="180"/>
      </w:pPr>
    </w:lvl>
    <w:lvl w:ilvl="6" w:tplc="4009000F" w:tentative="1">
      <w:start w:val="1"/>
      <w:numFmt w:val="decimal"/>
      <w:lvlText w:val="%7."/>
      <w:lvlJc w:val="left"/>
      <w:pPr>
        <w:ind w:left="4320" w:hanging="360"/>
      </w:pPr>
    </w:lvl>
    <w:lvl w:ilvl="7" w:tplc="40090019" w:tentative="1">
      <w:start w:val="1"/>
      <w:numFmt w:val="lowerLetter"/>
      <w:lvlText w:val="%8."/>
      <w:lvlJc w:val="left"/>
      <w:pPr>
        <w:ind w:left="5040" w:hanging="360"/>
      </w:pPr>
    </w:lvl>
    <w:lvl w:ilvl="8" w:tplc="4009001B" w:tentative="1">
      <w:start w:val="1"/>
      <w:numFmt w:val="lowerRoman"/>
      <w:lvlText w:val="%9."/>
      <w:lvlJc w:val="right"/>
      <w:pPr>
        <w:ind w:left="5760" w:hanging="180"/>
      </w:pPr>
    </w:lvl>
  </w:abstractNum>
  <w:abstractNum w:abstractNumId="2" w15:restartNumberingAfterBreak="0">
    <w:nsid w:val="35CD465C"/>
    <w:multiLevelType w:val="hybridMultilevel"/>
    <w:tmpl w:val="FC364ED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16cid:durableId="1430855466">
    <w:abstractNumId w:val="2"/>
  </w:num>
  <w:num w:numId="2" w16cid:durableId="293105145">
    <w:abstractNumId w:val="0"/>
  </w:num>
  <w:num w:numId="3" w16cid:durableId="178384213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2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7FD"/>
    <w:rsid w:val="00002D97"/>
    <w:rsid w:val="000200A1"/>
    <w:rsid w:val="00025155"/>
    <w:rsid w:val="00065F9C"/>
    <w:rsid w:val="000661EC"/>
    <w:rsid w:val="000751A5"/>
    <w:rsid w:val="00077402"/>
    <w:rsid w:val="0008262A"/>
    <w:rsid w:val="000879FF"/>
    <w:rsid w:val="00094260"/>
    <w:rsid w:val="000A1014"/>
    <w:rsid w:val="000B326A"/>
    <w:rsid w:val="000F174C"/>
    <w:rsid w:val="00112A35"/>
    <w:rsid w:val="00142361"/>
    <w:rsid w:val="00170D44"/>
    <w:rsid w:val="001A160D"/>
    <w:rsid w:val="001C63B9"/>
    <w:rsid w:val="001D56CC"/>
    <w:rsid w:val="001E1784"/>
    <w:rsid w:val="00205875"/>
    <w:rsid w:val="00251E2E"/>
    <w:rsid w:val="0027381E"/>
    <w:rsid w:val="00277ADD"/>
    <w:rsid w:val="002A6268"/>
    <w:rsid w:val="002B2559"/>
    <w:rsid w:val="002D6309"/>
    <w:rsid w:val="002F272E"/>
    <w:rsid w:val="00327409"/>
    <w:rsid w:val="00336434"/>
    <w:rsid w:val="00340C69"/>
    <w:rsid w:val="00355D5E"/>
    <w:rsid w:val="00381117"/>
    <w:rsid w:val="003B7774"/>
    <w:rsid w:val="003D0720"/>
    <w:rsid w:val="003E2A0D"/>
    <w:rsid w:val="003F4285"/>
    <w:rsid w:val="003F52F1"/>
    <w:rsid w:val="00405394"/>
    <w:rsid w:val="004058D0"/>
    <w:rsid w:val="00406831"/>
    <w:rsid w:val="00427108"/>
    <w:rsid w:val="00451380"/>
    <w:rsid w:val="00457F66"/>
    <w:rsid w:val="00470CE8"/>
    <w:rsid w:val="00473F97"/>
    <w:rsid w:val="0049712A"/>
    <w:rsid w:val="004A5B4D"/>
    <w:rsid w:val="004E6FCA"/>
    <w:rsid w:val="004E7B8D"/>
    <w:rsid w:val="004F7655"/>
    <w:rsid w:val="00562B6B"/>
    <w:rsid w:val="0058019F"/>
    <w:rsid w:val="005A34E8"/>
    <w:rsid w:val="005B3A5C"/>
    <w:rsid w:val="005E27FD"/>
    <w:rsid w:val="005F1F7C"/>
    <w:rsid w:val="006455BB"/>
    <w:rsid w:val="00645EC8"/>
    <w:rsid w:val="00670445"/>
    <w:rsid w:val="006728E0"/>
    <w:rsid w:val="006822F3"/>
    <w:rsid w:val="00682516"/>
    <w:rsid w:val="0069267A"/>
    <w:rsid w:val="006959A7"/>
    <w:rsid w:val="00775028"/>
    <w:rsid w:val="007C75A4"/>
    <w:rsid w:val="007E5E25"/>
    <w:rsid w:val="007F45EE"/>
    <w:rsid w:val="008007FC"/>
    <w:rsid w:val="00805B0C"/>
    <w:rsid w:val="00817239"/>
    <w:rsid w:val="0082737D"/>
    <w:rsid w:val="0083439A"/>
    <w:rsid w:val="008452C0"/>
    <w:rsid w:val="00870A90"/>
    <w:rsid w:val="0087195B"/>
    <w:rsid w:val="00887624"/>
    <w:rsid w:val="00893BA8"/>
    <w:rsid w:val="008F26C2"/>
    <w:rsid w:val="008F5C02"/>
    <w:rsid w:val="009536B9"/>
    <w:rsid w:val="00954D98"/>
    <w:rsid w:val="0095542D"/>
    <w:rsid w:val="009B7006"/>
    <w:rsid w:val="009B72A0"/>
    <w:rsid w:val="009C68B2"/>
    <w:rsid w:val="009D6698"/>
    <w:rsid w:val="009D6F58"/>
    <w:rsid w:val="009E27E4"/>
    <w:rsid w:val="009F7234"/>
    <w:rsid w:val="00A009FD"/>
    <w:rsid w:val="00A23698"/>
    <w:rsid w:val="00A23CDC"/>
    <w:rsid w:val="00A326BA"/>
    <w:rsid w:val="00A72B74"/>
    <w:rsid w:val="00A7646F"/>
    <w:rsid w:val="00AD0268"/>
    <w:rsid w:val="00AE6DE5"/>
    <w:rsid w:val="00B03120"/>
    <w:rsid w:val="00B116C8"/>
    <w:rsid w:val="00B460ED"/>
    <w:rsid w:val="00B84144"/>
    <w:rsid w:val="00B9479A"/>
    <w:rsid w:val="00B95180"/>
    <w:rsid w:val="00BB02E9"/>
    <w:rsid w:val="00BC2832"/>
    <w:rsid w:val="00BC67A7"/>
    <w:rsid w:val="00BD748C"/>
    <w:rsid w:val="00BE7091"/>
    <w:rsid w:val="00C108FE"/>
    <w:rsid w:val="00C13119"/>
    <w:rsid w:val="00C13556"/>
    <w:rsid w:val="00C16C91"/>
    <w:rsid w:val="00C32D3C"/>
    <w:rsid w:val="00C65E10"/>
    <w:rsid w:val="00C66199"/>
    <w:rsid w:val="00C754DB"/>
    <w:rsid w:val="00C9524C"/>
    <w:rsid w:val="00CC596D"/>
    <w:rsid w:val="00CF5D4B"/>
    <w:rsid w:val="00D00E78"/>
    <w:rsid w:val="00D54CEC"/>
    <w:rsid w:val="00D56C5E"/>
    <w:rsid w:val="00D63400"/>
    <w:rsid w:val="00D63A0E"/>
    <w:rsid w:val="00D826BE"/>
    <w:rsid w:val="00D86A53"/>
    <w:rsid w:val="00D93C74"/>
    <w:rsid w:val="00DA568E"/>
    <w:rsid w:val="00DB438C"/>
    <w:rsid w:val="00DC4B6E"/>
    <w:rsid w:val="00E077AC"/>
    <w:rsid w:val="00E23DE1"/>
    <w:rsid w:val="00E310C2"/>
    <w:rsid w:val="00E329DF"/>
    <w:rsid w:val="00E358E2"/>
    <w:rsid w:val="00E53730"/>
    <w:rsid w:val="00EB0E36"/>
    <w:rsid w:val="00EC32BB"/>
    <w:rsid w:val="00EF20D5"/>
    <w:rsid w:val="00F00C7F"/>
    <w:rsid w:val="00F449C3"/>
    <w:rsid w:val="00F64BD0"/>
    <w:rsid w:val="00F66D94"/>
    <w:rsid w:val="00F87D8B"/>
    <w:rsid w:val="00FA59C4"/>
    <w:rsid w:val="00FD78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C9D8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8E2"/>
    <w:pPr>
      <w:spacing w:after="0" w:line="240" w:lineRule="auto"/>
    </w:pPr>
    <w:rPr>
      <w:rFonts w:ascii="Times New Roman" w:eastAsia="Times New Roman" w:hAnsi="Times New Roman" w:cs="Times New Roman"/>
      <w:kern w:val="0"/>
      <w:sz w:val="20"/>
      <w:szCs w:val="20"/>
      <w:lang w:eastAsia="en-IN"/>
      <w14:ligatures w14:val="none"/>
    </w:rPr>
  </w:style>
  <w:style w:type="paragraph" w:styleId="Heading1">
    <w:name w:val="heading 1"/>
    <w:basedOn w:val="Normal"/>
    <w:next w:val="Normal"/>
    <w:link w:val="Heading1Char"/>
    <w:uiPriority w:val="9"/>
    <w:qFormat/>
    <w:rsid w:val="00AD0268"/>
    <w:pPr>
      <w:keepNext/>
      <w:keepLines/>
      <w:spacing w:before="240"/>
      <w:outlineLvl w:val="0"/>
    </w:pPr>
    <w:rPr>
      <w:rFonts w:ascii="Arial" w:eastAsiaTheme="majorEastAsia" w:hAnsi="Arial" w:cs="Arial"/>
      <w:b/>
      <w:bCs/>
      <w:color w:val="2F5496" w:themeColor="accent1" w:themeShade="BF"/>
      <w:sz w:val="28"/>
      <w:szCs w:val="28"/>
    </w:rPr>
  </w:style>
  <w:style w:type="paragraph" w:styleId="Heading2">
    <w:name w:val="heading 2"/>
    <w:link w:val="Heading2Char"/>
    <w:uiPriority w:val="9"/>
    <w:unhideWhenUsed/>
    <w:qFormat/>
    <w:rsid w:val="00AD0268"/>
    <w:pPr>
      <w:spacing w:after="0" w:line="240" w:lineRule="auto"/>
      <w:outlineLvl w:val="1"/>
    </w:pPr>
    <w:rPr>
      <w:rFonts w:ascii="Arial" w:hAnsi="Arial" w:cs="Arial"/>
      <w:b/>
      <w:bCs/>
      <w:color w:val="2E74B5"/>
      <w:kern w:val="0"/>
      <w:sz w:val="24"/>
      <w:szCs w:val="24"/>
      <w14:ligatures w14:val="none"/>
    </w:rPr>
  </w:style>
  <w:style w:type="paragraph" w:styleId="Heading3">
    <w:name w:val="heading 3"/>
    <w:basedOn w:val="Normal"/>
    <w:next w:val="Normal"/>
    <w:link w:val="Heading3Char"/>
    <w:uiPriority w:val="9"/>
    <w:unhideWhenUsed/>
    <w:qFormat/>
    <w:rsid w:val="00D54CEC"/>
    <w:pPr>
      <w:keepNext/>
      <w:keepLines/>
      <w:spacing w:before="40"/>
      <w:outlineLvl w:val="2"/>
    </w:pPr>
    <w:rPr>
      <w:rFonts w:ascii="Arial" w:eastAsiaTheme="majorEastAsia" w:hAnsi="Arial" w:cs="Arial"/>
      <w:b/>
      <w:bCs/>
      <w:color w:val="1F3763" w:themeColor="accent1" w:themeShade="7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claude-response-body">
    <w:name w:val="font-claude-response-body"/>
    <w:basedOn w:val="Normal"/>
    <w:rsid w:val="00327409"/>
    <w:pPr>
      <w:spacing w:before="100" w:beforeAutospacing="1" w:after="100" w:afterAutospacing="1"/>
    </w:pPr>
    <w:rPr>
      <w:sz w:val="24"/>
      <w:szCs w:val="24"/>
    </w:rPr>
  </w:style>
  <w:style w:type="character" w:customStyle="1" w:styleId="cursor-pointer">
    <w:name w:val="cursor-pointer"/>
    <w:basedOn w:val="DefaultParagraphFont"/>
    <w:rsid w:val="00405394"/>
  </w:style>
  <w:style w:type="paragraph" w:customStyle="1" w:styleId="text-15px">
    <w:name w:val="text-[15px]"/>
    <w:basedOn w:val="Normal"/>
    <w:rsid w:val="0049712A"/>
    <w:pPr>
      <w:spacing w:before="100" w:beforeAutospacing="1" w:after="100" w:afterAutospacing="1"/>
    </w:pPr>
    <w:rPr>
      <w:sz w:val="24"/>
      <w:szCs w:val="24"/>
    </w:rPr>
  </w:style>
  <w:style w:type="paragraph" w:styleId="NormalWeb">
    <w:name w:val="Normal (Web)"/>
    <w:basedOn w:val="Normal"/>
    <w:uiPriority w:val="99"/>
    <w:semiHidden/>
    <w:unhideWhenUsed/>
    <w:rsid w:val="00D86A53"/>
    <w:pPr>
      <w:spacing w:before="100" w:beforeAutospacing="1" w:after="100" w:afterAutospacing="1"/>
    </w:pPr>
    <w:rPr>
      <w:sz w:val="24"/>
      <w:szCs w:val="24"/>
    </w:rPr>
  </w:style>
  <w:style w:type="character" w:styleId="Emphasis">
    <w:name w:val="Emphasis"/>
    <w:basedOn w:val="DefaultParagraphFont"/>
    <w:uiPriority w:val="20"/>
    <w:qFormat/>
    <w:rsid w:val="00D86A53"/>
    <w:rPr>
      <w:i/>
      <w:iCs/>
    </w:rPr>
  </w:style>
  <w:style w:type="character" w:styleId="Hyperlink">
    <w:name w:val="Hyperlink"/>
    <w:basedOn w:val="DefaultParagraphFont"/>
    <w:uiPriority w:val="99"/>
    <w:unhideWhenUsed/>
    <w:rsid w:val="00D86A53"/>
    <w:rPr>
      <w:color w:val="0000FF"/>
      <w:u w:val="single"/>
    </w:rPr>
  </w:style>
  <w:style w:type="character" w:customStyle="1" w:styleId="Heading2Char">
    <w:name w:val="Heading 2 Char"/>
    <w:basedOn w:val="DefaultParagraphFont"/>
    <w:link w:val="Heading2"/>
    <w:uiPriority w:val="9"/>
    <w:rsid w:val="00AD0268"/>
    <w:rPr>
      <w:rFonts w:ascii="Arial" w:hAnsi="Arial" w:cs="Arial"/>
      <w:b/>
      <w:bCs/>
      <w:color w:val="2E74B5"/>
      <w:kern w:val="0"/>
      <w:sz w:val="24"/>
      <w:szCs w:val="24"/>
      <w14:ligatures w14:val="none"/>
    </w:rPr>
  </w:style>
  <w:style w:type="paragraph" w:styleId="Header">
    <w:name w:val="header"/>
    <w:basedOn w:val="Normal"/>
    <w:link w:val="HeaderChar"/>
    <w:uiPriority w:val="99"/>
    <w:unhideWhenUsed/>
    <w:rsid w:val="00DC4B6E"/>
    <w:pPr>
      <w:tabs>
        <w:tab w:val="center" w:pos="4513"/>
        <w:tab w:val="right" w:pos="9026"/>
      </w:tabs>
    </w:pPr>
  </w:style>
  <w:style w:type="character" w:customStyle="1" w:styleId="HeaderChar">
    <w:name w:val="Header Char"/>
    <w:basedOn w:val="DefaultParagraphFont"/>
    <w:link w:val="Header"/>
    <w:uiPriority w:val="99"/>
    <w:rsid w:val="00DC4B6E"/>
    <w:rPr>
      <w:rFonts w:ascii="Times New Roman" w:eastAsia="Times New Roman" w:hAnsi="Times New Roman" w:cs="Times New Roman"/>
      <w:kern w:val="0"/>
      <w:sz w:val="20"/>
      <w:szCs w:val="20"/>
      <w:lang w:eastAsia="en-IN"/>
      <w14:ligatures w14:val="none"/>
    </w:rPr>
  </w:style>
  <w:style w:type="paragraph" w:styleId="Footer">
    <w:name w:val="footer"/>
    <w:basedOn w:val="Normal"/>
    <w:link w:val="FooterChar"/>
    <w:uiPriority w:val="99"/>
    <w:unhideWhenUsed/>
    <w:qFormat/>
    <w:rsid w:val="00DC4B6E"/>
    <w:pPr>
      <w:tabs>
        <w:tab w:val="center" w:pos="4513"/>
        <w:tab w:val="right" w:pos="9026"/>
      </w:tabs>
    </w:pPr>
  </w:style>
  <w:style w:type="character" w:customStyle="1" w:styleId="FooterChar">
    <w:name w:val="Footer Char"/>
    <w:basedOn w:val="DefaultParagraphFont"/>
    <w:link w:val="Footer"/>
    <w:uiPriority w:val="99"/>
    <w:rsid w:val="00DC4B6E"/>
    <w:rPr>
      <w:rFonts w:ascii="Times New Roman" w:eastAsia="Times New Roman" w:hAnsi="Times New Roman" w:cs="Times New Roman"/>
      <w:kern w:val="0"/>
      <w:sz w:val="20"/>
      <w:szCs w:val="20"/>
      <w:lang w:eastAsia="en-IN"/>
      <w14:ligatures w14:val="none"/>
    </w:rPr>
  </w:style>
  <w:style w:type="character" w:customStyle="1" w:styleId="Heading1Char">
    <w:name w:val="Heading 1 Char"/>
    <w:basedOn w:val="DefaultParagraphFont"/>
    <w:link w:val="Heading1"/>
    <w:uiPriority w:val="9"/>
    <w:rsid w:val="00AD0268"/>
    <w:rPr>
      <w:rFonts w:ascii="Arial" w:eastAsiaTheme="majorEastAsia" w:hAnsi="Arial" w:cs="Arial"/>
      <w:b/>
      <w:bCs/>
      <w:color w:val="2F5496" w:themeColor="accent1" w:themeShade="BF"/>
      <w:kern w:val="0"/>
      <w:sz w:val="28"/>
      <w:szCs w:val="28"/>
      <w:lang w:eastAsia="en-IN"/>
      <w14:ligatures w14:val="none"/>
    </w:rPr>
  </w:style>
  <w:style w:type="character" w:styleId="Strong">
    <w:name w:val="Strong"/>
    <w:basedOn w:val="DefaultParagraphFont"/>
    <w:uiPriority w:val="22"/>
    <w:qFormat/>
    <w:rsid w:val="00AD0268"/>
    <w:rPr>
      <w:b/>
      <w:bCs/>
    </w:rPr>
  </w:style>
  <w:style w:type="character" w:customStyle="1" w:styleId="Heading3Char">
    <w:name w:val="Heading 3 Char"/>
    <w:basedOn w:val="DefaultParagraphFont"/>
    <w:link w:val="Heading3"/>
    <w:uiPriority w:val="9"/>
    <w:rsid w:val="00D54CEC"/>
    <w:rPr>
      <w:rFonts w:ascii="Arial" w:eastAsiaTheme="majorEastAsia" w:hAnsi="Arial" w:cs="Arial"/>
      <w:b/>
      <w:bCs/>
      <w:color w:val="1F3763" w:themeColor="accent1" w:themeShade="7F"/>
      <w:kern w:val="0"/>
      <w:lang w:eastAsia="en-IN"/>
      <w14:ligatures w14:val="none"/>
    </w:rPr>
  </w:style>
  <w:style w:type="paragraph" w:styleId="TOCHeading">
    <w:name w:val="TOC Heading"/>
    <w:basedOn w:val="Heading1"/>
    <w:next w:val="Normal"/>
    <w:uiPriority w:val="39"/>
    <w:unhideWhenUsed/>
    <w:qFormat/>
    <w:rsid w:val="008452C0"/>
    <w:pPr>
      <w:spacing w:line="259" w:lineRule="auto"/>
      <w:outlineLvl w:val="9"/>
    </w:pPr>
    <w:rPr>
      <w:rFonts w:asciiTheme="majorHAnsi" w:hAnsiTheme="majorHAnsi" w:cstheme="majorBidi"/>
      <w:b w:val="0"/>
      <w:bCs w:val="0"/>
      <w:sz w:val="32"/>
      <w:szCs w:val="32"/>
      <w:lang w:val="en-US" w:eastAsia="en-US"/>
    </w:rPr>
  </w:style>
  <w:style w:type="paragraph" w:styleId="TOC1">
    <w:name w:val="toc 1"/>
    <w:basedOn w:val="Normal"/>
    <w:next w:val="Normal"/>
    <w:autoRedefine/>
    <w:uiPriority w:val="39"/>
    <w:unhideWhenUsed/>
    <w:rsid w:val="009536B9"/>
    <w:pPr>
      <w:tabs>
        <w:tab w:val="right" w:leader="dot" w:pos="9016"/>
      </w:tabs>
      <w:spacing w:after="100" w:line="360" w:lineRule="auto"/>
    </w:pPr>
    <w:rPr>
      <w:noProof/>
    </w:rPr>
  </w:style>
  <w:style w:type="paragraph" w:styleId="TOC2">
    <w:name w:val="toc 2"/>
    <w:basedOn w:val="Normal"/>
    <w:next w:val="Normal"/>
    <w:autoRedefine/>
    <w:uiPriority w:val="39"/>
    <w:unhideWhenUsed/>
    <w:rsid w:val="008452C0"/>
    <w:pPr>
      <w:spacing w:after="100"/>
      <w:ind w:left="200"/>
    </w:pPr>
  </w:style>
  <w:style w:type="paragraph" w:styleId="TOC3">
    <w:name w:val="toc 3"/>
    <w:basedOn w:val="Normal"/>
    <w:next w:val="Normal"/>
    <w:autoRedefine/>
    <w:uiPriority w:val="39"/>
    <w:unhideWhenUsed/>
    <w:rsid w:val="008452C0"/>
    <w:pPr>
      <w:spacing w:after="100"/>
      <w:ind w:left="400"/>
    </w:pPr>
  </w:style>
  <w:style w:type="paragraph" w:styleId="Caption">
    <w:name w:val="caption"/>
    <w:basedOn w:val="Normal"/>
    <w:next w:val="Normal"/>
    <w:uiPriority w:val="35"/>
    <w:unhideWhenUsed/>
    <w:qFormat/>
    <w:rsid w:val="004E7B8D"/>
    <w:pPr>
      <w:spacing w:after="200"/>
    </w:pPr>
    <w:rPr>
      <w:i/>
      <w:iCs/>
      <w:color w:val="44546A" w:themeColor="text2"/>
      <w:sz w:val="18"/>
      <w:szCs w:val="18"/>
    </w:rPr>
  </w:style>
  <w:style w:type="paragraph" w:styleId="TableofFigures">
    <w:name w:val="table of figures"/>
    <w:basedOn w:val="Normal"/>
    <w:next w:val="Normal"/>
    <w:uiPriority w:val="99"/>
    <w:unhideWhenUsed/>
    <w:rsid w:val="003B7774"/>
  </w:style>
  <w:style w:type="paragraph" w:styleId="NoSpacing">
    <w:name w:val="No Spacing"/>
    <w:uiPriority w:val="1"/>
    <w:qFormat/>
    <w:rsid w:val="00645EC8"/>
    <w:pPr>
      <w:spacing w:after="0" w:line="240" w:lineRule="auto"/>
    </w:pPr>
    <w:rPr>
      <w:color w:val="44546A"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2581144">
      <w:bodyDiv w:val="1"/>
      <w:marLeft w:val="0"/>
      <w:marRight w:val="0"/>
      <w:marTop w:val="0"/>
      <w:marBottom w:val="0"/>
      <w:divBdr>
        <w:top w:val="none" w:sz="0" w:space="0" w:color="auto"/>
        <w:left w:val="none" w:sz="0" w:space="0" w:color="auto"/>
        <w:bottom w:val="none" w:sz="0" w:space="0" w:color="auto"/>
        <w:right w:val="none" w:sz="0" w:space="0" w:color="auto"/>
      </w:divBdr>
    </w:div>
    <w:div w:id="168066750">
      <w:bodyDiv w:val="1"/>
      <w:marLeft w:val="0"/>
      <w:marRight w:val="0"/>
      <w:marTop w:val="0"/>
      <w:marBottom w:val="0"/>
      <w:divBdr>
        <w:top w:val="none" w:sz="0" w:space="0" w:color="auto"/>
        <w:left w:val="none" w:sz="0" w:space="0" w:color="auto"/>
        <w:bottom w:val="none" w:sz="0" w:space="0" w:color="auto"/>
        <w:right w:val="none" w:sz="0" w:space="0" w:color="auto"/>
      </w:divBdr>
    </w:div>
    <w:div w:id="303825007">
      <w:bodyDiv w:val="1"/>
      <w:marLeft w:val="0"/>
      <w:marRight w:val="0"/>
      <w:marTop w:val="0"/>
      <w:marBottom w:val="0"/>
      <w:divBdr>
        <w:top w:val="none" w:sz="0" w:space="0" w:color="auto"/>
        <w:left w:val="none" w:sz="0" w:space="0" w:color="auto"/>
        <w:bottom w:val="none" w:sz="0" w:space="0" w:color="auto"/>
        <w:right w:val="none" w:sz="0" w:space="0" w:color="auto"/>
      </w:divBdr>
      <w:divsChild>
        <w:div w:id="319238998">
          <w:marLeft w:val="0"/>
          <w:marRight w:val="0"/>
          <w:marTop w:val="0"/>
          <w:marBottom w:val="0"/>
          <w:divBdr>
            <w:top w:val="none" w:sz="0" w:space="0" w:color="auto"/>
            <w:left w:val="none" w:sz="0" w:space="0" w:color="auto"/>
            <w:bottom w:val="none" w:sz="0" w:space="0" w:color="auto"/>
            <w:right w:val="none" w:sz="0" w:space="0" w:color="auto"/>
          </w:divBdr>
        </w:div>
      </w:divsChild>
    </w:div>
    <w:div w:id="340008802">
      <w:bodyDiv w:val="1"/>
      <w:marLeft w:val="0"/>
      <w:marRight w:val="0"/>
      <w:marTop w:val="0"/>
      <w:marBottom w:val="0"/>
      <w:divBdr>
        <w:top w:val="none" w:sz="0" w:space="0" w:color="auto"/>
        <w:left w:val="none" w:sz="0" w:space="0" w:color="auto"/>
        <w:bottom w:val="none" w:sz="0" w:space="0" w:color="auto"/>
        <w:right w:val="none" w:sz="0" w:space="0" w:color="auto"/>
      </w:divBdr>
    </w:div>
    <w:div w:id="527261519">
      <w:bodyDiv w:val="1"/>
      <w:marLeft w:val="0"/>
      <w:marRight w:val="0"/>
      <w:marTop w:val="0"/>
      <w:marBottom w:val="0"/>
      <w:divBdr>
        <w:top w:val="none" w:sz="0" w:space="0" w:color="auto"/>
        <w:left w:val="none" w:sz="0" w:space="0" w:color="auto"/>
        <w:bottom w:val="none" w:sz="0" w:space="0" w:color="auto"/>
        <w:right w:val="none" w:sz="0" w:space="0" w:color="auto"/>
      </w:divBdr>
    </w:div>
    <w:div w:id="602035181">
      <w:bodyDiv w:val="1"/>
      <w:marLeft w:val="0"/>
      <w:marRight w:val="0"/>
      <w:marTop w:val="0"/>
      <w:marBottom w:val="0"/>
      <w:divBdr>
        <w:top w:val="none" w:sz="0" w:space="0" w:color="auto"/>
        <w:left w:val="none" w:sz="0" w:space="0" w:color="auto"/>
        <w:bottom w:val="none" w:sz="0" w:space="0" w:color="auto"/>
        <w:right w:val="none" w:sz="0" w:space="0" w:color="auto"/>
      </w:divBdr>
    </w:div>
    <w:div w:id="670640843">
      <w:bodyDiv w:val="1"/>
      <w:marLeft w:val="0"/>
      <w:marRight w:val="0"/>
      <w:marTop w:val="0"/>
      <w:marBottom w:val="0"/>
      <w:divBdr>
        <w:top w:val="none" w:sz="0" w:space="0" w:color="auto"/>
        <w:left w:val="none" w:sz="0" w:space="0" w:color="auto"/>
        <w:bottom w:val="none" w:sz="0" w:space="0" w:color="auto"/>
        <w:right w:val="none" w:sz="0" w:space="0" w:color="auto"/>
      </w:divBdr>
    </w:div>
    <w:div w:id="706686264">
      <w:bodyDiv w:val="1"/>
      <w:marLeft w:val="0"/>
      <w:marRight w:val="0"/>
      <w:marTop w:val="0"/>
      <w:marBottom w:val="0"/>
      <w:divBdr>
        <w:top w:val="none" w:sz="0" w:space="0" w:color="auto"/>
        <w:left w:val="none" w:sz="0" w:space="0" w:color="auto"/>
        <w:bottom w:val="none" w:sz="0" w:space="0" w:color="auto"/>
        <w:right w:val="none" w:sz="0" w:space="0" w:color="auto"/>
      </w:divBdr>
    </w:div>
    <w:div w:id="786196569">
      <w:bodyDiv w:val="1"/>
      <w:marLeft w:val="0"/>
      <w:marRight w:val="0"/>
      <w:marTop w:val="0"/>
      <w:marBottom w:val="0"/>
      <w:divBdr>
        <w:top w:val="none" w:sz="0" w:space="0" w:color="auto"/>
        <w:left w:val="none" w:sz="0" w:space="0" w:color="auto"/>
        <w:bottom w:val="none" w:sz="0" w:space="0" w:color="auto"/>
        <w:right w:val="none" w:sz="0" w:space="0" w:color="auto"/>
      </w:divBdr>
    </w:div>
    <w:div w:id="819346686">
      <w:bodyDiv w:val="1"/>
      <w:marLeft w:val="0"/>
      <w:marRight w:val="0"/>
      <w:marTop w:val="0"/>
      <w:marBottom w:val="0"/>
      <w:divBdr>
        <w:top w:val="none" w:sz="0" w:space="0" w:color="auto"/>
        <w:left w:val="none" w:sz="0" w:space="0" w:color="auto"/>
        <w:bottom w:val="none" w:sz="0" w:space="0" w:color="auto"/>
        <w:right w:val="none" w:sz="0" w:space="0" w:color="auto"/>
      </w:divBdr>
    </w:div>
    <w:div w:id="874006419">
      <w:bodyDiv w:val="1"/>
      <w:marLeft w:val="0"/>
      <w:marRight w:val="0"/>
      <w:marTop w:val="0"/>
      <w:marBottom w:val="0"/>
      <w:divBdr>
        <w:top w:val="none" w:sz="0" w:space="0" w:color="auto"/>
        <w:left w:val="none" w:sz="0" w:space="0" w:color="auto"/>
        <w:bottom w:val="none" w:sz="0" w:space="0" w:color="auto"/>
        <w:right w:val="none" w:sz="0" w:space="0" w:color="auto"/>
      </w:divBdr>
    </w:div>
    <w:div w:id="875194414">
      <w:bodyDiv w:val="1"/>
      <w:marLeft w:val="0"/>
      <w:marRight w:val="0"/>
      <w:marTop w:val="0"/>
      <w:marBottom w:val="0"/>
      <w:divBdr>
        <w:top w:val="none" w:sz="0" w:space="0" w:color="auto"/>
        <w:left w:val="none" w:sz="0" w:space="0" w:color="auto"/>
        <w:bottom w:val="none" w:sz="0" w:space="0" w:color="auto"/>
        <w:right w:val="none" w:sz="0" w:space="0" w:color="auto"/>
      </w:divBdr>
    </w:div>
    <w:div w:id="1039860565">
      <w:bodyDiv w:val="1"/>
      <w:marLeft w:val="0"/>
      <w:marRight w:val="0"/>
      <w:marTop w:val="0"/>
      <w:marBottom w:val="0"/>
      <w:divBdr>
        <w:top w:val="none" w:sz="0" w:space="0" w:color="auto"/>
        <w:left w:val="none" w:sz="0" w:space="0" w:color="auto"/>
        <w:bottom w:val="none" w:sz="0" w:space="0" w:color="auto"/>
        <w:right w:val="none" w:sz="0" w:space="0" w:color="auto"/>
      </w:divBdr>
    </w:div>
    <w:div w:id="1056246385">
      <w:bodyDiv w:val="1"/>
      <w:marLeft w:val="0"/>
      <w:marRight w:val="0"/>
      <w:marTop w:val="0"/>
      <w:marBottom w:val="0"/>
      <w:divBdr>
        <w:top w:val="none" w:sz="0" w:space="0" w:color="auto"/>
        <w:left w:val="none" w:sz="0" w:space="0" w:color="auto"/>
        <w:bottom w:val="none" w:sz="0" w:space="0" w:color="auto"/>
        <w:right w:val="none" w:sz="0" w:space="0" w:color="auto"/>
      </w:divBdr>
    </w:div>
    <w:div w:id="1137183626">
      <w:bodyDiv w:val="1"/>
      <w:marLeft w:val="0"/>
      <w:marRight w:val="0"/>
      <w:marTop w:val="0"/>
      <w:marBottom w:val="0"/>
      <w:divBdr>
        <w:top w:val="none" w:sz="0" w:space="0" w:color="auto"/>
        <w:left w:val="none" w:sz="0" w:space="0" w:color="auto"/>
        <w:bottom w:val="none" w:sz="0" w:space="0" w:color="auto"/>
        <w:right w:val="none" w:sz="0" w:space="0" w:color="auto"/>
      </w:divBdr>
    </w:div>
    <w:div w:id="1211921278">
      <w:bodyDiv w:val="1"/>
      <w:marLeft w:val="0"/>
      <w:marRight w:val="0"/>
      <w:marTop w:val="0"/>
      <w:marBottom w:val="0"/>
      <w:divBdr>
        <w:top w:val="none" w:sz="0" w:space="0" w:color="auto"/>
        <w:left w:val="none" w:sz="0" w:space="0" w:color="auto"/>
        <w:bottom w:val="none" w:sz="0" w:space="0" w:color="auto"/>
        <w:right w:val="none" w:sz="0" w:space="0" w:color="auto"/>
      </w:divBdr>
    </w:div>
    <w:div w:id="1225094661">
      <w:bodyDiv w:val="1"/>
      <w:marLeft w:val="0"/>
      <w:marRight w:val="0"/>
      <w:marTop w:val="0"/>
      <w:marBottom w:val="0"/>
      <w:divBdr>
        <w:top w:val="none" w:sz="0" w:space="0" w:color="auto"/>
        <w:left w:val="none" w:sz="0" w:space="0" w:color="auto"/>
        <w:bottom w:val="none" w:sz="0" w:space="0" w:color="auto"/>
        <w:right w:val="none" w:sz="0" w:space="0" w:color="auto"/>
      </w:divBdr>
    </w:div>
    <w:div w:id="1316450436">
      <w:bodyDiv w:val="1"/>
      <w:marLeft w:val="0"/>
      <w:marRight w:val="0"/>
      <w:marTop w:val="0"/>
      <w:marBottom w:val="0"/>
      <w:divBdr>
        <w:top w:val="none" w:sz="0" w:space="0" w:color="auto"/>
        <w:left w:val="none" w:sz="0" w:space="0" w:color="auto"/>
        <w:bottom w:val="none" w:sz="0" w:space="0" w:color="auto"/>
        <w:right w:val="none" w:sz="0" w:space="0" w:color="auto"/>
      </w:divBdr>
    </w:div>
    <w:div w:id="1346906245">
      <w:bodyDiv w:val="1"/>
      <w:marLeft w:val="0"/>
      <w:marRight w:val="0"/>
      <w:marTop w:val="0"/>
      <w:marBottom w:val="0"/>
      <w:divBdr>
        <w:top w:val="none" w:sz="0" w:space="0" w:color="auto"/>
        <w:left w:val="none" w:sz="0" w:space="0" w:color="auto"/>
        <w:bottom w:val="none" w:sz="0" w:space="0" w:color="auto"/>
        <w:right w:val="none" w:sz="0" w:space="0" w:color="auto"/>
      </w:divBdr>
    </w:div>
    <w:div w:id="1495414797">
      <w:bodyDiv w:val="1"/>
      <w:marLeft w:val="0"/>
      <w:marRight w:val="0"/>
      <w:marTop w:val="0"/>
      <w:marBottom w:val="0"/>
      <w:divBdr>
        <w:top w:val="none" w:sz="0" w:space="0" w:color="auto"/>
        <w:left w:val="none" w:sz="0" w:space="0" w:color="auto"/>
        <w:bottom w:val="none" w:sz="0" w:space="0" w:color="auto"/>
        <w:right w:val="none" w:sz="0" w:space="0" w:color="auto"/>
      </w:divBdr>
    </w:div>
    <w:div w:id="1500269393">
      <w:bodyDiv w:val="1"/>
      <w:marLeft w:val="0"/>
      <w:marRight w:val="0"/>
      <w:marTop w:val="0"/>
      <w:marBottom w:val="0"/>
      <w:divBdr>
        <w:top w:val="none" w:sz="0" w:space="0" w:color="auto"/>
        <w:left w:val="none" w:sz="0" w:space="0" w:color="auto"/>
        <w:bottom w:val="none" w:sz="0" w:space="0" w:color="auto"/>
        <w:right w:val="none" w:sz="0" w:space="0" w:color="auto"/>
      </w:divBdr>
    </w:div>
    <w:div w:id="1569656371">
      <w:bodyDiv w:val="1"/>
      <w:marLeft w:val="0"/>
      <w:marRight w:val="0"/>
      <w:marTop w:val="0"/>
      <w:marBottom w:val="0"/>
      <w:divBdr>
        <w:top w:val="none" w:sz="0" w:space="0" w:color="auto"/>
        <w:left w:val="none" w:sz="0" w:space="0" w:color="auto"/>
        <w:bottom w:val="none" w:sz="0" w:space="0" w:color="auto"/>
        <w:right w:val="none" w:sz="0" w:space="0" w:color="auto"/>
      </w:divBdr>
    </w:div>
    <w:div w:id="1701005515">
      <w:bodyDiv w:val="1"/>
      <w:marLeft w:val="0"/>
      <w:marRight w:val="0"/>
      <w:marTop w:val="0"/>
      <w:marBottom w:val="0"/>
      <w:divBdr>
        <w:top w:val="none" w:sz="0" w:space="0" w:color="auto"/>
        <w:left w:val="none" w:sz="0" w:space="0" w:color="auto"/>
        <w:bottom w:val="none" w:sz="0" w:space="0" w:color="auto"/>
        <w:right w:val="none" w:sz="0" w:space="0" w:color="auto"/>
      </w:divBdr>
    </w:div>
    <w:div w:id="1793284756">
      <w:bodyDiv w:val="1"/>
      <w:marLeft w:val="0"/>
      <w:marRight w:val="0"/>
      <w:marTop w:val="0"/>
      <w:marBottom w:val="0"/>
      <w:divBdr>
        <w:top w:val="none" w:sz="0" w:space="0" w:color="auto"/>
        <w:left w:val="none" w:sz="0" w:space="0" w:color="auto"/>
        <w:bottom w:val="none" w:sz="0" w:space="0" w:color="auto"/>
        <w:right w:val="none" w:sz="0" w:space="0" w:color="auto"/>
      </w:divBdr>
    </w:div>
    <w:div w:id="1837498560">
      <w:bodyDiv w:val="1"/>
      <w:marLeft w:val="0"/>
      <w:marRight w:val="0"/>
      <w:marTop w:val="0"/>
      <w:marBottom w:val="0"/>
      <w:divBdr>
        <w:top w:val="none" w:sz="0" w:space="0" w:color="auto"/>
        <w:left w:val="none" w:sz="0" w:space="0" w:color="auto"/>
        <w:bottom w:val="none" w:sz="0" w:space="0" w:color="auto"/>
        <w:right w:val="none" w:sz="0" w:space="0" w:color="auto"/>
      </w:divBdr>
    </w:div>
    <w:div w:id="1872759491">
      <w:bodyDiv w:val="1"/>
      <w:marLeft w:val="0"/>
      <w:marRight w:val="0"/>
      <w:marTop w:val="0"/>
      <w:marBottom w:val="0"/>
      <w:divBdr>
        <w:top w:val="none" w:sz="0" w:space="0" w:color="auto"/>
        <w:left w:val="none" w:sz="0" w:space="0" w:color="auto"/>
        <w:bottom w:val="none" w:sz="0" w:space="0" w:color="auto"/>
        <w:right w:val="none" w:sz="0" w:space="0" w:color="auto"/>
      </w:divBdr>
    </w:div>
    <w:div w:id="1906602538">
      <w:bodyDiv w:val="1"/>
      <w:marLeft w:val="0"/>
      <w:marRight w:val="0"/>
      <w:marTop w:val="0"/>
      <w:marBottom w:val="0"/>
      <w:divBdr>
        <w:top w:val="none" w:sz="0" w:space="0" w:color="auto"/>
        <w:left w:val="none" w:sz="0" w:space="0" w:color="auto"/>
        <w:bottom w:val="none" w:sz="0" w:space="0" w:color="auto"/>
        <w:right w:val="none" w:sz="0" w:space="0" w:color="auto"/>
      </w:divBdr>
    </w:div>
    <w:div w:id="193543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sp-uk.net/casp-tools-checklists/" TargetMode="External"/><Relationship Id="rId18" Type="http://schemas.openxmlformats.org/officeDocument/2006/relationships/hyperlink" Target="https://www.cmaj.ca/content/164/2/229" TargetMode="External"/><Relationship Id="rId26" Type="http://schemas.openxmlformats.org/officeDocument/2006/relationships/hyperlink" Target="https://dspace.flinders.edu.au" TargetMode="External"/><Relationship Id="rId3" Type="http://schemas.openxmlformats.org/officeDocument/2006/relationships/styles" Target="styles.xml"/><Relationship Id="rId21" Type="http://schemas.openxmlformats.org/officeDocument/2006/relationships/hyperlink" Target="https://www.ncbi.nlm.nih.gov/books/NBK579613/" TargetMode="External"/><Relationship Id="rId7" Type="http://schemas.openxmlformats.org/officeDocument/2006/relationships/endnotes" Target="endnotes.xml"/><Relationship Id="rId12" Type="http://schemas.openxmlformats.org/officeDocument/2006/relationships/hyperlink" Target="https://www.cqc.org.uk/guidance-providers/gps/gp-mythbusters/gp-mythbuster-29-looking-after-homeless-patients-general-practice" TargetMode="External"/><Relationship Id="rId17" Type="http://schemas.openxmlformats.org/officeDocument/2006/relationships/hyperlink" Target="https://homeless.org.uk/knowledge-hub/unhealthy-state-of-homelessness-2022-findings-from-the-homeless-health-needs-audit/" TargetMode="External"/><Relationship Id="rId25" Type="http://schemas.openxmlformats.org/officeDocument/2006/relationships/hyperlink" Target="https://www.gov.uk/government/publications/covid-19-review-of-disparities-in-risks-and-outcomes" TargetMode="External"/><Relationship Id="rId2" Type="http://schemas.openxmlformats.org/officeDocument/2006/relationships/numbering" Target="numbering.xml"/><Relationship Id="rId16" Type="http://schemas.openxmlformats.org/officeDocument/2006/relationships/hyperlink" Target="https://www.goodthingsfoundation.org/dam/jcr:d3098155-60e6-4531-ae59-4fe7109f5861/GoodThings_BlueprintForDigitalDivide_2021.pdf" TargetMode="External"/><Relationship Id="rId20" Type="http://schemas.openxmlformats.org/officeDocument/2006/relationships/hyperlink" Target="https://www.gov.uk/government/consultations/homelessness-reduction-act-2017-call-for-evidence" TargetMode="External"/><Relationship Id="rId29" Type="http://schemas.openxmlformats.org/officeDocument/2006/relationships/hyperlink" Target="https://www.who.int/docs/default-source/primary-health/declaration/gcphc-declar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isis.org.uk/media/237582/crisis_homelessness_projections_2017.pdf" TargetMode="External"/><Relationship Id="rId24" Type="http://schemas.openxmlformats.org/officeDocument/2006/relationships/hyperlink" Target="https://www.pathway.org.uk/app/uploads/2024/07/The-unseen-struggle-the-invisibility-of-homelessness-in-NHS-data-CF-and-Pathway-Report.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risis.org.uk/media/240419/the_homelessness_monitor_england_2019.pdf" TargetMode="External"/><Relationship Id="rId23" Type="http://schemas.openxmlformats.org/officeDocument/2006/relationships/hyperlink" Target="https://www.ons.gov.uk/peoplepopulationandcommunity/birthsdeathsandmarriages/deaths/bulletins/deathsofhomelesspeopleinenglandandwales/2021registrations" TargetMode="External"/><Relationship Id="rId28" Type="http://schemas.openxmlformats.org/officeDocument/2006/relationships/hyperlink" Target="https://www.who.int/docs/default-source/documents/almaata-declaration-en.pdf" TargetMode="External"/><Relationship Id="rId10" Type="http://schemas.openxmlformats.org/officeDocument/2006/relationships/image" Target="media/image3.png"/><Relationship Id="rId19" Type="http://schemas.openxmlformats.org/officeDocument/2006/relationships/hyperlink" Target="https://www.instituteofhealthequity.org/resources-reports/fair-society-healthy-lives-the-marmot-review"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meless.org.uk" TargetMode="External"/><Relationship Id="rId22" Type="http://schemas.openxmlformats.org/officeDocument/2006/relationships/hyperlink" Target="https://www.england.nhs.uk/publication/delivery-plan-for-recovering-access-to-primary-care/" TargetMode="External"/><Relationship Id="rId27" Type="http://schemas.openxmlformats.org/officeDocument/2006/relationships/hyperlink" Target="https://www.crisis.org.uk/ending-homelessness/homelessness-monitor/the-homelessness-monitor-england-202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E99309-7997-43AA-8D5A-49663A2C46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22314</Words>
  <Characters>127191</Characters>
  <Application>Microsoft Office Word</Application>
  <DocSecurity>0</DocSecurity>
  <Lines>1059</Lines>
  <Paragraphs>298</Paragraphs>
  <ScaleCrop>false</ScaleCrop>
  <Company/>
  <LinksUpToDate>false</LinksUpToDate>
  <CharactersWithSpaces>149207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2026-09-24T16:55:00Z</dcterms:created>
  <dcterms:modified xsi:type="dcterms:W3CDTF">2026-09-24T16:55:00Z</dcterms:modified>
</cp:coreProperties>
</file>