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03EE34" w14:textId="77777777" w:rsidR="001531A2" w:rsidRDefault="001A4C02">
      <w:r>
        <w:rPr>
          <w:noProof/>
        </w:rPr>
        <w:drawing>
          <wp:inline distT="0" distB="0" distL="0" distR="0" wp14:anchorId="6BCBE058" wp14:editId="076A877C">
            <wp:extent cx="4709160" cy="235063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_logo.png"/>
                    <pic:cNvPicPr/>
                  </pic:nvPicPr>
                  <pic:blipFill>
                    <a:blip r:embed="rId8"/>
                    <a:stretch>
                      <a:fillRect/>
                    </a:stretch>
                  </pic:blipFill>
                  <pic:spPr>
                    <a:xfrm>
                      <a:off x="0" y="0"/>
                      <a:ext cx="4709160" cy="2350636"/>
                    </a:xfrm>
                    <a:prstGeom prst="rect">
                      <a:avLst/>
                    </a:prstGeom>
                  </pic:spPr>
                </pic:pic>
              </a:graphicData>
            </a:graphic>
          </wp:inline>
        </w:drawing>
      </w:r>
    </w:p>
    <w:p w14:paraId="14D60BF9" w14:textId="77777777" w:rsidR="001531A2" w:rsidRDefault="001531A2"/>
    <w:p w14:paraId="72960314" w14:textId="77777777" w:rsidR="001531A2" w:rsidRDefault="001531A2"/>
    <w:p w14:paraId="00011C3E" w14:textId="77777777" w:rsidR="001531A2" w:rsidRDefault="001531A2"/>
    <w:p w14:paraId="45A5214F" w14:textId="77777777" w:rsidR="001531A2" w:rsidRDefault="001A4C02">
      <w:pPr>
        <w:jc w:val="center"/>
      </w:pPr>
      <w:r>
        <w:rPr>
          <w:rFonts w:ascii="Times New Roman" w:hAnsi="Times New Roman"/>
          <w:sz w:val="40"/>
        </w:rPr>
        <w:t>Assessment 2</w:t>
      </w:r>
    </w:p>
    <w:p w14:paraId="6AFBA2AC" w14:textId="77777777" w:rsidR="001531A2" w:rsidRDefault="001531A2"/>
    <w:p w14:paraId="529C996B" w14:textId="77777777" w:rsidR="001531A2" w:rsidRDefault="001531A2"/>
    <w:p w14:paraId="5CB67E4D" w14:textId="77777777" w:rsidR="001531A2" w:rsidRDefault="001531A2"/>
    <w:p w14:paraId="60184768" w14:textId="77777777" w:rsidR="001531A2" w:rsidRDefault="001531A2"/>
    <w:p w14:paraId="1E784F27" w14:textId="77777777" w:rsidR="001531A2" w:rsidRDefault="001531A2"/>
    <w:p w14:paraId="08815401" w14:textId="77777777" w:rsidR="001531A2" w:rsidRDefault="001A4C02">
      <w:pPr>
        <w:spacing w:after="160"/>
      </w:pPr>
      <w:r>
        <w:t>Name: Sorin Daniel Dascalu</w:t>
      </w:r>
    </w:p>
    <w:p w14:paraId="64804CC1" w14:textId="77777777" w:rsidR="001531A2" w:rsidRDefault="001A4C02">
      <w:pPr>
        <w:spacing w:after="160"/>
      </w:pPr>
      <w:r>
        <w:t>Student ID: 2237755</w:t>
      </w:r>
    </w:p>
    <w:p w14:paraId="290D7044" w14:textId="77777777" w:rsidR="001531A2" w:rsidRDefault="001A4C02">
      <w:pPr>
        <w:spacing w:after="160"/>
      </w:pPr>
      <w:r>
        <w:t>Module code: LCBB6022</w:t>
      </w:r>
    </w:p>
    <w:p w14:paraId="0398A69E" w14:textId="77777777" w:rsidR="001531A2" w:rsidRDefault="001A4C02">
      <w:pPr>
        <w:spacing w:after="160"/>
      </w:pPr>
      <w:r>
        <w:t>Module name: Leadership and Management Theory and Practice</w:t>
      </w:r>
    </w:p>
    <w:p w14:paraId="123C9A92" w14:textId="77777777" w:rsidR="001531A2" w:rsidRDefault="001A4C02">
      <w:pPr>
        <w:spacing w:after="160"/>
      </w:pPr>
      <w:r>
        <w:t>Lecturer: Piyumika Kithulgoda Gamage</w:t>
      </w:r>
    </w:p>
    <w:p w14:paraId="3A029C18" w14:textId="77777777" w:rsidR="001531A2" w:rsidRDefault="001A4C02">
      <w:r>
        <w:br w:type="page"/>
      </w:r>
    </w:p>
    <w:p w14:paraId="112B2262" w14:textId="77777777" w:rsidR="001531A2" w:rsidRDefault="001A4C02">
      <w:pPr>
        <w:spacing w:after="120" w:line="360" w:lineRule="auto"/>
        <w:jc w:val="both"/>
      </w:pPr>
      <w:r>
        <w:lastRenderedPageBreak/>
        <w:t>Management involves coordinating people and resources so that organisational objectives can be achieved effectively and efficiently. A widely used way of understanding managerial work is through the four functions of planning, organising, leading and controlling. Planning establishes objectives and courses of action; organising allocates responsibilities and resources; leading motivates and directs employees; and controlling assesses whether actual performance is consistent with plans. These functions remai</w:t>
      </w:r>
      <w:r>
        <w:t>n relevant in contemporary organisations facing technological change, stakeholder scrutiny and uncertainty, but they should not be treated as a simple sequence. Mintzberg (1973) showed that managerial work is often fragmented, interpersonal and reactive, which means performance information still requires judgement. Otley (1999) similarly places objectives, targets, incentives and feedback at the centre of management control. Taken together, these perspectives suggest that controlling is best understood as a</w:t>
      </w:r>
      <w:r>
        <w:t xml:space="preserve"> continuous feedback process connected to planning and leadership, rather than as simple supervision. In practice, the functions operate recursively: results from control can lead managers to revise plans, reorganise resources or change their leadership approach. This connection matters because a deviation from target does not explain itself; it may reflect unrealistic planning, insufficient resources, external change or poor execution. Managers must therefore interpret control information rather than merel</w:t>
      </w:r>
      <w:r>
        <w:t>y react to numbers. This essay argues that controlling is essential across different organisational types because it supports strategic alignment, accountability, risk management and learning. However, its effectiveness is contingent on organisational purpose, risk, culture, task complexity and the way controls are used.</w:t>
      </w:r>
    </w:p>
    <w:p w14:paraId="3ED2BF07" w14:textId="77777777" w:rsidR="001531A2" w:rsidRDefault="001A4C02">
      <w:pPr>
        <w:spacing w:after="120" w:line="360" w:lineRule="auto"/>
        <w:jc w:val="both"/>
      </w:pPr>
      <w:r>
        <w:t>The central value of controlling is that it connects organisational intentions with actual outcomes. Otley (1999) argues that control depends on clear objectives, performance targets and feedback, while Felício, Samagaio and Rodrigues (2021) show that combinations of management control practices can support objective achievement in public-sector organisations. These perspectives are complementary: the former explains the logic of control, whereas the latter demonstrates that its value extends beyond profit-</w:t>
      </w:r>
      <w:r>
        <w:t xml:space="preserve">seeking firms. Private companies may prioritise profitability and competitive performance, while public or not-for-profit organisations may emphasise service quality, accountability and stakeholder value. Nevertheless, all require information about whether resources and activities are producing intended </w:t>
      </w:r>
      <w:r>
        <w:lastRenderedPageBreak/>
        <w:t>results. The same logic applies to charities and other not-for-profit organisations, where financial stewardship and mission outcomes must be monitored even though profit is not the primary objective. Contro</w:t>
      </w:r>
      <w:r>
        <w:t>l is therefore essential not because organisations should maximise monitoring, but because managers need a credible basis for identifying deviations and deciding whether plans, resources or behaviour should change.</w:t>
      </w:r>
    </w:p>
    <w:p w14:paraId="35F73693" w14:textId="77777777" w:rsidR="001531A2" w:rsidRDefault="001A4C02">
      <w:pPr>
        <w:spacing w:after="120" w:line="360" w:lineRule="auto"/>
        <w:jc w:val="both"/>
      </w:pPr>
      <w:r>
        <w:t>Control is also closely connected with governance and risk. Rana, Wickramasinghe and Bracci (2019) argue that integrating risk management with management control can strengthen decision-making and accountability. More recent research develops this argument by linking control to organisational resilience. Weber, Pedell and Rötzel (2024), in a systematic review, conclude that suitable management controls can help embed the capabilities required to anticipate, cope with and adapt to disruption, although they a</w:t>
      </w:r>
      <w:r>
        <w:t>lso note that direct empirical evidence remains limited. The collapse of Carillion illustrates the consequences when formal control does not produce meaningful challenge. A UK parliamentary inquiry found serious weaknesses in accountability, professionalism and board oversight, while internal and external checks failed to prevent deterioration (House of Commons, 2018). Carillion therefore demonstrates that the existence of controls is not sufficient: information must be questioned and acted upon by managers</w:t>
      </w:r>
      <w:r>
        <w:t xml:space="preserve"> and boards. In this sense, effective controlling combines formal systems with leadership judgement and a culture in which challenge is accepted.</w:t>
      </w:r>
    </w:p>
    <w:p w14:paraId="67F586BB" w14:textId="77777777" w:rsidR="001531A2" w:rsidRDefault="001A4C02">
      <w:pPr>
        <w:spacing w:after="120" w:line="360" w:lineRule="auto"/>
        <w:jc w:val="both"/>
      </w:pPr>
      <w:r>
        <w:t>The relationship between control, innovation and performance also shows why controlling must be evaluated critically rather than assumed to be beneficial. Bedford (2015) found that the performance effects of diagnostic and interactive controls differed across modes of innovation, while Wijethilake, Munir and Appuhami (2018) found that enabling uses of management control supported the relationship between environmental innovation strategy and organisational performance. Both studies qualify Otley’s (2016) co</w:t>
      </w:r>
      <w:r>
        <w:t xml:space="preserve">ntingency perspective: the value of control depends less on its intensity than on whether its design fits organisational strategy and uncertainty. This is reinforced by recent literature on resilience, which suggests that controls can support adaptation when they are integrated with organisational capabilities rather than used only to enforce predetermined targets (Weber, Pedell and Rötzel, 2024). Therefore, stronger control is not automatically better control; the key managerial </w:t>
      </w:r>
      <w:r>
        <w:lastRenderedPageBreak/>
        <w:t>issue is whether the system</w:t>
      </w:r>
      <w:r>
        <w:t xml:space="preserve"> provides direction while still allowing learning and adaptation.</w:t>
      </w:r>
    </w:p>
    <w:p w14:paraId="513EB243" w14:textId="77777777" w:rsidR="001531A2" w:rsidRDefault="001A4C02">
      <w:pPr>
        <w:spacing w:after="120" w:line="360" w:lineRule="auto"/>
        <w:jc w:val="both"/>
      </w:pPr>
      <w:r>
        <w:t>The importance of context becomes even clearer when comparing different organisational settings. Taylor and Baines (2012) found that the Balanced Scorecard could support strategy monitoring in UK universities, but implementation and motivation remained concerns. Mitter et al. (2024), reviewing 43 peer-reviewed studies, similarly conclude that the design and effectiveness of management control systems vary across national cultures and that findings are often difficult to compare because of contextual differe</w:t>
      </w:r>
      <w:r>
        <w:t>nces. Toyota provides a private-sector illustration of a different approach. Sohal, Samson and Ramsay (1994) identified standardisation, quality control, training and employee involvement as important parts of Toyota Motor Corporation Australia’s quality system. Toyota therefore demonstrates that control can support improvement without becoming purely restrictive when standards are combined with employee participation and learning. Collectively, these examples show why controlling is relevant across organis</w:t>
      </w:r>
      <w:r>
        <w:t>ational types but cannot be applied through a single universal model.</w:t>
      </w:r>
    </w:p>
    <w:p w14:paraId="6D49979E" w14:textId="77777777" w:rsidR="001531A2" w:rsidRDefault="001A4C02">
      <w:pPr>
        <w:spacing w:after="120" w:line="360" w:lineRule="auto"/>
        <w:jc w:val="both"/>
      </w:pPr>
      <w:r>
        <w:t>Despite these benefits, controlling can produce dysfunctional behaviour when measures become more important than the objectives they are intended to represent. Siverbo, Cäker and Åkesson (2019) conceptualise dysfunctional consequences as the result of interactions between performance-measure design, managerial use and organisational context. Shang, Wang and Zu (2023) provide more direct behavioural evidence, finding that difficult targets were associated with dysfunctional employee behaviour and that manage</w:t>
      </w:r>
      <w:r>
        <w:t>rial characteristics influenced this relationship. The two perspectives complement each other: one explains why performance systems can become dysfunctional, while the other shows how target difficulty can translate into problematic behaviour. Targets may improve focus, but narrow or unrealistic measures can encourage gaming, concealment and short-termism. Controlling therefore changes behaviour as well as recording it, which means managers must assess the behavioural consequences of the measures they intro</w:t>
      </w:r>
      <w:r>
        <w:t>duce.</w:t>
      </w:r>
    </w:p>
    <w:p w14:paraId="3B4A7C17" w14:textId="77777777" w:rsidR="001531A2" w:rsidRDefault="001A4C02">
      <w:pPr>
        <w:spacing w:after="120" w:line="360" w:lineRule="auto"/>
        <w:jc w:val="both"/>
      </w:pPr>
      <w:r>
        <w:t xml:space="preserve">The Wells Fargo sales-practices scandal illustrates this problem clearly. US regulators found that sales targets and incentive systems encouraged employees to open unauthorised customer accounts in order to meet performance expectations </w:t>
      </w:r>
      <w:r>
        <w:lastRenderedPageBreak/>
        <w:t>(CFPB, 2016). Reported sales activity could therefore appear successful while the underlying behaviour damaged customers, reputation and long-term organisational legitimacy. The example demonstrates goal displacement: employees pursued the measured target rather than the purpose the target was meant to serve. It also shows why leadership and control cannot be separated. If managers communicate, explicitly or implicitly, that achieving a number matters more than how it is achieved, control may reinforce unet</w:t>
      </w:r>
      <w:r>
        <w:t>hical behaviour rather than prevent it. The lesson for managers is that performance should be evaluated alongside the behaviour and processes used to produce it.</w:t>
      </w:r>
    </w:p>
    <w:p w14:paraId="33874337" w14:textId="77777777" w:rsidR="001531A2" w:rsidRDefault="001A4C02">
      <w:pPr>
        <w:spacing w:after="120" w:line="360" w:lineRule="auto"/>
        <w:jc w:val="both"/>
      </w:pPr>
      <w:r>
        <w:t>A further difficulty is that important organisational outcomes are not always easy to quantify. Chang (2007), examining a Balanced Scorecard-style framework in the NHS, found that political and organisational conditions could reduce the usefulness of formal performance measures, while Taylor and Baines (2012) identified implementation and motivational problems in universities. These findings challenge the assumption that more indicators necessarily produce more objective control. Service quality, profession</w:t>
      </w:r>
      <w:r>
        <w:t>al judgement, employee development and long-term capability may be strategically important but difficult to express through simple numerical targets. The NHS example therefore demonstrates that even sophisticated measurement frameworks can lose value when standardised indicators do not reflect complex stakeholder objectives. Managers must consequently combine measurable indicators with informed judgement rather than treating metrics as complete representations of performance.</w:t>
      </w:r>
    </w:p>
    <w:p w14:paraId="672A6C0C" w14:textId="77777777" w:rsidR="001531A2" w:rsidRDefault="001A4C02">
      <w:pPr>
        <w:spacing w:after="120" w:line="360" w:lineRule="auto"/>
        <w:jc w:val="both"/>
      </w:pPr>
      <w:r>
        <w:t>The tension between accountability and autonomy creates another challenge, but the literature suggests that it should not be framed as a choice between control and freedom. Ahrens and Chapman (2004) distinguish coercive controls, which emphasise compliance, from enabling controls that help employees respond to operational problems. More recent evidence adds nuance. Van der Hauwaert et al. (2022) found that enabling performance measurement can support autonomous motivation and managerial performance, while C</w:t>
      </w:r>
      <w:r>
        <w:t xml:space="preserve">äker, Siverbo and Åkesson (2022) show that hierarchical accountability and enabling control can coexist when managers use performance information constructively. In contrast, Beuren and Santos (2019) found that coercive and enabling controls can coexist and that coercive controls were not uniformly harmful to organisational resilience. Together, </w:t>
      </w:r>
      <w:r>
        <w:lastRenderedPageBreak/>
        <w:t>these studies indicate that the issue is not simply how much control managers impose, but what type of control is appropriate to the task, risk and workforce.</w:t>
      </w:r>
    </w:p>
    <w:p w14:paraId="617FE4BF" w14:textId="77777777" w:rsidR="001531A2" w:rsidRDefault="001A4C02">
      <w:pPr>
        <w:spacing w:after="120" w:line="360" w:lineRule="auto"/>
        <w:jc w:val="both"/>
      </w:pPr>
      <w:r>
        <w:t xml:space="preserve">Managers can mitigate the negative consequences of control by making systems more participative, transparent and adaptable. Wouters and Wilderom (2008) found that performance measurement was more likely to be experienced as enabling when its development incorporated employee experience and experimentation, while Janka’s (2021) meta-synthesis identifies flexibility, repair and transparency as important features of enabling formal control. These findings are consistent with Simons’ (1995) distinction between </w:t>
      </w:r>
      <w:r>
        <w:t>diagnostic controls, which monitor achievement against targets, and interactive controls, which encourage discussion around strategic uncertainty. Rather than treating these approaches as alternatives, managers can combine them: diagnostic measures can maintain accountability, while interactive discussion allows employees to explain deviations, challenge outdated indicators and contribute operational knowledge. Participation therefore does not weaken managerial control; it can make the information more cred</w:t>
      </w:r>
      <w:r>
        <w:t>ible and improve acceptance of the system.</w:t>
      </w:r>
    </w:p>
    <w:p w14:paraId="02774BCE" w14:textId="77777777" w:rsidR="001531A2" w:rsidRDefault="001A4C02">
      <w:pPr>
        <w:spacing w:after="120" w:line="360" w:lineRule="auto"/>
        <w:jc w:val="both"/>
      </w:pPr>
      <w:r>
        <w:t>Targets and incentives also require careful governance. The evidence from Wells Fargo and Shang, Wang and Zu (2023) suggests that demanding targets can become counterproductive when pressure is disconnected from ethical and operational realities. Managers should therefore set challenging but credible targets, review them when circumstances change and consider both outcomes and conduct when evaluating performance. Tighter controls may still be necessary in safety-critical, regulated or high-financial-risk ac</w:t>
      </w:r>
      <w:r>
        <w:t>tivities, whereas greater discretion may be appropriate in creative or knowledge-intensive work. This contingency approach is strengthened by Mitter et al. (2024), whose review shows that cultural context also affects how controls are designed and received. Effective mitigation therefore requires managers to adapt the control package rather than applying identical targets, incentives and monitoring practices across every team or organisational setting.</w:t>
      </w:r>
    </w:p>
    <w:p w14:paraId="35A3DE33" w14:textId="77777777" w:rsidR="001531A2" w:rsidRDefault="001A4C02">
      <w:pPr>
        <w:spacing w:after="120" w:line="360" w:lineRule="auto"/>
        <w:jc w:val="both"/>
      </w:pPr>
      <w:r>
        <w:t xml:space="preserve">Finally, managers can reduce the risks of narrow performance measurement by combining financial and non-financial indicators. The Balanced Scorecard offers one established approach, and Ratnaningrum, Aryani and Setiawan (2020) show that it has been applied across a range of organisational contexts. However, Chang (2007) </w:t>
      </w:r>
      <w:r>
        <w:lastRenderedPageBreak/>
        <w:t>warns that balanced performance frameworks can become bureaucratic or symbolic when they are poorly adapted to their setting. This apparent tension is important: adding more measures does not automatically create better control. Managers need to select indicators that reflect strategic priorities, review unintended behavioural effects and combine formal data with dialogue and professional judgement. The most effective system is therefore not necessarily the most detailed one, but the one that provides suffi</w:t>
      </w:r>
      <w:r>
        <w:t>cient accountability while remaining relevant and adaptable.</w:t>
      </w:r>
    </w:p>
    <w:p w14:paraId="6A90257E" w14:textId="77777777" w:rsidR="001531A2" w:rsidRDefault="001A4C02">
      <w:pPr>
        <w:spacing w:after="120" w:line="360" w:lineRule="auto"/>
        <w:jc w:val="both"/>
      </w:pPr>
      <w:r>
        <w:t>Controlling is essential because organisations need reliable mechanisms for determining whether plans are being achieved, resources are being used appropriately and emerging risks require corrective action. The evidence also shows, however, that the effectiveness of control is contingent rather than universal. Formal controls may strengthen accountability, learning and resilience, but narrow targets, poorly chosen indicators or coercive use can create dysfunctional behaviour and rigidity. Business and publi</w:t>
      </w:r>
      <w:r>
        <w:t>c-sector examples reinforce this judgement: Wells Fargo shows how target pressure can displace organisational purpose, Carillion shows that formal checks fail without genuine challenge, Toyota illustrates how standards can support learning when employees are involved, and the NHS demonstrates the limitations of standardised measures in complex settings. Overall, managers should not seek to maximise control. They should design a control system that fits the organisation’s purpose, task complexity, risk expos</w:t>
      </w:r>
      <w:r>
        <w:t>ure, workforce and cultural context, balancing accountability with discretion and standardisation with adaptability. Controlling is therefore most effective when it functions as an informed process of feedback, challenge and learning rather than as simple supervision.</w:t>
      </w:r>
    </w:p>
    <w:p w14:paraId="36FB30E2" w14:textId="77777777" w:rsidR="001531A2" w:rsidRDefault="001A4C02">
      <w:r>
        <w:br w:type="page"/>
      </w:r>
    </w:p>
    <w:p w14:paraId="5D8F2D55" w14:textId="77777777" w:rsidR="001531A2" w:rsidRDefault="001A4C02">
      <w:pPr>
        <w:spacing w:after="240"/>
      </w:pPr>
      <w:r>
        <w:rPr>
          <w:b/>
          <w:sz w:val="28"/>
        </w:rPr>
        <w:lastRenderedPageBreak/>
        <w:t>References</w:t>
      </w:r>
    </w:p>
    <w:p w14:paraId="58CB10E9" w14:textId="77777777" w:rsidR="001531A2" w:rsidRDefault="001A4C02">
      <w:pPr>
        <w:spacing w:after="120" w:line="360" w:lineRule="auto"/>
        <w:ind w:left="720" w:hanging="720"/>
      </w:pPr>
      <w:r>
        <w:t xml:space="preserve">Ahrens, T. and Chapman, C.S. (2004) ‘Accounting for flexibility and efficiency: A field study of management control systems in a restaurant chain’, </w:t>
      </w:r>
      <w:r>
        <w:rPr>
          <w:i/>
        </w:rPr>
        <w:t>Contemporary Accounting Research</w:t>
      </w:r>
      <w:r>
        <w:t>, 21(2), pp. 271–301. doi: 10.1506/VJR6-RP75-7GUX-XH0X.</w:t>
      </w:r>
    </w:p>
    <w:p w14:paraId="01549E3A" w14:textId="77777777" w:rsidR="001531A2" w:rsidRDefault="001A4C02">
      <w:pPr>
        <w:spacing w:after="120" w:line="360" w:lineRule="auto"/>
        <w:ind w:left="720" w:hanging="720"/>
      </w:pPr>
      <w:r>
        <w:t xml:space="preserve">Bedford, D.S. (2015) ‘Management control systems across different modes of innovation: Implications for firm performance’, </w:t>
      </w:r>
      <w:r>
        <w:rPr>
          <w:i/>
        </w:rPr>
        <w:t>Management Accounting Research</w:t>
      </w:r>
      <w:r>
        <w:t>, 28, pp. 12–30. doi: 10.1016/j.mar.2015.04.003.</w:t>
      </w:r>
    </w:p>
    <w:p w14:paraId="2646D9E9" w14:textId="77777777" w:rsidR="001531A2" w:rsidRDefault="001A4C02">
      <w:pPr>
        <w:spacing w:after="120" w:line="360" w:lineRule="auto"/>
        <w:ind w:left="720" w:hanging="720"/>
      </w:pPr>
      <w:r>
        <w:t xml:space="preserve">Beuren, I.M. and Santos, V. dos (2019) ‘Enabling and coercive management control systems and organizational resilience’, </w:t>
      </w:r>
      <w:r>
        <w:rPr>
          <w:i/>
        </w:rPr>
        <w:t>Revista Contabilidade &amp; Finanças</w:t>
      </w:r>
      <w:r>
        <w:t>, 30(81), pp. 307–323. doi: 10.1590/1808-057x201908210.</w:t>
      </w:r>
    </w:p>
    <w:p w14:paraId="07227406" w14:textId="77777777" w:rsidR="001531A2" w:rsidRDefault="001A4C02">
      <w:pPr>
        <w:spacing w:after="120" w:line="360" w:lineRule="auto"/>
        <w:ind w:left="720" w:hanging="720"/>
      </w:pPr>
      <w:r>
        <w:t xml:space="preserve">Cäker, M., Siverbo, S. and Åkesson, J. (2022) ‘Performance measurement systems, hierarchical accountability and enabling control’, </w:t>
      </w:r>
      <w:r>
        <w:rPr>
          <w:i/>
        </w:rPr>
        <w:t>Accounting and Business Research</w:t>
      </w:r>
      <w:r>
        <w:t>, 52(7), pp. 865–889. doi: 10.1080/00014788.2021.1940076.</w:t>
      </w:r>
    </w:p>
    <w:p w14:paraId="4FC9C7E2" w14:textId="77777777" w:rsidR="001531A2" w:rsidRDefault="001A4C02">
      <w:pPr>
        <w:spacing w:after="120" w:line="360" w:lineRule="auto"/>
        <w:ind w:left="720" w:hanging="720"/>
      </w:pPr>
      <w:r>
        <w:t xml:space="preserve">Chang, L.-C. (2007) ‘The NHS performance assessment framework as a balanced scorecard approach: Limitations and implications’, </w:t>
      </w:r>
      <w:r>
        <w:rPr>
          <w:i/>
        </w:rPr>
        <w:t>International Journal of Public Sector Management</w:t>
      </w:r>
      <w:r>
        <w:t>, 20(2), pp. 101–117. doi: 10.1108/09513550710731472.</w:t>
      </w:r>
    </w:p>
    <w:p w14:paraId="0B06060E" w14:textId="77777777" w:rsidR="001531A2" w:rsidRDefault="001A4C02">
      <w:pPr>
        <w:spacing w:after="120" w:line="360" w:lineRule="auto"/>
        <w:ind w:left="720" w:hanging="720"/>
      </w:pPr>
      <w:r>
        <w:t>Consumer Financial Protection Bureau (CFPB) (2016) ‘Consumer Financial Protection Bureau fines Wells Fargo $100 million for widespread illegal practice of secretly opening unauthorized accounts’, 8 September. Available at: https://www.consumerfinance.gov/about-us/newsroom/consumer-financial-protection-bureau-fines-wells-fargo-100-million-widespread-illegal-practice-secretly-opening-unauthorized-accounts/ (Accessed: 9 August 2026).</w:t>
      </w:r>
    </w:p>
    <w:p w14:paraId="0122F3E6" w14:textId="77777777" w:rsidR="001531A2" w:rsidRDefault="001A4C02">
      <w:pPr>
        <w:spacing w:after="120" w:line="360" w:lineRule="auto"/>
        <w:ind w:left="720" w:hanging="720"/>
      </w:pPr>
      <w:r>
        <w:t xml:space="preserve">Felício, T., Samagaio, A. and Rodrigues, R. (2021) ‘Adoption of management control systems and performance in public sector organizations’, </w:t>
      </w:r>
      <w:r>
        <w:rPr>
          <w:i/>
        </w:rPr>
        <w:t>Journal of Business Research</w:t>
      </w:r>
      <w:r>
        <w:t>, 124, pp. 593–602. doi: 10.1016/j.jbusres.2020.10.069.</w:t>
      </w:r>
    </w:p>
    <w:p w14:paraId="34F3637F" w14:textId="77777777" w:rsidR="001531A2" w:rsidRDefault="001A4C02">
      <w:pPr>
        <w:spacing w:after="120" w:line="360" w:lineRule="auto"/>
        <w:ind w:left="720" w:hanging="720"/>
      </w:pPr>
      <w:r>
        <w:t xml:space="preserve">House of Commons (2018) </w:t>
      </w:r>
      <w:r>
        <w:rPr>
          <w:i/>
        </w:rPr>
        <w:t>Carillion</w:t>
      </w:r>
      <w:r>
        <w:t xml:space="preserve">. Second Joint Report of the Business, Energy and Industrial Strategy and Work and Pensions Committees, Session 2017–19, HC 769. London: House of Commons. Available at: </w:t>
      </w:r>
      <w:r>
        <w:lastRenderedPageBreak/>
        <w:t>https://publications.parliament.uk/pa/cm201719/cmselect/cmworpen/769/769.pdf (Accessed: 9 August 2026).</w:t>
      </w:r>
    </w:p>
    <w:p w14:paraId="783CC7AA" w14:textId="77777777" w:rsidR="001531A2" w:rsidRDefault="001A4C02">
      <w:pPr>
        <w:spacing w:after="120" w:line="360" w:lineRule="auto"/>
        <w:ind w:left="720" w:hanging="720"/>
      </w:pPr>
      <w:r>
        <w:t xml:space="preserve">Janka, M. (2021) ‘Enabling formal MCS design and use: A meta-synthesis of qualitative research’, </w:t>
      </w:r>
      <w:r>
        <w:rPr>
          <w:i/>
        </w:rPr>
        <w:t>Journal of Accounting &amp; Organizational Change</w:t>
      </w:r>
      <w:r>
        <w:t>, 17(2), pp. 133–163. doi: 10.1108/JAOC-01-2019-0002.</w:t>
      </w:r>
    </w:p>
    <w:p w14:paraId="4EC4C9DE" w14:textId="77777777" w:rsidR="001531A2" w:rsidRDefault="001A4C02">
      <w:pPr>
        <w:spacing w:after="120" w:line="360" w:lineRule="auto"/>
        <w:ind w:left="720" w:hanging="720"/>
      </w:pPr>
      <w:r>
        <w:t xml:space="preserve">Mintzberg, H. (1973) </w:t>
      </w:r>
      <w:r>
        <w:rPr>
          <w:i/>
        </w:rPr>
        <w:t>The Nature of Managerial Work</w:t>
      </w:r>
      <w:r>
        <w:t>. New York: Harper &amp; Row.</w:t>
      </w:r>
    </w:p>
    <w:p w14:paraId="6E812AAE" w14:textId="77777777" w:rsidR="001531A2" w:rsidRDefault="001A4C02">
      <w:pPr>
        <w:spacing w:after="120" w:line="360" w:lineRule="auto"/>
        <w:ind w:left="720" w:hanging="720"/>
      </w:pPr>
      <w:r>
        <w:t xml:space="preserve">Mitter, C., Kuttner, M., Duller, C. and Sommerauer, P. (2024) ‘Does national culture impact management control systems? A systematic literature review’, </w:t>
      </w:r>
      <w:r>
        <w:rPr>
          <w:i/>
        </w:rPr>
        <w:t>Review of Managerial Science</w:t>
      </w:r>
      <w:r>
        <w:t>, 18, pp. 209–257. doi: 10.1007/s11846-023-00661-w.</w:t>
      </w:r>
    </w:p>
    <w:p w14:paraId="6C4F37AA" w14:textId="77777777" w:rsidR="001531A2" w:rsidRDefault="001A4C02">
      <w:pPr>
        <w:spacing w:after="120" w:line="360" w:lineRule="auto"/>
        <w:ind w:left="720" w:hanging="720"/>
      </w:pPr>
      <w:r>
        <w:t xml:space="preserve">Otley, D.T. (1999) ‘Performance management: A framework for management control systems research’, </w:t>
      </w:r>
      <w:r>
        <w:rPr>
          <w:i/>
        </w:rPr>
        <w:t>Management Accounting Research</w:t>
      </w:r>
      <w:r>
        <w:t>, 10(4), pp. 363–382. doi: 10.1006/mare.1999.0115.</w:t>
      </w:r>
    </w:p>
    <w:p w14:paraId="361768AC" w14:textId="77777777" w:rsidR="001531A2" w:rsidRDefault="001A4C02">
      <w:pPr>
        <w:spacing w:after="120" w:line="360" w:lineRule="auto"/>
        <w:ind w:left="720" w:hanging="720"/>
      </w:pPr>
      <w:r>
        <w:t xml:space="preserve">Otley, D.T. (2016) ‘The contingency theory of management accounting and control: 1980–2014’, </w:t>
      </w:r>
      <w:r>
        <w:rPr>
          <w:i/>
        </w:rPr>
        <w:t>Management Accounting Research</w:t>
      </w:r>
      <w:r>
        <w:t>, 31, pp. 45–62. doi: 10.1016/j.mar.2016.02.001.</w:t>
      </w:r>
    </w:p>
    <w:p w14:paraId="3B176853" w14:textId="77777777" w:rsidR="001531A2" w:rsidRDefault="001A4C02">
      <w:pPr>
        <w:spacing w:after="120" w:line="360" w:lineRule="auto"/>
        <w:ind w:left="720" w:hanging="720"/>
      </w:pPr>
      <w:r>
        <w:t xml:space="preserve">Rana, T., Wickramasinghe, D. and Bracci, E. (2019) ‘New development: Integrating risk management in management control systems—lessons for public sector managers’, </w:t>
      </w:r>
      <w:r>
        <w:rPr>
          <w:i/>
        </w:rPr>
        <w:t>Public Money &amp; Management</w:t>
      </w:r>
      <w:r>
        <w:t>, 39(2), pp. 148–151. doi: 10.1080/09540962.2019.1580921.</w:t>
      </w:r>
    </w:p>
    <w:p w14:paraId="0C0A09D4" w14:textId="77777777" w:rsidR="001531A2" w:rsidRDefault="001A4C02">
      <w:pPr>
        <w:spacing w:after="120" w:line="360" w:lineRule="auto"/>
        <w:ind w:left="720" w:hanging="720"/>
      </w:pPr>
      <w:r>
        <w:t xml:space="preserve">Ratnaningrum, Aryani, Y.A. and Setiawan, D. (2020) ‘Balanced Scorecard: Is it beneficial enough? A literature review’, </w:t>
      </w:r>
      <w:r>
        <w:rPr>
          <w:i/>
        </w:rPr>
        <w:t>Asian Journal of Accounting Perspectives</w:t>
      </w:r>
      <w:r>
        <w:t>, 13(1), pp. 65–84. doi: 10.22452/AJAP.vol13no1.4.</w:t>
      </w:r>
    </w:p>
    <w:p w14:paraId="7827BD0A" w14:textId="77777777" w:rsidR="001531A2" w:rsidRDefault="001A4C02">
      <w:pPr>
        <w:spacing w:after="120" w:line="360" w:lineRule="auto"/>
        <w:ind w:left="720" w:hanging="720"/>
      </w:pPr>
      <w:r>
        <w:t xml:space="preserve">Shang, R., Wang, Z. and Zu, Y. (2023) ‘Manager narcissism, target difficulty, and employee dysfunctional behavior’, </w:t>
      </w:r>
      <w:r>
        <w:rPr>
          <w:i/>
        </w:rPr>
        <w:t>Contemporary Accounting Research</w:t>
      </w:r>
      <w:r>
        <w:t>, 40(3), pp. 1795–1822. doi: 10.1111/1911-3846.12864.</w:t>
      </w:r>
    </w:p>
    <w:p w14:paraId="278C1D39" w14:textId="77777777" w:rsidR="001531A2" w:rsidRDefault="001A4C02">
      <w:pPr>
        <w:spacing w:after="120" w:line="360" w:lineRule="auto"/>
        <w:ind w:left="720" w:hanging="720"/>
      </w:pPr>
      <w:r>
        <w:t xml:space="preserve">Simons, R. (1995) </w:t>
      </w:r>
      <w:r>
        <w:rPr>
          <w:i/>
        </w:rPr>
        <w:t>Levers of Control: How Managers Use Innovative Control Systems to Drive Strategic Renewal</w:t>
      </w:r>
      <w:r>
        <w:t>. Boston, MA: Harvard Business School Press.</w:t>
      </w:r>
    </w:p>
    <w:p w14:paraId="4549DF76" w14:textId="77777777" w:rsidR="001531A2" w:rsidRDefault="001A4C02">
      <w:pPr>
        <w:spacing w:after="120" w:line="360" w:lineRule="auto"/>
        <w:ind w:left="720" w:hanging="720"/>
      </w:pPr>
      <w:r>
        <w:t xml:space="preserve">Siverbo, S., Cäker, M. and Åkesson, J. (2019) ‘Conceptualizing dysfunctional consequences of performance measurement in the public sector’, </w:t>
      </w:r>
      <w:r>
        <w:rPr>
          <w:i/>
        </w:rPr>
        <w:t xml:space="preserve">Public </w:t>
      </w:r>
      <w:r>
        <w:rPr>
          <w:i/>
        </w:rPr>
        <w:lastRenderedPageBreak/>
        <w:t>Management Review</w:t>
      </w:r>
      <w:r>
        <w:t>, 21(12), pp. 1801–1823. doi: 10.1080/14719037.2019.1577906.</w:t>
      </w:r>
    </w:p>
    <w:p w14:paraId="3E0E7DD8" w14:textId="77777777" w:rsidR="001531A2" w:rsidRDefault="001A4C02">
      <w:pPr>
        <w:spacing w:after="120" w:line="360" w:lineRule="auto"/>
        <w:ind w:left="720" w:hanging="720"/>
      </w:pPr>
      <w:r>
        <w:t xml:space="preserve">Sohal, A.S., Samson, D. and Ramsay, L. (1994) ‘Toyota Motor Corporation Australia: A case study’, </w:t>
      </w:r>
      <w:r>
        <w:rPr>
          <w:i/>
        </w:rPr>
        <w:t>Total Quality Management</w:t>
      </w:r>
      <w:r>
        <w:t>, 5(6), pp. 431–440. doi: 10.1080/09544129400000062.</w:t>
      </w:r>
    </w:p>
    <w:p w14:paraId="4CFEA85A" w14:textId="77777777" w:rsidR="001531A2" w:rsidRDefault="001A4C02">
      <w:pPr>
        <w:spacing w:after="120" w:line="360" w:lineRule="auto"/>
        <w:ind w:left="720" w:hanging="720"/>
      </w:pPr>
      <w:r>
        <w:t xml:space="preserve">Taylor, J. and Baines, C. (2012) ‘Performance management in UK universities: Implementing the Balanced Scorecard’, </w:t>
      </w:r>
      <w:r>
        <w:rPr>
          <w:i/>
        </w:rPr>
        <w:t>Journal of Higher Education Policy and Management</w:t>
      </w:r>
      <w:r>
        <w:t>, 34(2), pp. 111–124. doi: 10.1080/1360080X.2012.662737.</w:t>
      </w:r>
    </w:p>
    <w:p w14:paraId="608D5936" w14:textId="77777777" w:rsidR="001531A2" w:rsidRDefault="001A4C02">
      <w:pPr>
        <w:spacing w:after="120" w:line="360" w:lineRule="auto"/>
        <w:ind w:left="720" w:hanging="720"/>
      </w:pPr>
      <w:r>
        <w:t xml:space="preserve">Van der Hauwaert, E., Hoozée, S., Maussen, S. and Bruggeman, W. (2022) ‘The impact of enabling performance measurement on managers’ autonomous work motivation and performance’, </w:t>
      </w:r>
      <w:r>
        <w:rPr>
          <w:i/>
        </w:rPr>
        <w:t>Management Accounting Research</w:t>
      </w:r>
      <w:r>
        <w:t>, 55, article 100780. doi: 10.1016/j.mar.2021.100780.</w:t>
      </w:r>
    </w:p>
    <w:p w14:paraId="29A468A0" w14:textId="77777777" w:rsidR="001531A2" w:rsidRDefault="001A4C02">
      <w:pPr>
        <w:spacing w:after="120" w:line="360" w:lineRule="auto"/>
        <w:ind w:left="720" w:hanging="720"/>
      </w:pPr>
      <w:r>
        <w:t xml:space="preserve">Weber, M.M., Pedell, B. and Rötzel, P.G. (2024) ‘Resilience-oriented management control systems: A systematic review of the relationships between organizational resilience and management control systems’, </w:t>
      </w:r>
      <w:r>
        <w:rPr>
          <w:i/>
        </w:rPr>
        <w:t>Journal of Management Control</w:t>
      </w:r>
      <w:r>
        <w:t>, 35, pp. 563–620. doi: 10.1007/s00187-024-00385-2.</w:t>
      </w:r>
    </w:p>
    <w:p w14:paraId="234E8D35" w14:textId="77777777" w:rsidR="001531A2" w:rsidRDefault="001A4C02">
      <w:pPr>
        <w:spacing w:after="120" w:line="360" w:lineRule="auto"/>
        <w:ind w:left="720" w:hanging="720"/>
      </w:pPr>
      <w:r>
        <w:t xml:space="preserve">Wijethilake, C., Munir, R. and Appuhami, R. (2018) ‘Environmental innovation strategy and organizational performance: Enabling and controlling uses of management control systems’, </w:t>
      </w:r>
      <w:r>
        <w:rPr>
          <w:i/>
        </w:rPr>
        <w:t>Journal of Business Ethics</w:t>
      </w:r>
      <w:r>
        <w:t>, 151(4), pp. 1139–1160. doi: 10.1007/s10551-016-3259-7.</w:t>
      </w:r>
    </w:p>
    <w:p w14:paraId="178BDDE2" w14:textId="77777777" w:rsidR="001531A2" w:rsidRDefault="001A4C02">
      <w:pPr>
        <w:spacing w:after="120" w:line="360" w:lineRule="auto"/>
        <w:ind w:left="720" w:hanging="720"/>
      </w:pPr>
      <w:r>
        <w:t xml:space="preserve">Wouters, M. and Wilderom, C.P.M. (2008) ‘Developing performance-measurement systems as enabling formalization: A longitudinal field study of a logistics department’, </w:t>
      </w:r>
      <w:r>
        <w:rPr>
          <w:i/>
        </w:rPr>
        <w:t>Accounting, Organizations and Society</w:t>
      </w:r>
      <w:r>
        <w:t>, 33(4–5), pp. 488–516. doi: 10.1016/j.aos.2007.05.002.</w:t>
      </w:r>
    </w:p>
    <w:sectPr w:rsidR="001531A2" w:rsidSect="00034616">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972F9B" w14:textId="77777777" w:rsidR="001A4C02" w:rsidRDefault="001A4C02">
      <w:pPr>
        <w:spacing w:after="0" w:line="240" w:lineRule="auto"/>
      </w:pPr>
      <w:r>
        <w:separator/>
      </w:r>
    </w:p>
  </w:endnote>
  <w:endnote w:type="continuationSeparator" w:id="0">
    <w:p w14:paraId="351EC55A" w14:textId="77777777" w:rsidR="001A4C02" w:rsidRDefault="001A4C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2F268" w14:textId="77777777" w:rsidR="001531A2" w:rsidRDefault="001A4C02">
    <w:pPr>
      <w:pStyle w:val="Footer"/>
      <w:jc w:val="right"/>
    </w:pPr>
    <w:r>
      <w:rPr>
        <w:sz w:val="20"/>
      </w:rPr>
      <w:fldChar w:fldCharType="begin"/>
    </w:r>
    <w:r>
      <w:rPr>
        <w:sz w:val="20"/>
      </w:rPr>
      <w:instrText xml:space="preserve"> PAGE </w:instrText>
    </w:r>
    <w:r w:rsidR="00C40B21">
      <w:rPr>
        <w:sz w:val="20"/>
      </w:rPr>
      <w:fldChar w:fldCharType="separate"/>
    </w:r>
    <w:r w:rsidR="00C40B21">
      <w:rPr>
        <w:noProof/>
        <w:sz w:val="20"/>
      </w:rPr>
      <w:t>1</w:t>
    </w:r>
    <w:r>
      <w:rPr>
        <w:sz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2D36AC" w14:textId="77777777" w:rsidR="001A4C02" w:rsidRDefault="001A4C02">
      <w:pPr>
        <w:spacing w:after="0" w:line="240" w:lineRule="auto"/>
      </w:pPr>
      <w:r>
        <w:separator/>
      </w:r>
    </w:p>
  </w:footnote>
  <w:footnote w:type="continuationSeparator" w:id="0">
    <w:p w14:paraId="31F1ADD9" w14:textId="77777777" w:rsidR="001A4C02" w:rsidRDefault="001A4C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61294256">
    <w:abstractNumId w:val="8"/>
  </w:num>
  <w:num w:numId="2" w16cid:durableId="1479148783">
    <w:abstractNumId w:val="6"/>
  </w:num>
  <w:num w:numId="3" w16cid:durableId="1069966136">
    <w:abstractNumId w:val="5"/>
  </w:num>
  <w:num w:numId="4" w16cid:durableId="597639883">
    <w:abstractNumId w:val="4"/>
  </w:num>
  <w:num w:numId="5" w16cid:durableId="139739753">
    <w:abstractNumId w:val="7"/>
  </w:num>
  <w:num w:numId="6" w16cid:durableId="810824688">
    <w:abstractNumId w:val="3"/>
  </w:num>
  <w:num w:numId="7" w16cid:durableId="823743419">
    <w:abstractNumId w:val="2"/>
  </w:num>
  <w:num w:numId="8" w16cid:durableId="40254136">
    <w:abstractNumId w:val="1"/>
  </w:num>
  <w:num w:numId="9" w16cid:durableId="6411527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1531A2"/>
    <w:rsid w:val="001A4C02"/>
    <w:rsid w:val="0029639D"/>
    <w:rsid w:val="00326F90"/>
    <w:rsid w:val="00710ADE"/>
    <w:rsid w:val="00AA1D8D"/>
    <w:rsid w:val="00B47730"/>
    <w:rsid w:val="00C40B21"/>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474C487"/>
  <w14:defaultImageDpi w14:val="300"/>
  <w15:docId w15:val="{9CFDA2AF-6FCD-4A95-87A8-696A81714A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3022</Words>
  <Characters>17230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20212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Sorin Dascalu</cp:lastModifiedBy>
  <cp:revision>2</cp:revision>
  <dcterms:created xsi:type="dcterms:W3CDTF">2026-08-09T20:03:00Z</dcterms:created>
  <dcterms:modified xsi:type="dcterms:W3CDTF">2026-08-09T20:03:00Z</dcterms:modified>
  <cp:category/>
</cp:coreProperties>
</file>