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28"/>
          <w:szCs w:val="28"/>
        </w:rPr>
      </w:pPr>
      <w:r w:rsidDel="00000000" w:rsidR="00000000" w:rsidRPr="00000000">
        <w:rPr>
          <w:rFonts w:ascii="Arial" w:cs="Arial" w:eastAsia="Arial" w:hAnsi="Arial"/>
          <w:b w:val="1"/>
          <w:bCs w:val="1"/>
          <w:sz w:val="28"/>
          <w:szCs w:val="28"/>
        </w:rPr>
        <w:drawing>
          <wp:inline distB="0" distT="0" distL="0" distR="0">
            <wp:extent cx="2257157" cy="798491"/>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257157" cy="79849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bCs w:val="1"/>
          <w:sz w:val="28"/>
          <w:szCs w:val="28"/>
        </w:rPr>
      </w:pPr>
      <w:r w:rsidDel="00000000" w:rsidR="00000000" w:rsidRPr="00000000">
        <w:rPr>
          <w:b w:val="1"/>
          <w:bCs w:val="1"/>
          <w:sz w:val="28"/>
          <w:szCs w:val="28"/>
          <w:rtl w:val="0"/>
        </w:rPr>
        <w:t xml:space="preserve">UNIVERSITY OF WALES TRINITY SAINT DAVID</w:t>
      </w:r>
    </w:p>
    <w:p w:rsidR="00000000" w:rsidDel="00000000" w:rsidP="00000000" w:rsidRDefault="00000000" w:rsidRPr="00000000" w14:paraId="00000003">
      <w:pPr>
        <w:jc w:val="center"/>
        <w:rPr>
          <w:b w:val="1"/>
          <w:bCs w:val="1"/>
          <w:sz w:val="28"/>
          <w:szCs w:val="28"/>
        </w:rPr>
      </w:pPr>
      <w:r w:rsidDel="00000000" w:rsidR="00000000" w:rsidRPr="00000000">
        <w:rPr>
          <w:b w:val="1"/>
          <w:bCs w:val="1"/>
          <w:sz w:val="28"/>
          <w:szCs w:val="28"/>
          <w:rtl w:val="0"/>
        </w:rPr>
        <w:t xml:space="preserve">Master of Business Administration</w:t>
      </w:r>
    </w:p>
    <w:p w:rsidR="00000000" w:rsidDel="00000000" w:rsidP="00000000" w:rsidRDefault="00000000" w:rsidRPr="00000000" w14:paraId="00000004">
      <w:pPr>
        <w:jc w:val="center"/>
        <w:rPr>
          <w:b w:val="1"/>
          <w:bCs w:val="1"/>
          <w:sz w:val="28"/>
          <w:szCs w:val="28"/>
        </w:rPr>
      </w:pPr>
      <w:r w:rsidDel="00000000" w:rsidR="00000000" w:rsidRPr="00000000">
        <w:rPr>
          <w:b w:val="1"/>
          <w:bCs w:val="1"/>
          <w:sz w:val="28"/>
          <w:szCs w:val="28"/>
          <w:rtl w:val="0"/>
        </w:rPr>
        <w:t xml:space="preserve">Marketing Management</w:t>
      </w:r>
    </w:p>
    <w:p w:rsidR="00000000" w:rsidDel="00000000" w:rsidP="00000000" w:rsidRDefault="00000000" w:rsidRPr="00000000" w14:paraId="00000005">
      <w:pPr>
        <w:jc w:val="center"/>
        <w:rPr>
          <w:b w:val="1"/>
          <w:bCs w:val="1"/>
          <w:sz w:val="28"/>
          <w:szCs w:val="28"/>
        </w:rPr>
      </w:pPr>
      <w:r w:rsidDel="00000000" w:rsidR="00000000" w:rsidRPr="00000000">
        <w:rPr>
          <w:b w:val="1"/>
          <w:bCs w:val="1"/>
          <w:sz w:val="28"/>
          <w:szCs w:val="28"/>
          <w:rtl w:val="0"/>
        </w:rPr>
        <w:t xml:space="preserve">Module Code: LCMB7024</w:t>
      </w:r>
    </w:p>
    <w:p w:rsidR="00000000" w:rsidDel="00000000" w:rsidP="00000000" w:rsidRDefault="00000000" w:rsidRPr="00000000" w14:paraId="00000006">
      <w:pPr>
        <w:jc w:val="center"/>
        <w:rPr>
          <w:b w:val="1"/>
          <w:bCs w:val="1"/>
          <w:sz w:val="28"/>
          <w:szCs w:val="28"/>
        </w:rPr>
      </w:pPr>
      <w:r w:rsidDel="00000000" w:rsidR="00000000" w:rsidRPr="00000000">
        <w:rPr>
          <w:b w:val="1"/>
          <w:bCs w:val="1"/>
          <w:sz w:val="28"/>
          <w:szCs w:val="28"/>
          <w:rtl w:val="0"/>
        </w:rPr>
        <w:t xml:space="preserve">MARKETING ENVIRONMENT ANALYSIS OF RIO TINTO</w:t>
      </w:r>
    </w:p>
    <w:p w:rsidR="00000000" w:rsidDel="00000000" w:rsidP="00000000" w:rsidRDefault="00000000" w:rsidRPr="00000000" w14:paraId="00000007">
      <w:pPr>
        <w:jc w:val="center"/>
        <w:rPr>
          <w:b w:val="1"/>
          <w:bCs w:val="1"/>
          <w:sz w:val="28"/>
          <w:szCs w:val="28"/>
        </w:rPr>
      </w:pPr>
      <w:r w:rsidDel="00000000" w:rsidR="00000000" w:rsidRPr="00000000">
        <w:rPr>
          <w:b w:val="1"/>
          <w:bCs w:val="1"/>
          <w:sz w:val="28"/>
          <w:szCs w:val="28"/>
          <w:rtl w:val="0"/>
        </w:rPr>
        <w:t xml:space="preserve">Strategic Growth Through Verified Low-Carbon Aluminium Solutions</w:t>
      </w:r>
    </w:p>
    <w:p w:rsidR="00000000" w:rsidDel="00000000" w:rsidP="00000000" w:rsidRDefault="00000000" w:rsidRPr="00000000" w14:paraId="00000008">
      <w:pPr>
        <w:jc w:val="center"/>
        <w:rPr>
          <w:b w:val="1"/>
          <w:bCs w:val="1"/>
          <w:sz w:val="28"/>
          <w:szCs w:val="28"/>
        </w:rPr>
      </w:pPr>
      <w:r w:rsidDel="00000000" w:rsidR="00000000" w:rsidRPr="00000000">
        <w:rPr>
          <w:b w:val="1"/>
          <w:bCs w:val="1"/>
          <w:sz w:val="28"/>
          <w:szCs w:val="28"/>
          <w:rtl w:val="0"/>
        </w:rPr>
        <w:t xml:space="preserve">Student Name: Darshit Rasikbhai Asodariya</w:t>
      </w:r>
    </w:p>
    <w:p w:rsidR="00000000" w:rsidDel="00000000" w:rsidP="00000000" w:rsidRDefault="00000000" w:rsidRPr="00000000" w14:paraId="00000009">
      <w:pPr>
        <w:jc w:val="center"/>
        <w:rPr>
          <w:b w:val="1"/>
          <w:bCs w:val="1"/>
          <w:sz w:val="28"/>
          <w:szCs w:val="28"/>
        </w:rPr>
      </w:pPr>
      <w:r w:rsidDel="00000000" w:rsidR="00000000" w:rsidRPr="00000000">
        <w:rPr>
          <w:b w:val="1"/>
          <w:bCs w:val="1"/>
          <w:sz w:val="28"/>
          <w:szCs w:val="28"/>
          <w:rtl w:val="0"/>
        </w:rPr>
        <w:t xml:space="preserve">Student ID: 2540455</w:t>
      </w:r>
    </w:p>
    <w:p w:rsidR="00000000" w:rsidDel="00000000" w:rsidP="00000000" w:rsidRDefault="00000000" w:rsidRPr="00000000" w14:paraId="0000000A">
      <w:pPr>
        <w:jc w:val="center"/>
        <w:rPr>
          <w:b w:val="1"/>
          <w:bCs w:val="1"/>
          <w:sz w:val="28"/>
          <w:szCs w:val="28"/>
        </w:rPr>
      </w:pPr>
      <w:r w:rsidDel="00000000" w:rsidR="00000000" w:rsidRPr="00000000">
        <w:rPr>
          <w:b w:val="1"/>
          <w:bCs w:val="1"/>
          <w:sz w:val="28"/>
          <w:szCs w:val="28"/>
          <w:rtl w:val="0"/>
        </w:rPr>
        <w:t xml:space="preserve">Lecturer: Laila Maazouz</w:t>
      </w:r>
    </w:p>
    <w:p w:rsidR="00000000" w:rsidDel="00000000" w:rsidP="00000000" w:rsidRDefault="00000000" w:rsidRPr="00000000" w14:paraId="0000000B">
      <w:pPr>
        <w:jc w:val="center"/>
        <w:rPr>
          <w:b w:val="1"/>
          <w:bCs w:val="1"/>
          <w:sz w:val="28"/>
          <w:szCs w:val="28"/>
        </w:rPr>
      </w:pPr>
      <w:r w:rsidDel="00000000" w:rsidR="00000000" w:rsidRPr="00000000">
        <w:rPr>
          <w:b w:val="1"/>
          <w:bCs w:val="1"/>
          <w:sz w:val="28"/>
          <w:szCs w:val="28"/>
          <w:rtl w:val="0"/>
        </w:rPr>
        <w:t xml:space="preserve">Programme: Master of Business Administration</w:t>
      </w:r>
    </w:p>
    <w:p w:rsidR="00000000" w:rsidDel="00000000" w:rsidP="00000000" w:rsidRDefault="00000000" w:rsidRPr="00000000" w14:paraId="0000000C">
      <w:pPr>
        <w:jc w:val="center"/>
        <w:rPr>
          <w:b w:val="1"/>
          <w:bCs w:val="1"/>
          <w:sz w:val="28"/>
          <w:szCs w:val="28"/>
        </w:rPr>
      </w:pPr>
      <w:r w:rsidDel="00000000" w:rsidR="00000000" w:rsidRPr="00000000">
        <w:rPr>
          <w:b w:val="1"/>
          <w:bCs w:val="1"/>
          <w:sz w:val="28"/>
          <w:szCs w:val="28"/>
          <w:rtl w:val="0"/>
        </w:rPr>
        <w:t xml:space="preserve">_________________________________</w:t>
      </w:r>
    </w:p>
    <w:p w:rsidR="00000000" w:rsidDel="00000000" w:rsidP="00000000" w:rsidRDefault="00000000" w:rsidRPr="00000000" w14:paraId="0000000D">
      <w:pPr>
        <w:jc w:val="center"/>
        <w:rPr>
          <w:b w:val="1"/>
          <w:bCs w:val="1"/>
          <w:sz w:val="28"/>
          <w:szCs w:val="28"/>
        </w:rPr>
      </w:pPr>
      <w:r w:rsidDel="00000000" w:rsidR="00000000" w:rsidRPr="00000000">
        <w:rPr>
          <w:b w:val="1"/>
          <w:bCs w:val="1"/>
          <w:sz w:val="28"/>
          <w:szCs w:val="28"/>
          <w:rtl w:val="0"/>
        </w:rPr>
        <w:t xml:space="preserve">Submission Date: 24 July 2026</w:t>
      </w:r>
    </w:p>
    <w:p w:rsidR="00000000" w:rsidDel="00000000" w:rsidP="00000000" w:rsidRDefault="00000000" w:rsidRPr="00000000" w14:paraId="0000000E">
      <w:pPr>
        <w:jc w:val="center"/>
        <w:rPr>
          <w:b w:val="1"/>
          <w:bCs w:val="1"/>
          <w:sz w:val="28"/>
          <w:szCs w:val="28"/>
        </w:rPr>
      </w:pPr>
      <w:r w:rsidDel="00000000" w:rsidR="00000000" w:rsidRPr="00000000">
        <w:rPr>
          <w:b w:val="1"/>
          <w:bCs w:val="1"/>
          <w:sz w:val="28"/>
          <w:szCs w:val="28"/>
          <w:rtl w:val="0"/>
        </w:rPr>
        <w:t xml:space="preserve">University of Wales Trinity Saint David</w:t>
      </w:r>
    </w:p>
    <w:p w:rsidR="00000000" w:rsidDel="00000000" w:rsidP="00000000" w:rsidRDefault="00000000" w:rsidRPr="00000000" w14:paraId="0000000F">
      <w:pPr>
        <w:jc w:val="center"/>
        <w:rPr/>
      </w:pPr>
      <w:r w:rsidDel="00000000" w:rsidR="00000000" w:rsidRPr="00000000">
        <w:rPr>
          <w:b w:val="1"/>
          <w:bCs w:val="1"/>
          <w:sz w:val="28"/>
          <w:szCs w:val="28"/>
          <w:rtl w:val="0"/>
        </w:rPr>
        <w:t xml:space="preserve">Academic Year: 2025–2026</w:t>
      </w:r>
      <w:r w:rsidDel="00000000" w:rsidR="00000000" w:rsidRPr="00000000">
        <w:br w:type="page"/>
      </w:r>
      <w:r w:rsidDel="00000000" w:rsidR="00000000" w:rsidRPr="00000000">
        <w:rPr>
          <w:rtl w:val="0"/>
        </w:rPr>
      </w:r>
    </w:p>
    <w:p w:rsidR="00000000" w:rsidDel="00000000" w:rsidP="00000000" w:rsidRDefault="00000000" w:rsidRPr="00000000" w14:paraId="00000010">
      <w:pPr>
        <w:jc w:val="center"/>
        <w:rPr>
          <w:b w:val="1"/>
          <w:bCs w:val="1"/>
          <w:sz w:val="28"/>
          <w:szCs w:val="28"/>
        </w:rPr>
      </w:pPr>
      <w:r w:rsidDel="00000000" w:rsidR="00000000" w:rsidRPr="00000000">
        <w:rPr>
          <w:b w:val="1"/>
          <w:bCs w:val="1"/>
          <w:sz w:val="28"/>
          <w:szCs w:val="28"/>
          <w:rtl w:val="0"/>
        </w:rPr>
        <w:t xml:space="preserve">TABLE OF CONTENT</w:t>
      </w:r>
    </w:p>
    <w:sdt>
      <w:sdtPr>
        <w:id w:val="80679933"/>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jowcgqsnqn4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1: Marketing Environment Analysis</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cn6zjmc6p49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1.1 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sz6j5g3zll1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1.2 Natural Environment</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z8cxbbdbxm1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1.3 Technological Environment</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qnw8h55de1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1.4 Synthesis</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v3bc6rwpra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2: Strategic Growth and Competitive Positioning</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p8zg0a7ymg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Strategic Issue</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7wm85xfhwc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Evaluation and Recommended Strategy</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fsy30q68la3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Practical Product Development</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xyj6lb5689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 Competitive Advantage</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78qechn9ds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2.5 Implementation, Risk and Control</w:t>
              <w:tab/>
              <w:t xml:space="preserve">10</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ghv67rx9pht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2.6 Conclusion</w:t>
              <w:tab/>
              <w:t xml:space="preserve">11</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m75pbk9jdl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Task 3: Critical Reflection on AI Usage</w:t>
              <w:tab/>
              <w:t xml:space="preserve">11</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6dgdcp97r1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Tool Disclosure</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bkavg2bs07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Verification and Correction</w:t>
              <w:tab/>
              <w:t xml:space="preserve">11</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vne8osrrkam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AI and Original Contribution</w:t>
              <w:tab/>
              <w:t xml:space="preserve">12</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k98cg0rkze4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3.4 Ethical and Professional Reflection</w:t>
              <w:tab/>
              <w:t xml:space="preserve">12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20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2a89tgjnwz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23">
          <w:pPr>
            <w:widowControl w:val="0"/>
            <w:tabs>
              <w:tab w:val="right" w:leader="none" w:pos="9025"/>
            </w:tabs>
            <w:spacing w:after="0" w:before="60" w:line="240" w:lineRule="auto"/>
            <w:jc w:val="left"/>
            <w:rPr>
              <w:b w:val="1"/>
              <w:bCs w:val="1"/>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rPr/>
      </w:pPr>
      <w:r w:rsidDel="00000000" w:rsidR="00000000" w:rsidRPr="00000000">
        <w:br w:type="page"/>
      </w:r>
      <w:r w:rsidDel="00000000" w:rsidR="00000000" w:rsidRPr="00000000">
        <w:rPr>
          <w:rtl w:val="0"/>
        </w:rPr>
      </w:r>
    </w:p>
    <w:p w:rsidR="00000000" w:rsidDel="00000000" w:rsidP="00000000" w:rsidRDefault="00000000" w:rsidRPr="00000000" w14:paraId="00000025">
      <w:pPr>
        <w:pStyle w:val="Heading1"/>
        <w:rPr/>
      </w:pPr>
      <w:bookmarkStart w:colFirst="0" w:colLast="0" w:name="_jowcgqsnqn40" w:id="0"/>
      <w:bookmarkEnd w:id="0"/>
      <w:r w:rsidDel="00000000" w:rsidR="00000000" w:rsidRPr="00000000">
        <w:rPr>
          <w:rtl w:val="0"/>
        </w:rPr>
        <w:t xml:space="preserve">Task 1: Marketing Environment Analysis</w:t>
      </w:r>
    </w:p>
    <w:p w:rsidR="00000000" w:rsidDel="00000000" w:rsidP="00000000" w:rsidRDefault="00000000" w:rsidRPr="00000000" w14:paraId="00000026">
      <w:pPr>
        <w:pStyle w:val="Heading2"/>
        <w:keepNext w:val="0"/>
        <w:keepLines w:val="0"/>
        <w:rPr/>
      </w:pPr>
      <w:bookmarkStart w:colFirst="0" w:colLast="0" w:name="_cn6zjmc6p49m" w:id="1"/>
      <w:bookmarkEnd w:id="1"/>
      <w:r w:rsidDel="00000000" w:rsidR="00000000" w:rsidRPr="00000000">
        <w:rPr>
          <w:rtl w:val="0"/>
        </w:rPr>
        <w:t xml:space="preserve">1.1 Introduction</w:t>
      </w:r>
    </w:p>
    <w:p w:rsidR="00000000" w:rsidDel="00000000" w:rsidP="00000000" w:rsidRDefault="00000000" w:rsidRPr="00000000" w14:paraId="00000027">
      <w:pPr>
        <w:jc w:val="center"/>
        <w:rPr>
          <w:b w:val="1"/>
          <w:bCs w:val="1"/>
        </w:rPr>
      </w:pPr>
      <w:r w:rsidDel="00000000" w:rsidR="00000000" w:rsidRPr="00000000">
        <w:rPr>
          <w:b w:val="1"/>
          <w:bCs w:val="1"/>
        </w:rPr>
        <w:drawing>
          <wp:inline distB="114300" distT="114300" distL="114300" distR="114300">
            <wp:extent cx="4984654" cy="2806973"/>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984654" cy="2806973"/>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jc w:val="center"/>
        <w:rPr>
          <w:b w:val="1"/>
          <w:bCs w:val="1"/>
        </w:rPr>
      </w:pPr>
      <w:r w:rsidDel="00000000" w:rsidR="00000000" w:rsidRPr="00000000">
        <w:rPr>
          <w:b w:val="1"/>
          <w:bCs w:val="1"/>
          <w:rtl w:val="0"/>
        </w:rPr>
        <w:t xml:space="preserve">Figure 1: Rio Tinto</w:t>
      </w:r>
    </w:p>
    <w:p w:rsidR="00000000" w:rsidDel="00000000" w:rsidP="00000000" w:rsidRDefault="00000000" w:rsidRPr="00000000" w14:paraId="00000029">
      <w:pPr>
        <w:jc w:val="center"/>
        <w:rPr/>
      </w:pPr>
      <w:r w:rsidDel="00000000" w:rsidR="00000000" w:rsidRPr="00000000">
        <w:rPr>
          <w:rtl w:val="0"/>
        </w:rPr>
        <w:t xml:space="preserve">(Source: Rio Tinto, 2026)</w:t>
      </w:r>
    </w:p>
    <w:p w:rsidR="00000000" w:rsidDel="00000000" w:rsidP="00000000" w:rsidRDefault="00000000" w:rsidRPr="00000000" w14:paraId="0000002A">
      <w:pPr>
        <w:rPr/>
      </w:pPr>
      <w:r w:rsidDel="00000000" w:rsidR="00000000" w:rsidRPr="00000000">
        <w:rPr>
          <w:rtl w:val="0"/>
        </w:rPr>
        <w:t xml:space="preserve">Rio Tinto is a world-renowned mining and metals company, whose value chain of alumina refining and primary smelting of the alumina mining includes bauxite mining. Kotler and Armstrong (2010) will refer to the marketing environment as the external actors and forces that affect the capacity of an organisation to create and sustain customer relationships. In the case of Rio Tinto, the natural environment takes the upper hand as production of aluminium is a process that consumes a lot of energy, whereas the technological environment defines the capability of the environmental pressure to be transformed into plausible commodity and competitive worth.</w:t>
      </w:r>
    </w:p>
    <w:p w:rsidR="00000000" w:rsidDel="00000000" w:rsidP="00000000" w:rsidRDefault="00000000" w:rsidRPr="00000000" w14:paraId="0000002B">
      <w:pPr>
        <w:jc w:val="center"/>
        <w:rPr>
          <w:b w:val="1"/>
          <w:bCs w:val="1"/>
        </w:rPr>
      </w:pPr>
      <w:r w:rsidDel="00000000" w:rsidR="00000000" w:rsidRPr="00000000">
        <w:rPr>
          <w:b w:val="1"/>
          <w:bCs w:val="1"/>
          <w:rtl w:val="0"/>
        </w:rPr>
        <w:t xml:space="preserve">Table 1. External Marketing Environment Framework for Rio Tinto</w:t>
      </w:r>
    </w:p>
    <w:tbl>
      <w:tblPr>
        <w:tblStyle w:val="Table1"/>
        <w:tblW w:w="9024.999999999998"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91"/>
        <w:gridCol w:w="2487"/>
        <w:gridCol w:w="2558"/>
        <w:gridCol w:w="2289"/>
        <w:tblGridChange w:id="0">
          <w:tblGrid>
            <w:gridCol w:w="1691"/>
            <w:gridCol w:w="2487"/>
            <w:gridCol w:w="2558"/>
            <w:gridCol w:w="2289"/>
          </w:tblGrid>
        </w:tblGridChange>
      </w:tblGrid>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C">
            <w:pPr>
              <w:rPr/>
            </w:pPr>
            <w:r w:rsidDel="00000000" w:rsidR="00000000" w:rsidRPr="00000000">
              <w:rPr>
                <w:b w:val="1"/>
                <w:bCs w:val="1"/>
                <w:rtl w:val="0"/>
              </w:rPr>
              <w:t xml:space="preserve">External actor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D">
            <w:pPr>
              <w:rPr/>
            </w:pPr>
            <w:r w:rsidDel="00000000" w:rsidR="00000000" w:rsidRPr="00000000">
              <w:rPr>
                <w:b w:val="1"/>
                <w:bCs w:val="1"/>
                <w:rtl w:val="0"/>
              </w:rPr>
              <w:t xml:space="preserve">Main influence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E">
            <w:pPr>
              <w:rPr/>
            </w:pPr>
            <w:r w:rsidDel="00000000" w:rsidR="00000000" w:rsidRPr="00000000">
              <w:rPr>
                <w:b w:val="1"/>
                <w:bCs w:val="1"/>
                <w:rtl w:val="0"/>
              </w:rPr>
              <w:t xml:space="preserve">Rio Tinto example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2F">
            <w:pPr>
              <w:rPr/>
            </w:pPr>
            <w:r w:rsidDel="00000000" w:rsidR="00000000" w:rsidRPr="00000000">
              <w:rPr>
                <w:b w:val="1"/>
                <w:bCs w:val="1"/>
                <w:rtl w:val="0"/>
              </w:rPr>
              <w:t xml:space="preserve">Marketing implication</w:t>
            </w:r>
            <w:r w:rsidDel="00000000" w:rsidR="00000000" w:rsidRPr="00000000">
              <w:rPr>
                <w:rtl w:val="0"/>
              </w:rPr>
            </w:r>
          </w:p>
        </w:tc>
      </w:tr>
      <w:tr>
        <w:trPr>
          <w:cantSplit w:val="0"/>
          <w:trHeight w:val="132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0">
            <w:pPr>
              <w:rPr/>
            </w:pPr>
            <w:r w:rsidDel="00000000" w:rsidR="00000000" w:rsidRPr="00000000">
              <w:rPr>
                <w:rtl w:val="0"/>
              </w:rPr>
              <w:t xml:space="preserve">Natural environment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1">
            <w:pPr>
              <w:rPr/>
            </w:pPr>
            <w:r w:rsidDel="00000000" w:rsidR="00000000" w:rsidRPr="00000000">
              <w:rPr>
                <w:rtl w:val="0"/>
              </w:rPr>
              <w:t xml:space="preserve">Climate change, energy use, emissions, water and ecosystem pressures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2">
            <w:pPr>
              <w:rPr/>
            </w:pPr>
            <w:r w:rsidDel="00000000" w:rsidR="00000000" w:rsidRPr="00000000">
              <w:rPr>
                <w:rtl w:val="0"/>
              </w:rPr>
              <w:t xml:space="preserve">Hydropower-based Canadian smelting and operational decarbonisation targets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3">
            <w:pPr>
              <w:rPr/>
            </w:pPr>
            <w:r w:rsidDel="00000000" w:rsidR="00000000" w:rsidRPr="00000000">
              <w:rPr>
                <w:rtl w:val="0"/>
              </w:rPr>
              <w:t xml:space="preserve">Demand for verified low-carbon aluminium and resilient supply</w:t>
            </w:r>
          </w:p>
        </w:tc>
      </w:tr>
      <w:tr>
        <w:trPr>
          <w:cantSplit w:val="0"/>
          <w:trHeight w:val="132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4">
            <w:pPr>
              <w:rPr/>
            </w:pPr>
            <w:r w:rsidDel="00000000" w:rsidR="00000000" w:rsidRPr="00000000">
              <w:rPr>
                <w:rtl w:val="0"/>
              </w:rPr>
              <w:t xml:space="preserve">Technological environment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5">
            <w:pPr>
              <w:rPr/>
            </w:pPr>
            <w:r w:rsidDel="00000000" w:rsidR="00000000" w:rsidRPr="00000000">
              <w:rPr>
                <w:rtl w:val="0"/>
              </w:rPr>
              <w:t xml:space="preserve">Renewable power, advanced smelting, emissions measurement and process innovation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6">
            <w:pPr>
              <w:rPr/>
            </w:pPr>
            <w:r w:rsidDel="00000000" w:rsidR="00000000" w:rsidRPr="00000000">
              <w:rPr>
                <w:rtl w:val="0"/>
              </w:rPr>
              <w:t xml:space="preserve">AP60 and ELYSIS inert-anode technology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7">
            <w:pPr>
              <w:rPr/>
            </w:pPr>
            <w:r w:rsidDel="00000000" w:rsidR="00000000" w:rsidRPr="00000000">
              <w:rPr>
                <w:rtl w:val="0"/>
              </w:rPr>
              <w:t xml:space="preserve">Product differentiation, but with capital and scale-up risks</w:t>
            </w:r>
          </w:p>
        </w:tc>
      </w:tr>
    </w:tbl>
    <w:p w:rsidR="00000000" w:rsidDel="00000000" w:rsidP="00000000" w:rsidRDefault="00000000" w:rsidRPr="00000000" w14:paraId="00000038">
      <w:pPr>
        <w:jc w:val="center"/>
        <w:rPr/>
      </w:pPr>
      <w:r w:rsidDel="00000000" w:rsidR="00000000" w:rsidRPr="00000000">
        <w:rPr>
          <w:rtl w:val="0"/>
        </w:rPr>
        <w:t xml:space="preserve">(Source: Author’s analysis based on Rio Tinto (2025a), ELYSIS (2024) and Rio Tinto (2026b).)</w:t>
      </w:r>
    </w:p>
    <w:p w:rsidR="00000000" w:rsidDel="00000000" w:rsidP="00000000" w:rsidRDefault="00000000" w:rsidRPr="00000000" w14:paraId="00000039">
      <w:pPr>
        <w:pStyle w:val="Heading2"/>
        <w:rPr/>
      </w:pPr>
      <w:bookmarkStart w:colFirst="0" w:colLast="0" w:name="_sz6j5g3zll10" w:id="2"/>
      <w:bookmarkEnd w:id="2"/>
      <w:r w:rsidDel="00000000" w:rsidR="00000000" w:rsidRPr="00000000">
        <w:rPr>
          <w:rtl w:val="0"/>
        </w:rPr>
        <w:t xml:space="preserve">1.2 Natural Environment</w:t>
      </w:r>
    </w:p>
    <w:p w:rsidR="00000000" w:rsidDel="00000000" w:rsidP="00000000" w:rsidRDefault="00000000" w:rsidRPr="00000000" w14:paraId="0000003A">
      <w:pPr>
        <w:rPr/>
      </w:pPr>
      <w:r w:rsidDel="00000000" w:rsidR="00000000" w:rsidRPr="00000000">
        <w:rPr>
          <w:rtl w:val="0"/>
        </w:rPr>
        <w:t xml:space="preserve">The aluminium industry pitches environmental pressure in the areas of mining, refining, electricity production, smelting, transportation and fabrication. This is why the International Aluminium Institute (2024) quantifies emissions based on a cradle-to-gate model, as opposed to considering smelting as a solitary exercise. Embedded carbon is also being considered in full chain by the industrial customer. The Rio Tinto 2025 Climate Action Plan aims at decreasing the net Scope 1 and Scope 2 emissions by 50 percent in 2030 compared to its 2018 baseline and ensuring that the operational emissions are zero in 2050 (Rio Tinto, 2025a). These promises have the ability to enhance the value proposition of the company but pose reputational risks in case achieve reductions rely too heavily on offsets or untenable growth in production reduces absolute progress.</w:t>
      </w:r>
    </w:p>
    <w:p w:rsidR="00000000" w:rsidDel="00000000" w:rsidP="00000000" w:rsidRDefault="00000000" w:rsidRPr="00000000" w14:paraId="0000003B">
      <w:pPr>
        <w:rPr/>
      </w:pPr>
      <w:r w:rsidDel="00000000" w:rsidR="00000000" w:rsidRPr="00000000">
        <w:rPr>
          <w:rtl w:val="0"/>
        </w:rPr>
        <w:t xml:space="preserve">The key natural-environment constraint is energy. The process of alumina refining and smelting of aluminium involves huge and reliable energy requirements. According to Saez-Guinoa et al. (2024), fuel choice is a key factor that has a life-cycle effect of alumina, meaning that decarbonisation would need adjustments in both electricity generation and process heat. Rio Tinto is also taking advantage of hydropower in a number of smelters in Canada by enabling it to position this production as lower carbon compared to metal produced on the basis of fossil-fuel-intensive grids. Nevertheless, hydropower is site specific and drought, shifting rainfall and extreme weather would have an impact on the energy security and continuity of production. Customer-service is also, therefore, an environmental-resilience concern since they demand dependable volumes, quality and delivery. Integration of renewable-energy offers a feasible pathway to mining and refining processes. Huang et al. (2024) show that Australian mineral resources can be decarbonised partially using solar and wind energy, but the feasibility of the process depends on the nature of the ore, its geographical location and low-generation time. Li et al. (2024) also consider renewable energy as a valuable mining prospect but highlights the intermittency, infrastructure, capital and storage issues. Rio Tinto will then have to resist the temptation to market renewable electricity as such a simple solution. An authentic marketing assertion must indicate what operation and source of energy is operating, the product boundary and its verification procedure. Market growth is also formed in the natural environment. Electric cars, electrical networks, buildings and renewable-energy structures use aluminium. Yi, Lu and He (2024) projected future growth of demand in the developing markets and show that cleaner energy architecture and low-carbon technologies decisively influence lowering the emissions impact of a given sector. This provides Rio Tinto with a business opportunity to provide to customers who are interested in cutting on Scope 3 emissions. This, however, may provide higher demand which in turn may enhance more mining, land disturbance, water application and overall emissions. The reduction in carbon per tonne should be inadequate in case the total ecological effects rise. Marketing must draw a linkage between carbon performance and responsible sourcing and quantifiable improvement of operation instead of other generalized terms such as green aluminium.</w:t>
      </w:r>
    </w:p>
    <w:p w:rsidR="00000000" w:rsidDel="00000000" w:rsidP="00000000" w:rsidRDefault="00000000" w:rsidRPr="00000000" w14:paraId="0000003C">
      <w:pPr>
        <w:pStyle w:val="Heading2"/>
        <w:rPr/>
      </w:pPr>
      <w:bookmarkStart w:colFirst="0" w:colLast="0" w:name="_z8cxbbdbxm14" w:id="3"/>
      <w:bookmarkEnd w:id="3"/>
      <w:r w:rsidDel="00000000" w:rsidR="00000000" w:rsidRPr="00000000">
        <w:rPr>
          <w:rtl w:val="0"/>
        </w:rPr>
        <w:t xml:space="preserve">1.3 Technological Environment</w:t>
      </w:r>
    </w:p>
    <w:p w:rsidR="00000000" w:rsidDel="00000000" w:rsidP="00000000" w:rsidRDefault="00000000" w:rsidRPr="00000000" w14:paraId="0000003D">
      <w:pPr>
        <w:rPr/>
      </w:pPr>
      <w:r w:rsidDel="00000000" w:rsidR="00000000" w:rsidRPr="00000000">
        <w:rPr>
          <w:rtl w:val="0"/>
        </w:rPr>
        <w:t xml:space="preserve">Technology will dictate whether Rio Tinto is capable of living up to the environmental assurances, to divergent product. In 2024, ELYSIS, the Rio Tinto and Alcoa joint venture, licensed its first smelter technology, which will aid in the development of an industrial demonstration using inert anodes (ELYSIS, 2024). The technology aims to remove direct greenhouse-gas emissions of aluminium electrolysis, and generate oxygen, unlike traditional carbon anodes. Rio Tinto claimed to be operating at the scale of commercial-size cells in 2025 and this indicates technical advances (Rio Tinto, 2025b). However a commercial scale cell is not synonymous with profitable large scale deployment. Retrofitting requirements, reliability and production scale, capital costs are notable uncertainties.</w:t>
      </w:r>
    </w:p>
    <w:p w:rsidR="00000000" w:rsidDel="00000000" w:rsidP="00000000" w:rsidRDefault="00000000" w:rsidRPr="00000000" w14:paraId="0000003E">
      <w:pPr>
        <w:rPr/>
      </w:pPr>
      <w:r w:rsidDel="00000000" w:rsidR="00000000" w:rsidRPr="00000000">
        <w:rPr>
          <w:rtl w:val="0"/>
        </w:rPr>
        <w:t xml:space="preserve">The Annual Report of Rio Tinto reports about innovation and decarbonisation as part of the portfolio development and operational enhancement (Rio Tinto, 2025c). Dardor et al. (2025) show that more basic avenues such as using renewable electricity, bio-based resources, renewable hydrogen and system integration may ultimately assist carbon-negative primary aluminium. However the pathways demand a lot of infrastructure and business validation. Rio Tinto should hence distinguish between low-carbon aluminium which can be made immediately, and ELYSIS-enabled or carbon-negative products which will be made in the future. This difference will decrease greenwashing risk and allow customers to make informed buying choices.</w:t>
      </w:r>
    </w:p>
    <w:p w:rsidR="00000000" w:rsidDel="00000000" w:rsidP="00000000" w:rsidRDefault="00000000" w:rsidRPr="00000000" w14:paraId="0000003F">
      <w:pPr>
        <w:pStyle w:val="Heading2"/>
        <w:rPr/>
      </w:pPr>
      <w:bookmarkStart w:colFirst="0" w:colLast="0" w:name="_4qnw8h55de1q" w:id="4"/>
      <w:bookmarkEnd w:id="4"/>
      <w:r w:rsidDel="00000000" w:rsidR="00000000" w:rsidRPr="00000000">
        <w:rPr>
          <w:rtl w:val="0"/>
        </w:rPr>
        <w:t xml:space="preserve">1.4 Synthesis</w:t>
      </w:r>
    </w:p>
    <w:p w:rsidR="00000000" w:rsidDel="00000000" w:rsidP="00000000" w:rsidRDefault="00000000" w:rsidRPr="00000000" w14:paraId="00000040">
      <w:pPr>
        <w:rPr/>
      </w:pPr>
      <w:r w:rsidDel="00000000" w:rsidR="00000000" w:rsidRPr="00000000">
        <w:rPr>
          <w:rtl w:val="0"/>
        </w:rPr>
        <w:t xml:space="preserve">The pressure and demand generated by the natural environment are both that Rio Tinto will have to minimize emissions and environmental impacts and provide industries cogent to the low-carbon transition. Technology provides an answer but uncertainty requires that the claims made should be moderate but verifiable independently. Not generic sustainability promotion, but the creation of traceable, application-specific low-carbon aluminium by renewable power, operational data and customer collaboration is the best opportunity, however. The rationale of this find use in a product-development strategy in Task 2.</w:t>
      </w:r>
    </w:p>
    <w:p w:rsidR="00000000" w:rsidDel="00000000" w:rsidP="00000000" w:rsidRDefault="00000000" w:rsidRPr="00000000" w14:paraId="00000041">
      <w:pPr>
        <w:pStyle w:val="Heading1"/>
        <w:rPr/>
      </w:pPr>
      <w:bookmarkStart w:colFirst="0" w:colLast="0" w:name="_bv3bc6rwpras" w:id="5"/>
      <w:bookmarkEnd w:id="5"/>
      <w:r w:rsidDel="00000000" w:rsidR="00000000" w:rsidRPr="00000000">
        <w:rPr>
          <w:rtl w:val="0"/>
        </w:rPr>
        <w:t xml:space="preserve">Task 2: Strategic Growth and Competitive Positioning</w:t>
      </w:r>
    </w:p>
    <w:p w:rsidR="00000000" w:rsidDel="00000000" w:rsidP="00000000" w:rsidRDefault="00000000" w:rsidRPr="00000000" w14:paraId="00000042">
      <w:pPr>
        <w:pStyle w:val="Heading2"/>
        <w:rPr/>
      </w:pPr>
      <w:bookmarkStart w:colFirst="0" w:colLast="0" w:name="_7p8zg0a7ymge" w:id="6"/>
      <w:bookmarkEnd w:id="6"/>
      <w:r w:rsidDel="00000000" w:rsidR="00000000" w:rsidRPr="00000000">
        <w:rPr>
          <w:rtl w:val="0"/>
        </w:rPr>
        <w:t xml:space="preserve">2.1 Strategic Issue</w:t>
      </w:r>
    </w:p>
    <w:p w:rsidR="00000000" w:rsidDel="00000000" w:rsidP="00000000" w:rsidRDefault="00000000" w:rsidRPr="00000000" w14:paraId="00000043">
      <w:pPr>
        <w:rPr/>
      </w:pPr>
      <w:r w:rsidDel="00000000" w:rsidR="00000000" w:rsidRPr="00000000">
        <w:rPr>
          <w:rtl w:val="0"/>
        </w:rPr>
        <w:t xml:space="preserve">Task 1 illustrates that Rio Tinto has not merely a production of more aluminium that is its issue but rather it is transforming environmental capability and converting interrelations into customer values without exaggerating technological maturity. The company needs to have a growth platform through Canadian hydro-power, AP60 investments, ELYSIS expansion and customer alliances. The Ansoff Matrix analyzes the growth based on the existing and new products and markets. Product development is the most suitable option since it will be based on the solved-established operations concerning aluminium, but new improved solutions will be offered to the customers as they have been under pressure of reducing emissions and disclosures.</w:t>
      </w:r>
    </w:p>
    <w:p w:rsidR="00000000" w:rsidDel="00000000" w:rsidP="00000000" w:rsidRDefault="00000000" w:rsidRPr="00000000" w14:paraId="00000044">
      <w:pPr>
        <w:jc w:val="center"/>
        <w:rPr>
          <w:b w:val="1"/>
          <w:bCs w:val="1"/>
        </w:rPr>
      </w:pPr>
      <w:r w:rsidDel="00000000" w:rsidR="00000000" w:rsidRPr="00000000">
        <w:rPr>
          <w:b w:val="1"/>
          <w:bCs w:val="1"/>
          <w:rtl w:val="0"/>
        </w:rPr>
        <w:t xml:space="preserve">Table 2: Ansoff Matrix Applied to Rio Tinto</w:t>
      </w:r>
    </w:p>
    <w:tbl>
      <w:tblPr>
        <w:tblStyle w:val="Table2"/>
        <w:tblW w:w="902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07"/>
        <w:gridCol w:w="3395"/>
        <w:gridCol w:w="1919"/>
        <w:gridCol w:w="2004"/>
        <w:tblGridChange w:id="0">
          <w:tblGrid>
            <w:gridCol w:w="1707"/>
            <w:gridCol w:w="3395"/>
            <w:gridCol w:w="1919"/>
            <w:gridCol w:w="2004"/>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5">
            <w:pPr>
              <w:rPr/>
            </w:pPr>
            <w:r w:rsidDel="00000000" w:rsidR="00000000" w:rsidRPr="00000000">
              <w:rPr>
                <w:b w:val="1"/>
                <w:bCs w:val="1"/>
                <w:rtl w:val="0"/>
              </w:rPr>
              <w:t xml:space="preserve">Ansoff option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6">
            <w:pPr>
              <w:rPr/>
            </w:pPr>
            <w:r w:rsidDel="00000000" w:rsidR="00000000" w:rsidRPr="00000000">
              <w:rPr>
                <w:b w:val="1"/>
                <w:bCs w:val="1"/>
                <w:rtl w:val="0"/>
              </w:rPr>
              <w:t xml:space="preserve">Practical application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7">
            <w:pPr>
              <w:rPr/>
            </w:pPr>
            <w:r w:rsidDel="00000000" w:rsidR="00000000" w:rsidRPr="00000000">
              <w:rPr>
                <w:b w:val="1"/>
                <w:bCs w:val="1"/>
                <w:rtl w:val="0"/>
              </w:rPr>
              <w:t xml:space="preserve">Benefit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8">
            <w:pPr>
              <w:rPr/>
            </w:pPr>
            <w:r w:rsidDel="00000000" w:rsidR="00000000" w:rsidRPr="00000000">
              <w:rPr>
                <w:b w:val="1"/>
                <w:bCs w:val="1"/>
                <w:rtl w:val="0"/>
              </w:rPr>
              <w:t xml:space="preserve">Limitation</w:t>
            </w:r>
            <w:r w:rsidDel="00000000" w:rsidR="00000000" w:rsidRPr="00000000">
              <w:rPr>
                <w:rtl w:val="0"/>
              </w:rPr>
            </w:r>
          </w:p>
        </w:tc>
      </w:tr>
      <w:tr>
        <w:trPr>
          <w:cantSplit w:val="0"/>
          <w:trHeight w:val="132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9">
            <w:pPr>
              <w:rPr/>
            </w:pPr>
            <w:r w:rsidDel="00000000" w:rsidR="00000000" w:rsidRPr="00000000">
              <w:rPr>
                <w:rtl w:val="0"/>
              </w:rPr>
              <w:t xml:space="preserve">Market penetration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A">
            <w:pPr>
              <w:rPr/>
            </w:pPr>
            <w:r w:rsidDel="00000000" w:rsidR="00000000" w:rsidRPr="00000000">
              <w:rPr>
                <w:rtl w:val="0"/>
              </w:rPr>
              <w:t xml:space="preserve">Increase sales of existing low-carbon aluminium to current automotive, cable and construction customers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B">
            <w:pPr>
              <w:rPr/>
            </w:pPr>
            <w:r w:rsidDel="00000000" w:rsidR="00000000" w:rsidRPr="00000000">
              <w:rPr>
                <w:rtl w:val="0"/>
              </w:rPr>
              <w:t xml:space="preserve">Lower implementation risk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C">
            <w:pPr>
              <w:rPr/>
            </w:pPr>
            <w:r w:rsidDel="00000000" w:rsidR="00000000" w:rsidRPr="00000000">
              <w:rPr>
                <w:rtl w:val="0"/>
              </w:rPr>
              <w:t xml:space="preserve">Competitors may imitate the offering</w:t>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D">
            <w:pPr>
              <w:rPr/>
            </w:pPr>
            <w:r w:rsidDel="00000000" w:rsidR="00000000" w:rsidRPr="00000000">
              <w:rPr>
                <w:rtl w:val="0"/>
              </w:rPr>
              <w:t xml:space="preserve">Market development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E">
            <w:pPr>
              <w:rPr/>
            </w:pPr>
            <w:r w:rsidDel="00000000" w:rsidR="00000000" w:rsidRPr="00000000">
              <w:rPr>
                <w:rtl w:val="0"/>
              </w:rPr>
              <w:t xml:space="preserve">Supply existing aluminium products to India and data-centre markets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F">
            <w:pPr>
              <w:rPr/>
            </w:pPr>
            <w:r w:rsidDel="00000000" w:rsidR="00000000" w:rsidRPr="00000000">
              <w:rPr>
                <w:rtl w:val="0"/>
              </w:rPr>
              <w:t xml:space="preserve">Access to expanding demand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0">
            <w:pPr>
              <w:rPr/>
            </w:pPr>
            <w:r w:rsidDel="00000000" w:rsidR="00000000" w:rsidRPr="00000000">
              <w:rPr>
                <w:rtl w:val="0"/>
              </w:rPr>
              <w:t xml:space="preserve">Limited new-product differentiation</w:t>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1">
            <w:pPr>
              <w:rPr/>
            </w:pPr>
            <w:r w:rsidDel="00000000" w:rsidR="00000000" w:rsidRPr="00000000">
              <w:rPr>
                <w:rtl w:val="0"/>
              </w:rPr>
              <w:t xml:space="preserve">Product development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2">
            <w:pPr>
              <w:rPr/>
            </w:pPr>
            <w:r w:rsidDel="00000000" w:rsidR="00000000" w:rsidRPr="00000000">
              <w:rPr>
                <w:rtl w:val="0"/>
              </w:rPr>
              <w:t xml:space="preserve">Combine low-carbon metal, AP60, ELYSIS content and verified environmental data</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3">
            <w:pPr>
              <w:rPr/>
            </w:pPr>
            <w:r w:rsidDel="00000000" w:rsidR="00000000" w:rsidRPr="00000000">
              <w:rPr>
                <w:rtl w:val="0"/>
              </w:rPr>
              <w:t xml:space="preserve">Stronger customer value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4">
            <w:pPr>
              <w:rPr/>
            </w:pPr>
            <w:r w:rsidDel="00000000" w:rsidR="00000000" w:rsidRPr="00000000">
              <w:rPr>
                <w:rtl w:val="0"/>
              </w:rPr>
              <w:t xml:space="preserve">Technology and capital risks</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5">
            <w:pPr>
              <w:rPr/>
            </w:pPr>
            <w:r w:rsidDel="00000000" w:rsidR="00000000" w:rsidRPr="00000000">
              <w:rPr>
                <w:rtl w:val="0"/>
              </w:rPr>
              <w:t xml:space="preserve">Diversification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6">
            <w:pPr>
              <w:rPr/>
            </w:pPr>
            <w:r w:rsidDel="00000000" w:rsidR="00000000" w:rsidRPr="00000000">
              <w:rPr>
                <w:rtl w:val="0"/>
              </w:rPr>
              <w:t xml:space="preserve">Enter downstream cable, component or energy businesses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7">
            <w:pPr>
              <w:rPr/>
            </w:pPr>
            <w:r w:rsidDel="00000000" w:rsidR="00000000" w:rsidRPr="00000000">
              <w:rPr>
                <w:rtl w:val="0"/>
              </w:rPr>
              <w:t xml:space="preserve">New revenue sources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8">
            <w:pPr>
              <w:rPr/>
            </w:pPr>
            <w:r w:rsidDel="00000000" w:rsidR="00000000" w:rsidRPr="00000000">
              <w:rPr>
                <w:rtl w:val="0"/>
              </w:rPr>
              <w:t xml:space="preserve">Highest capability and investment risk</w:t>
            </w:r>
          </w:p>
        </w:tc>
      </w:tr>
    </w:tbl>
    <w:p w:rsidR="00000000" w:rsidDel="00000000" w:rsidP="00000000" w:rsidRDefault="00000000" w:rsidRPr="00000000" w14:paraId="00000059">
      <w:pPr>
        <w:jc w:val="center"/>
        <w:rPr/>
      </w:pPr>
      <w:r w:rsidDel="00000000" w:rsidR="00000000" w:rsidRPr="00000000">
        <w:rPr>
          <w:rtl w:val="0"/>
        </w:rPr>
        <w:t xml:space="preserve">(Source: Author’s analysis based on Rio Tinto (2025d), Rio Tinto (2026a) and Rio Tinto (2026b).)</w:t>
      </w:r>
    </w:p>
    <w:p w:rsidR="00000000" w:rsidDel="00000000" w:rsidP="00000000" w:rsidRDefault="00000000" w:rsidRPr="00000000" w14:paraId="0000005A">
      <w:pPr>
        <w:pStyle w:val="Heading2"/>
        <w:rPr/>
      </w:pPr>
      <w:bookmarkStart w:colFirst="0" w:colLast="0" w:name="_v7wm85xfhwcl" w:id="7"/>
      <w:bookmarkEnd w:id="7"/>
      <w:r w:rsidDel="00000000" w:rsidR="00000000" w:rsidRPr="00000000">
        <w:rPr>
          <w:rtl w:val="0"/>
        </w:rPr>
        <w:t xml:space="preserve">2.2 Evaluation and Recommended Strategy</w:t>
      </w:r>
    </w:p>
    <w:p w:rsidR="00000000" w:rsidDel="00000000" w:rsidP="00000000" w:rsidRDefault="00000000" w:rsidRPr="00000000" w14:paraId="0000005B">
      <w:pPr>
        <w:rPr/>
      </w:pPr>
      <w:r w:rsidDel="00000000" w:rsidR="00000000" w:rsidRPr="00000000">
        <w:rPr>
          <w:rtl w:val="0"/>
        </w:rPr>
        <w:t xml:space="preserve">Existing customer relationships would be tapped to penetrate the market, although this would not stop the price pressure as there are other players with similar claims. The growth of markets is encouraging as they are growing both in terms of geography and application. Rio Tinto and AMG Metals and Materials are evaluating a potentially a one-million-tonne-a-year smelter of aluminium and a two-million tonne alumina project that will be powered by renewable energy (Rio Tinto, 2025d). Nevertheless, this is still a feasibility study as opposed to committed production capacity. A downstream manufacturing would give more control in end products but would necessitate unknown capabilities and huge investment. It is thus advisable to develop the products. The Rio Tinto Verified Low-Carbon Aluminium Solutions proposed would integrate hydropower-produced aluminium, AP60-produced, independently verified product carbon information, responsible-sourcing, evidence, customer-specific alloys and, in commercial scale, ELYSIS-produced metal. They maintain that marketing brings about value because it aligns organisational capabilities with the needs of customers (Kotler and Armstrong, 2010). In this case, customers need to have a high-quality aluminium that decreases the embedded emissions without compromising on conductivity, quality, performance and security of supply.</w:t>
      </w:r>
    </w:p>
    <w:p w:rsidR="00000000" w:rsidDel="00000000" w:rsidP="00000000" w:rsidRDefault="00000000" w:rsidRPr="00000000" w14:paraId="0000005C">
      <w:pPr>
        <w:pStyle w:val="Heading2"/>
        <w:rPr/>
      </w:pPr>
      <w:bookmarkStart w:colFirst="0" w:colLast="0" w:name="_fsy30q68la37" w:id="8"/>
      <w:bookmarkEnd w:id="8"/>
      <w:r w:rsidDel="00000000" w:rsidR="00000000" w:rsidRPr="00000000">
        <w:rPr>
          <w:rtl w:val="0"/>
        </w:rPr>
        <w:t xml:space="preserve">2.3 Practical Product Development</w:t>
      </w:r>
    </w:p>
    <w:p w:rsidR="00000000" w:rsidDel="00000000" w:rsidP="00000000" w:rsidRDefault="00000000" w:rsidRPr="00000000" w14:paraId="0000005D">
      <w:pPr>
        <w:rPr/>
      </w:pPr>
      <w:r w:rsidDel="00000000" w:rsidR="00000000" w:rsidRPr="00000000">
        <w:rPr>
          <w:rtl w:val="0"/>
        </w:rPr>
        <w:t xml:space="preserve">The cable manufacturers, data-centre infrastructure suppliers, electric-vehicle manufacturers and construction-system businesses should be given priority. An interesting case study is the collaboration between Rio Tinto and Prysmian. In 2026, the organisations performed an industrial trial of using the lower-carbon data-centre cables with an aluminium rod made out of hydropower-based and ELYSIS produced metal (Rio Tinto, 2026a). The relationship involves a blend of research, material and application history and thus is a co-development model as opposed to a traditional type of commodity sale. The partners already had signed a five-year supply contract, which proves that long-term cooperation is able to facilitate commercial adoption. The second one is the 1.5 billion US dollar AP60 project in Quebec (Complexe Arvida). The initial commissioning is planned to occur in 2026 and an estimated 96 pots should bring about 160,000 tonnes of primary-aluminium capacity per year (Rio Tinto, 2026b). Rio Tinto claims that AP60 mixed with hydropower in Canada produces significantly lower emissions than the average emission in the industry world. The investment adds commercially available low-carbon metal as opposed to the use of pilot-scale technology only. However, its high level of capital intensity implies that Rio Tinto needs long-term contracts and sufficient margins to ensure that environmental differentiation is not a costly operational aspect with an insufficient commercial payoff.</w:t>
      </w:r>
    </w:p>
    <w:p w:rsidR="00000000" w:rsidDel="00000000" w:rsidP="00000000" w:rsidRDefault="00000000" w:rsidRPr="00000000" w14:paraId="0000005E">
      <w:pPr>
        <w:rPr/>
      </w:pPr>
      <w:r w:rsidDel="00000000" w:rsidR="00000000" w:rsidRPr="00000000">
        <w:rPr>
          <w:rtl w:val="0"/>
        </w:rPr>
        <w:t xml:space="preserve">ELYSIS can be instituted on a gradual basis. The development is evidenced by the first smelter technology licence of 2024 (ELYSIS, 2024), and the commercial-size cell milestone of 2025 (Rio Tinto, 2025b). However, mass production cannot be profitable even at the scale of a company. Dardor et al. (2025) demonstrate that carbon-negative (or almost zero) aluminium also needs renewable energy and broader process integration. Claims regarding the product claims should thus define differences between emissions as a result of electrolysis process and electrolysis as a result of the processes of mining, alumina refining, transportation and alloying. The offering must be offered as a multi year agreement of price to volume and proven carbon execution. This would provide the customers with consistent information on Scope 3 and assist Rio Tinto in recouping the capital at AP60 and ELYSIS. Product-specific statements should also be communicated in marketing efforts; instead of corporate averages since customers might be using the aluminium as a part of regulated or publicly investigated supply chains. Technical account teams ought to equally assist buyers to redesign cables, elements or design, to ensure that less carbon aluminium provides quantifiable performance and financial advantages.</w:t>
      </w:r>
    </w:p>
    <w:p w:rsidR="00000000" w:rsidDel="00000000" w:rsidP="00000000" w:rsidRDefault="00000000" w:rsidRPr="00000000" w14:paraId="0000005F">
      <w:pPr>
        <w:pStyle w:val="Heading2"/>
        <w:rPr/>
      </w:pPr>
      <w:bookmarkStart w:colFirst="0" w:colLast="0" w:name="_hxyj6lb5689c" w:id="9"/>
      <w:bookmarkEnd w:id="9"/>
      <w:r w:rsidDel="00000000" w:rsidR="00000000" w:rsidRPr="00000000">
        <w:rPr>
          <w:rtl w:val="0"/>
        </w:rPr>
        <w:t xml:space="preserve">2.4 Competitive Advantage</w:t>
      </w:r>
    </w:p>
    <w:p w:rsidR="00000000" w:rsidDel="00000000" w:rsidP="00000000" w:rsidRDefault="00000000" w:rsidRPr="00000000" w14:paraId="00000060">
      <w:pPr>
        <w:rPr/>
      </w:pPr>
      <w:r w:rsidDel="00000000" w:rsidR="00000000" w:rsidRPr="00000000">
        <w:rPr>
          <w:rtl w:val="0"/>
        </w:rPr>
        <w:t xml:space="preserve">The most suitable Porter strategy is focus differentiation. Rio Tinto ought to aim at consumers who appreciate proven emissions reduction, technical cooperation and assured recycling as opposed to competing based on their prices alone. Its strength would lie on five inter-related strengths; Canadian hydropower, commercially harvested AP60 technology, ELYSIS expertise, integrated mining to-metal business and application relations. The features that are unique to individuals can be duplicated, but the entire system would be more hard to duplicate by competitors.</w:t>
      </w:r>
    </w:p>
    <w:p w:rsidR="00000000" w:rsidDel="00000000" w:rsidP="00000000" w:rsidRDefault="00000000" w:rsidRPr="00000000" w14:paraId="00000061">
      <w:pPr>
        <w:jc w:val="center"/>
        <w:rPr>
          <w:b w:val="1"/>
          <w:bCs w:val="1"/>
        </w:rPr>
      </w:pPr>
      <w:r w:rsidDel="00000000" w:rsidR="00000000" w:rsidRPr="00000000">
        <w:rPr>
          <w:b w:val="1"/>
          <w:bCs w:val="1"/>
        </w:rPr>
        <w:drawing>
          <wp:inline distB="114300" distT="114300" distL="114300" distR="114300">
            <wp:extent cx="5734050" cy="2971800"/>
            <wp:effectExtent b="0" l="0" r="0" t="0"/>
            <wp:docPr id="2" name="image2.png"/>
            <a:graphic>
              <a:graphicData uri="http://schemas.openxmlformats.org/drawingml/2006/picture">
                <pic:pic>
                  <pic:nvPicPr>
                    <pic:cNvPr id="0" name="image2.png"/>
                    <pic:cNvPicPr preferRelativeResize="0"/>
                  </pic:nvPicPr>
                  <pic:blipFill>
                    <a:blip r:embed="rId8"/>
                    <a:srcRect b="20621" l="0" r="0" t="10200"/>
                    <a:stretch>
                      <a:fillRect/>
                    </a:stretch>
                  </pic:blipFill>
                  <pic:spPr>
                    <a:xfrm>
                      <a:off x="0" y="0"/>
                      <a:ext cx="573405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jc w:val="center"/>
        <w:rPr>
          <w:b w:val="1"/>
          <w:bCs w:val="1"/>
        </w:rPr>
      </w:pPr>
      <w:r w:rsidDel="00000000" w:rsidR="00000000" w:rsidRPr="00000000">
        <w:rPr>
          <w:b w:val="1"/>
          <w:bCs w:val="1"/>
          <w:rtl w:val="0"/>
        </w:rPr>
        <w:t xml:space="preserve">Figure 2: Competitive Positioning Map</w:t>
      </w:r>
    </w:p>
    <w:p w:rsidR="00000000" w:rsidDel="00000000" w:rsidP="00000000" w:rsidRDefault="00000000" w:rsidRPr="00000000" w14:paraId="00000063">
      <w:pPr>
        <w:jc w:val="center"/>
        <w:rPr/>
      </w:pPr>
      <w:r w:rsidDel="00000000" w:rsidR="00000000" w:rsidRPr="00000000">
        <w:rPr>
          <w:rtl w:val="0"/>
        </w:rPr>
        <w:t xml:space="preserve">(Source: Self-created)</w:t>
      </w:r>
    </w:p>
    <w:p w:rsidR="00000000" w:rsidDel="00000000" w:rsidP="00000000" w:rsidRDefault="00000000" w:rsidRPr="00000000" w14:paraId="00000064">
      <w:pPr>
        <w:rPr/>
      </w:pPr>
      <w:r w:rsidDel="00000000" w:rsidR="00000000" w:rsidRPr="00000000">
        <w:rPr>
          <w:rtl w:val="0"/>
        </w:rPr>
        <w:t xml:space="preserve">The plan should appreciate that cleaner production can be offset with respect to the demand growth (Yi, Lu and He, 2024). Rio Tinto ought to thus use recycled material where suitable technically and declare the emissions intensity and absolute performance. The Annual Report gives a platform to test the hypothesis of whether the growth of lower-carbon operations can generate both operational and financial value as opposed to solely enhancing corporate reputation (Rio Tinto, 2025c).</w:t>
      </w:r>
    </w:p>
    <w:p w:rsidR="00000000" w:rsidDel="00000000" w:rsidP="00000000" w:rsidRDefault="00000000" w:rsidRPr="00000000" w14:paraId="00000065">
      <w:pPr>
        <w:pStyle w:val="Heading2"/>
        <w:rPr/>
      </w:pPr>
      <w:bookmarkStart w:colFirst="0" w:colLast="0" w:name="_v78qechn9dsr" w:id="10"/>
      <w:bookmarkEnd w:id="10"/>
      <w:r w:rsidDel="00000000" w:rsidR="00000000" w:rsidRPr="00000000">
        <w:rPr>
          <w:rtl w:val="0"/>
        </w:rPr>
        <w:t xml:space="preserve">2.5 Implementation, Risk and Control</w:t>
      </w:r>
    </w:p>
    <w:p w:rsidR="00000000" w:rsidDel="00000000" w:rsidP="00000000" w:rsidRDefault="00000000" w:rsidRPr="00000000" w14:paraId="00000066">
      <w:pPr>
        <w:jc w:val="center"/>
        <w:rPr>
          <w:b w:val="1"/>
          <w:bCs w:val="1"/>
        </w:rPr>
      </w:pPr>
      <w:r w:rsidDel="00000000" w:rsidR="00000000" w:rsidRPr="00000000">
        <w:rPr>
          <w:b w:val="1"/>
          <w:bCs w:val="1"/>
        </w:rPr>
        <w:drawing>
          <wp:inline distB="114300" distT="114300" distL="114300" distR="114300">
            <wp:extent cx="5734050" cy="3153547"/>
            <wp:effectExtent b="0" l="0" r="0" t="0"/>
            <wp:docPr id="4" name="image4.png"/>
            <a:graphic>
              <a:graphicData uri="http://schemas.openxmlformats.org/drawingml/2006/picture">
                <pic:pic>
                  <pic:nvPicPr>
                    <pic:cNvPr id="0" name="image4.png"/>
                    <pic:cNvPicPr preferRelativeResize="0"/>
                  </pic:nvPicPr>
                  <pic:blipFill>
                    <a:blip r:embed="rId9"/>
                    <a:srcRect b="0" l="0" r="0" t="7777"/>
                    <a:stretch>
                      <a:fillRect/>
                    </a:stretch>
                  </pic:blipFill>
                  <pic:spPr>
                    <a:xfrm>
                      <a:off x="0" y="0"/>
                      <a:ext cx="5734050" cy="3153547"/>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jc w:val="center"/>
        <w:rPr>
          <w:b w:val="1"/>
          <w:bCs w:val="1"/>
        </w:rPr>
      </w:pPr>
      <w:r w:rsidDel="00000000" w:rsidR="00000000" w:rsidRPr="00000000">
        <w:rPr>
          <w:b w:val="1"/>
          <w:bCs w:val="1"/>
          <w:rtl w:val="0"/>
        </w:rPr>
        <w:t xml:space="preserve">Figure 3: Implementation Roadmap</w:t>
      </w:r>
    </w:p>
    <w:p w:rsidR="00000000" w:rsidDel="00000000" w:rsidP="00000000" w:rsidRDefault="00000000" w:rsidRPr="00000000" w14:paraId="00000068">
      <w:pPr>
        <w:jc w:val="center"/>
        <w:rPr/>
      </w:pPr>
      <w:r w:rsidDel="00000000" w:rsidR="00000000" w:rsidRPr="00000000">
        <w:rPr>
          <w:rtl w:val="0"/>
        </w:rPr>
        <w:t xml:space="preserve">(Source: Self-created)</w:t>
      </w:r>
    </w:p>
    <w:p w:rsidR="00000000" w:rsidDel="00000000" w:rsidP="00000000" w:rsidRDefault="00000000" w:rsidRPr="00000000" w14:paraId="00000069">
      <w:pPr>
        <w:rPr/>
      </w:pPr>
      <w:r w:rsidDel="00000000" w:rsidR="00000000" w:rsidRPr="00000000">
        <w:rPr>
          <w:rtl w:val="0"/>
        </w:rPr>
        <w:t xml:space="preserve">In 2026-2027, Rio Tinto must identify priority customers, product footprint and industrial trials to be made. During the period 2027-2029, it is to scale-up AP60 sales, come up with application specific alloys and enter into long term supply contracts. ELYSIS needs to be deployed in a wider manner basing on tested economics and reliability. Emissions per tonne, confirmed low-carbon sales volume, retention of customers, contribution-margin, AP60 utilisation and ELYSIS milestones are some of the performance indicators. The danger of greenwashing would be managed through independent assurance, product separation and boundaries, and the current technologies, and technologies of the future.</w:t>
      </w:r>
    </w:p>
    <w:p w:rsidR="00000000" w:rsidDel="00000000" w:rsidP="00000000" w:rsidRDefault="00000000" w:rsidRPr="00000000" w14:paraId="0000006A">
      <w:pPr>
        <w:pStyle w:val="Heading2"/>
        <w:rPr/>
      </w:pPr>
      <w:bookmarkStart w:colFirst="0" w:colLast="0" w:name="_ghv67rx9phtd" w:id="11"/>
      <w:bookmarkEnd w:id="11"/>
      <w:r w:rsidDel="00000000" w:rsidR="00000000" w:rsidRPr="00000000">
        <w:rPr>
          <w:rtl w:val="0"/>
        </w:rPr>
        <w:t xml:space="preserve">2.6 Conclusion</w:t>
      </w:r>
    </w:p>
    <w:p w:rsidR="00000000" w:rsidDel="00000000" w:rsidP="00000000" w:rsidRDefault="00000000" w:rsidRPr="00000000" w14:paraId="0000006B">
      <w:pPr>
        <w:rPr/>
      </w:pPr>
      <w:r w:rsidDel="00000000" w:rsidR="00000000" w:rsidRPr="00000000">
        <w:rPr>
          <w:rtl w:val="0"/>
        </w:rPr>
        <w:t xml:space="preserve">The best growth path is through product development, which is facilitated by selective market development and heightened differentiation, which Rio Tinto can employ. Practical foundations are the proposed Indian project AP60, ELYSIS and partnership with Prysmian. Nevertheless, the competitive advantage will be based upon the proven customer results instead of treating the term low carbon as a marketing phrase.</w:t>
      </w:r>
    </w:p>
    <w:p w:rsidR="00000000" w:rsidDel="00000000" w:rsidP="00000000" w:rsidRDefault="00000000" w:rsidRPr="00000000" w14:paraId="0000006C">
      <w:pPr>
        <w:pStyle w:val="Heading1"/>
        <w:rPr/>
      </w:pPr>
      <w:bookmarkStart w:colFirst="0" w:colLast="0" w:name="_5m75pbk9jdlm" w:id="12"/>
      <w:bookmarkEnd w:id="12"/>
      <w:r w:rsidDel="00000000" w:rsidR="00000000" w:rsidRPr="00000000">
        <w:rPr>
          <w:rtl w:val="0"/>
        </w:rPr>
        <w:t xml:space="preserve">Task 3: Critical Reflection on AI Usage</w:t>
      </w:r>
    </w:p>
    <w:p w:rsidR="00000000" w:rsidDel="00000000" w:rsidP="00000000" w:rsidRDefault="00000000" w:rsidRPr="00000000" w14:paraId="0000006D">
      <w:pPr>
        <w:pStyle w:val="Heading2"/>
        <w:rPr/>
      </w:pPr>
      <w:bookmarkStart w:colFirst="0" w:colLast="0" w:name="_l6dgdcp97r15" w:id="13"/>
      <w:bookmarkEnd w:id="13"/>
      <w:r w:rsidDel="00000000" w:rsidR="00000000" w:rsidRPr="00000000">
        <w:rPr>
          <w:rtl w:val="0"/>
        </w:rPr>
        <w:t xml:space="preserve">3.1 Tool Disclosure</w:t>
      </w:r>
    </w:p>
    <w:p w:rsidR="00000000" w:rsidDel="00000000" w:rsidP="00000000" w:rsidRDefault="00000000" w:rsidRPr="00000000" w14:paraId="0000006E">
      <w:pPr>
        <w:rPr/>
      </w:pPr>
      <w:r w:rsidDel="00000000" w:rsidR="00000000" w:rsidRPr="00000000">
        <w:rPr>
          <w:rtl w:val="0"/>
        </w:rPr>
        <w:t xml:space="preserve">ChatGPT was my tool of brainstorming, structuring the report, and finding marketing frameworks and language enhancement. It also allowed me to structure the analysis of the natural and technological environments and examine how the Ansoff Matrix and approach to focus differentiation can be implemented to Rio Tinto. It also indicated viable examples, such as AP60, ELYSIS, the proposed Indian aluminium project and the Prysmian alliance. I however approached AI as an aid, and not as an authoritative source or as something that would should take the place of my judgement.</w:t>
      </w:r>
    </w:p>
    <w:p w:rsidR="00000000" w:rsidDel="00000000" w:rsidP="00000000" w:rsidRDefault="00000000" w:rsidRPr="00000000" w14:paraId="0000006F">
      <w:pPr>
        <w:pStyle w:val="Heading2"/>
        <w:rPr/>
      </w:pPr>
      <w:bookmarkStart w:colFirst="0" w:colLast="0" w:name="_vbkavg2bs074" w:id="14"/>
      <w:bookmarkEnd w:id="14"/>
      <w:r w:rsidDel="00000000" w:rsidR="00000000" w:rsidRPr="00000000">
        <w:rPr>
          <w:rtl w:val="0"/>
        </w:rPr>
        <w:t xml:space="preserve">3.2 Verification and Correction</w:t>
      </w:r>
    </w:p>
    <w:p w:rsidR="00000000" w:rsidDel="00000000" w:rsidP="00000000" w:rsidRDefault="00000000" w:rsidRPr="00000000" w14:paraId="00000070">
      <w:pPr>
        <w:rPr/>
      </w:pPr>
      <w:r w:rsidDel="00000000" w:rsidR="00000000" w:rsidRPr="00000000">
        <w:rPr>
          <w:rtl w:val="0"/>
        </w:rPr>
        <w:t xml:space="preserve">I verified all of the facts related to AI-generated claims by making sure the information was genuine. The Climate Action Plan and Annual Report of Rio Tinto were utilized to confirm the amounts of emissions to be achieved, strategic focus and operation specifications. I went through the company announcements as well to verify the project status, investment values and partner information. There were academic journal articles that were utilized to prove the points on renewable energy, the production of alumina, environmental effects, and the future of the aluminium demand. Through this process, it was revealed that AI has the ability to inflate the maturity of new technologies. An example was ELYSIS which had been able to operate commercial-size cells, which did not imply large-scale commercial production. I thus made amends to the phraseology to delineate technological advancement versus complete commercial implementation. I also verified date statistics, value limit and emission limit. This process was guided by the NIST AI Risk Management Framework, which stipulates that AI risks must be controlled, charted, quantified and handled (NIST, 2023).</w:t>
      </w:r>
    </w:p>
    <w:p w:rsidR="00000000" w:rsidDel="00000000" w:rsidP="00000000" w:rsidRDefault="00000000" w:rsidRPr="00000000" w14:paraId="00000071">
      <w:pPr>
        <w:pStyle w:val="Heading2"/>
        <w:rPr/>
      </w:pPr>
      <w:bookmarkStart w:colFirst="0" w:colLast="0" w:name="_vne8osrrkama" w:id="15"/>
      <w:bookmarkEnd w:id="15"/>
      <w:r w:rsidDel="00000000" w:rsidR="00000000" w:rsidRPr="00000000">
        <w:rPr>
          <w:rtl w:val="0"/>
        </w:rPr>
        <w:t xml:space="preserve">3.3 AI and Original Contribution</w:t>
      </w:r>
    </w:p>
    <w:p w:rsidR="00000000" w:rsidDel="00000000" w:rsidP="00000000" w:rsidRDefault="00000000" w:rsidRPr="00000000" w14:paraId="00000072">
      <w:pPr>
        <w:rPr/>
      </w:pPr>
      <w:r w:rsidDel="00000000" w:rsidR="00000000" w:rsidRPr="00000000">
        <w:rPr>
          <w:rtl w:val="0"/>
        </w:rPr>
        <w:t xml:space="preserve">The AI provided initial headlines, alternative draft and arguments. To my part, I chose Rio Tinto, focusing on the aluminium, assessing both the natural and the technological environments, the product development, and focused differentiation. I also evaluated innocence of AP60, ELYSIS and partnerships of the company. Final and evidence, risks, recommended and concluded wording, and tables were reviewed by hand.</w:t>
      </w:r>
    </w:p>
    <w:p w:rsidR="00000000" w:rsidDel="00000000" w:rsidP="00000000" w:rsidRDefault="00000000" w:rsidRPr="00000000" w14:paraId="00000073">
      <w:pPr>
        <w:pStyle w:val="Heading2"/>
        <w:rPr/>
      </w:pPr>
      <w:bookmarkStart w:colFirst="0" w:colLast="0" w:name="_k98cg0rkze4t" w:id="16"/>
      <w:bookmarkEnd w:id="16"/>
      <w:r w:rsidDel="00000000" w:rsidR="00000000" w:rsidRPr="00000000">
        <w:rPr>
          <w:rtl w:val="0"/>
        </w:rPr>
        <w:t xml:space="preserve">3.4 Ethical and Professional Reflection</w:t>
      </w:r>
    </w:p>
    <w:p w:rsidR="00000000" w:rsidDel="00000000" w:rsidP="00000000" w:rsidRDefault="00000000" w:rsidRPr="00000000" w14:paraId="00000074">
      <w:pPr>
        <w:rPr/>
      </w:pPr>
      <w:r w:rsidDel="00000000" w:rsidR="00000000" w:rsidRPr="00000000">
        <w:rPr>
          <w:rtl w:val="0"/>
        </w:rPr>
        <w:t xml:space="preserve">The type of AI enhanced efficiency, yet threats such as hallucination, bias, undue attribution, and overdependence ensued. I never typed down information in confidence and did not accept references and facts without checking. The importance of these safeguards in marketing practice is that AI can produce compelling albeit hyperbolic claims related to the environment. The responsible use thus involves the credible evidence, product boundaries, proper attribution and human approval. All in all, AI assisted and I had to ensure the report was accurate, quality and ethical.</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br w:type="page"/>
      </w:r>
      <w:r w:rsidDel="00000000" w:rsidR="00000000" w:rsidRPr="00000000">
        <w:rPr>
          <w:rtl w:val="0"/>
        </w:rPr>
      </w:r>
    </w:p>
    <w:p w:rsidR="00000000" w:rsidDel="00000000" w:rsidP="00000000" w:rsidRDefault="00000000" w:rsidRPr="00000000" w14:paraId="00000078">
      <w:pPr>
        <w:pStyle w:val="Heading1"/>
        <w:rPr/>
      </w:pPr>
      <w:bookmarkStart w:colFirst="0" w:colLast="0" w:name="_2a89tgjnwzi" w:id="17"/>
      <w:bookmarkEnd w:id="17"/>
      <w:r w:rsidDel="00000000" w:rsidR="00000000" w:rsidRPr="00000000">
        <w:rPr>
          <w:rtl w:val="0"/>
        </w:rPr>
        <w:t xml:space="preserve">References</w:t>
      </w:r>
    </w:p>
    <w:p w:rsidR="00000000" w:rsidDel="00000000" w:rsidP="00000000" w:rsidRDefault="00000000" w:rsidRPr="00000000" w14:paraId="00000079">
      <w:pPr>
        <w:rPr/>
      </w:pPr>
      <w:r w:rsidDel="00000000" w:rsidR="00000000" w:rsidRPr="00000000">
        <w:rPr>
          <w:color w:val="222222"/>
          <w:highlight w:val="white"/>
          <w:rtl w:val="0"/>
        </w:rPr>
        <w:t xml:space="preserve">Dardor, D., Flórez-Orrego, D., Domingos, M.E.R., Germanier, R., Margni, M. and Maréchal, F., 2025. Towards carbon-negative primary aluminium production: Integrating biomass resources and renewable electricity. </w:t>
      </w:r>
      <w:r w:rsidDel="00000000" w:rsidR="00000000" w:rsidRPr="00000000">
        <w:rPr>
          <w:i w:val="1"/>
          <w:iCs w:val="1"/>
          <w:color w:val="222222"/>
          <w:highlight w:val="white"/>
          <w:rtl w:val="0"/>
        </w:rPr>
        <w:t xml:space="preserve">Journal of Cleaner Production</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534</w:t>
      </w:r>
      <w:r w:rsidDel="00000000" w:rsidR="00000000" w:rsidRPr="00000000">
        <w:rPr>
          <w:color w:val="222222"/>
          <w:highlight w:val="white"/>
          <w:rtl w:val="0"/>
        </w:rPr>
        <w:t xml:space="preserve">, p.146994.</w:t>
      </w:r>
      <w:hyperlink r:id="rId10">
        <w:r w:rsidDel="00000000" w:rsidR="00000000" w:rsidRPr="00000000">
          <w:rPr>
            <w:color w:val="1155cc"/>
            <w:u w:val="single"/>
            <w:rtl w:val="0"/>
          </w:rPr>
          <w:t xml:space="preserve">https://www.sciencedirect.com/science/article/pii/S0959652625023510</w:t>
        </w:r>
      </w:hyperlink>
      <w:r w:rsidDel="00000000" w:rsidR="00000000" w:rsidRPr="00000000">
        <w:rPr>
          <w:rtl w:val="0"/>
        </w:rPr>
        <w:t xml:space="preserve"> </w:t>
      </w:r>
    </w:p>
    <w:p w:rsidR="00000000" w:rsidDel="00000000" w:rsidP="00000000" w:rsidRDefault="00000000" w:rsidRPr="00000000" w14:paraId="0000007A">
      <w:pPr>
        <w:rPr/>
      </w:pPr>
      <w:r w:rsidDel="00000000" w:rsidR="00000000" w:rsidRPr="00000000">
        <w:rPr>
          <w:rtl w:val="0"/>
        </w:rPr>
        <w:t xml:space="preserve">ELYSIS (2024) ‘ELYSIS progresses on the commercialization of its breakthrough technology by issuing its first smelter technology licence’, 28 June. Available at:</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https://elysis.com/en/issuing-first-smelter-technology-licence</w:t>
        </w:r>
      </w:hyperlink>
      <w:r w:rsidDel="00000000" w:rsidR="00000000" w:rsidRPr="00000000">
        <w:rPr>
          <w:rtl w:val="0"/>
        </w:rPr>
        <w:t xml:space="preserve"> (Accessed: 22 July 2026). </w:t>
      </w:r>
    </w:p>
    <w:p w:rsidR="00000000" w:rsidDel="00000000" w:rsidP="00000000" w:rsidRDefault="00000000" w:rsidRPr="00000000" w14:paraId="0000007B">
      <w:pPr>
        <w:rPr/>
      </w:pPr>
      <w:r w:rsidDel="00000000" w:rsidR="00000000" w:rsidRPr="00000000">
        <w:rPr>
          <w:color w:val="222222"/>
          <w:highlight w:val="white"/>
          <w:rtl w:val="0"/>
        </w:rPr>
        <w:t xml:space="preserve">Huang, H., Ata, S., Rougieux, F. and Kay, M., 2024. Decarbonising mining of Australia's critical mineral deposits: Opportunities for sustainable mining through solar photovoltaics and wind energy integration. </w:t>
      </w:r>
      <w:r w:rsidDel="00000000" w:rsidR="00000000" w:rsidRPr="00000000">
        <w:rPr>
          <w:i w:val="1"/>
          <w:iCs w:val="1"/>
          <w:color w:val="222222"/>
          <w:highlight w:val="white"/>
          <w:rtl w:val="0"/>
        </w:rPr>
        <w:t xml:space="preserve">Journal of Cleaner Production</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455</w:t>
      </w:r>
      <w:r w:rsidDel="00000000" w:rsidR="00000000" w:rsidRPr="00000000">
        <w:rPr>
          <w:color w:val="222222"/>
          <w:highlight w:val="white"/>
          <w:rtl w:val="0"/>
        </w:rPr>
        <w:t xml:space="preserve">, p.142300.</w:t>
      </w:r>
      <w:hyperlink r:id="rId13">
        <w:r w:rsidDel="00000000" w:rsidR="00000000" w:rsidRPr="00000000">
          <w:rPr>
            <w:color w:val="1155cc"/>
            <w:u w:val="single"/>
            <w:rtl w:val="0"/>
          </w:rPr>
          <w:t xml:space="preserve">https://www.sciencedirect.com/science/article/pii/S0959652624017487</w:t>
        </w:r>
      </w:hyperlink>
      <w:r w:rsidDel="00000000" w:rsidR="00000000" w:rsidRPr="00000000">
        <w:rPr>
          <w:rtl w:val="0"/>
        </w:rPr>
        <w:t xml:space="preserve"> </w:t>
      </w:r>
    </w:p>
    <w:p w:rsidR="00000000" w:rsidDel="00000000" w:rsidP="00000000" w:rsidRDefault="00000000" w:rsidRPr="00000000" w14:paraId="0000007C">
      <w:pPr>
        <w:rPr/>
      </w:pPr>
      <w:r w:rsidDel="00000000" w:rsidR="00000000" w:rsidRPr="00000000">
        <w:rPr>
          <w:rtl w:val="0"/>
        </w:rPr>
        <w:t xml:space="preserve">International Aluminium Institute (2024) ‘Aluminium sector greenhouse gas emissions’. Available at:</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https://international-aluminium.org/statistics/greenhouse-gas-emissions-aluminium-sector/</w:t>
        </w:r>
      </w:hyperlink>
      <w:r w:rsidDel="00000000" w:rsidR="00000000" w:rsidRPr="00000000">
        <w:rPr>
          <w:rtl w:val="0"/>
        </w:rPr>
        <w:t xml:space="preserve"> (Accessed: 22 July 2026). </w:t>
      </w:r>
    </w:p>
    <w:p w:rsidR="00000000" w:rsidDel="00000000" w:rsidP="00000000" w:rsidRDefault="00000000" w:rsidRPr="00000000" w14:paraId="0000007D">
      <w:pPr>
        <w:rPr/>
      </w:pPr>
      <w:r w:rsidDel="00000000" w:rsidR="00000000" w:rsidRPr="00000000">
        <w:rPr>
          <w:color w:val="222222"/>
          <w:highlight w:val="white"/>
          <w:rtl w:val="0"/>
        </w:rPr>
        <w:t xml:space="preserve">Kotler, P. and Armstrong, G., 2010. </w:t>
      </w:r>
      <w:r w:rsidDel="00000000" w:rsidR="00000000" w:rsidRPr="00000000">
        <w:rPr>
          <w:i w:val="1"/>
          <w:iCs w:val="1"/>
          <w:color w:val="222222"/>
          <w:highlight w:val="white"/>
          <w:rtl w:val="0"/>
        </w:rPr>
        <w:t xml:space="preserve">Principles of marketing</w:t>
      </w:r>
      <w:r w:rsidDel="00000000" w:rsidR="00000000" w:rsidRPr="00000000">
        <w:rPr>
          <w:color w:val="222222"/>
          <w:highlight w:val="white"/>
          <w:rtl w:val="0"/>
        </w:rPr>
        <w:t xml:space="preserve">. Pearson education.</w:t>
      </w:r>
      <w:hyperlink r:id="rId16">
        <w:r w:rsidDel="00000000" w:rsidR="00000000" w:rsidRPr="00000000">
          <w:rPr>
            <w:color w:val="1155cc"/>
            <w:u w:val="single"/>
            <w:rtl w:val="0"/>
          </w:rPr>
          <w:t xml:space="preserve">https://middleeast.pearson.com/content/dam/region-core/middle-east/pearson-middle-east/catalog-files-2025/discipline-based/MARKETING2025.pdf</w:t>
        </w:r>
      </w:hyperlink>
      <w:r w:rsidDel="00000000" w:rsidR="00000000" w:rsidRPr="00000000">
        <w:rPr>
          <w:rtl w:val="0"/>
        </w:rPr>
        <w:t xml:space="preserve"> </w:t>
      </w:r>
    </w:p>
    <w:p w:rsidR="00000000" w:rsidDel="00000000" w:rsidP="00000000" w:rsidRDefault="00000000" w:rsidRPr="00000000" w14:paraId="0000007E">
      <w:pPr>
        <w:rPr/>
      </w:pPr>
      <w:r w:rsidDel="00000000" w:rsidR="00000000" w:rsidRPr="00000000">
        <w:rPr>
          <w:color w:val="222222"/>
          <w:highlight w:val="white"/>
          <w:rtl w:val="0"/>
        </w:rPr>
        <w:t xml:space="preserve">Li, X., Gu, Q., Wang, Q., Luo, J., Liu, D. and Chang, Y., 2024. Renewable energy in the mining industry: Status, opportunities and challenges. </w:t>
      </w:r>
      <w:r w:rsidDel="00000000" w:rsidR="00000000" w:rsidRPr="00000000">
        <w:rPr>
          <w:i w:val="1"/>
          <w:iCs w:val="1"/>
          <w:color w:val="222222"/>
          <w:highlight w:val="white"/>
          <w:rtl w:val="0"/>
        </w:rPr>
        <w:t xml:space="preserve">Energy Strategy Reviews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56</w:t>
      </w:r>
      <w:r w:rsidDel="00000000" w:rsidR="00000000" w:rsidRPr="00000000">
        <w:rPr>
          <w:color w:val="222222"/>
          <w:highlight w:val="white"/>
          <w:rtl w:val="0"/>
        </w:rPr>
        <w:t xml:space="preserve">, p.101597.</w:t>
      </w:r>
      <w:hyperlink r:id="rId17">
        <w:r w:rsidDel="00000000" w:rsidR="00000000" w:rsidRPr="00000000">
          <w:rPr>
            <w:color w:val="1155cc"/>
            <w:u w:val="single"/>
            <w:rtl w:val="0"/>
          </w:rPr>
          <w:t xml:space="preserve">https://www.sciencedirect.com/science/article/pii/S2211467X24003067</w:t>
        </w:r>
      </w:hyperlink>
      <w:r w:rsidDel="00000000" w:rsidR="00000000" w:rsidRPr="00000000">
        <w:rPr>
          <w:rtl w:val="0"/>
        </w:rPr>
        <w:t xml:space="preserve"> </w:t>
      </w:r>
    </w:p>
    <w:p w:rsidR="00000000" w:rsidDel="00000000" w:rsidP="00000000" w:rsidRDefault="00000000" w:rsidRPr="00000000" w14:paraId="0000007F">
      <w:pPr>
        <w:rPr/>
      </w:pPr>
      <w:r w:rsidDel="00000000" w:rsidR="00000000" w:rsidRPr="00000000">
        <w:rPr>
          <w:rtl w:val="0"/>
        </w:rPr>
        <w:t xml:space="preserve">National Institute of Standards and Technology (NIST) (2023) ‘AI Risk Management Framework’. Available at:</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https://www.nist.gov/itl/ai-risk-management-framework</w:t>
        </w:r>
      </w:hyperlink>
      <w:r w:rsidDel="00000000" w:rsidR="00000000" w:rsidRPr="00000000">
        <w:rPr>
          <w:rtl w:val="0"/>
        </w:rPr>
        <w:t xml:space="preserve"> (Accessed: 22 July 2026). </w:t>
      </w:r>
    </w:p>
    <w:p w:rsidR="00000000" w:rsidDel="00000000" w:rsidP="00000000" w:rsidRDefault="00000000" w:rsidRPr="00000000" w14:paraId="00000080">
      <w:pPr>
        <w:rPr/>
      </w:pPr>
      <w:r w:rsidDel="00000000" w:rsidR="00000000" w:rsidRPr="00000000">
        <w:rPr>
          <w:rtl w:val="0"/>
        </w:rPr>
        <w:t xml:space="preserve">Rio Tinto (2025) ‘ELYSIS achieves breakthrough with commercial-size cell: a first in aluminium production using the inert anode technology’, 13 November. Available at:</w:t>
      </w:r>
      <w:hyperlink r:id="rId20">
        <w:r w:rsidDel="00000000" w:rsidR="00000000" w:rsidRPr="00000000">
          <w:rPr>
            <w:rtl w:val="0"/>
          </w:rPr>
          <w:t xml:space="preserve"> </w:t>
        </w:r>
      </w:hyperlink>
      <w:hyperlink r:id="rId21">
        <w:r w:rsidDel="00000000" w:rsidR="00000000" w:rsidRPr="00000000">
          <w:rPr>
            <w:color w:val="1155cc"/>
            <w:u w:val="single"/>
            <w:rtl w:val="0"/>
          </w:rPr>
          <w:t xml:space="preserve">https://www.riotinto.com/en/news/releases/2025/elysis-achieves-breakthrough-with-commercial-size-cell</w:t>
        </w:r>
      </w:hyperlink>
      <w:r w:rsidDel="00000000" w:rsidR="00000000" w:rsidRPr="00000000">
        <w:rPr>
          <w:rtl w:val="0"/>
        </w:rPr>
        <w:t xml:space="preserve"> (Accessed: 22 July 2026). </w:t>
      </w:r>
    </w:p>
    <w:p w:rsidR="00000000" w:rsidDel="00000000" w:rsidP="00000000" w:rsidRDefault="00000000" w:rsidRPr="00000000" w14:paraId="00000081">
      <w:pPr>
        <w:rPr/>
      </w:pPr>
      <w:r w:rsidDel="00000000" w:rsidR="00000000" w:rsidRPr="00000000">
        <w:rPr>
          <w:rtl w:val="0"/>
        </w:rPr>
        <w:t xml:space="preserve">Rio Tinto (2025) ‘Rio Tinto and AMG Metals &amp; Materials to assess low-carbon aluminium project in India’, 17 April. Available at:</w:t>
      </w:r>
      <w:hyperlink r:id="rId22">
        <w:r w:rsidDel="00000000" w:rsidR="00000000" w:rsidRPr="00000000">
          <w:rPr>
            <w:rtl w:val="0"/>
          </w:rPr>
          <w:t xml:space="preserve"> </w:t>
        </w:r>
      </w:hyperlink>
      <w:hyperlink r:id="rId23">
        <w:r w:rsidDel="00000000" w:rsidR="00000000" w:rsidRPr="00000000">
          <w:rPr>
            <w:color w:val="1155cc"/>
            <w:u w:val="single"/>
            <w:rtl w:val="0"/>
          </w:rPr>
          <w:t xml:space="preserve">https://www.riotinto.com/en/news/releases/2025/rio-tinto-and-amg-metals--materials-to-assess-low-carbon-aluminium-project-in-india</w:t>
        </w:r>
      </w:hyperlink>
      <w:r w:rsidDel="00000000" w:rsidR="00000000" w:rsidRPr="00000000">
        <w:rPr>
          <w:rtl w:val="0"/>
        </w:rPr>
        <w:t xml:space="preserve"> (Accessed: 22 July 2026). </w:t>
      </w:r>
    </w:p>
    <w:p w:rsidR="00000000" w:rsidDel="00000000" w:rsidP="00000000" w:rsidRDefault="00000000" w:rsidRPr="00000000" w14:paraId="00000082">
      <w:pPr>
        <w:rPr/>
      </w:pPr>
      <w:r w:rsidDel="00000000" w:rsidR="00000000" w:rsidRPr="00000000">
        <w:rPr>
          <w:rtl w:val="0"/>
        </w:rPr>
        <w:t xml:space="preserve">Rio Tinto (2025) </w:t>
      </w:r>
      <w:r w:rsidDel="00000000" w:rsidR="00000000" w:rsidRPr="00000000">
        <w:rPr>
          <w:i w:val="1"/>
          <w:iCs w:val="1"/>
          <w:rtl w:val="0"/>
        </w:rPr>
        <w:t xml:space="preserve">2025 Climate Action Plan</w:t>
      </w:r>
      <w:r w:rsidDel="00000000" w:rsidR="00000000" w:rsidRPr="00000000">
        <w:rPr>
          <w:rtl w:val="0"/>
        </w:rPr>
        <w:t xml:space="preserve">. Available at:</w:t>
      </w:r>
      <w:hyperlink r:id="rId24">
        <w:r w:rsidDel="00000000" w:rsidR="00000000" w:rsidRPr="00000000">
          <w:rPr>
            <w:rtl w:val="0"/>
          </w:rPr>
          <w:t xml:space="preserve"> </w:t>
        </w:r>
      </w:hyperlink>
      <w:hyperlink r:id="rId25">
        <w:r w:rsidDel="00000000" w:rsidR="00000000" w:rsidRPr="00000000">
          <w:rPr>
            <w:color w:val="1155cc"/>
            <w:u w:val="single"/>
            <w:rtl w:val="0"/>
          </w:rPr>
          <w:t xml:space="preserve">https://www.riotinto.com/-/media/content/documents/invest/reports/climate-change-reports/2025-climate-action-plan.pdf?rev=00e9f51ee9b245f8996e9ea288ba8f06</w:t>
        </w:r>
      </w:hyperlink>
      <w:r w:rsidDel="00000000" w:rsidR="00000000" w:rsidRPr="00000000">
        <w:rPr>
          <w:rtl w:val="0"/>
        </w:rPr>
        <w:t xml:space="preserve"> (Accessed: 22 July 2026). </w:t>
      </w:r>
    </w:p>
    <w:p w:rsidR="00000000" w:rsidDel="00000000" w:rsidP="00000000" w:rsidRDefault="00000000" w:rsidRPr="00000000" w14:paraId="00000083">
      <w:pPr>
        <w:rPr/>
      </w:pPr>
      <w:r w:rsidDel="00000000" w:rsidR="00000000" w:rsidRPr="00000000">
        <w:rPr>
          <w:rtl w:val="0"/>
        </w:rPr>
        <w:t xml:space="preserve">Rio Tinto (2025) </w:t>
      </w:r>
      <w:r w:rsidDel="00000000" w:rsidR="00000000" w:rsidRPr="00000000">
        <w:rPr>
          <w:i w:val="1"/>
          <w:iCs w:val="1"/>
          <w:rtl w:val="0"/>
        </w:rPr>
        <w:t xml:space="preserve">Annual report 2025</w:t>
      </w:r>
      <w:r w:rsidDel="00000000" w:rsidR="00000000" w:rsidRPr="00000000">
        <w:rPr>
          <w:rtl w:val="0"/>
        </w:rPr>
        <w:t xml:space="preserve">. Available at:</w:t>
      </w:r>
      <w:hyperlink r:id="rId26">
        <w:r w:rsidDel="00000000" w:rsidR="00000000" w:rsidRPr="00000000">
          <w:rPr>
            <w:rtl w:val="0"/>
          </w:rPr>
          <w:t xml:space="preserve"> </w:t>
        </w:r>
      </w:hyperlink>
      <w:hyperlink r:id="rId27">
        <w:r w:rsidDel="00000000" w:rsidR="00000000" w:rsidRPr="00000000">
          <w:rPr>
            <w:color w:val="1155cc"/>
            <w:u w:val="single"/>
            <w:rtl w:val="0"/>
          </w:rPr>
          <w:t xml:space="preserve">https://www.riotinto.com/en/invest/reports/annual-report</w:t>
        </w:r>
      </w:hyperlink>
      <w:r w:rsidDel="00000000" w:rsidR="00000000" w:rsidRPr="00000000">
        <w:rPr>
          <w:rtl w:val="0"/>
        </w:rPr>
        <w:t xml:space="preserve"> (Accessed: 22 July 2026). </w:t>
      </w:r>
    </w:p>
    <w:p w:rsidR="00000000" w:rsidDel="00000000" w:rsidP="00000000" w:rsidRDefault="00000000" w:rsidRPr="00000000" w14:paraId="00000084">
      <w:pPr>
        <w:rPr/>
      </w:pPr>
      <w:r w:rsidDel="00000000" w:rsidR="00000000" w:rsidRPr="00000000">
        <w:rPr>
          <w:rtl w:val="0"/>
        </w:rPr>
        <w:t xml:space="preserve">Rio Tinto (2026) ‘Rio Tinto and Prysmian partner to deliver innovative low-carbon aluminium solutions for the data centre market’, 12 March. Available at:</w:t>
      </w:r>
      <w:hyperlink r:id="rId28">
        <w:r w:rsidDel="00000000" w:rsidR="00000000" w:rsidRPr="00000000">
          <w:rPr>
            <w:rtl w:val="0"/>
          </w:rPr>
          <w:t xml:space="preserve"> </w:t>
        </w:r>
      </w:hyperlink>
      <w:hyperlink r:id="rId29">
        <w:r w:rsidDel="00000000" w:rsidR="00000000" w:rsidRPr="00000000">
          <w:rPr>
            <w:color w:val="1155cc"/>
            <w:u w:val="single"/>
            <w:rtl w:val="0"/>
          </w:rPr>
          <w:t xml:space="preserve">https://www.riotinto.com/en/news/releases/2026/rio-tinto-and-prysmian-partner-to-deliver-innovative-low-carbon-aluminium</w:t>
        </w:r>
      </w:hyperlink>
      <w:r w:rsidDel="00000000" w:rsidR="00000000" w:rsidRPr="00000000">
        <w:rPr>
          <w:rtl w:val="0"/>
        </w:rPr>
        <w:t xml:space="preserve"> </w:t>
      </w:r>
    </w:p>
    <w:p w:rsidR="00000000" w:rsidDel="00000000" w:rsidP="00000000" w:rsidRDefault="00000000" w:rsidRPr="00000000" w14:paraId="00000085">
      <w:pPr>
        <w:rPr/>
      </w:pPr>
      <w:r w:rsidDel="00000000" w:rsidR="00000000" w:rsidRPr="00000000">
        <w:rPr>
          <w:rtl w:val="0"/>
        </w:rPr>
        <w:t xml:space="preserve">Rio Tinto (2026) ‘Rio Tinto commissions $1.5 billion AP60 smelter expansion in Quebec’, 29 May. Available at:</w:t>
      </w:r>
      <w:hyperlink r:id="rId30">
        <w:r w:rsidDel="00000000" w:rsidR="00000000" w:rsidRPr="00000000">
          <w:rPr>
            <w:rtl w:val="0"/>
          </w:rPr>
          <w:t xml:space="preserve"> </w:t>
        </w:r>
      </w:hyperlink>
      <w:hyperlink r:id="rId31">
        <w:r w:rsidDel="00000000" w:rsidR="00000000" w:rsidRPr="00000000">
          <w:rPr>
            <w:color w:val="1155cc"/>
            <w:u w:val="single"/>
            <w:rtl w:val="0"/>
          </w:rPr>
          <w:t xml:space="preserve">https://www.riotinto.com/en/news/releases/2026/rio-tinto-commissions-1-5-billion-ap60-smelter-expansion-in-quebec</w:t>
        </w:r>
      </w:hyperlink>
      <w:r w:rsidDel="00000000" w:rsidR="00000000" w:rsidRPr="00000000">
        <w:rPr>
          <w:rtl w:val="0"/>
        </w:rPr>
        <w:t xml:space="preserve"> (Accessed: 22 July 2026). </w:t>
      </w:r>
    </w:p>
    <w:p w:rsidR="00000000" w:rsidDel="00000000" w:rsidP="00000000" w:rsidRDefault="00000000" w:rsidRPr="00000000" w14:paraId="00000086">
      <w:pPr>
        <w:rPr/>
      </w:pPr>
      <w:r w:rsidDel="00000000" w:rsidR="00000000" w:rsidRPr="00000000">
        <w:rPr>
          <w:color w:val="222222"/>
          <w:highlight w:val="white"/>
          <w:rtl w:val="0"/>
        </w:rPr>
        <w:t xml:space="preserve">Sáez-Guinoa, J., García-Franco, E., Llera-Sastresa, E. and Romeo, L.M., 2024. The effects of energy consumption of alumina production in the environmental impacts using life cycle assessment. </w:t>
      </w:r>
      <w:r w:rsidDel="00000000" w:rsidR="00000000" w:rsidRPr="00000000">
        <w:rPr>
          <w:i w:val="1"/>
          <w:iCs w:val="1"/>
          <w:color w:val="222222"/>
          <w:highlight w:val="white"/>
          <w:rtl w:val="0"/>
        </w:rPr>
        <w:t xml:space="preserve">The International Journal of Life Cycle Assessment</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29</w:t>
      </w:r>
      <w:r w:rsidDel="00000000" w:rsidR="00000000" w:rsidRPr="00000000">
        <w:rPr>
          <w:color w:val="222222"/>
          <w:highlight w:val="white"/>
          <w:rtl w:val="0"/>
        </w:rPr>
        <w:t xml:space="preserve">(3), pp.380-393.</w:t>
      </w:r>
      <w:hyperlink r:id="rId32">
        <w:r w:rsidDel="00000000" w:rsidR="00000000" w:rsidRPr="00000000">
          <w:rPr>
            <w:color w:val="1155cc"/>
            <w:u w:val="single"/>
            <w:rtl w:val="0"/>
          </w:rPr>
          <w:t xml:space="preserve">https://link.springer.com/content/pdf/10.1007/s11367-023-02257-8.pdf</w:t>
        </w:r>
      </w:hyperlink>
      <w:r w:rsidDel="00000000" w:rsidR="00000000" w:rsidRPr="00000000">
        <w:rPr>
          <w:rtl w:val="0"/>
        </w:rPr>
        <w:t xml:space="preserve"> </w:t>
      </w:r>
    </w:p>
    <w:p w:rsidR="00000000" w:rsidDel="00000000" w:rsidP="00000000" w:rsidRDefault="00000000" w:rsidRPr="00000000" w14:paraId="00000087">
      <w:pPr>
        <w:rPr/>
      </w:pPr>
      <w:r w:rsidDel="00000000" w:rsidR="00000000" w:rsidRPr="00000000">
        <w:rPr>
          <w:color w:val="222222"/>
          <w:highlight w:val="white"/>
          <w:rtl w:val="0"/>
        </w:rPr>
        <w:t xml:space="preserve">Yi, X., Lu, Y. and He, G., 2024. Aluminum demand and low carbon development scenarios for major countries by 2050. </w:t>
      </w:r>
      <w:r w:rsidDel="00000000" w:rsidR="00000000" w:rsidRPr="00000000">
        <w:rPr>
          <w:i w:val="1"/>
          <w:iCs w:val="1"/>
          <w:color w:val="222222"/>
          <w:highlight w:val="white"/>
          <w:rtl w:val="0"/>
        </w:rPr>
        <w:t xml:space="preserve">Journal of Cleaner Production</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475</w:t>
      </w:r>
      <w:r w:rsidDel="00000000" w:rsidR="00000000" w:rsidRPr="00000000">
        <w:rPr>
          <w:color w:val="222222"/>
          <w:highlight w:val="white"/>
          <w:rtl w:val="0"/>
        </w:rPr>
        <w:t xml:space="preserve">, p.143647.</w:t>
      </w:r>
      <w:hyperlink r:id="rId33">
        <w:r w:rsidDel="00000000" w:rsidR="00000000" w:rsidRPr="00000000">
          <w:rPr>
            <w:color w:val="1155cc"/>
            <w:u w:val="single"/>
            <w:rtl w:val="0"/>
          </w:rPr>
          <w:t xml:space="preserve">https://www.sciencedirect.com/science/article/pii/S0959652624030968</w:t>
        </w:r>
      </w:hyperlink>
      <w:r w:rsidDel="00000000" w:rsidR="00000000" w:rsidRPr="00000000">
        <w:rPr>
          <w:rtl w:val="0"/>
        </w:rPr>
        <w:t xml:space="preserve"> </w:t>
      </w:r>
    </w:p>
    <w:sectPr>
      <w:headerReference r:id="rId34" w:type="first"/>
      <w:footerReference r:id="rId35" w:type="default"/>
      <w:footerReference r:id="rId36"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A">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8">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200"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riotinto.com/en/news/releases/2025/elysis-achieves-breakthrough-with-commercial-size-cell?utm_source=chatgpt.com" TargetMode="External"/><Relationship Id="rId22" Type="http://schemas.openxmlformats.org/officeDocument/2006/relationships/hyperlink" Target="https://www.riotinto.com/en/news/releases/2025/rio-tinto-and-amg-metals--materials-to-assess-low-carbon-aluminium-project-in-india?utm_source=chatgpt.com" TargetMode="External"/><Relationship Id="rId21" Type="http://schemas.openxmlformats.org/officeDocument/2006/relationships/hyperlink" Target="https://www.riotinto.com/en/news/releases/2025/elysis-achieves-breakthrough-with-commercial-size-cell?utm_source=chatgpt.com" TargetMode="External"/><Relationship Id="rId24" Type="http://schemas.openxmlformats.org/officeDocument/2006/relationships/hyperlink" Target="https://www.riotinto.com/-/media/content/documents/invest/reports/climate-change-reports/2025-climate-action-plan.pdf?rev=00e9f51ee9b245f8996e9ea288ba8f06" TargetMode="External"/><Relationship Id="rId23" Type="http://schemas.openxmlformats.org/officeDocument/2006/relationships/hyperlink" Target="https://www.riotinto.com/en/news/releases/2025/rio-tinto-and-amg-metals--materials-to-assess-low-carbon-aluminium-project-in-india?utm_source=chatgpt.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www.riotinto.com/en/invest/reports/annual-report?utm_source=chatgpt.com" TargetMode="External"/><Relationship Id="rId25" Type="http://schemas.openxmlformats.org/officeDocument/2006/relationships/hyperlink" Target="https://www.riotinto.com/-/media/content/documents/invest/reports/climate-change-reports/2025-climate-action-plan.pdf?rev=00e9f51ee9b245f8996e9ea288ba8f06" TargetMode="External"/><Relationship Id="rId28" Type="http://schemas.openxmlformats.org/officeDocument/2006/relationships/hyperlink" Target="https://www.riotinto.com/en/news/releases/2026/rio-tinto-and-prysmian-partner-to-deliver-innovative-low-carbon-aluminium?utm_source=chatgpt.com" TargetMode="External"/><Relationship Id="rId27" Type="http://schemas.openxmlformats.org/officeDocument/2006/relationships/hyperlink" Target="https://www.riotinto.com/en/invest/reports/annual-report?utm_source=chatgpt.com"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riotinto.com/en/news/releases/2026/rio-tinto-and-prysmian-partner-to-deliver-innovative-low-carbon-aluminium?utm_source=chatgpt.com" TargetMode="External"/><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www.riotinto.com/en/news/releases/2026/rio-tinto-commissions-1-5-billion-ap60-smelter-expansion-in-quebec?utm_source=chatgpt.com" TargetMode="External"/><Relationship Id="rId30" Type="http://schemas.openxmlformats.org/officeDocument/2006/relationships/hyperlink" Target="https://www.riotinto.com/en/news/releases/2026/rio-tinto-commissions-1-5-billion-ap60-smelter-expansion-in-quebec?utm_source=chatgpt.com" TargetMode="External"/><Relationship Id="rId11" Type="http://schemas.openxmlformats.org/officeDocument/2006/relationships/hyperlink" Target="https://elysis.com/en/issuing-first-smelter-technology-licence?utm_source=chatgpt.com" TargetMode="External"/><Relationship Id="rId33" Type="http://schemas.openxmlformats.org/officeDocument/2006/relationships/hyperlink" Target="https://www.sciencedirect.com/science/article/pii/S0959652624030968" TargetMode="External"/><Relationship Id="rId10" Type="http://schemas.openxmlformats.org/officeDocument/2006/relationships/hyperlink" Target="https://www.sciencedirect.com/science/article/pii/S0959652625023510" TargetMode="External"/><Relationship Id="rId32" Type="http://schemas.openxmlformats.org/officeDocument/2006/relationships/hyperlink" Target="https://link.springer.com/content/pdf/10.1007/s11367-023-02257-8.pdf" TargetMode="External"/><Relationship Id="rId13" Type="http://schemas.openxmlformats.org/officeDocument/2006/relationships/hyperlink" Target="https://www.sciencedirect.com/science/article/pii/S0959652624017487" TargetMode="External"/><Relationship Id="rId35" Type="http://schemas.openxmlformats.org/officeDocument/2006/relationships/footer" Target="footer1.xml"/><Relationship Id="rId12" Type="http://schemas.openxmlformats.org/officeDocument/2006/relationships/hyperlink" Target="https://elysis.com/en/issuing-first-smelter-technology-licence?utm_source=chatgpt.com" TargetMode="External"/><Relationship Id="rId34" Type="http://schemas.openxmlformats.org/officeDocument/2006/relationships/header" Target="header1.xml"/><Relationship Id="rId15" Type="http://schemas.openxmlformats.org/officeDocument/2006/relationships/hyperlink" Target="https://international-aluminium.org/statistics/greenhouse-gas-emissions-aluminium-sector/?utm_source=chatgpt.com" TargetMode="External"/><Relationship Id="rId14" Type="http://schemas.openxmlformats.org/officeDocument/2006/relationships/hyperlink" Target="https://international-aluminium.org/statistics/greenhouse-gas-emissions-aluminium-sector/?utm_source=chatgpt.com" TargetMode="External"/><Relationship Id="rId36" Type="http://schemas.openxmlformats.org/officeDocument/2006/relationships/footer" Target="footer2.xml"/><Relationship Id="rId17" Type="http://schemas.openxmlformats.org/officeDocument/2006/relationships/hyperlink" Target="https://www.sciencedirect.com/science/article/pii/S2211467X24003067" TargetMode="External"/><Relationship Id="rId16" Type="http://schemas.openxmlformats.org/officeDocument/2006/relationships/hyperlink" Target="https://middleeast.pearson.com/content/dam/region-core/middle-east/pearson-middle-east/catalog-files-2025/discipline-based/MARKETING2025.pdf" TargetMode="External"/><Relationship Id="rId19" Type="http://schemas.openxmlformats.org/officeDocument/2006/relationships/hyperlink" Target="https://www.nist.gov/itl/ai-risk-management-framework?utm_source=chatgpt.com" TargetMode="External"/><Relationship Id="rId18" Type="http://schemas.openxmlformats.org/officeDocument/2006/relationships/hyperlink" Target="https://www.nist.gov/itl/ai-risk-management-framewor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