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3C9B9" w14:textId="77777777" w:rsidR="00845526" w:rsidRPr="00845526" w:rsidRDefault="00845526" w:rsidP="00845526">
      <w:pPr>
        <w:spacing w:line="360" w:lineRule="auto"/>
        <w:rPr>
          <w:rFonts w:ascii="Arial" w:hAnsi="Arial" w:cs="Arial"/>
          <w:b/>
          <w:bCs/>
          <w:sz w:val="24"/>
          <w:szCs w:val="24"/>
        </w:rPr>
      </w:pPr>
    </w:p>
    <w:p w14:paraId="781E9D23" w14:textId="77777777" w:rsidR="00845526" w:rsidRPr="00845526" w:rsidRDefault="00845526" w:rsidP="00845526">
      <w:pPr>
        <w:spacing w:line="360" w:lineRule="auto"/>
        <w:rPr>
          <w:rFonts w:ascii="Arial" w:hAnsi="Arial" w:cs="Arial"/>
          <w:b/>
          <w:bCs/>
          <w:sz w:val="24"/>
          <w:szCs w:val="24"/>
        </w:rPr>
      </w:pPr>
    </w:p>
    <w:p w14:paraId="497F4D3D" w14:textId="77777777" w:rsidR="00845526" w:rsidRPr="00845526" w:rsidRDefault="00845526" w:rsidP="00845526">
      <w:pPr>
        <w:spacing w:line="360" w:lineRule="auto"/>
        <w:rPr>
          <w:rFonts w:ascii="Arial" w:hAnsi="Arial" w:cs="Arial"/>
          <w:b/>
          <w:bCs/>
          <w:sz w:val="24"/>
          <w:szCs w:val="24"/>
        </w:rPr>
      </w:pPr>
    </w:p>
    <w:p w14:paraId="33C2EB03" w14:textId="77777777" w:rsidR="00845526" w:rsidRPr="00845526" w:rsidRDefault="00845526" w:rsidP="00845526">
      <w:pPr>
        <w:spacing w:line="360" w:lineRule="auto"/>
        <w:rPr>
          <w:rFonts w:ascii="Arial" w:hAnsi="Arial" w:cs="Arial"/>
          <w:b/>
          <w:bCs/>
          <w:sz w:val="24"/>
          <w:szCs w:val="24"/>
        </w:rPr>
      </w:pPr>
    </w:p>
    <w:p w14:paraId="57BEA15D" w14:textId="77777777" w:rsidR="00845526" w:rsidRPr="00845526" w:rsidRDefault="00845526" w:rsidP="00845526">
      <w:pPr>
        <w:spacing w:line="360" w:lineRule="auto"/>
        <w:rPr>
          <w:rFonts w:ascii="Arial" w:hAnsi="Arial" w:cs="Arial"/>
          <w:sz w:val="24"/>
          <w:szCs w:val="24"/>
        </w:rPr>
      </w:pPr>
    </w:p>
    <w:p w14:paraId="47414D5E" w14:textId="6561A547" w:rsidR="00845526" w:rsidRPr="00845526" w:rsidRDefault="00881FBD" w:rsidP="00845526">
      <w:pPr>
        <w:spacing w:line="360" w:lineRule="auto"/>
        <w:rPr>
          <w:rFonts w:ascii="Arial" w:hAnsi="Arial" w:cs="Arial"/>
          <w:b/>
          <w:bCs/>
          <w:sz w:val="24"/>
          <w:szCs w:val="24"/>
        </w:rPr>
      </w:pPr>
      <w:r w:rsidRPr="00804325">
        <w:rPr>
          <w:rFonts w:ascii="Arial" w:hAnsi="Arial" w:cs="Arial"/>
          <w:b/>
          <w:bCs/>
          <w:sz w:val="24"/>
          <w:szCs w:val="24"/>
        </w:rPr>
        <w:t>The Magistracy</w:t>
      </w:r>
    </w:p>
    <w:p w14:paraId="2F0AA971" w14:textId="77777777" w:rsidR="00804325" w:rsidRPr="00804325" w:rsidRDefault="00804325" w:rsidP="00804325">
      <w:pPr>
        <w:spacing w:after="160" w:line="259" w:lineRule="auto"/>
        <w:jc w:val="left"/>
        <w:rPr>
          <w:rFonts w:ascii="Arial" w:hAnsi="Arial" w:cs="Arial"/>
          <w:b/>
          <w:bCs/>
          <w:kern w:val="0"/>
          <w:sz w:val="24"/>
          <w:szCs w:val="24"/>
          <w:lang w:val="en-GB"/>
          <w14:ligatures w14:val="none"/>
        </w:rPr>
      </w:pPr>
    </w:p>
    <w:p w14:paraId="471329D8" w14:textId="77777777" w:rsidR="00804325" w:rsidRPr="00804325" w:rsidRDefault="00804325" w:rsidP="00804325">
      <w:pPr>
        <w:spacing w:after="160" w:line="259" w:lineRule="auto"/>
        <w:jc w:val="left"/>
        <w:rPr>
          <w:rFonts w:ascii="Arial" w:hAnsi="Arial" w:cs="Arial"/>
          <w:b/>
          <w:bCs/>
          <w:kern w:val="0"/>
          <w:sz w:val="24"/>
          <w:szCs w:val="24"/>
          <w:lang w:val="en-GB"/>
          <w14:ligatures w14:val="none"/>
        </w:rPr>
      </w:pPr>
    </w:p>
    <w:p w14:paraId="45391C7C" w14:textId="77777777" w:rsidR="00804325" w:rsidRPr="00804325" w:rsidRDefault="00804325" w:rsidP="00804325">
      <w:pPr>
        <w:spacing w:after="160" w:line="259" w:lineRule="auto"/>
        <w:jc w:val="left"/>
        <w:rPr>
          <w:rFonts w:ascii="Arial" w:hAnsi="Arial" w:cs="Arial"/>
          <w:b/>
          <w:bCs/>
          <w:kern w:val="0"/>
          <w:sz w:val="24"/>
          <w:szCs w:val="24"/>
          <w:lang w:val="en-GB"/>
          <w14:ligatures w14:val="none"/>
        </w:rPr>
      </w:pPr>
    </w:p>
    <w:p w14:paraId="3B0692CB" w14:textId="77777777" w:rsidR="00804325" w:rsidRPr="00804325" w:rsidRDefault="00804325" w:rsidP="00804325">
      <w:pPr>
        <w:spacing w:after="160" w:line="259" w:lineRule="auto"/>
        <w:jc w:val="left"/>
        <w:rPr>
          <w:rFonts w:ascii="Arial" w:hAnsi="Arial" w:cs="Arial"/>
          <w:b/>
          <w:bCs/>
          <w:kern w:val="0"/>
          <w:sz w:val="24"/>
          <w:szCs w:val="24"/>
          <w:lang w:val="en-GB"/>
          <w14:ligatures w14:val="none"/>
        </w:rPr>
      </w:pPr>
      <w:r w:rsidRPr="00804325">
        <w:rPr>
          <w:rFonts w:ascii="Arial" w:hAnsi="Arial" w:cs="Arial"/>
          <w:b/>
          <w:bCs/>
          <w:kern w:val="0"/>
          <w:sz w:val="24"/>
          <w:szCs w:val="24"/>
          <w:lang w:val="en-GB"/>
          <w14:ligatures w14:val="none"/>
        </w:rPr>
        <w:t>Student name:</w:t>
      </w:r>
      <w:r w:rsidRPr="00804325">
        <w:rPr>
          <w:rFonts w:ascii="Arial" w:hAnsi="Arial" w:cs="Arial"/>
          <w:b/>
          <w:bCs/>
          <w:kern w:val="0"/>
          <w:sz w:val="24"/>
          <w:szCs w:val="24"/>
          <w:lang w:val="en-GB"/>
          <w14:ligatures w14:val="none"/>
        </w:rPr>
        <w:tab/>
      </w:r>
      <w:r w:rsidRPr="00804325">
        <w:rPr>
          <w:rFonts w:ascii="Arial" w:hAnsi="Arial" w:cs="Arial"/>
          <w:b/>
          <w:bCs/>
          <w:kern w:val="0"/>
          <w:sz w:val="24"/>
          <w:szCs w:val="24"/>
          <w:lang w:val="en-GB"/>
          <w14:ligatures w14:val="none"/>
        </w:rPr>
        <w:tab/>
        <w:t>Vasile Marian Dinu</w:t>
      </w:r>
    </w:p>
    <w:p w14:paraId="063A561C" w14:textId="77777777" w:rsidR="00804325" w:rsidRPr="00804325" w:rsidRDefault="00804325" w:rsidP="00804325">
      <w:pPr>
        <w:spacing w:after="160" w:line="259" w:lineRule="auto"/>
        <w:jc w:val="left"/>
        <w:rPr>
          <w:rFonts w:ascii="Arial" w:hAnsi="Arial" w:cs="Arial"/>
          <w:b/>
          <w:bCs/>
          <w:kern w:val="0"/>
          <w:sz w:val="24"/>
          <w:szCs w:val="24"/>
          <w:lang w:val="en-GB"/>
          <w14:ligatures w14:val="none"/>
        </w:rPr>
      </w:pPr>
      <w:r w:rsidRPr="00804325">
        <w:rPr>
          <w:rFonts w:ascii="Arial" w:hAnsi="Arial" w:cs="Arial"/>
          <w:b/>
          <w:bCs/>
          <w:kern w:val="0"/>
          <w:sz w:val="24"/>
          <w:szCs w:val="24"/>
          <w:lang w:val="en-GB"/>
          <w14:ligatures w14:val="none"/>
        </w:rPr>
        <w:t>Student number:</w:t>
      </w:r>
      <w:r w:rsidRPr="00804325">
        <w:rPr>
          <w:rFonts w:ascii="Arial" w:hAnsi="Arial" w:cs="Arial"/>
          <w:b/>
          <w:bCs/>
          <w:kern w:val="0"/>
          <w:sz w:val="24"/>
          <w:szCs w:val="24"/>
          <w:lang w:val="en-GB"/>
          <w14:ligatures w14:val="none"/>
        </w:rPr>
        <w:tab/>
      </w:r>
      <w:r w:rsidRPr="00804325">
        <w:rPr>
          <w:rFonts w:ascii="Arial" w:hAnsi="Arial" w:cs="Arial"/>
          <w:b/>
          <w:bCs/>
          <w:kern w:val="0"/>
          <w:sz w:val="24"/>
          <w:szCs w:val="24"/>
          <w:lang w:val="en-GB"/>
          <w14:ligatures w14:val="none"/>
        </w:rPr>
        <w:tab/>
        <w:t>2209834</w:t>
      </w:r>
    </w:p>
    <w:p w14:paraId="070613EB" w14:textId="77777777" w:rsidR="00804325" w:rsidRPr="00804325" w:rsidRDefault="00804325" w:rsidP="00804325">
      <w:pPr>
        <w:spacing w:after="160" w:line="259" w:lineRule="auto"/>
        <w:jc w:val="left"/>
        <w:rPr>
          <w:rFonts w:ascii="Arial" w:hAnsi="Arial" w:cs="Arial"/>
          <w:b/>
          <w:bCs/>
          <w:kern w:val="0"/>
          <w:sz w:val="24"/>
          <w:szCs w:val="24"/>
          <w:lang w:val="en-GB"/>
          <w14:ligatures w14:val="none"/>
        </w:rPr>
      </w:pPr>
      <w:r w:rsidRPr="00804325">
        <w:rPr>
          <w:rFonts w:ascii="Arial" w:hAnsi="Arial" w:cs="Arial"/>
          <w:b/>
          <w:bCs/>
          <w:kern w:val="0"/>
          <w:sz w:val="24"/>
          <w:szCs w:val="24"/>
          <w:lang w:val="en-GB"/>
          <w14:ligatures w14:val="none"/>
        </w:rPr>
        <w:t>Module name:</w:t>
      </w:r>
      <w:r w:rsidRPr="00804325">
        <w:rPr>
          <w:rFonts w:ascii="Arial" w:hAnsi="Arial" w:cs="Arial"/>
          <w:b/>
          <w:bCs/>
          <w:kern w:val="0"/>
          <w:sz w:val="24"/>
          <w:szCs w:val="24"/>
          <w:lang w:val="en-GB"/>
          <w14:ligatures w14:val="none"/>
        </w:rPr>
        <w:tab/>
      </w:r>
      <w:r w:rsidRPr="00804325">
        <w:rPr>
          <w:rFonts w:ascii="Arial" w:hAnsi="Arial" w:cs="Arial"/>
          <w:b/>
          <w:bCs/>
          <w:kern w:val="0"/>
          <w:sz w:val="24"/>
          <w:szCs w:val="24"/>
          <w:lang w:val="en-GB"/>
          <w14:ligatures w14:val="none"/>
        </w:rPr>
        <w:tab/>
        <w:t>Legal Process</w:t>
      </w:r>
    </w:p>
    <w:p w14:paraId="0F36C423" w14:textId="77777777" w:rsidR="00804325" w:rsidRPr="00804325" w:rsidRDefault="00804325" w:rsidP="00804325">
      <w:pPr>
        <w:spacing w:after="160" w:line="259" w:lineRule="auto"/>
        <w:jc w:val="left"/>
        <w:rPr>
          <w:rFonts w:ascii="Arial" w:hAnsi="Arial" w:cs="Arial"/>
          <w:b/>
          <w:bCs/>
          <w:kern w:val="0"/>
          <w:sz w:val="24"/>
          <w:szCs w:val="24"/>
          <w:lang w:val="en-GB"/>
          <w14:ligatures w14:val="none"/>
        </w:rPr>
      </w:pPr>
      <w:r w:rsidRPr="00804325">
        <w:rPr>
          <w:rFonts w:ascii="Arial" w:hAnsi="Arial" w:cs="Arial"/>
          <w:b/>
          <w:bCs/>
          <w:kern w:val="0"/>
          <w:sz w:val="24"/>
          <w:szCs w:val="24"/>
          <w:lang w:val="en-GB"/>
          <w14:ligatures w14:val="none"/>
        </w:rPr>
        <w:t xml:space="preserve">Module code: </w:t>
      </w:r>
      <w:r w:rsidRPr="00804325">
        <w:rPr>
          <w:rFonts w:ascii="Arial" w:hAnsi="Arial" w:cs="Arial"/>
          <w:b/>
          <w:bCs/>
          <w:kern w:val="0"/>
          <w:sz w:val="24"/>
          <w:szCs w:val="24"/>
          <w:lang w:val="en-GB"/>
          <w14:ligatures w14:val="none"/>
        </w:rPr>
        <w:tab/>
      </w:r>
      <w:r w:rsidRPr="00804325">
        <w:rPr>
          <w:rFonts w:ascii="Arial" w:hAnsi="Arial" w:cs="Arial"/>
          <w:b/>
          <w:bCs/>
          <w:kern w:val="0"/>
          <w:sz w:val="24"/>
          <w:szCs w:val="24"/>
          <w:lang w:val="en-GB"/>
          <w14:ligatures w14:val="none"/>
        </w:rPr>
        <w:tab/>
        <w:t>BMPL4011</w:t>
      </w:r>
    </w:p>
    <w:p w14:paraId="430F3B2C" w14:textId="77777777" w:rsidR="00804325" w:rsidRPr="00804325" w:rsidRDefault="00804325" w:rsidP="00804325">
      <w:pPr>
        <w:spacing w:after="160" w:line="259" w:lineRule="auto"/>
        <w:jc w:val="left"/>
        <w:rPr>
          <w:rFonts w:ascii="Arial" w:hAnsi="Arial" w:cs="Arial"/>
          <w:b/>
          <w:bCs/>
          <w:kern w:val="0"/>
          <w:sz w:val="24"/>
          <w:szCs w:val="24"/>
          <w:lang w:val="en-GB"/>
          <w14:ligatures w14:val="none"/>
        </w:rPr>
      </w:pPr>
      <w:r w:rsidRPr="00804325">
        <w:rPr>
          <w:rFonts w:ascii="Arial" w:hAnsi="Arial" w:cs="Arial"/>
          <w:b/>
          <w:bCs/>
          <w:kern w:val="0"/>
          <w:sz w:val="24"/>
          <w:szCs w:val="24"/>
          <w:lang w:val="en-GB"/>
          <w14:ligatures w14:val="none"/>
        </w:rPr>
        <w:t xml:space="preserve">Lecturer: </w:t>
      </w:r>
      <w:r w:rsidRPr="00804325">
        <w:rPr>
          <w:rFonts w:ascii="Arial" w:hAnsi="Arial" w:cs="Arial"/>
          <w:b/>
          <w:bCs/>
          <w:kern w:val="0"/>
          <w:sz w:val="24"/>
          <w:szCs w:val="24"/>
          <w:lang w:val="en-GB"/>
          <w14:ligatures w14:val="none"/>
        </w:rPr>
        <w:tab/>
      </w:r>
      <w:r w:rsidRPr="00804325">
        <w:rPr>
          <w:rFonts w:ascii="Arial" w:hAnsi="Arial" w:cs="Arial"/>
          <w:b/>
          <w:bCs/>
          <w:kern w:val="0"/>
          <w:sz w:val="24"/>
          <w:szCs w:val="24"/>
          <w:lang w:val="en-GB"/>
          <w14:ligatures w14:val="none"/>
        </w:rPr>
        <w:tab/>
      </w:r>
      <w:r w:rsidRPr="00804325">
        <w:rPr>
          <w:rFonts w:ascii="Arial" w:hAnsi="Arial" w:cs="Arial"/>
          <w:b/>
          <w:bCs/>
          <w:kern w:val="0"/>
          <w:sz w:val="24"/>
          <w:szCs w:val="24"/>
          <w:lang w:val="en-GB"/>
          <w14:ligatures w14:val="none"/>
        </w:rPr>
        <w:tab/>
        <w:t>James Drew</w:t>
      </w:r>
    </w:p>
    <w:p w14:paraId="689A2E7B" w14:textId="77777777" w:rsidR="00845526" w:rsidRPr="00845526" w:rsidRDefault="00845526" w:rsidP="00845526">
      <w:pPr>
        <w:spacing w:line="360" w:lineRule="auto"/>
        <w:rPr>
          <w:rFonts w:ascii="Arial" w:hAnsi="Arial" w:cs="Arial"/>
          <w:b/>
          <w:bCs/>
          <w:sz w:val="24"/>
          <w:szCs w:val="24"/>
        </w:rPr>
      </w:pPr>
    </w:p>
    <w:p w14:paraId="6BF253DA" w14:textId="52D5D81F" w:rsidR="00881FBD" w:rsidRDefault="00881FBD">
      <w:pPr>
        <w:spacing w:after="160" w:line="259" w:lineRule="auto"/>
        <w:jc w:val="left"/>
        <w:rPr>
          <w:rFonts w:ascii="Arial" w:hAnsi="Arial" w:cs="Arial"/>
          <w:b/>
          <w:bCs/>
          <w:sz w:val="24"/>
          <w:szCs w:val="24"/>
        </w:rPr>
      </w:pPr>
      <w:r>
        <w:rPr>
          <w:rFonts w:ascii="Arial" w:hAnsi="Arial" w:cs="Arial"/>
          <w:b/>
          <w:bCs/>
          <w:sz w:val="24"/>
          <w:szCs w:val="24"/>
        </w:rPr>
        <w:br w:type="page"/>
      </w:r>
    </w:p>
    <w:p w14:paraId="70D1057C" w14:textId="77777777" w:rsidR="00845526" w:rsidRPr="00845526" w:rsidRDefault="00845526" w:rsidP="00845526">
      <w:pPr>
        <w:spacing w:line="360" w:lineRule="auto"/>
        <w:rPr>
          <w:rFonts w:ascii="Arial" w:hAnsi="Arial" w:cs="Arial"/>
          <w:b/>
          <w:bCs/>
          <w:sz w:val="24"/>
          <w:szCs w:val="24"/>
        </w:rPr>
      </w:pPr>
    </w:p>
    <w:p w14:paraId="4A87D4CC" w14:textId="77777777" w:rsidR="00845526" w:rsidRPr="00845526" w:rsidRDefault="00845526" w:rsidP="00845526">
      <w:pPr>
        <w:spacing w:line="360" w:lineRule="auto"/>
        <w:rPr>
          <w:rFonts w:ascii="Arial" w:hAnsi="Arial" w:cs="Arial"/>
          <w:b/>
          <w:bCs/>
          <w:sz w:val="24"/>
          <w:szCs w:val="24"/>
        </w:rPr>
      </w:pPr>
    </w:p>
    <w:p w14:paraId="61B82954" w14:textId="625FFEC5" w:rsidR="00845526" w:rsidRPr="00845526" w:rsidRDefault="00845526" w:rsidP="00845526">
      <w:pPr>
        <w:spacing w:line="360" w:lineRule="auto"/>
        <w:rPr>
          <w:rFonts w:ascii="Arial" w:hAnsi="Arial" w:cs="Arial"/>
          <w:sz w:val="24"/>
          <w:szCs w:val="24"/>
        </w:rPr>
      </w:pPr>
      <w:r w:rsidRPr="00845526">
        <w:rPr>
          <w:rFonts w:ascii="Arial" w:hAnsi="Arial" w:cs="Arial"/>
          <w:sz w:val="24"/>
          <w:szCs w:val="24"/>
        </w:rPr>
        <w:t>A magistrate is an official of the court who presides over lower-level criminal and civil proceedings. In the United Kingdom, magistrates, often called Justices of the Peace (JPs), are essential in delivering local justice. According to the Ministry of Justice (2023), over 12,000 volunteer magistrates in England and Wales comprise a significant portion of the court system. Magistrates hear criminal and civil cases and may be appointed as early as 18, retiring at 75 (Courts and Tribunals Judiciary, n.d.). Magistrates have several roles in the criminal justice system, including making guilt or innocence determinations, issuing warrants, granting bail, and handing down sentences. In addition, they handle disputes involving domestic relations, such as those involving child custody and adoption (Courts and Tribunals Judiciary, n.d.). While magistrates are admired for their in-depth local knowledge, cost-effectiveness, and accessibility, some disadvantages include a lack of legal expertise, the potential for bias, and the impact of court closures on their ability to dispense justice effectively.</w:t>
      </w:r>
    </w:p>
    <w:p w14:paraId="50EF8DF0" w14:textId="77777777" w:rsidR="007D1675" w:rsidRPr="007D1675" w:rsidRDefault="007D1675" w:rsidP="007D1675">
      <w:pPr>
        <w:spacing w:line="360" w:lineRule="auto"/>
        <w:rPr>
          <w:rFonts w:ascii="Arial" w:hAnsi="Arial" w:cs="Arial"/>
          <w:sz w:val="24"/>
          <w:szCs w:val="24"/>
        </w:rPr>
      </w:pPr>
      <w:r w:rsidRPr="007D1675">
        <w:rPr>
          <w:rFonts w:ascii="Arial" w:hAnsi="Arial" w:cs="Arial"/>
          <w:sz w:val="24"/>
          <w:szCs w:val="24"/>
        </w:rPr>
        <w:t>There are numerous benefits to including magistrates in the legal system. Their extensive familiarity with the local environment, customs, and people enables them to bring a new perspective to the legal system, which is one of the primary benefits (Courts and Tribunals Judiciary, n.d.). By providing a layperson's perspective representing public opinion, magistrates can help maintain the impartiality of the court system. A more diverse bench could also increase public faith in the judicial system. By selecting justices from diverse demographics and life experiences, the communities they serve are more accurately represented. This, in turn, may increase public confidence in the impartiality and dependability of the judicial system. In situations involving local concerns, a magistrate's familiarity with local customs and conventions may be of great assistance. Thus, magistrates who are well-versed in local customs and norms can render more informed decisions. It is crucial to have a diverse bench of magistrates to ensure that the court system is equitable, just, and representative of the communities it serves.</w:t>
      </w:r>
    </w:p>
    <w:p w14:paraId="112506CF" w14:textId="77777777" w:rsidR="007D1675" w:rsidRPr="007D1675" w:rsidRDefault="007D1675" w:rsidP="007D1675">
      <w:pPr>
        <w:spacing w:line="360" w:lineRule="auto"/>
        <w:rPr>
          <w:rFonts w:ascii="Arial" w:hAnsi="Arial" w:cs="Arial"/>
          <w:sz w:val="24"/>
          <w:szCs w:val="24"/>
        </w:rPr>
      </w:pPr>
      <w:r w:rsidRPr="007D1675">
        <w:rPr>
          <w:rFonts w:ascii="Arial" w:hAnsi="Arial" w:cs="Arial"/>
          <w:sz w:val="24"/>
          <w:szCs w:val="24"/>
        </w:rPr>
        <w:t xml:space="preserve">In addition, volunteer magistrates are cost-effective for the court system because they provide essential services without compensation. Due to the tremendous cost of maintaining a just and functional legal system, this efficiency is crucial. The willingness of </w:t>
      </w:r>
      <w:r w:rsidRPr="007D1675">
        <w:rPr>
          <w:rFonts w:ascii="Arial" w:hAnsi="Arial" w:cs="Arial"/>
          <w:sz w:val="24"/>
          <w:szCs w:val="24"/>
        </w:rPr>
        <w:lastRenderedPageBreak/>
        <w:t>magistrates to serve without compensation demonstrates a sense of civic duty that fosters public faith in and respect for the judicial system (Gayle, 2022). Consequently, there is optimism that their altruistic actions will increase confidence in the legal system and encourage others to become involved. In addition, their generous contribution frees up funds that can be allocated to other crucial areas, such as expanding access to legal aid or developing cutting-edge information technology, thereby enhancing the administration of justice.</w:t>
      </w:r>
    </w:p>
    <w:p w14:paraId="1005BC0F" w14:textId="77777777" w:rsidR="00845526" w:rsidRPr="00845526" w:rsidRDefault="00845526" w:rsidP="00845526">
      <w:pPr>
        <w:spacing w:line="360" w:lineRule="auto"/>
        <w:rPr>
          <w:rFonts w:ascii="Arial" w:hAnsi="Arial" w:cs="Arial"/>
          <w:sz w:val="24"/>
          <w:szCs w:val="24"/>
        </w:rPr>
      </w:pPr>
      <w:r w:rsidRPr="00845526">
        <w:rPr>
          <w:rFonts w:ascii="Arial" w:hAnsi="Arial" w:cs="Arial"/>
          <w:sz w:val="24"/>
          <w:szCs w:val="24"/>
        </w:rPr>
        <w:t xml:space="preserve">Magistrates' accessibility is a further advantage that helps ensure that people seeking justice have easy access. Because they are often selected from within the local populace, magistrates deeply understand their jurisdiction's values, beliefs, and customs. In addition, they are more accessible to those in need of justice because of their standing in the community. To further increase their accessibility, magistrate courts are placed in many areas of a region. Therefore, those needing judicial protection should avoid unnecessary hassles like long commutes or waiting periods to hear their cases. Those with fewer means or more constrained mobility benefit greatly from this decentralized approach to justice. </w:t>
      </w:r>
    </w:p>
    <w:p w14:paraId="470C4777" w14:textId="77777777" w:rsidR="00845526" w:rsidRPr="00845526" w:rsidRDefault="00845526" w:rsidP="00845526">
      <w:pPr>
        <w:spacing w:line="360" w:lineRule="auto"/>
        <w:rPr>
          <w:rFonts w:ascii="Arial" w:hAnsi="Arial" w:cs="Arial"/>
          <w:sz w:val="24"/>
          <w:szCs w:val="24"/>
        </w:rPr>
      </w:pPr>
      <w:r w:rsidRPr="00845526">
        <w:rPr>
          <w:rFonts w:ascii="Arial" w:hAnsi="Arial" w:cs="Arial"/>
          <w:sz w:val="24"/>
          <w:szCs w:val="24"/>
        </w:rPr>
        <w:t>Another advantage of magistrates is that the community is involved in their selection. The goal of the selection procedure for magistrates is to broaden public participation in the judicial process. Involving the community in selecting judges effectively ensures they are well-versed in the norms and practices of the area they will be presiding over. Furthermore, community engagement aids in bolstering public faith in the judicial system. The public will feel more invested in and accountable to judicial rulings. As a result, it bolsters transparency and impartiality while diminishing the appearance of prejudice or favoritism in the judicial system. Further, the judicial system benefits from more diversity and inclusiveness, which comes with community engagement. Finally, it guarantees that magistrates represent the local people and can give more individualized and compassionate help to persons seeking justice by including various community members in the selection process.</w:t>
      </w:r>
    </w:p>
    <w:p w14:paraId="5815157E" w14:textId="77777777" w:rsidR="00845526" w:rsidRPr="00845526" w:rsidRDefault="00845526" w:rsidP="00845526">
      <w:pPr>
        <w:spacing w:line="360" w:lineRule="auto"/>
        <w:rPr>
          <w:rFonts w:ascii="Arial" w:hAnsi="Arial" w:cs="Arial"/>
          <w:sz w:val="24"/>
          <w:szCs w:val="24"/>
        </w:rPr>
      </w:pPr>
      <w:r w:rsidRPr="00845526">
        <w:rPr>
          <w:rFonts w:ascii="Arial" w:hAnsi="Arial" w:cs="Arial"/>
          <w:sz w:val="24"/>
          <w:szCs w:val="24"/>
        </w:rPr>
        <w:t xml:space="preserve">Even though magistrates bring many advantages to the justice system, they also have disadvantages. While a more representative court is achieved via judges' varied experiences and perspectives, inconsistencies in decision-making and a failure to grasp </w:t>
      </w:r>
      <w:r w:rsidRPr="00845526">
        <w:rPr>
          <w:rFonts w:ascii="Arial" w:hAnsi="Arial" w:cs="Arial"/>
          <w:sz w:val="24"/>
          <w:szCs w:val="24"/>
        </w:rPr>
        <w:lastRenderedPageBreak/>
        <w:t xml:space="preserve">complicated legal problems may result from their lack of legal training and knowledge (Edmond and </w:t>
      </w:r>
      <w:proofErr w:type="spellStart"/>
      <w:r w:rsidRPr="00845526">
        <w:rPr>
          <w:rFonts w:ascii="Arial" w:hAnsi="Arial" w:cs="Arial"/>
          <w:sz w:val="24"/>
          <w:szCs w:val="24"/>
        </w:rPr>
        <w:t>Martire</w:t>
      </w:r>
      <w:proofErr w:type="spellEnd"/>
      <w:r w:rsidRPr="00845526">
        <w:rPr>
          <w:rFonts w:ascii="Arial" w:hAnsi="Arial" w:cs="Arial"/>
          <w:sz w:val="24"/>
          <w:szCs w:val="24"/>
        </w:rPr>
        <w:t>, 2019). As a result, individuals may be more prone to making improper judgments regarding matters of law. In addition, magistrates' reliance on legal consultants for assistance may lead to an imbalance of power and influence, compromising the integrity of judicial proceedings. It may also cause delays and inefficiency in adjudication since judges will need extra time to consult experts and study relevant laws.</w:t>
      </w:r>
    </w:p>
    <w:p w14:paraId="3BE65558" w14:textId="1608AFCA" w:rsidR="00845526" w:rsidRPr="00845526" w:rsidRDefault="00845526" w:rsidP="00845526">
      <w:pPr>
        <w:spacing w:line="360" w:lineRule="auto"/>
        <w:rPr>
          <w:rFonts w:ascii="Arial" w:hAnsi="Arial" w:cs="Arial"/>
          <w:sz w:val="24"/>
          <w:szCs w:val="24"/>
        </w:rPr>
      </w:pPr>
      <w:r w:rsidRPr="00845526">
        <w:rPr>
          <w:rFonts w:ascii="Arial" w:hAnsi="Arial" w:cs="Arial"/>
          <w:sz w:val="24"/>
          <w:szCs w:val="24"/>
        </w:rPr>
        <w:t xml:space="preserve">In addition, the increasing burden for magistrates due to court closures in recent years may affect the quality and efficiency of their duties. Consequently, people are concerned that magistrates are unlikely to be able to provide fair justice amidst limited resources (Yates, 2022). Since magistrates are ultimately responsible for most cases, they must be able to do their jobs effectively. Possible causes of court closures, such as budget cutbacks, personnel shortages, and outdated or nonexistent facilities, have increased the workload of judges, who frequently have few resources, which may lead to errors and delays in the judicial process (Yates, 2022). Concerns regarding the possibility of burnout among judges have also come out strongly </w:t>
      </w:r>
      <w:r w:rsidRPr="00845526">
        <w:rPr>
          <w:rFonts w:ascii="Arial" w:hAnsi="Arial" w:cs="Arial"/>
          <w:sz w:val="24"/>
          <w:szCs w:val="24"/>
        </w:rPr>
        <w:t>considering</w:t>
      </w:r>
      <w:r w:rsidRPr="00845526">
        <w:rPr>
          <w:rFonts w:ascii="Arial" w:hAnsi="Arial" w:cs="Arial"/>
          <w:sz w:val="24"/>
          <w:szCs w:val="24"/>
        </w:rPr>
        <w:t xml:space="preserve"> the increasing workload, which might further compromise the quality of their job.</w:t>
      </w:r>
    </w:p>
    <w:p w14:paraId="0E64F141" w14:textId="77777777" w:rsidR="00845526" w:rsidRPr="00845526" w:rsidRDefault="00845526" w:rsidP="00845526">
      <w:pPr>
        <w:spacing w:line="360" w:lineRule="auto"/>
        <w:rPr>
          <w:rFonts w:ascii="Arial" w:hAnsi="Arial" w:cs="Arial"/>
          <w:sz w:val="24"/>
          <w:szCs w:val="24"/>
        </w:rPr>
      </w:pPr>
      <w:r w:rsidRPr="00845526">
        <w:rPr>
          <w:rFonts w:ascii="Arial" w:hAnsi="Arial" w:cs="Arial"/>
          <w:sz w:val="24"/>
          <w:szCs w:val="24"/>
        </w:rPr>
        <w:t>Furthermore, there are serious obstacles to running an efficient court system in England and Wales due to the lack of diversity among magistrates. Only 13% of judges are people of color, which raises concerns about possible prejudice and a lack of familiarity with cultural norms and practices in the courtroom (Gayle, 2022). In addition, the fact that most judges are over 50 shows a generation gap that may prevent younger people's perspectives from being fairly represented. The lack of diversity among judges has a negative impact on public confidence in the judicial system and may contribute to inconsistencies in rulings. For confidence and credibility, judges must reflect the populations they serve. Therefore, a more well-rounded and fair decision may be reached with the help of a more varied bench.</w:t>
      </w:r>
    </w:p>
    <w:p w14:paraId="6B844EFF" w14:textId="77777777" w:rsidR="00845526" w:rsidRPr="00845526" w:rsidRDefault="00845526" w:rsidP="00845526">
      <w:pPr>
        <w:spacing w:line="360" w:lineRule="auto"/>
        <w:rPr>
          <w:rFonts w:ascii="Arial" w:hAnsi="Arial" w:cs="Arial"/>
          <w:sz w:val="24"/>
          <w:szCs w:val="24"/>
        </w:rPr>
      </w:pPr>
      <w:r w:rsidRPr="00845526">
        <w:rPr>
          <w:rFonts w:ascii="Arial" w:hAnsi="Arial" w:cs="Arial"/>
          <w:sz w:val="24"/>
          <w:szCs w:val="24"/>
        </w:rPr>
        <w:t xml:space="preserve">Rapid action and various modifications must be implemented for the judicial system to handle the issues it faces successfully. Among the vital steps is increasing the quality of resources available to magistrates. This is crucial to the smooth functioning of the judicial system. Magistrates can better handle difficult cases with access to thorough, up-to-date </w:t>
      </w:r>
      <w:r w:rsidRPr="00845526">
        <w:rPr>
          <w:rFonts w:ascii="Arial" w:hAnsi="Arial" w:cs="Arial"/>
          <w:sz w:val="24"/>
          <w:szCs w:val="24"/>
        </w:rPr>
        <w:lastRenderedPageBreak/>
        <w:t xml:space="preserve">training programs. For example, modern legal theory and jurisprudence might be discussed through interactive workshops and real-world case simulations. In addition, magistrates should be given chances for ongoing training and education to keep pace with developments in the law. It is crucial to offer magistrates adequate support in addition to boosting training. This may be accomplished via mentoring programs, in which senior judges </w:t>
      </w:r>
      <w:proofErr w:type="spellStart"/>
      <w:r w:rsidRPr="00845526">
        <w:rPr>
          <w:rFonts w:ascii="Arial" w:hAnsi="Arial" w:cs="Arial"/>
          <w:sz w:val="24"/>
          <w:szCs w:val="24"/>
        </w:rPr>
        <w:t>advise</w:t>
      </w:r>
      <w:proofErr w:type="spellEnd"/>
      <w:r w:rsidRPr="00845526">
        <w:rPr>
          <w:rFonts w:ascii="Arial" w:hAnsi="Arial" w:cs="Arial"/>
          <w:sz w:val="24"/>
          <w:szCs w:val="24"/>
        </w:rPr>
        <w:t xml:space="preserve"> and counsel their younger colleagues to help them develop professionally. Making connections with like professionals may help magistrates overcome obstacles unique to their profession.</w:t>
      </w:r>
    </w:p>
    <w:p w14:paraId="39868787" w14:textId="3EE2EDFD" w:rsidR="00845526" w:rsidRPr="00845526" w:rsidRDefault="00804325" w:rsidP="00845526">
      <w:pPr>
        <w:spacing w:line="360" w:lineRule="auto"/>
        <w:rPr>
          <w:rFonts w:ascii="Arial" w:hAnsi="Arial" w:cs="Arial"/>
          <w:sz w:val="24"/>
          <w:szCs w:val="24"/>
        </w:rPr>
      </w:pPr>
      <w:r w:rsidRPr="00804325">
        <w:rPr>
          <w:rFonts w:ascii="Arial" w:hAnsi="Arial" w:cs="Arial"/>
          <w:sz w:val="24"/>
          <w:szCs w:val="24"/>
        </w:rPr>
        <w:t xml:space="preserve">Strategic hiring to diversify the workforce is another reform that could be implemented. In addition to fostering a culture of acceptance and equitable treatment for all employees, a diverse workforce inspires original thought and novel approaches to difficult problems. </w:t>
      </w:r>
      <w:proofErr w:type="spellStart"/>
      <w:r w:rsidRPr="00804325">
        <w:rPr>
          <w:rFonts w:ascii="Arial" w:hAnsi="Arial" w:cs="Arial"/>
          <w:sz w:val="24"/>
          <w:szCs w:val="24"/>
        </w:rPr>
        <w:t>Organisations</w:t>
      </w:r>
      <w:proofErr w:type="spellEnd"/>
      <w:r w:rsidRPr="00804325">
        <w:rPr>
          <w:rFonts w:ascii="Arial" w:hAnsi="Arial" w:cs="Arial"/>
          <w:sz w:val="24"/>
          <w:szCs w:val="24"/>
        </w:rPr>
        <w:t xml:space="preserve"> can better meet the requirements of their diverse clientele if they actively recruit and hire individuals from diverse backgrounds. Consequently, it is essential to initiate recruitment campaigns aimed specifically at </w:t>
      </w:r>
      <w:proofErr w:type="spellStart"/>
      <w:r w:rsidRPr="00804325">
        <w:rPr>
          <w:rFonts w:ascii="Arial" w:hAnsi="Arial" w:cs="Arial"/>
          <w:sz w:val="24"/>
          <w:szCs w:val="24"/>
        </w:rPr>
        <w:t>marginalised</w:t>
      </w:r>
      <w:proofErr w:type="spellEnd"/>
      <w:r w:rsidRPr="00804325">
        <w:rPr>
          <w:rFonts w:ascii="Arial" w:hAnsi="Arial" w:cs="Arial"/>
          <w:sz w:val="24"/>
          <w:szCs w:val="24"/>
        </w:rPr>
        <w:t xml:space="preserve"> communities. Forming strategic alliances with relevant entities, such as educational institutions, nonprofits, and other </w:t>
      </w:r>
      <w:proofErr w:type="spellStart"/>
      <w:r w:rsidRPr="00804325">
        <w:rPr>
          <w:rFonts w:ascii="Arial" w:hAnsi="Arial" w:cs="Arial"/>
          <w:sz w:val="24"/>
          <w:szCs w:val="24"/>
        </w:rPr>
        <w:t>organisations</w:t>
      </w:r>
      <w:proofErr w:type="spellEnd"/>
      <w:r w:rsidRPr="00804325">
        <w:rPr>
          <w:rFonts w:ascii="Arial" w:hAnsi="Arial" w:cs="Arial"/>
          <w:sz w:val="24"/>
          <w:szCs w:val="24"/>
        </w:rPr>
        <w:t xml:space="preserve">, is one method for attracting and retaining top talent. In addition, the judicial system should invest in mentorship and development </w:t>
      </w:r>
      <w:proofErr w:type="spellStart"/>
      <w:r w:rsidRPr="00804325">
        <w:rPr>
          <w:rFonts w:ascii="Arial" w:hAnsi="Arial" w:cs="Arial"/>
          <w:sz w:val="24"/>
          <w:szCs w:val="24"/>
        </w:rPr>
        <w:t>programmes</w:t>
      </w:r>
      <w:proofErr w:type="spellEnd"/>
      <w:r w:rsidRPr="00804325">
        <w:rPr>
          <w:rFonts w:ascii="Arial" w:hAnsi="Arial" w:cs="Arial"/>
          <w:sz w:val="24"/>
          <w:szCs w:val="24"/>
        </w:rPr>
        <w:t xml:space="preserve"> that equip individuals from diverse origins with the skills and experience necessary for success in their </w:t>
      </w:r>
      <w:proofErr w:type="spellStart"/>
      <w:proofErr w:type="gramStart"/>
      <w:r w:rsidRPr="00804325">
        <w:rPr>
          <w:rFonts w:ascii="Arial" w:hAnsi="Arial" w:cs="Arial"/>
          <w:sz w:val="24"/>
          <w:szCs w:val="24"/>
        </w:rPr>
        <w:t>positions.Moreover</w:t>
      </w:r>
      <w:proofErr w:type="spellEnd"/>
      <w:proofErr w:type="gramEnd"/>
      <w:r w:rsidRPr="00804325">
        <w:rPr>
          <w:rFonts w:ascii="Arial" w:hAnsi="Arial" w:cs="Arial"/>
          <w:sz w:val="24"/>
          <w:szCs w:val="24"/>
        </w:rPr>
        <w:t xml:space="preserve">, equitable and equal access to justice cannot be ensured unless the issue of court closures is addressed. If courts are closed, litigants, witnesses, and legal professionals frequently incur additional costs due to increased travel time and expenses. This is especially true for those who are already disadvantaged, such as the poor, the elderly, and the disabled, as well as those who reside in remote areas. When courts are closed, communities may still be able to obtain justice through alternative means such as virtual proceedings. Using technological advancements, remote hearings enable parties to participate in judicial proceedings without incurring travel expenses or wasting time. This method makes the legal system not only more accessible, but also more environmentally sustainable. Regional justice </w:t>
      </w:r>
      <w:proofErr w:type="spellStart"/>
      <w:r w:rsidRPr="00804325">
        <w:rPr>
          <w:rFonts w:ascii="Arial" w:hAnsi="Arial" w:cs="Arial"/>
          <w:sz w:val="24"/>
          <w:szCs w:val="24"/>
        </w:rPr>
        <w:t>centres</w:t>
      </w:r>
      <w:proofErr w:type="spellEnd"/>
      <w:r w:rsidRPr="00804325">
        <w:rPr>
          <w:rFonts w:ascii="Arial" w:hAnsi="Arial" w:cs="Arial"/>
          <w:sz w:val="24"/>
          <w:szCs w:val="24"/>
        </w:rPr>
        <w:t xml:space="preserve"> are another alternative because they can consolidate relevant resources and personnel. These facilities, which serve as </w:t>
      </w:r>
      <w:proofErr w:type="spellStart"/>
      <w:r w:rsidRPr="00804325">
        <w:rPr>
          <w:rFonts w:ascii="Arial" w:hAnsi="Arial" w:cs="Arial"/>
          <w:sz w:val="24"/>
          <w:szCs w:val="24"/>
        </w:rPr>
        <w:t>centres</w:t>
      </w:r>
      <w:proofErr w:type="spellEnd"/>
      <w:r w:rsidRPr="00804325">
        <w:rPr>
          <w:rFonts w:ascii="Arial" w:hAnsi="Arial" w:cs="Arial"/>
          <w:sz w:val="24"/>
          <w:szCs w:val="24"/>
        </w:rPr>
        <w:t xml:space="preserve"> for multiple jurisdictions, help streamline procedures, increase efficiency, and reduce the need for court </w:t>
      </w:r>
      <w:proofErr w:type="spellStart"/>
      <w:proofErr w:type="gramStart"/>
      <w:r w:rsidRPr="00804325">
        <w:rPr>
          <w:rFonts w:ascii="Arial" w:hAnsi="Arial" w:cs="Arial"/>
          <w:sz w:val="24"/>
          <w:szCs w:val="24"/>
        </w:rPr>
        <w:t>closures.</w:t>
      </w:r>
      <w:r w:rsidR="00845526" w:rsidRPr="00845526">
        <w:rPr>
          <w:rFonts w:ascii="Arial" w:hAnsi="Arial" w:cs="Arial"/>
          <w:sz w:val="24"/>
          <w:szCs w:val="24"/>
        </w:rPr>
        <w:t>Magistrates</w:t>
      </w:r>
      <w:proofErr w:type="spellEnd"/>
      <w:proofErr w:type="gramEnd"/>
      <w:r w:rsidR="00845526" w:rsidRPr="00845526">
        <w:rPr>
          <w:rFonts w:ascii="Arial" w:hAnsi="Arial" w:cs="Arial"/>
          <w:sz w:val="24"/>
          <w:szCs w:val="24"/>
        </w:rPr>
        <w:t xml:space="preserve"> are crucial to the administration of </w:t>
      </w:r>
      <w:r w:rsidR="00845526" w:rsidRPr="00845526">
        <w:rPr>
          <w:rFonts w:ascii="Arial" w:hAnsi="Arial" w:cs="Arial"/>
          <w:sz w:val="24"/>
          <w:szCs w:val="24"/>
        </w:rPr>
        <w:lastRenderedPageBreak/>
        <w:t>justice in the United Kingdom. Because of their community-centered viewpoint, their decisions are founded on a deep familiarity with local norms and beliefs. Additionally, using magistrates, who labor on a volunteer basis, is cost-effective since it lessens the financial burden on taxpayers without compromising the quality of service. However, some obstacles, such as magistrates' lower legal experience than professional judges, must be recognized. In addition, magistrates' high workload, which requires them to balance work and home commitments, might slow the judicial process. Finally, diversity among judges is important for maintaining a fair and representative court system. Therefore, consistent changes and enhancements are necessary to address these difficulties and strengthen the function of magistrates in the United Kingdom's legal system. Some reforms that must be implemented to realize the justice system's full potential include comprehensive training, time-management tools, and diversity-minded hiring practice. By addressing these problems, the United Kingdom can keep reaping the benefits of magistrates' work and boost public faith in the justice system.</w:t>
      </w:r>
    </w:p>
    <w:p w14:paraId="790A092D" w14:textId="6595A960" w:rsidR="00845526" w:rsidRDefault="00845526">
      <w:pPr>
        <w:spacing w:after="160" w:line="259" w:lineRule="auto"/>
        <w:jc w:val="left"/>
        <w:rPr>
          <w:rFonts w:ascii="Arial" w:hAnsi="Arial" w:cs="Arial"/>
          <w:sz w:val="24"/>
          <w:szCs w:val="24"/>
        </w:rPr>
      </w:pPr>
      <w:r>
        <w:rPr>
          <w:rFonts w:ascii="Arial" w:hAnsi="Arial" w:cs="Arial"/>
          <w:sz w:val="24"/>
          <w:szCs w:val="24"/>
        </w:rPr>
        <w:br w:type="page"/>
      </w:r>
    </w:p>
    <w:p w14:paraId="398FC3BB" w14:textId="77777777" w:rsidR="00845526" w:rsidRPr="00845526" w:rsidRDefault="00845526" w:rsidP="00845526">
      <w:pPr>
        <w:spacing w:line="360" w:lineRule="auto"/>
        <w:rPr>
          <w:rFonts w:ascii="Arial" w:hAnsi="Arial" w:cs="Arial"/>
          <w:sz w:val="24"/>
          <w:szCs w:val="24"/>
        </w:rPr>
      </w:pPr>
    </w:p>
    <w:p w14:paraId="110EF9F6" w14:textId="77777777" w:rsidR="00845526" w:rsidRPr="00845526" w:rsidRDefault="00845526" w:rsidP="00845526">
      <w:pPr>
        <w:spacing w:line="360" w:lineRule="auto"/>
        <w:rPr>
          <w:rFonts w:ascii="Arial" w:hAnsi="Arial" w:cs="Arial"/>
          <w:sz w:val="24"/>
          <w:szCs w:val="24"/>
        </w:rPr>
      </w:pPr>
    </w:p>
    <w:p w14:paraId="06981A87" w14:textId="77777777" w:rsidR="00845526" w:rsidRPr="00845526" w:rsidRDefault="00845526" w:rsidP="00845526">
      <w:pPr>
        <w:spacing w:line="360" w:lineRule="auto"/>
        <w:rPr>
          <w:rFonts w:ascii="Arial" w:hAnsi="Arial" w:cs="Arial"/>
          <w:sz w:val="24"/>
          <w:szCs w:val="24"/>
        </w:rPr>
      </w:pPr>
      <w:r w:rsidRPr="00845526">
        <w:rPr>
          <w:rFonts w:ascii="Arial" w:hAnsi="Arial" w:cs="Arial"/>
          <w:sz w:val="24"/>
          <w:szCs w:val="24"/>
        </w:rPr>
        <w:t>Reference List</w:t>
      </w:r>
    </w:p>
    <w:p w14:paraId="143E5D73" w14:textId="17FCD797" w:rsidR="00845526" w:rsidRPr="00845526" w:rsidRDefault="00845526" w:rsidP="00845526">
      <w:pPr>
        <w:tabs>
          <w:tab w:val="left" w:pos="0"/>
        </w:tabs>
        <w:spacing w:line="360" w:lineRule="auto"/>
        <w:jc w:val="left"/>
        <w:rPr>
          <w:rFonts w:ascii="Arial" w:hAnsi="Arial" w:cs="Arial"/>
          <w:sz w:val="24"/>
          <w:szCs w:val="24"/>
        </w:rPr>
      </w:pPr>
      <w:r w:rsidRPr="00845526">
        <w:rPr>
          <w:rFonts w:ascii="Arial" w:hAnsi="Arial" w:cs="Arial"/>
          <w:sz w:val="24"/>
          <w:szCs w:val="24"/>
        </w:rPr>
        <w:t>Courts and Tribunals Judiciary, (</w:t>
      </w:r>
      <w:proofErr w:type="spellStart"/>
      <w:r w:rsidRPr="00845526">
        <w:rPr>
          <w:rFonts w:ascii="Arial" w:hAnsi="Arial" w:cs="Arial"/>
          <w:sz w:val="24"/>
          <w:szCs w:val="24"/>
        </w:rPr>
        <w:t>n.d</w:t>
      </w:r>
      <w:proofErr w:type="spellEnd"/>
      <w:r w:rsidRPr="00845526">
        <w:rPr>
          <w:rFonts w:ascii="Arial" w:hAnsi="Arial" w:cs="Arial"/>
          <w:sz w:val="24"/>
          <w:szCs w:val="24"/>
        </w:rPr>
        <w:t>). Magistrates. Available at:</w:t>
      </w:r>
      <w:r>
        <w:rPr>
          <w:rFonts w:ascii="Arial" w:hAnsi="Arial" w:cs="Arial"/>
          <w:sz w:val="24"/>
          <w:szCs w:val="24"/>
        </w:rPr>
        <w:t xml:space="preserve"> </w:t>
      </w:r>
      <w:hyperlink r:id="rId6" w:history="1">
        <w:r w:rsidRPr="00845526">
          <w:rPr>
            <w:rStyle w:val="Hyperlink"/>
            <w:rFonts w:ascii="Arial" w:hAnsi="Arial" w:cs="Arial"/>
            <w:sz w:val="24"/>
            <w:szCs w:val="24"/>
          </w:rPr>
          <w:t>https://www.judiciary.uk/about-the-judiciary/who-are-the-judiciary/magistrates/</w:t>
        </w:r>
      </w:hyperlink>
      <w:r w:rsidRPr="00845526">
        <w:rPr>
          <w:rFonts w:ascii="Arial" w:hAnsi="Arial" w:cs="Arial"/>
          <w:sz w:val="24"/>
          <w:szCs w:val="24"/>
        </w:rPr>
        <w:t xml:space="preserve"> (Accessed: 28 April 2023).</w:t>
      </w:r>
    </w:p>
    <w:p w14:paraId="3793C54B" w14:textId="77777777" w:rsidR="00845526" w:rsidRPr="00845526" w:rsidRDefault="00845526" w:rsidP="00845526">
      <w:pPr>
        <w:spacing w:line="360" w:lineRule="auto"/>
        <w:jc w:val="left"/>
        <w:rPr>
          <w:rFonts w:ascii="Arial" w:hAnsi="Arial" w:cs="Arial"/>
          <w:sz w:val="24"/>
          <w:szCs w:val="24"/>
        </w:rPr>
      </w:pPr>
      <w:r w:rsidRPr="00845526">
        <w:rPr>
          <w:rFonts w:ascii="Arial" w:hAnsi="Arial" w:cs="Arial"/>
          <w:sz w:val="24"/>
          <w:szCs w:val="24"/>
        </w:rPr>
        <w:t xml:space="preserve">Edmond, G. and </w:t>
      </w:r>
      <w:proofErr w:type="spellStart"/>
      <w:r w:rsidRPr="00845526">
        <w:rPr>
          <w:rFonts w:ascii="Arial" w:hAnsi="Arial" w:cs="Arial"/>
          <w:sz w:val="24"/>
          <w:szCs w:val="24"/>
        </w:rPr>
        <w:t>Martire</w:t>
      </w:r>
      <w:proofErr w:type="spellEnd"/>
      <w:r w:rsidRPr="00845526">
        <w:rPr>
          <w:rFonts w:ascii="Arial" w:hAnsi="Arial" w:cs="Arial"/>
          <w:sz w:val="24"/>
          <w:szCs w:val="24"/>
        </w:rPr>
        <w:t>, K.A., (2019). 'Just cognition: scientific research on bias and some implications for legal procedure and decision</w:t>
      </w:r>
      <w:r w:rsidRPr="00845526">
        <w:rPr>
          <w:rFonts w:ascii="Cambria Math" w:hAnsi="Cambria Math" w:cs="Cambria Math"/>
          <w:sz w:val="24"/>
          <w:szCs w:val="24"/>
        </w:rPr>
        <w:t>‐</w:t>
      </w:r>
      <w:r w:rsidRPr="00845526">
        <w:rPr>
          <w:rFonts w:ascii="Arial" w:hAnsi="Arial" w:cs="Arial"/>
          <w:sz w:val="24"/>
          <w:szCs w:val="24"/>
        </w:rPr>
        <w:t>making.' </w:t>
      </w:r>
      <w:r w:rsidRPr="00845526">
        <w:rPr>
          <w:rFonts w:ascii="Arial" w:hAnsi="Arial" w:cs="Arial"/>
          <w:i/>
          <w:iCs/>
          <w:sz w:val="24"/>
          <w:szCs w:val="24"/>
        </w:rPr>
        <w:t>The modern law review</w:t>
      </w:r>
      <w:r w:rsidRPr="00845526">
        <w:rPr>
          <w:rFonts w:ascii="Arial" w:hAnsi="Arial" w:cs="Arial"/>
          <w:sz w:val="24"/>
          <w:szCs w:val="24"/>
        </w:rPr>
        <w:t>, </w:t>
      </w:r>
      <w:r w:rsidRPr="00845526">
        <w:rPr>
          <w:rFonts w:ascii="Arial" w:hAnsi="Arial" w:cs="Arial"/>
          <w:i/>
          <w:iCs/>
          <w:sz w:val="24"/>
          <w:szCs w:val="24"/>
        </w:rPr>
        <w:t>82</w:t>
      </w:r>
      <w:r w:rsidRPr="00845526">
        <w:rPr>
          <w:rFonts w:ascii="Arial" w:hAnsi="Arial" w:cs="Arial"/>
          <w:sz w:val="24"/>
          <w:szCs w:val="24"/>
        </w:rPr>
        <w:t xml:space="preserve">(4), pp.633-664. </w:t>
      </w:r>
      <w:hyperlink r:id="rId7" w:history="1">
        <w:r w:rsidRPr="00845526">
          <w:rPr>
            <w:rFonts w:ascii="Arial" w:hAnsi="Arial" w:cs="Arial"/>
            <w:sz w:val="24"/>
            <w:szCs w:val="24"/>
            <w:u w:val="single"/>
          </w:rPr>
          <w:t>https://doi.org/10.1111/1468-2230.12424</w:t>
        </w:r>
      </w:hyperlink>
      <w:r w:rsidRPr="00845526">
        <w:rPr>
          <w:rFonts w:ascii="Arial" w:hAnsi="Arial" w:cs="Arial"/>
          <w:sz w:val="24"/>
          <w:szCs w:val="24"/>
        </w:rPr>
        <w:t xml:space="preserve"> (Accessed: 28 April 2023). </w:t>
      </w:r>
    </w:p>
    <w:p w14:paraId="3B0490C8" w14:textId="77777777" w:rsidR="00845526" w:rsidRPr="00845526" w:rsidRDefault="00845526" w:rsidP="00845526">
      <w:pPr>
        <w:spacing w:line="360" w:lineRule="auto"/>
        <w:jc w:val="left"/>
        <w:rPr>
          <w:rFonts w:ascii="Arial" w:hAnsi="Arial" w:cs="Arial"/>
          <w:sz w:val="24"/>
          <w:szCs w:val="24"/>
        </w:rPr>
      </w:pPr>
      <w:r w:rsidRPr="00845526">
        <w:rPr>
          <w:rFonts w:ascii="Arial" w:hAnsi="Arial" w:cs="Arial"/>
          <w:sz w:val="24"/>
          <w:szCs w:val="24"/>
        </w:rPr>
        <w:t xml:space="preserve">Gayle, D. (2022) 'Campaign seeks to recruit 4,000 lay magistrates in England and Wales.' </w:t>
      </w:r>
      <w:r w:rsidRPr="00845526">
        <w:rPr>
          <w:rFonts w:ascii="Arial" w:hAnsi="Arial" w:cs="Arial"/>
          <w:i/>
          <w:iCs/>
          <w:sz w:val="24"/>
          <w:szCs w:val="24"/>
        </w:rPr>
        <w:t xml:space="preserve">The Guardian. </w:t>
      </w:r>
      <w:r w:rsidRPr="00845526">
        <w:rPr>
          <w:rFonts w:ascii="Arial" w:hAnsi="Arial" w:cs="Arial"/>
          <w:sz w:val="24"/>
          <w:szCs w:val="24"/>
        </w:rPr>
        <w:t>Available at:</w:t>
      </w:r>
      <w:r w:rsidRPr="00845526">
        <w:rPr>
          <w:rFonts w:ascii="Arial" w:hAnsi="Arial" w:cs="Arial"/>
          <w:i/>
          <w:iCs/>
          <w:sz w:val="24"/>
          <w:szCs w:val="24"/>
        </w:rPr>
        <w:t xml:space="preserve"> </w:t>
      </w:r>
      <w:hyperlink r:id="rId8" w:history="1">
        <w:r w:rsidRPr="00845526">
          <w:rPr>
            <w:rFonts w:ascii="Arial" w:hAnsi="Arial" w:cs="Arial"/>
            <w:sz w:val="24"/>
            <w:szCs w:val="24"/>
            <w:u w:val="single"/>
          </w:rPr>
          <w:t>https://www.theguardian.com/law/2022/jan/24/campaign-seeks-to-recruit-4000-lay-magistrates-in-england-and-wales</w:t>
        </w:r>
      </w:hyperlink>
      <w:r w:rsidRPr="00845526">
        <w:rPr>
          <w:rFonts w:ascii="Arial" w:hAnsi="Arial" w:cs="Arial"/>
          <w:sz w:val="24"/>
          <w:szCs w:val="24"/>
        </w:rPr>
        <w:t xml:space="preserve"> (Accessed: 28 April 2023).</w:t>
      </w:r>
    </w:p>
    <w:p w14:paraId="39332DE3" w14:textId="77777777" w:rsidR="00845526" w:rsidRPr="00845526" w:rsidRDefault="00845526" w:rsidP="00845526">
      <w:pPr>
        <w:spacing w:line="360" w:lineRule="auto"/>
        <w:jc w:val="left"/>
        <w:rPr>
          <w:rFonts w:ascii="Arial" w:hAnsi="Arial" w:cs="Arial"/>
          <w:sz w:val="24"/>
          <w:szCs w:val="24"/>
        </w:rPr>
      </w:pPr>
      <w:r w:rsidRPr="00845526">
        <w:rPr>
          <w:rFonts w:ascii="Arial" w:hAnsi="Arial" w:cs="Arial"/>
          <w:sz w:val="24"/>
          <w:szCs w:val="24"/>
        </w:rPr>
        <w:t xml:space="preserve">Ministry of Justice, (2023). Employees who volunteer as magistrates prove good for business. Available at: </w:t>
      </w:r>
      <w:hyperlink r:id="rId9" w:history="1">
        <w:r w:rsidRPr="00845526">
          <w:rPr>
            <w:rFonts w:ascii="Arial" w:hAnsi="Arial" w:cs="Arial"/>
            <w:sz w:val="24"/>
            <w:szCs w:val="24"/>
            <w:u w:val="single"/>
          </w:rPr>
          <w:t>https://www.gov.uk/government/news/employees-who-volunteer-as-magistrates-prove-good-for-business</w:t>
        </w:r>
      </w:hyperlink>
      <w:r w:rsidRPr="00845526">
        <w:rPr>
          <w:rFonts w:ascii="Arial" w:hAnsi="Arial" w:cs="Arial"/>
          <w:sz w:val="24"/>
          <w:szCs w:val="24"/>
        </w:rPr>
        <w:t xml:space="preserve"> (Accessed: 28 April 2023).</w:t>
      </w:r>
    </w:p>
    <w:p w14:paraId="7B742026" w14:textId="77777777" w:rsidR="00845526" w:rsidRPr="00845526" w:rsidRDefault="00845526" w:rsidP="00845526">
      <w:pPr>
        <w:spacing w:line="360" w:lineRule="auto"/>
        <w:jc w:val="left"/>
        <w:rPr>
          <w:rFonts w:ascii="Arial" w:hAnsi="Arial" w:cs="Arial"/>
          <w:sz w:val="24"/>
          <w:szCs w:val="24"/>
        </w:rPr>
      </w:pPr>
      <w:r w:rsidRPr="00845526">
        <w:rPr>
          <w:rFonts w:ascii="Arial" w:hAnsi="Arial" w:cs="Arial"/>
          <w:sz w:val="24"/>
          <w:szCs w:val="24"/>
        </w:rPr>
        <w:t>Yates, S., (2022). </w:t>
      </w:r>
      <w:r w:rsidRPr="00845526">
        <w:rPr>
          <w:rFonts w:ascii="Arial" w:hAnsi="Arial" w:cs="Arial"/>
          <w:i/>
          <w:iCs/>
          <w:sz w:val="24"/>
          <w:szCs w:val="24"/>
        </w:rPr>
        <w:t>Efficiency &amp; the summary justice process: a courtroom observation study of an English magistrates' court</w:t>
      </w:r>
      <w:r w:rsidRPr="00845526">
        <w:rPr>
          <w:rFonts w:ascii="Arial" w:hAnsi="Arial" w:cs="Arial"/>
          <w:sz w:val="24"/>
          <w:szCs w:val="24"/>
        </w:rPr>
        <w:t xml:space="preserve"> (Doctoral dissertation, Anglia Ruskin University). </w:t>
      </w:r>
      <w:hyperlink r:id="rId10" w:history="1">
        <w:r w:rsidRPr="00845526">
          <w:rPr>
            <w:rFonts w:ascii="Arial" w:hAnsi="Arial" w:cs="Arial"/>
            <w:sz w:val="24"/>
            <w:szCs w:val="24"/>
            <w:u w:val="single"/>
          </w:rPr>
          <w:t>https://arro.anglia.ac.uk/id/eprint/707613/1/Yates_2022.pdf</w:t>
        </w:r>
      </w:hyperlink>
      <w:r w:rsidRPr="00845526">
        <w:rPr>
          <w:rFonts w:ascii="Arial" w:hAnsi="Arial" w:cs="Arial"/>
          <w:sz w:val="24"/>
          <w:szCs w:val="24"/>
        </w:rPr>
        <w:t xml:space="preserve"> (Accessed: 28 April 2023).</w:t>
      </w:r>
    </w:p>
    <w:p w14:paraId="2964E230" w14:textId="77777777" w:rsidR="000A3BA5" w:rsidRPr="00845526" w:rsidRDefault="000A3BA5" w:rsidP="00845526">
      <w:pPr>
        <w:spacing w:line="360" w:lineRule="auto"/>
        <w:jc w:val="left"/>
        <w:rPr>
          <w:rFonts w:ascii="Arial" w:hAnsi="Arial" w:cs="Arial"/>
          <w:sz w:val="24"/>
          <w:szCs w:val="24"/>
        </w:rPr>
      </w:pPr>
    </w:p>
    <w:sectPr w:rsidR="000A3BA5" w:rsidRPr="00845526">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9F2B9" w14:textId="77777777" w:rsidR="00970DBD" w:rsidRDefault="00970DBD" w:rsidP="00804325">
      <w:pPr>
        <w:spacing w:line="240" w:lineRule="auto"/>
      </w:pPr>
      <w:r>
        <w:separator/>
      </w:r>
    </w:p>
  </w:endnote>
  <w:endnote w:type="continuationSeparator" w:id="0">
    <w:p w14:paraId="4B0AF65D" w14:textId="77777777" w:rsidR="00970DBD" w:rsidRDefault="00970DBD" w:rsidP="008043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5712997"/>
      <w:docPartObj>
        <w:docPartGallery w:val="Page Numbers (Bottom of Page)"/>
        <w:docPartUnique/>
      </w:docPartObj>
    </w:sdtPr>
    <w:sdtEndPr>
      <w:rPr>
        <w:noProof/>
      </w:rPr>
    </w:sdtEndPr>
    <w:sdtContent>
      <w:p w14:paraId="22B6FBFD" w14:textId="2213B21B" w:rsidR="00804325" w:rsidRDefault="0080432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BE3988" w14:textId="77777777" w:rsidR="00804325" w:rsidRDefault="008043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01D4A" w14:textId="77777777" w:rsidR="00970DBD" w:rsidRDefault="00970DBD" w:rsidP="00804325">
      <w:pPr>
        <w:spacing w:line="240" w:lineRule="auto"/>
      </w:pPr>
      <w:r>
        <w:separator/>
      </w:r>
    </w:p>
  </w:footnote>
  <w:footnote w:type="continuationSeparator" w:id="0">
    <w:p w14:paraId="07CA09A8" w14:textId="77777777" w:rsidR="00970DBD" w:rsidRDefault="00970DBD" w:rsidP="0080432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526"/>
    <w:rsid w:val="000A3BA5"/>
    <w:rsid w:val="007D1675"/>
    <w:rsid w:val="00804325"/>
    <w:rsid w:val="00845526"/>
    <w:rsid w:val="00881FBD"/>
    <w:rsid w:val="00970DBD"/>
    <w:rsid w:val="00D82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33F8F"/>
  <w15:chartTrackingRefBased/>
  <w15:docId w15:val="{F5582A45-1397-4609-BD63-C6D24A1EB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526"/>
    <w:pPr>
      <w:spacing w:after="0" w:line="480" w:lineRule="auto"/>
      <w:jc w:val="both"/>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5526"/>
    <w:pPr>
      <w:tabs>
        <w:tab w:val="center" w:pos="4513"/>
        <w:tab w:val="right" w:pos="9026"/>
      </w:tabs>
      <w:spacing w:line="240" w:lineRule="auto"/>
    </w:pPr>
  </w:style>
  <w:style w:type="character" w:customStyle="1" w:styleId="HeaderChar">
    <w:name w:val="Header Char"/>
    <w:basedOn w:val="DefaultParagraphFont"/>
    <w:link w:val="Header"/>
    <w:uiPriority w:val="99"/>
    <w:rsid w:val="00845526"/>
    <w:rPr>
      <w:lang w:val="en-US"/>
    </w:rPr>
  </w:style>
  <w:style w:type="character" w:styleId="Hyperlink">
    <w:name w:val="Hyperlink"/>
    <w:basedOn w:val="DefaultParagraphFont"/>
    <w:uiPriority w:val="99"/>
    <w:unhideWhenUsed/>
    <w:rsid w:val="00845526"/>
    <w:rPr>
      <w:color w:val="0563C1" w:themeColor="hyperlink"/>
      <w:u w:val="single"/>
    </w:rPr>
  </w:style>
  <w:style w:type="character" w:styleId="UnresolvedMention">
    <w:name w:val="Unresolved Mention"/>
    <w:basedOn w:val="DefaultParagraphFont"/>
    <w:uiPriority w:val="99"/>
    <w:semiHidden/>
    <w:unhideWhenUsed/>
    <w:rsid w:val="00845526"/>
    <w:rPr>
      <w:color w:val="605E5C"/>
      <w:shd w:val="clear" w:color="auto" w:fill="E1DFDD"/>
    </w:rPr>
  </w:style>
  <w:style w:type="paragraph" w:styleId="Footer">
    <w:name w:val="footer"/>
    <w:basedOn w:val="Normal"/>
    <w:link w:val="FooterChar"/>
    <w:uiPriority w:val="99"/>
    <w:unhideWhenUsed/>
    <w:rsid w:val="00804325"/>
    <w:pPr>
      <w:tabs>
        <w:tab w:val="center" w:pos="4513"/>
        <w:tab w:val="right" w:pos="9026"/>
      </w:tabs>
      <w:spacing w:line="240" w:lineRule="auto"/>
    </w:pPr>
  </w:style>
  <w:style w:type="character" w:customStyle="1" w:styleId="FooterChar">
    <w:name w:val="Footer Char"/>
    <w:basedOn w:val="DefaultParagraphFont"/>
    <w:link w:val="Footer"/>
    <w:uiPriority w:val="99"/>
    <w:rsid w:val="0080432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law/2022/jan/24/campaign-seeks-to-recruit-4000-lay-magistrates-in-england-and-wale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111/1468-2230.1242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udiciary.uk/about-the-judiciary/who-are-the-judiciary/magistrates/"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arro.anglia.ac.uk/id/eprint/707613/1/Yates_2022.pdf" TargetMode="External"/><Relationship Id="rId4" Type="http://schemas.openxmlformats.org/officeDocument/2006/relationships/footnotes" Target="footnotes.xml"/><Relationship Id="rId9" Type="http://schemas.openxmlformats.org/officeDocument/2006/relationships/hyperlink" Target="https://www.gov.uk/government/news/employees-who-volunteer-as-magistrates-prove-good-for-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7</Pages>
  <Words>1970</Words>
  <Characters>11235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Marian Dinu (2209834)</dc:creator>
  <cp:keywords/>
  <dc:description/>
  <cp:lastModifiedBy>Vasile Marian Dinu (2209834)</cp:lastModifiedBy>
  <cp:revision>1</cp:revision>
  <dcterms:created xsi:type="dcterms:W3CDTF">2023-05-01T20:36:00Z</dcterms:created>
  <dcterms:modified xsi:type="dcterms:W3CDTF">2023-05-01T21:10:00Z</dcterms:modified>
</cp:coreProperties>
</file>