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09229">
      <w:pPr>
        <w:pStyle w:val="4"/>
        <w:keepNext w:val="0"/>
        <w:keepLines w:val="0"/>
        <w:widowControl/>
        <w:suppressLineNumbers w:val="0"/>
        <w:spacing w:line="480" w:lineRule="auto"/>
        <w:jc w:val="both"/>
        <w:rPr>
          <w:rFonts w:hint="default" w:ascii="Arial" w:hAnsi="Arial" w:cs="Arial"/>
          <w:b/>
          <w:bCs/>
          <w:sz w:val="24"/>
          <w:szCs w:val="24"/>
          <w:lang w:val="en-US" w:eastAsia="zh-CN"/>
        </w:rPr>
      </w:pPr>
      <w:r>
        <w:rPr>
          <w:rFonts w:hint="eastAsia" w:ascii="Times New Roman" w:hAnsi="Times New Roman" w:cs="Times New Roman"/>
          <w:sz w:val="24"/>
          <w:szCs w:val="24"/>
          <w:lang w:val="en-US" w:eastAsia="zh-CN"/>
        </w:rPr>
        <w:t xml:space="preserve">                                                    </w:t>
      </w:r>
      <w:r>
        <w:rPr>
          <w:rFonts w:hint="default" w:ascii="Arial" w:hAnsi="Arial" w:cs="Arial"/>
          <w:b/>
          <w:bCs/>
          <w:sz w:val="24"/>
          <w:szCs w:val="24"/>
          <w:lang w:val="en-US" w:eastAsia="zh-CN"/>
        </w:rPr>
        <w:t>APPENDIX GA36c</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8522"/>
      </w:tblGrid>
      <w:tr w14:paraId="1F90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522" w:type="dxa"/>
          </w:tcPr>
          <w:p w14:paraId="0AAD44D3">
            <w:pPr>
              <w:pStyle w:val="4"/>
              <w:keepNext w:val="0"/>
              <w:keepLines w:val="0"/>
              <w:widowControl/>
              <w:suppressLineNumbers w:val="0"/>
              <w:spacing w:line="480" w:lineRule="auto"/>
              <w:ind w:firstLine="1405" w:firstLineChars="500"/>
              <w:jc w:val="both"/>
              <w:rPr>
                <w:rFonts w:hint="default" w:ascii="Arial" w:hAnsi="Arial" w:cs="Arial"/>
                <w:b/>
                <w:bCs/>
                <w:color w:val="808080" w:themeColor="background1" w:themeShade="80"/>
                <w:sz w:val="28"/>
                <w:szCs w:val="28"/>
                <w:highlight w:val="none"/>
                <w:vertAlign w:val="baseline"/>
                <w:lang w:val="en-US" w:eastAsia="zh-CN"/>
              </w:rPr>
            </w:pPr>
            <w:r>
              <w:rPr>
                <w:rFonts w:hint="eastAsia" w:ascii="Arial" w:hAnsi="Arial" w:cs="Arial"/>
                <w:b/>
                <w:bCs/>
                <w:color w:val="000000" w:themeColor="text1"/>
                <w:sz w:val="28"/>
                <w:szCs w:val="28"/>
                <w:highlight w:val="none"/>
                <w:vertAlign w:val="baseline"/>
                <w:lang w:val="en-US" w:eastAsia="zh-CN"/>
                <w14:textFill>
                  <w14:solidFill>
                    <w14:schemeClr w14:val="tx1"/>
                  </w14:solidFill>
                </w14:textFill>
              </w:rPr>
              <w:t>LEVEL 6 ASSESSMENT SPECIFICATION 1</w:t>
            </w:r>
          </w:p>
        </w:tc>
      </w:tr>
    </w:tbl>
    <w:p w14:paraId="54B6F10D">
      <w:pPr>
        <w:pStyle w:val="4"/>
        <w:keepNext w:val="0"/>
        <w:keepLines w:val="0"/>
        <w:widowControl/>
        <w:suppressLineNumbers w:val="0"/>
        <w:spacing w:line="480" w:lineRule="auto"/>
        <w:jc w:val="both"/>
        <w:rPr>
          <w:rFonts w:hint="default" w:ascii="Arial" w:hAnsi="Arial" w:cs="Arial"/>
          <w:b/>
          <w:bCs/>
          <w:sz w:val="24"/>
          <w:szCs w:val="24"/>
          <w:lang w:val="en-US" w:eastAsia="zh-CN"/>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2127"/>
        <w:gridCol w:w="2"/>
        <w:gridCol w:w="2201"/>
        <w:gridCol w:w="2061"/>
        <w:gridCol w:w="2131"/>
      </w:tblGrid>
      <w:tr w14:paraId="4BE0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27" w:type="dxa"/>
          </w:tcPr>
          <w:p w14:paraId="0B90A878">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Student name:</w:t>
            </w:r>
          </w:p>
        </w:tc>
        <w:tc>
          <w:tcPr>
            <w:tcW w:w="2203" w:type="dxa"/>
            <w:gridSpan w:val="2"/>
          </w:tcPr>
          <w:p w14:paraId="31C7F813">
            <w:pPr>
              <w:pStyle w:val="4"/>
              <w:keepNext w:val="0"/>
              <w:keepLines w:val="0"/>
              <w:widowControl/>
              <w:suppressLineNumbers w:val="0"/>
              <w:spacing w:line="480" w:lineRule="auto"/>
              <w:ind w:firstLine="201" w:firstLineChars="100"/>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Tang Yuze</w:t>
            </w:r>
          </w:p>
        </w:tc>
        <w:tc>
          <w:tcPr>
            <w:tcW w:w="2061" w:type="dxa"/>
          </w:tcPr>
          <w:p w14:paraId="2F13A426">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Student ID number:</w:t>
            </w:r>
          </w:p>
        </w:tc>
        <w:tc>
          <w:tcPr>
            <w:tcW w:w="2131" w:type="dxa"/>
          </w:tcPr>
          <w:p w14:paraId="622BD343">
            <w:pPr>
              <w:pStyle w:val="4"/>
              <w:keepNext w:val="0"/>
              <w:keepLines w:val="0"/>
              <w:widowControl/>
              <w:suppressLineNumbers w:val="0"/>
              <w:spacing w:line="480" w:lineRule="auto"/>
              <w:ind w:firstLine="402" w:firstLineChars="200"/>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2500218</w:t>
            </w:r>
          </w:p>
        </w:tc>
      </w:tr>
      <w:tr w14:paraId="7D7D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330" w:type="dxa"/>
            <w:gridSpan w:val="3"/>
          </w:tcPr>
          <w:p w14:paraId="5B48685C">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Programme:</w:t>
            </w:r>
          </w:p>
        </w:tc>
        <w:tc>
          <w:tcPr>
            <w:tcW w:w="4192" w:type="dxa"/>
            <w:gridSpan w:val="2"/>
          </w:tcPr>
          <w:p w14:paraId="7617FD75">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Business Management Portfolio</w:t>
            </w:r>
          </w:p>
        </w:tc>
      </w:tr>
      <w:tr w14:paraId="70EC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64" w:hRule="atLeast"/>
        </w:trPr>
        <w:tc>
          <w:tcPr>
            <w:tcW w:w="4330" w:type="dxa"/>
            <w:gridSpan w:val="3"/>
          </w:tcPr>
          <w:p w14:paraId="498B9553">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Module:</w:t>
            </w:r>
          </w:p>
        </w:tc>
        <w:tc>
          <w:tcPr>
            <w:tcW w:w="4192" w:type="dxa"/>
            <w:gridSpan w:val="2"/>
          </w:tcPr>
          <w:p w14:paraId="502A4CA0">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International Business Communication</w:t>
            </w:r>
          </w:p>
        </w:tc>
      </w:tr>
      <w:tr w14:paraId="0D7B6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487" w:hRule="atLeast"/>
        </w:trPr>
        <w:tc>
          <w:tcPr>
            <w:tcW w:w="2129" w:type="dxa"/>
            <w:gridSpan w:val="2"/>
          </w:tcPr>
          <w:p w14:paraId="011F9123">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Module code:</w:t>
            </w:r>
          </w:p>
        </w:tc>
        <w:tc>
          <w:tcPr>
            <w:tcW w:w="2201" w:type="dxa"/>
          </w:tcPr>
          <w:p w14:paraId="0F8633E2">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BMBM6021</w:t>
            </w:r>
          </w:p>
        </w:tc>
        <w:tc>
          <w:tcPr>
            <w:tcW w:w="2061" w:type="dxa"/>
          </w:tcPr>
          <w:p w14:paraId="6DCAA1E7">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Contribution to Overall Module Assessment (%):</w:t>
            </w:r>
          </w:p>
        </w:tc>
        <w:tc>
          <w:tcPr>
            <w:tcW w:w="2131" w:type="dxa"/>
          </w:tcPr>
          <w:p w14:paraId="6B68E3EE">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50%</w:t>
            </w:r>
          </w:p>
        </w:tc>
      </w:tr>
      <w:tr w14:paraId="65B4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64" w:hRule="atLeast"/>
        </w:trPr>
        <w:tc>
          <w:tcPr>
            <w:tcW w:w="2129" w:type="dxa"/>
            <w:gridSpan w:val="2"/>
          </w:tcPr>
          <w:p w14:paraId="42C9FA13">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Lecturer:</w:t>
            </w:r>
          </w:p>
        </w:tc>
        <w:tc>
          <w:tcPr>
            <w:tcW w:w="2201" w:type="dxa"/>
          </w:tcPr>
          <w:p w14:paraId="6F24EECC">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Jaliya de Silva</w:t>
            </w:r>
          </w:p>
        </w:tc>
        <w:tc>
          <w:tcPr>
            <w:tcW w:w="2061" w:type="dxa"/>
          </w:tcPr>
          <w:p w14:paraId="690441A2">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Internal Verifier:</w:t>
            </w:r>
          </w:p>
        </w:tc>
        <w:tc>
          <w:tcPr>
            <w:tcW w:w="2131" w:type="dxa"/>
          </w:tcPr>
          <w:p w14:paraId="158D636D">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Robyn Griffiths</w:t>
            </w:r>
          </w:p>
        </w:tc>
      </w:tr>
      <w:tr w14:paraId="09A5D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162" w:hRule="atLeast"/>
        </w:trPr>
        <w:tc>
          <w:tcPr>
            <w:tcW w:w="2129" w:type="dxa"/>
            <w:gridSpan w:val="2"/>
          </w:tcPr>
          <w:p w14:paraId="61AE4826">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Assignment Title:</w:t>
            </w:r>
          </w:p>
        </w:tc>
        <w:tc>
          <w:tcPr>
            <w:tcW w:w="2201" w:type="dxa"/>
          </w:tcPr>
          <w:p w14:paraId="549551AD">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Intercultural Communication and Culture</w:t>
            </w:r>
          </w:p>
        </w:tc>
        <w:tc>
          <w:tcPr>
            <w:tcW w:w="2061" w:type="dxa"/>
          </w:tcPr>
          <w:p w14:paraId="6D985FB7">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Word count (or equlvalent):</w:t>
            </w:r>
          </w:p>
        </w:tc>
        <w:tc>
          <w:tcPr>
            <w:tcW w:w="2131" w:type="dxa"/>
          </w:tcPr>
          <w:p w14:paraId="0498100F">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2500 words</w:t>
            </w:r>
          </w:p>
        </w:tc>
      </w:tr>
      <w:tr w14:paraId="36C0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129" w:type="dxa"/>
            <w:gridSpan w:val="2"/>
          </w:tcPr>
          <w:p w14:paraId="5D2CDC13">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Submission deadline:</w:t>
            </w:r>
          </w:p>
        </w:tc>
        <w:tc>
          <w:tcPr>
            <w:tcW w:w="2201" w:type="dxa"/>
          </w:tcPr>
          <w:p w14:paraId="0F9A7671">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14</w:t>
            </w:r>
            <w:r>
              <w:rPr>
                <w:rFonts w:hint="eastAsia" w:ascii="Arial" w:hAnsi="Arial" w:cs="Arial"/>
                <w:b/>
                <w:bCs/>
                <w:sz w:val="20"/>
                <w:szCs w:val="20"/>
                <w:vertAlign w:val="superscript"/>
                <w:lang w:val="en-US" w:eastAsia="zh-CN"/>
              </w:rPr>
              <w:t>th</w:t>
            </w:r>
            <w:r>
              <w:rPr>
                <w:rFonts w:hint="eastAsia" w:ascii="Arial" w:hAnsi="Arial" w:cs="Arial"/>
                <w:b/>
                <w:bCs/>
                <w:sz w:val="20"/>
                <w:szCs w:val="20"/>
                <w:vertAlign w:val="baseline"/>
                <w:lang w:val="en-US" w:eastAsia="zh-CN"/>
              </w:rPr>
              <w:t xml:space="preserve"> November 2025</w:t>
            </w:r>
          </w:p>
        </w:tc>
        <w:tc>
          <w:tcPr>
            <w:tcW w:w="2061" w:type="dxa"/>
          </w:tcPr>
          <w:p w14:paraId="60566EE2">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Return date of provisional marks &amp; written feedback:</w:t>
            </w:r>
          </w:p>
        </w:tc>
        <w:tc>
          <w:tcPr>
            <w:tcW w:w="2131" w:type="dxa"/>
          </w:tcPr>
          <w:p w14:paraId="4C39E06D">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12</w:t>
            </w:r>
            <w:r>
              <w:rPr>
                <w:rFonts w:hint="eastAsia" w:ascii="Arial" w:hAnsi="Arial" w:cs="Arial"/>
                <w:b/>
                <w:bCs/>
                <w:sz w:val="20"/>
                <w:szCs w:val="20"/>
                <w:vertAlign w:val="superscript"/>
                <w:lang w:val="en-US" w:eastAsia="zh-CN"/>
              </w:rPr>
              <w:t>th</w:t>
            </w:r>
            <w:r>
              <w:rPr>
                <w:rFonts w:hint="eastAsia" w:ascii="Arial" w:hAnsi="Arial" w:cs="Arial"/>
                <w:b/>
                <w:bCs/>
                <w:sz w:val="20"/>
                <w:szCs w:val="20"/>
                <w:vertAlign w:val="baseline"/>
                <w:lang w:val="en-US" w:eastAsia="zh-CN"/>
              </w:rPr>
              <w:t xml:space="preserve"> December 2025</w:t>
            </w:r>
          </w:p>
        </w:tc>
      </w:tr>
      <w:tr w14:paraId="1B339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330" w:type="dxa"/>
            <w:gridSpan w:val="3"/>
          </w:tcPr>
          <w:p w14:paraId="57FFED7D">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eastAsia" w:ascii="Arial" w:hAnsi="Arial" w:cs="Arial"/>
                <w:b/>
                <w:bCs/>
                <w:sz w:val="20"/>
                <w:szCs w:val="20"/>
                <w:vertAlign w:val="baseline"/>
                <w:lang w:val="en-US" w:eastAsia="zh-CN"/>
              </w:rPr>
              <w:t>Submission method:</w:t>
            </w:r>
          </w:p>
        </w:tc>
        <w:tc>
          <w:tcPr>
            <w:tcW w:w="4192" w:type="dxa"/>
            <w:gridSpan w:val="2"/>
          </w:tcPr>
          <w:p w14:paraId="03ADBB0B">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default" w:ascii="Arial" w:hAnsi="Arial" w:cs="Arial"/>
                <w:b/>
                <w:bCs/>
                <w:sz w:val="20"/>
                <w:szCs w:val="20"/>
                <w:vertAlign w:val="baseline"/>
                <w:lang w:val="en-US" w:eastAsia="zh-CN"/>
              </w:rPr>
              <w:t>All wrilten assessments, where practical and possible, must be submitted vaTumitin unless otherwise instructed by the Lecturer. (Piease DO NoT put thisassessment specification into Turnitin or it will match many similarities withother students' submissions</w:t>
            </w:r>
            <w:r>
              <w:rPr>
                <w:rFonts w:hint="eastAsia" w:ascii="Arial" w:hAnsi="Arial" w:cs="Arial"/>
                <w:b/>
                <w:bCs/>
                <w:sz w:val="20"/>
                <w:szCs w:val="20"/>
                <w:vertAlign w:val="baseline"/>
                <w:lang w:val="en-US" w:eastAsia="zh-CN"/>
              </w:rPr>
              <w:t xml:space="preserve">. </w:t>
            </w:r>
            <w:r>
              <w:rPr>
                <w:rFonts w:hint="default" w:ascii="Arial" w:hAnsi="Arial" w:cs="Arial"/>
                <w:b/>
                <w:bCs/>
                <w:sz w:val="20"/>
                <w:szCs w:val="20"/>
                <w:vertAlign w:val="baseline"/>
                <w:lang w:val="en-US" w:eastAsia="zh-CN"/>
              </w:rPr>
              <w:t>)</w:t>
            </w:r>
          </w:p>
          <w:p w14:paraId="46C636DC">
            <w:pPr>
              <w:pStyle w:val="4"/>
              <w:keepNext w:val="0"/>
              <w:keepLines w:val="0"/>
              <w:widowControl/>
              <w:suppressLineNumbers w:val="0"/>
              <w:spacing w:line="480" w:lineRule="auto"/>
              <w:jc w:val="both"/>
              <w:rPr>
                <w:rFonts w:hint="default" w:ascii="Arial" w:hAnsi="Arial" w:cs="Arial"/>
                <w:b/>
                <w:bCs/>
                <w:sz w:val="20"/>
                <w:szCs w:val="20"/>
                <w:vertAlign w:val="baseline"/>
                <w:lang w:val="en-US" w:eastAsia="zh-CN"/>
              </w:rPr>
            </w:pPr>
            <w:r>
              <w:rPr>
                <w:rFonts w:hint="default" w:ascii="Arial" w:hAnsi="Arial" w:cs="Arial"/>
                <w:b/>
                <w:bCs/>
                <w:sz w:val="20"/>
                <w:szCs w:val="20"/>
                <w:vertAlign w:val="baseline"/>
                <w:lang w:val="en-US" w:eastAsia="zh-CN"/>
              </w:rPr>
              <w:t>Alternative submission method (if applicable):</w:t>
            </w:r>
            <w:r>
              <w:rPr>
                <w:rFonts w:hint="eastAsia" w:ascii="Arial" w:hAnsi="Arial" w:cs="Arial"/>
                <w:b/>
                <w:bCs/>
                <w:sz w:val="20"/>
                <w:szCs w:val="20"/>
                <w:vertAlign w:val="baseline"/>
                <w:lang w:val="en-US" w:eastAsia="zh-CN"/>
              </w:rPr>
              <w:t xml:space="preserve"> </w:t>
            </w:r>
            <w:r>
              <w:rPr>
                <w:rFonts w:hint="default" w:ascii="Arial" w:hAnsi="Arial" w:cs="Arial"/>
                <w:b/>
                <w:bCs/>
                <w:sz w:val="20"/>
                <w:szCs w:val="20"/>
                <w:vertAlign w:val="baseline"/>
                <w:lang w:val="en-US" w:eastAsia="zh-CN"/>
              </w:rPr>
              <w:t>Late submission of the assessment will result in a late penalty markPenalties for lale submission: Up to one week late, maximum mark of 40%Over one week late,0%,Only the Extenuating Circumstances Panel mayapprove a change to submission dates</w:t>
            </w:r>
            <w:r>
              <w:rPr>
                <w:rFonts w:hint="eastAsia" w:ascii="Arial" w:hAnsi="Arial" w:cs="Arial"/>
                <w:b/>
                <w:bCs/>
                <w:sz w:val="20"/>
                <w:szCs w:val="20"/>
                <w:vertAlign w:val="baseline"/>
                <w:lang w:val="en-US" w:eastAsia="zh-CN"/>
              </w:rPr>
              <w:t>.</w:t>
            </w:r>
          </w:p>
        </w:tc>
      </w:tr>
    </w:tbl>
    <w:p w14:paraId="773370AC">
      <w:pPr>
        <w:pStyle w:val="4"/>
        <w:keepNext w:val="0"/>
        <w:keepLines w:val="0"/>
        <w:widowControl/>
        <w:suppressLineNumbers w:val="0"/>
        <w:spacing w:line="480" w:lineRule="auto"/>
        <w:jc w:val="both"/>
        <w:rPr>
          <w:rFonts w:hint="default" w:ascii="Arial" w:hAnsi="Arial" w:cs="Arial"/>
          <w:b/>
          <w:bCs/>
          <w:sz w:val="20"/>
          <w:szCs w:val="20"/>
          <w:lang w:val="en-US" w:eastAsia="zh-CN"/>
        </w:rPr>
      </w:pPr>
    </w:p>
    <w:p w14:paraId="519F2A34">
      <w:pPr>
        <w:pStyle w:val="4"/>
        <w:keepNext w:val="0"/>
        <w:keepLines w:val="0"/>
        <w:widowControl/>
        <w:suppressLineNumbers w:val="0"/>
        <w:spacing w:line="480" w:lineRule="auto"/>
        <w:jc w:val="both"/>
        <w:rPr>
          <w:rFonts w:hint="default" w:ascii="Times New Roman" w:hAnsi="Times New Roman" w:cs="Times New Roman"/>
          <w:sz w:val="24"/>
          <w:szCs w:val="24"/>
        </w:rPr>
      </w:pPr>
    </w:p>
    <w:p w14:paraId="1ECEA335">
      <w:pPr>
        <w:pStyle w:val="4"/>
        <w:keepNext w:val="0"/>
        <w:keepLines w:val="0"/>
        <w:widowControl/>
        <w:suppressLineNumbers w:val="0"/>
        <w:spacing w:line="480" w:lineRule="auto"/>
        <w:jc w:val="both"/>
        <w:rPr>
          <w:rFonts w:hint="default" w:ascii="Times New Roman" w:hAnsi="Times New Roman" w:cs="Times New Roman"/>
          <w:sz w:val="24"/>
          <w:szCs w:val="24"/>
        </w:rPr>
      </w:pPr>
    </w:p>
    <w:p w14:paraId="08A14682">
      <w:pPr>
        <w:pStyle w:val="4"/>
        <w:keepNext w:val="0"/>
        <w:keepLines w:val="0"/>
        <w:widowControl/>
        <w:suppressLineNumbers w:val="0"/>
        <w:spacing w:line="480" w:lineRule="auto"/>
        <w:jc w:val="both"/>
        <w:rPr>
          <w:rFonts w:hint="default" w:ascii="Times New Roman" w:hAnsi="Times New Roman" w:cs="Times New Roman"/>
          <w:sz w:val="24"/>
          <w:szCs w:val="24"/>
        </w:rPr>
      </w:pPr>
    </w:p>
    <w:p w14:paraId="43E5B97A">
      <w:pPr>
        <w:pStyle w:val="4"/>
        <w:keepNext w:val="0"/>
        <w:keepLines w:val="0"/>
        <w:widowControl/>
        <w:suppressLineNumbers w:val="0"/>
        <w:spacing w:line="480" w:lineRule="auto"/>
        <w:jc w:val="both"/>
        <w:rPr>
          <w:rFonts w:hint="default" w:ascii="Times New Roman" w:hAnsi="Times New Roman" w:cs="Times New Roman"/>
          <w:sz w:val="24"/>
          <w:szCs w:val="24"/>
        </w:rPr>
      </w:pPr>
    </w:p>
    <w:p w14:paraId="067020B8">
      <w:pPr>
        <w:pStyle w:val="4"/>
        <w:keepNext w:val="0"/>
        <w:keepLines w:val="0"/>
        <w:widowControl/>
        <w:suppressLineNumbers w:val="0"/>
        <w:spacing w:line="480" w:lineRule="auto"/>
        <w:jc w:val="both"/>
        <w:rPr>
          <w:rFonts w:hint="default" w:ascii="Times New Roman" w:hAnsi="Times New Roman" w:cs="Times New Roman"/>
          <w:b/>
          <w:bCs/>
          <w:sz w:val="24"/>
          <w:szCs w:val="24"/>
        </w:rPr>
      </w:pPr>
      <w:r>
        <w:rPr>
          <w:rFonts w:hint="eastAsia" w:ascii="Times New Roman" w:hAnsi="Times New Roman" w:cs="Times New Roman"/>
          <w:b/>
          <w:bCs/>
          <w:sz w:val="24"/>
          <w:szCs w:val="24"/>
          <w:lang w:val="en-US" w:eastAsia="zh-CN"/>
        </w:rPr>
        <w:t xml:space="preserve">Title: </w:t>
      </w:r>
      <w:r>
        <w:rPr>
          <w:rFonts w:hint="default" w:ascii="Times New Roman" w:hAnsi="Times New Roman" w:cs="Times New Roman"/>
          <w:b/>
          <w:bCs/>
          <w:sz w:val="24"/>
          <w:szCs w:val="24"/>
        </w:rPr>
        <w:t>High-Context and Low-Context Cultures: Communication Conflicts and Optimization Strategies in Cross-Cultural Teams of British Multinational Corporations</w:t>
      </w:r>
    </w:p>
    <w:p w14:paraId="39B75D9F">
      <w:pPr>
        <w:pStyle w:val="4"/>
        <w:keepNext w:val="0"/>
        <w:keepLines w:val="0"/>
        <w:widowControl/>
        <w:suppressLineNumbers w:val="0"/>
        <w:spacing w:line="480" w:lineRule="auto"/>
        <w:jc w:val="both"/>
        <w:rPr>
          <w:rFonts w:hint="default" w:ascii="Times New Roman" w:hAnsi="Times New Roman" w:cs="Times New Roman"/>
          <w:sz w:val="24"/>
          <w:szCs w:val="24"/>
        </w:rPr>
      </w:pPr>
    </w:p>
    <w:p w14:paraId="4FDA3781">
      <w:pPr>
        <w:pStyle w:val="4"/>
        <w:keepNext w:val="0"/>
        <w:keepLines w:val="0"/>
        <w:widowControl/>
        <w:suppressLineNumbers w:val="0"/>
        <w:spacing w:line="480" w:lineRule="auto"/>
        <w:jc w:val="both"/>
        <w:rPr>
          <w:rFonts w:hint="default" w:ascii="Times New Roman" w:hAnsi="Times New Roman" w:cs="Times New Roman"/>
          <w:sz w:val="24"/>
          <w:szCs w:val="24"/>
        </w:rPr>
      </w:pPr>
    </w:p>
    <w:p w14:paraId="67DA9382">
      <w:pPr>
        <w:pStyle w:val="4"/>
        <w:keepNext w:val="0"/>
        <w:keepLines w:val="0"/>
        <w:widowControl/>
        <w:suppressLineNumbers w:val="0"/>
        <w:spacing w:line="480" w:lineRule="auto"/>
        <w:jc w:val="both"/>
        <w:rPr>
          <w:rFonts w:hint="default" w:ascii="Times New Roman" w:hAnsi="Times New Roman" w:cs="Times New Roman"/>
          <w:sz w:val="24"/>
          <w:szCs w:val="24"/>
        </w:rPr>
      </w:pPr>
    </w:p>
    <w:p w14:paraId="162EE3DE">
      <w:pPr>
        <w:pStyle w:val="4"/>
        <w:keepNext w:val="0"/>
        <w:keepLines w:val="0"/>
        <w:widowControl/>
        <w:suppressLineNumbers w:val="0"/>
        <w:spacing w:line="480" w:lineRule="auto"/>
        <w:jc w:val="both"/>
        <w:rPr>
          <w:rFonts w:hint="default" w:ascii="Times New Roman" w:hAnsi="Times New Roman" w:cs="Times New Roman"/>
          <w:sz w:val="24"/>
          <w:szCs w:val="24"/>
        </w:rPr>
      </w:pPr>
    </w:p>
    <w:p w14:paraId="54BF9722">
      <w:pPr>
        <w:pStyle w:val="4"/>
        <w:keepNext w:val="0"/>
        <w:keepLines w:val="0"/>
        <w:widowControl/>
        <w:suppressLineNumbers w:val="0"/>
        <w:spacing w:line="480" w:lineRule="auto"/>
        <w:jc w:val="both"/>
        <w:rPr>
          <w:rFonts w:hint="default" w:ascii="Times New Roman" w:hAnsi="Times New Roman" w:cs="Times New Roman"/>
          <w:sz w:val="24"/>
          <w:szCs w:val="24"/>
        </w:rPr>
      </w:pPr>
    </w:p>
    <w:p w14:paraId="77437587">
      <w:pPr>
        <w:pStyle w:val="4"/>
        <w:keepNext w:val="0"/>
        <w:keepLines w:val="0"/>
        <w:widowControl/>
        <w:suppressLineNumbers w:val="0"/>
        <w:spacing w:line="480" w:lineRule="auto"/>
        <w:jc w:val="both"/>
        <w:rPr>
          <w:rFonts w:hint="default" w:ascii="Times New Roman" w:hAnsi="Times New Roman" w:cs="Times New Roman"/>
          <w:sz w:val="24"/>
          <w:szCs w:val="24"/>
        </w:rPr>
      </w:pPr>
    </w:p>
    <w:p w14:paraId="74C0794C">
      <w:pPr>
        <w:pStyle w:val="4"/>
        <w:keepNext w:val="0"/>
        <w:keepLines w:val="0"/>
        <w:widowControl/>
        <w:suppressLineNumbers w:val="0"/>
        <w:spacing w:line="480" w:lineRule="auto"/>
        <w:jc w:val="both"/>
        <w:rPr>
          <w:rFonts w:hint="default" w:ascii="Times New Roman" w:hAnsi="Times New Roman" w:cs="Times New Roman"/>
          <w:sz w:val="24"/>
          <w:szCs w:val="24"/>
        </w:rPr>
      </w:pPr>
    </w:p>
    <w:p w14:paraId="35E46C62">
      <w:pPr>
        <w:pStyle w:val="4"/>
        <w:keepNext w:val="0"/>
        <w:keepLines w:val="0"/>
        <w:widowControl/>
        <w:suppressLineNumbers w:val="0"/>
        <w:spacing w:line="480" w:lineRule="auto"/>
        <w:jc w:val="both"/>
        <w:rPr>
          <w:rFonts w:hint="default" w:ascii="Times New Roman" w:hAnsi="Times New Roman" w:cs="Times New Roman"/>
          <w:sz w:val="24"/>
          <w:szCs w:val="24"/>
        </w:rPr>
      </w:pPr>
    </w:p>
    <w:p w14:paraId="7F10C9ED">
      <w:pPr>
        <w:pStyle w:val="4"/>
        <w:keepNext w:val="0"/>
        <w:keepLines w:val="0"/>
        <w:widowControl/>
        <w:suppressLineNumbers w:val="0"/>
        <w:spacing w:line="480" w:lineRule="auto"/>
        <w:jc w:val="both"/>
        <w:rPr>
          <w:rFonts w:hint="default" w:ascii="Times New Roman" w:hAnsi="Times New Roman" w:cs="Times New Roman"/>
          <w:sz w:val="24"/>
          <w:szCs w:val="24"/>
        </w:rPr>
      </w:pPr>
    </w:p>
    <w:p w14:paraId="28D1246C">
      <w:pPr>
        <w:pStyle w:val="4"/>
        <w:keepNext w:val="0"/>
        <w:keepLines w:val="0"/>
        <w:widowControl/>
        <w:suppressLineNumbers w:val="0"/>
        <w:spacing w:line="480" w:lineRule="auto"/>
        <w:jc w:val="both"/>
        <w:rPr>
          <w:rFonts w:hint="default" w:ascii="Times New Roman" w:hAnsi="Times New Roman" w:cs="Times New Roman"/>
          <w:sz w:val="24"/>
          <w:szCs w:val="24"/>
        </w:rPr>
      </w:pPr>
    </w:p>
    <w:p w14:paraId="01D3D1D9">
      <w:pPr>
        <w:pStyle w:val="4"/>
        <w:keepNext w:val="0"/>
        <w:keepLines w:val="0"/>
        <w:widowControl/>
        <w:suppressLineNumbers w:val="0"/>
        <w:spacing w:line="480" w:lineRule="auto"/>
        <w:jc w:val="both"/>
        <w:rPr>
          <w:rFonts w:hint="default" w:ascii="Times New Roman" w:hAnsi="Times New Roman" w:cs="Times New Roman"/>
          <w:sz w:val="24"/>
          <w:szCs w:val="24"/>
        </w:rPr>
      </w:pPr>
    </w:p>
    <w:p w14:paraId="22DD3FCC">
      <w:pPr>
        <w:pStyle w:val="4"/>
        <w:keepNext w:val="0"/>
        <w:keepLines w:val="0"/>
        <w:widowControl/>
        <w:suppressLineNumbers w:val="0"/>
        <w:spacing w:line="480" w:lineRule="auto"/>
        <w:jc w:val="both"/>
        <w:rPr>
          <w:rFonts w:hint="default" w:ascii="Times New Roman" w:hAnsi="Times New Roman" w:cs="Times New Roman"/>
          <w:sz w:val="24"/>
          <w:szCs w:val="24"/>
        </w:rPr>
      </w:pPr>
    </w:p>
    <w:p w14:paraId="4A961943">
      <w:pPr>
        <w:pStyle w:val="4"/>
        <w:keepNext w:val="0"/>
        <w:keepLines w:val="0"/>
        <w:widowControl/>
        <w:suppressLineNumbers w:val="0"/>
        <w:spacing w:line="480" w:lineRule="auto"/>
        <w:jc w:val="both"/>
        <w:rPr>
          <w:rFonts w:hint="default" w:ascii="Times New Roman" w:hAnsi="Times New Roman" w:cs="Times New Roman"/>
          <w:sz w:val="24"/>
          <w:szCs w:val="24"/>
        </w:rPr>
      </w:pPr>
      <w:bookmarkStart w:id="0" w:name="_GoBack"/>
      <w:bookmarkEnd w:id="0"/>
    </w:p>
    <w:p w14:paraId="27B79BD8">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Abstract</w:t>
      </w:r>
    </w:p>
    <w:p w14:paraId="7FFB55DA">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Within the cross-cultural team of a multinational technology company's marketing department in London, UK, a fundamental disagreement between the Chinese project manager and the British creative specialist over a Southeast Asian marketing strategy exposed the core conflict in cross-cultural collaboration as outlined by Hall's “high-context and low-context cultural model.” The indirect communication typical of high-context cultures clashed with the direct interpretation expected in low-context cultures, creating semantic discrepancies. Ultimately, the proposal was rejected by the client for failing to align with the target market's cultural perceptions. This study examines a cross-cultural team within a British multinational corporation, systematically analyzing conflicts across three dimensions: communication expression, collaborative logic, and interpretation of silence. Drawing on practical case studies from UK-based enterprises, it proposes three optimization strategies: preemptive cultural training, standardized communication tools, and proactive confirmation mechanisms. These offer theoretical support and practical guidance for enhancing the effectiveness of cross-cultural teams within British multinational corporations.</w:t>
      </w:r>
    </w:p>
    <w:p w14:paraId="786C9BFC">
      <w:pPr>
        <w:keepNext w:val="0"/>
        <w:keepLines w:val="0"/>
        <w:widowControl/>
        <w:suppressLineNumbers w:val="0"/>
        <w:spacing w:line="480" w:lineRule="auto"/>
        <w:jc w:val="both"/>
        <w:rPr>
          <w:rFonts w:hint="default" w:ascii="Times New Roman" w:hAnsi="Times New Roman" w:cs="Times New Roman"/>
          <w:sz w:val="24"/>
          <w:szCs w:val="24"/>
        </w:rPr>
      </w:pPr>
    </w:p>
    <w:p w14:paraId="6D107611">
      <w:pPr>
        <w:pStyle w:val="4"/>
        <w:keepNext w:val="0"/>
        <w:keepLines w:val="0"/>
        <w:widowControl/>
        <w:suppressLineNumbers w:val="0"/>
        <w:spacing w:line="480" w:lineRule="auto"/>
        <w:jc w:val="both"/>
        <w:rPr>
          <w:rFonts w:hint="default" w:ascii="Times New Roman" w:hAnsi="Times New Roman" w:cs="Times New Roman"/>
          <w:sz w:val="24"/>
          <w:szCs w:val="24"/>
        </w:rPr>
      </w:pPr>
    </w:p>
    <w:p w14:paraId="278D9B12">
      <w:pPr>
        <w:spacing w:line="480" w:lineRule="auto"/>
        <w:jc w:val="both"/>
        <w:rPr>
          <w:rFonts w:hint="default" w:ascii="Times New Roman" w:hAnsi="Times New Roman" w:cs="Times New Roman"/>
          <w:sz w:val="24"/>
          <w:szCs w:val="24"/>
        </w:rPr>
      </w:pPr>
    </w:p>
    <w:p w14:paraId="6B746E2F">
      <w:pPr>
        <w:pStyle w:val="4"/>
        <w:keepNext w:val="0"/>
        <w:keepLines w:val="0"/>
        <w:widowControl/>
        <w:suppressLineNumbers w:val="0"/>
        <w:spacing w:line="480" w:lineRule="auto"/>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                              Contents </w:t>
      </w:r>
    </w:p>
    <w:p w14:paraId="11F26B04">
      <w:pPr>
        <w:pStyle w:val="4"/>
        <w:keepNext w:val="0"/>
        <w:keepLines w:val="0"/>
        <w:widowControl/>
        <w:suppressLineNumbers w:val="0"/>
        <w:spacing w:line="480" w:lineRule="auto"/>
        <w:jc w:val="both"/>
        <w:rPr>
          <w:rFonts w:hint="default" w:ascii="Times New Roman" w:hAnsi="Times New Roman" w:cs="Times New Roman"/>
          <w:sz w:val="24"/>
          <w:szCs w:val="24"/>
          <w:lang w:val="en-US"/>
        </w:rPr>
      </w:pPr>
      <w:r>
        <w:rPr>
          <w:rFonts w:hint="eastAsia" w:ascii="Times New Roman" w:hAnsi="Times New Roman" w:cs="Times New Roman"/>
          <w:sz w:val="24"/>
          <w:szCs w:val="24"/>
          <w:lang w:val="en-US" w:eastAsia="zh-CN"/>
        </w:rPr>
        <w:t>1.0 Introduction.........................................................................................................5</w:t>
      </w:r>
    </w:p>
    <w:p w14:paraId="305C4FBB">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2.0 Manifestations of Conflict in British Cross-Cultural Teams Between High- and Low-Context Cultures</w:t>
      </w:r>
      <w:r>
        <w:rPr>
          <w:rFonts w:hint="eastAsia" w:ascii="Times New Roman" w:hAnsi="Times New Roman" w:cs="Times New Roman"/>
          <w:sz w:val="24"/>
          <w:szCs w:val="24"/>
          <w:lang w:val="en-US" w:eastAsia="zh-CN"/>
        </w:rPr>
        <w:t>...............................................................................................7</w:t>
      </w:r>
    </w:p>
    <w:p w14:paraId="242CE631">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2.1 Communication Expression: Semantic Discrepancies Between “Indirect Hints” and “Direct Statements”</w:t>
      </w:r>
      <w:r>
        <w:rPr>
          <w:rFonts w:hint="eastAsia" w:ascii="Times New Roman" w:hAnsi="Times New Roman" w:cs="Times New Roman"/>
          <w:sz w:val="24"/>
          <w:szCs w:val="24"/>
          <w:lang w:val="en-US" w:eastAsia="zh-CN"/>
        </w:rPr>
        <w:t>............................................................................................7</w:t>
      </w:r>
    </w:p>
    <w:p w14:paraId="3ACB862F">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2.2 Collaborative Logic: The Rhythm Mismatch Between “Relationship-First” and “Task-First” Approaches</w:t>
      </w:r>
      <w:r>
        <w:rPr>
          <w:rFonts w:hint="eastAsia" w:ascii="Times New Roman" w:hAnsi="Times New Roman" w:cs="Times New Roman"/>
          <w:sz w:val="24"/>
          <w:szCs w:val="24"/>
          <w:lang w:val="en-US" w:eastAsia="zh-CN"/>
        </w:rPr>
        <w:t>...........................................................................................8</w:t>
      </w:r>
    </w:p>
    <w:p w14:paraId="248A9E6B">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2.3 Silent Interpretations: Cognitive Discrepancies Between “Thinking Space” and “Communication Barriers”</w:t>
      </w:r>
      <w:r>
        <w:rPr>
          <w:rFonts w:hint="eastAsia" w:ascii="Times New Roman" w:hAnsi="Times New Roman" w:cs="Times New Roman"/>
          <w:sz w:val="24"/>
          <w:szCs w:val="24"/>
          <w:lang w:val="en-US" w:eastAsia="zh-CN"/>
        </w:rPr>
        <w:t>........................................................................................9</w:t>
      </w:r>
    </w:p>
    <w:p w14:paraId="43250692">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3.0 Contextual Conflict Mitigation Strategies for UK Cross-Cultural Teams</w:t>
      </w:r>
      <w:r>
        <w:rPr>
          <w:rFonts w:hint="eastAsia" w:ascii="Times New Roman" w:hAnsi="Times New Roman" w:cs="Times New Roman"/>
          <w:sz w:val="24"/>
          <w:szCs w:val="24"/>
          <w:lang w:val="en-US" w:eastAsia="zh-CN"/>
        </w:rPr>
        <w:t>..........10</w:t>
      </w:r>
    </w:p>
    <w:p w14:paraId="1F3590C8">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3.1 Proactive Cultural Training: Establishing</w:t>
      </w:r>
      <w:r>
        <w:rPr>
          <w:rFonts w:hint="eastAsia" w:ascii="Times New Roman" w:hAnsi="Times New Roman" w:cs="Times New Roman"/>
          <w:sz w:val="24"/>
          <w:szCs w:val="24"/>
          <w:lang w:val="en-US" w:eastAsia="zh-CN"/>
        </w:rPr>
        <w:t>............................................................10</w:t>
      </w:r>
    </w:p>
    <w:p w14:paraId="38306EC2">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3.2 Standardized Communication Tools</w:t>
      </w:r>
      <w:r>
        <w:rPr>
          <w:rFonts w:hint="eastAsia" w:ascii="Times New Roman" w:hAnsi="Times New Roman" w:cs="Times New Roman"/>
          <w:sz w:val="24"/>
          <w:szCs w:val="24"/>
          <w:lang w:val="en-US" w:eastAsia="zh-CN"/>
        </w:rPr>
        <w:t>....................................................................11</w:t>
      </w:r>
    </w:p>
    <w:p w14:paraId="2F2205E1">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3.3 Proactive Confirmation Mechanism</w:t>
      </w:r>
      <w:r>
        <w:rPr>
          <w:rFonts w:hint="eastAsia" w:ascii="Times New Roman" w:hAnsi="Times New Roman" w:cs="Times New Roman"/>
          <w:sz w:val="24"/>
          <w:szCs w:val="24"/>
          <w:lang w:val="en-US" w:eastAsia="zh-CN"/>
        </w:rPr>
        <w:t>.....................................................................12</w:t>
      </w:r>
    </w:p>
    <w:p w14:paraId="1259F709">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4.0 Recommendations</w:t>
      </w:r>
      <w:r>
        <w:rPr>
          <w:rFonts w:hint="eastAsia" w:ascii="Times New Roman" w:hAnsi="Times New Roman" w:cs="Times New Roman"/>
          <w:sz w:val="24"/>
          <w:szCs w:val="24"/>
          <w:lang w:val="en-US" w:eastAsia="zh-CN"/>
        </w:rPr>
        <w:t>.................................................................................................14</w:t>
      </w:r>
    </w:p>
    <w:p w14:paraId="33A0878C">
      <w:pPr>
        <w:pStyle w:val="4"/>
        <w:keepNext w:val="0"/>
        <w:keepLines w:val="0"/>
        <w:widowControl/>
        <w:suppressLineNumbers w:val="0"/>
        <w:spacing w:line="480" w:lineRule="auto"/>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5.0 Conclusion</w:t>
      </w:r>
      <w:r>
        <w:rPr>
          <w:rFonts w:hint="eastAsia" w:ascii="Times New Roman" w:hAnsi="Times New Roman" w:cs="Times New Roman"/>
          <w:sz w:val="24"/>
          <w:szCs w:val="24"/>
          <w:lang w:val="en-US" w:eastAsia="zh-CN"/>
        </w:rPr>
        <w:t>.............................................................................................................15</w:t>
      </w:r>
    </w:p>
    <w:p w14:paraId="253A7ADA">
      <w:pPr>
        <w:pStyle w:val="4"/>
        <w:keepNext w:val="0"/>
        <w:keepLines w:val="0"/>
        <w:widowControl/>
        <w:suppressLineNumbers w:val="0"/>
        <w:spacing w:line="48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6.0 Reference...............................................................................................................16</w:t>
      </w:r>
    </w:p>
    <w:p w14:paraId="262A3C25">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1.0 Introduction: The Current State of Cross-Cultural Teams in UK Multinational Enterprises</w:t>
      </w:r>
    </w:p>
    <w:p w14:paraId="3C56E565">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Against the backdrop of globalization, the UK has emerged as a key hub for European multinational enterprises, leveraging its open business environment and talent policies. According to the UK Multinational Enterprise Cultural Diversity Report 2022 published by the Department for Business, Energy and Industrial Strategy (BEIS, 2022), between 2021 and 2022, cross-cultural teams (comprising members from three or more countries/regions) accounted for 41% of companies in the City of London, East London Tech City, and Manchester Digital Economy Zone. Among these teams, 63% experienced project delays exceeding three days due to “inefficient communication,” while 27% of teams incurred direct economic losses (such as project rework or client attrition) due to misunderstandings stemming from cultural differences.</w:t>
      </w:r>
    </w:p>
    <w:p w14:paraId="6C8EBE22">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Consider the Southeast Asian product development team at a London-based multinational FMCG company: the team comprised Raj, an Indian product manager; Lucy, a British packaging designer; and Az, a Malaysian marketing specialist. During a discussion about snack packaging design for the Malaysian market, Raj reviewed Lucy's initial draft and remarked: “This color scheme is a bit too vibrant; we might need something more subdued.” Lucy interpreted this as a request to “adjust the saturation,” simply replacing the bright red with a lighter shade and resubmitting. However, Raji actually meant that “Malaysian consumers associate overly vivid packaging with ‘unhealthy’ products, so we should use earthy tones like brown or beige that evoke natural ingredients.” This “semantic deviation” is not an isolated case but a classic manifestation of “contextual differences” within cross-cultural teams at British multinational corporations (British Council, 2023).</w:t>
      </w:r>
    </w:p>
    <w:p w14:paraId="664D7F3D">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American anthropologist Edward T. Hall's 1976 “High-Context and Low-Context Culture Model” provides a core theoretical explanation for such conflicts: Members from different cultural backgrounds exhibit fundamental differences in their reliance on “context (including nonverbal cues, implied information, and cultural consensus)” during communication, directly impacting the accuracy and efficiency of information transmission. Therefore, analyzing the specific manifestations, root causes of conflict, and optimization strategies for high/low-context cultures within UK cross-cultural teams holds significant practical importance for enhancing the team effectiveness of UK multinational corporations.</w:t>
      </w:r>
    </w:p>
    <w:p w14:paraId="46F42765">
      <w:pPr>
        <w:pStyle w:val="4"/>
        <w:keepNext w:val="0"/>
        <w:keepLines w:val="0"/>
        <w:widowControl/>
        <w:suppressLineNumbers w:val="0"/>
        <w:spacing w:line="480" w:lineRule="auto"/>
        <w:jc w:val="both"/>
        <w:rPr>
          <w:rFonts w:hint="default" w:ascii="Times New Roman" w:hAnsi="Times New Roman" w:cs="Times New Roman"/>
          <w:sz w:val="24"/>
          <w:szCs w:val="24"/>
        </w:rPr>
      </w:pPr>
    </w:p>
    <w:p w14:paraId="155AAC03">
      <w:pPr>
        <w:spacing w:line="480" w:lineRule="auto"/>
        <w:jc w:val="both"/>
        <w:rPr>
          <w:rFonts w:hint="default" w:ascii="Times New Roman" w:hAnsi="Times New Roman" w:cs="Times New Roman"/>
          <w:sz w:val="24"/>
          <w:szCs w:val="24"/>
        </w:rPr>
      </w:pPr>
    </w:p>
    <w:p w14:paraId="307EA105">
      <w:pPr>
        <w:spacing w:line="480" w:lineRule="auto"/>
        <w:jc w:val="both"/>
        <w:rPr>
          <w:rFonts w:hint="default" w:ascii="Times New Roman" w:hAnsi="Times New Roman" w:cs="Times New Roman"/>
          <w:sz w:val="24"/>
          <w:szCs w:val="24"/>
        </w:rPr>
      </w:pPr>
    </w:p>
    <w:p w14:paraId="350C7EDF">
      <w:pPr>
        <w:spacing w:line="480" w:lineRule="auto"/>
        <w:jc w:val="both"/>
        <w:rPr>
          <w:rFonts w:hint="default" w:ascii="Times New Roman" w:hAnsi="Times New Roman" w:cs="Times New Roman"/>
          <w:sz w:val="24"/>
          <w:szCs w:val="24"/>
        </w:rPr>
      </w:pPr>
    </w:p>
    <w:p w14:paraId="0A6F597E">
      <w:pPr>
        <w:spacing w:line="480" w:lineRule="auto"/>
        <w:jc w:val="both"/>
        <w:rPr>
          <w:rFonts w:hint="default" w:ascii="Times New Roman" w:hAnsi="Times New Roman" w:cs="Times New Roman"/>
          <w:sz w:val="24"/>
          <w:szCs w:val="24"/>
        </w:rPr>
      </w:pPr>
    </w:p>
    <w:p w14:paraId="28BD5EB5">
      <w:pPr>
        <w:spacing w:line="480" w:lineRule="auto"/>
        <w:jc w:val="both"/>
        <w:rPr>
          <w:rFonts w:hint="default" w:ascii="Times New Roman" w:hAnsi="Times New Roman" w:cs="Times New Roman"/>
          <w:sz w:val="24"/>
          <w:szCs w:val="24"/>
        </w:rPr>
      </w:pPr>
    </w:p>
    <w:p w14:paraId="47D8105A">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2.0 Manifestations of Conflict in British Cross-Cultural Teams Between High- and Low-Context Cultures</w:t>
      </w:r>
    </w:p>
    <w:p w14:paraId="22CBE1D6">
      <w:pPr>
        <w:pStyle w:val="4"/>
        <w:keepNext w:val="0"/>
        <w:keepLines w:val="0"/>
        <w:widowControl/>
        <w:suppressLineNumbers w:val="0"/>
        <w:spacing w:line="48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rPr>
        <w:t>Hall categorizes cultures into “high-context cultures” and “low-context cultures”: High-context cultures (such as China, India, Japan, and Malaysia) rely on implicit information, nonverbal cues, and cultural consensus in communication, with core meanings often “embedded within the context”; while communication in low-context cultures (e.g., the UK, US, Australia) relies on explicit verbal expressions, with core meanings directly “expressed in the literal words” (Hall, 1976). Within UK multinational corporations, interactions between members of these two cultural types frequently manifest in three typical conflict patterns</w:t>
      </w:r>
      <w:r>
        <w:rPr>
          <w:rFonts w:hint="eastAsia" w:ascii="Times New Roman" w:hAnsi="Times New Roman" w:cs="Times New Roman"/>
          <w:sz w:val="24"/>
          <w:szCs w:val="24"/>
          <w:lang w:val="en-US" w:eastAsia="zh-CN"/>
        </w:rPr>
        <w:t>.</w:t>
      </w:r>
    </w:p>
    <w:p w14:paraId="3F39763C">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2.1 Communication Expression: Semantic Discrepancies Between “Indirect Hints” and “Direct Statements”</w:t>
      </w:r>
    </w:p>
    <w:p w14:paraId="086361E0">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case study from a British multinational advertising agency (serving Southeast Asian markets) vividly illustrates the practical impact of this discrepancy: In 2023, during the planning of a summer marketing campaign for a Thai beverage brand, Thai copywriter Nara provided feedback stating, “This slogan is creative, but it might not align well with the everyday expression habits of Thai youth.” British Creative Director Tom interpreted this as a “minor stylistic suggestion,” adjusting only the word order of a few phrases before submitting the final draft. Ultimately, the campaign achieved only 40% of its anticipated social media reach in Thailand. Post-campaign research revealed Thai users perceived the slogan as “too formal and lacking relatability.” Nara later explained: “In Thai culture, ‘might not quite fit’ is actually a polite way of saying ‘needs a complete rewrite.’ I didn't want to outright reject his work.” (LSE, 2024)</w:t>
      </w:r>
    </w:p>
    <w:p w14:paraId="7372B1AD">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 by the British Council (2023) further confirms this issue: in British workplaces, employees from high-context backgrounds experience 39% more misunderstandings due to “indirect communication” than those from low-context backgrounds. Among these, 72% of misunderstandings occur during “task feedback” and “requirement communication” phases.</w:t>
      </w:r>
    </w:p>
    <w:p w14:paraId="6C148D0D">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2.2 Collaborative Logic: The Rhythm Mismatch Between “Relationship-First” and “Task-First” Approaches</w:t>
      </w:r>
    </w:p>
    <w:p w14:paraId="72DA230D">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Within the cross-cultural sales team of a London-based fintech company, Pakistani account manager Karim followed this workflow: Before collaborating with new colleagues, he would arrange 2-3 coffee meetings to discuss everyday topics like family and hobbies, building trust before advancing client resource introductions. Meanwhile, British sales specialist Jack believed “directly discussing client lists and assigning tasks is more efficient,” repeatedly declining coffee invitations under the pretext of “urgent work.” Their initial collaboration proved highly inefficient—Karim felt “Jack disrespected him and was untrustworthy,” while Jack deemed “Karim wasteful and unprofessional” (University of Manchester, 2024).</w:t>
      </w:r>
    </w:p>
    <w:p w14:paraId="76F55070">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conflict reflects the divergence between “relationship-oriented cultures” and “rule-oriented cultures” (Hooker, 2018): In high-context cultures, “building interpersonal trust” is a prerequisite for advancing work, with members believing “smooth relationships lead to smooth tasks.” Conversely, in low-context cultures, “achieving task objectives” is the core priority, where members focus more on “processes, rules, and efficiency.” Statistics from the Federation of Small Businesses (FSB, 2024) indicate that conflicts arising from “mismatched collaboration rhythms” account for 28% of internal disputes within cross-cultural teams.</w:t>
      </w:r>
    </w:p>
    <w:p w14:paraId="4CD50DC1">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2.3 Silent Interpretations: Cognitive Discrepancies Between “Thinking Space” and “Communication Barriers”</w:t>
      </w:r>
    </w:p>
    <w:p w14:paraId="36637C42">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divergence was highlighted during a clinical trial protocol discussion in a cross-cultural R&amp;D team at a UK pharmaceutical company. When the British project lead proposed “increasing the trial sample size by 50%,” Japanese researcher Sato remained silent, reviewing documents. After repeated prompts—“Sato, what are your thoughts on this proposal?”— Sato reluctantly replied, “I think it's acceptable.” After the meeting, Sato privately told Chinese colleagues: “Increasing the sample size would prolong the trial timeline, potentially missing the market window. But directly opposing the lead in the meeting would embarrass him, so I used silence to express hesitation.” The lead, however, interpreted Sato's silence as tacit agreement with no objections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(University of Glasgow, 2024).</w:t>
      </w:r>
    </w:p>
    <w:p w14:paraId="732DC55E">
      <w:pPr>
        <w:pStyle w:val="4"/>
        <w:keepNext w:val="0"/>
        <w:keepLines w:val="0"/>
        <w:widowControl/>
        <w:suppressLineNumbers w:val="0"/>
        <w:spacing w:line="480" w:lineRule="auto"/>
        <w:jc w:val="both"/>
        <w:rPr>
          <w:rFonts w:hint="default" w:ascii="Times New Roman" w:hAnsi="Times New Roman" w:cs="Times New Roman"/>
          <w:sz w:val="24"/>
          <w:szCs w:val="24"/>
        </w:rPr>
      </w:pPr>
    </w:p>
    <w:p w14:paraId="44CC8B11">
      <w:pPr>
        <w:pStyle w:val="4"/>
        <w:keepNext w:val="0"/>
        <w:keepLines w:val="0"/>
        <w:widowControl/>
        <w:suppressLineNumbers w:val="0"/>
        <w:spacing w:line="480" w:lineRule="auto"/>
        <w:jc w:val="both"/>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In his paper “Silent Communication in British Workplaces,” Korean scholar Nam (2025) noted: In high-context cultures, silence is “an integral part of communication,” conveying complex attitudes like agreement, hesitation, or opposition. Members perceive “appropriate silence as a sign of respect and thoughtful consideration”; In low-context cultures, however, silence is perceived as an “interruption in communication.” Members interpret it as “no opinion, disinterest, or inability to participate,” necessitating immediate intervention to advance discussions. This cognitive divergence often leads to decisions in cross-cultural teams that “appear to reach consensus while harboring latent dissent.”</w:t>
      </w:r>
    </w:p>
    <w:p w14:paraId="5D230FEA">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3.0 Contextual Conflict Mitigation Strategies for UK Cross-Cultural Teams</w:t>
      </w:r>
    </w:p>
    <w:p w14:paraId="71EFBE41">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Based on practical cases from UK-based enterprises and applying Hall's model, cross-cultural teams can mitigate contextual conflicts and enhance collaboration efficiency through the following three actionable strategies:</w:t>
      </w:r>
    </w:p>
    <w:p w14:paraId="71C8466B">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3.1 Proactive Cultural Training: Establishing “Contextual Awareness Consensus”</w:t>
      </w:r>
    </w:p>
    <w:p w14:paraId="4C68DC7D">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UK retail giant Tesco launched its “Contextual Communication Workshop” program in 2022 for its global procurement cross-cultural teams: Upon each new team formation, cultural studies experts from SOAS University of London conduct a 2-hour training session covering core topics like “Key Characteristics of High/Low Context Cultures” and “Cultural Communication Cues” (e.g., “Let's talk next time” may signal a polite conversation closure in Chinese culture; while “With all due respect” in British culture often precedes direct opposition). The program also featured “simulated communication” exercises where high-context members conveyed requests using “indirect expressions,” low-context members attempted to interpret the core meaning, and participants then corrected each other's misinterpretations.</w:t>
      </w:r>
    </w:p>
    <w:p w14:paraId="1814F734">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Tesco HR data revealed that teams participating in this workshop experienced a 52% reduction in communication misunderstandings and a 27% increase in project efficiency compared to non-participating teams (CIPD, 2023). Jenifer &amp; Raman (2022) further confirmed that such “targeted cultural training” serves as a foundational strategy for resolving cross-cultural communication conflicts, yielding 34% greater effectiveness than “generic team-building” approaches.</w:t>
      </w:r>
    </w:p>
    <w:p w14:paraId="5A3F3C81">
      <w:pPr>
        <w:pStyle w:val="4"/>
        <w:keepNext w:val="0"/>
        <w:keepLines w:val="0"/>
        <w:widowControl/>
        <w:suppressLineNumbers w:val="0"/>
        <w:spacing w:line="480" w:lineRule="auto"/>
        <w:jc w:val="both"/>
        <w:rPr>
          <w:rFonts w:hint="default" w:ascii="Times New Roman" w:hAnsi="Times New Roman" w:cs="Times New Roman"/>
        </w:rPr>
      </w:pPr>
      <w:r>
        <w:rPr>
          <w:rFonts w:hint="default" w:ascii="Times New Roman" w:hAnsi="Times New Roman" w:cs="Times New Roman"/>
        </w:rPr>
        <w:t>3.2 Standardized Communication Tools: Making Implicit Information Explicit</w:t>
      </w:r>
    </w:p>
    <w:p w14:paraId="164C97A4">
      <w:pPr>
        <w:pStyle w:val="4"/>
        <w:keepNext w:val="0"/>
        <w:keepLines w:val="0"/>
        <w:widowControl/>
        <w:suppressLineNumbers w:val="0"/>
        <w:spacing w:line="480" w:lineRule="auto"/>
        <w:jc w:val="both"/>
        <w:rPr>
          <w:rFonts w:hint="default" w:ascii="Times New Roman" w:hAnsi="Times New Roman" w:cs="Times New Roman"/>
        </w:rPr>
      </w:pPr>
      <w:r>
        <w:rPr>
          <w:rFonts w:hint="default" w:ascii="Times New Roman" w:hAnsi="Times New Roman" w:cs="Times New Roman"/>
        </w:rPr>
        <w:t>A London-based B2B tech company serving global manufacturing clients designed a “3-Dimensional Communication Template” to address ambiguities in cross-cultural communication. All members must include three core modules when conveying task requirements or providing work feedback: 1. Core Message: Clearly state the stance in one sentence (e.g., “The core logic of the proposal needs restructuring”). 2. Specific Recommendations: List actionable adjustment directions (e.g., “Add use case examples for Southeast Asian users”). Third, priority and deadline, specifying urgency (e.g., “Priority: High, complete within 3 days”).</w:t>
      </w:r>
    </w:p>
    <w:p w14:paraId="7DA275FC">
      <w:pPr>
        <w:pStyle w:val="4"/>
        <w:keepNext w:val="0"/>
        <w:keepLines w:val="0"/>
        <w:widowControl/>
        <w:suppressLineNumbers w:val="0"/>
        <w:spacing w:line="480" w:lineRule="auto"/>
        <w:jc w:val="both"/>
        <w:rPr>
          <w:rFonts w:hint="eastAsia" w:ascii="Times New Roman" w:hAnsi="Times New Roman" w:cs="Times New Roman"/>
        </w:rPr>
      </w:pPr>
      <w:r>
        <w:rPr>
          <w:rFonts w:hint="default" w:ascii="Times New Roman" w:hAnsi="Times New Roman" w:cs="Times New Roman"/>
        </w:rPr>
        <w:t>The company's data shows that before implementing the template, cross-cultural teams had a 23% error rate in conveying requirements, which dropped to 7% afterward. For instance, the high-context expression “The report could be refined further” was standardized as: "Core Point: Insufficient data in the market analysis section of the report; Specific recommendation: Add 2023 Malaysian industry research data; Priority: Medium, Deadline: Before end of business this Friday." This formal, structured communication approach reduces ambiguity inherent in high-context expressions while aligning with low-context cultures' preference for clarity (University of Birmingham, 2022).</w:t>
      </w:r>
    </w:p>
    <w:p w14:paraId="413176D0">
      <w:pPr>
        <w:pStyle w:val="4"/>
        <w:keepNext w:val="0"/>
        <w:keepLines w:val="0"/>
        <w:widowControl/>
        <w:suppressLineNumbers w:val="0"/>
        <w:spacing w:line="480" w:lineRule="auto"/>
        <w:jc w:val="both"/>
        <w:rPr>
          <w:rFonts w:hint="default" w:ascii="Times New Roman" w:hAnsi="Times New Roman" w:cs="Times New Roman"/>
        </w:rPr>
      </w:pPr>
      <w:r>
        <w:rPr>
          <w:rFonts w:hint="default" w:ascii="Times New Roman" w:hAnsi="Times New Roman" w:cs="Times New Roman"/>
        </w:rPr>
        <w:t>3.3 Proactive Confirmation Mechanism: Mitigating Hidden Risks of Implied Consensus</w:t>
      </w:r>
    </w:p>
    <w:p w14:paraId="6E1C98FB">
      <w:pPr>
        <w:pStyle w:val="4"/>
        <w:keepNext w:val="0"/>
        <w:keepLines w:val="0"/>
        <w:widowControl/>
        <w:suppressLineNumbers w:val="0"/>
        <w:spacing w:line="480" w:lineRule="auto"/>
        <w:jc w:val="both"/>
        <w:rPr>
          <w:rFonts w:hint="eastAsia" w:ascii="Times New Roman" w:hAnsi="Times New Roman" w:cs="Times New Roman"/>
          <w:lang w:val="en-US" w:eastAsia="zh-CN"/>
        </w:rPr>
      </w:pPr>
      <w:r>
        <w:rPr>
          <w:rFonts w:hint="default" w:ascii="Times New Roman" w:hAnsi="Times New Roman" w:cs="Times New Roman"/>
        </w:rPr>
        <w:t>A UK-based multinational consulting firm serving clients across Europe and East Asia implemented a “Triple Confirmation Rule” within its cross-cultural project teams. This rule mandates three rounds of verification after conveying critical information:</w:t>
      </w:r>
      <w:r>
        <w:rPr>
          <w:rFonts w:hint="eastAsia" w:ascii="Times New Roman" w:hAnsi="Times New Roman" w:cs="Times New Roman"/>
          <w:lang w:val="en-US" w:eastAsia="zh-CN"/>
        </w:rPr>
        <w:t xml:space="preserve"> </w:t>
      </w:r>
      <w:r>
        <w:rPr>
          <w:rFonts w:hint="default" w:ascii="Times New Roman" w:hAnsi="Times New Roman" w:cs="Times New Roman"/>
        </w:rPr>
        <w:t>First</w:t>
      </w:r>
      <w:r>
        <w:rPr>
          <w:rFonts w:hint="eastAsia" w:ascii="Times New Roman" w:hAnsi="Times New Roman" w:cs="Times New Roman"/>
          <w:lang w:val="en-US" w:eastAsia="zh-CN"/>
        </w:rPr>
        <w:t>ly</w:t>
      </w:r>
      <w:r>
        <w:rPr>
          <w:rFonts w:hint="default" w:ascii="Times New Roman" w:hAnsi="Times New Roman" w:cs="Times New Roman"/>
        </w:rPr>
        <w:t>, comprehension confirmation:</w:t>
      </w:r>
      <w:r>
        <w:rPr>
          <w:rFonts w:hint="eastAsia" w:ascii="Times New Roman" w:hAnsi="Times New Roman" w:cs="Times New Roman"/>
          <w:lang w:val="en-US" w:eastAsia="zh-CN"/>
        </w:rPr>
        <w:t xml:space="preserve"> Be clear about the core meaning I</w:t>
      </w:r>
      <w:r>
        <w:rPr>
          <w:rFonts w:hint="default" w:ascii="Times New Roman" w:hAnsi="Times New Roman" w:cs="Times New Roman"/>
          <w:lang w:val="en-US" w:eastAsia="zh-CN"/>
        </w:rPr>
        <w:t>’</w:t>
      </w:r>
      <w:r>
        <w:rPr>
          <w:rFonts w:hint="eastAsia" w:ascii="Times New Roman" w:hAnsi="Times New Roman" w:cs="Times New Roman"/>
          <w:lang w:val="en-US" w:eastAsia="zh-CN"/>
        </w:rPr>
        <w:t xml:space="preserve">m expressing. </w:t>
      </w:r>
      <w:r>
        <w:rPr>
          <w:rFonts w:hint="default" w:ascii="Times New Roman" w:hAnsi="Times New Roman" w:cs="Times New Roman"/>
        </w:rPr>
        <w:t>Second</w:t>
      </w:r>
      <w:r>
        <w:rPr>
          <w:rFonts w:hint="eastAsia" w:ascii="Times New Roman" w:hAnsi="Times New Roman" w:cs="Times New Roman"/>
          <w:lang w:val="en-US" w:eastAsia="zh-CN"/>
        </w:rPr>
        <w:t>ly</w:t>
      </w:r>
      <w:r>
        <w:rPr>
          <w:rFonts w:hint="default" w:ascii="Times New Roman" w:hAnsi="Times New Roman" w:cs="Times New Roman"/>
        </w:rPr>
        <w:t>, execution confirmation:</w:t>
      </w:r>
      <w:r>
        <w:rPr>
          <w:rFonts w:hint="eastAsia" w:ascii="Times New Roman" w:hAnsi="Times New Roman" w:cs="Times New Roman"/>
          <w:lang w:val="en-US" w:eastAsia="zh-CN"/>
        </w:rPr>
        <w:t xml:space="preserve"> Determine the specific implementation plan. </w:t>
      </w:r>
      <w:r>
        <w:rPr>
          <w:rFonts w:hint="default" w:ascii="Times New Roman" w:hAnsi="Times New Roman" w:cs="Times New Roman"/>
        </w:rPr>
        <w:t>Third</w:t>
      </w:r>
      <w:r>
        <w:rPr>
          <w:rFonts w:hint="eastAsia" w:ascii="Times New Roman" w:hAnsi="Times New Roman" w:cs="Times New Roman"/>
          <w:lang w:val="en-US" w:eastAsia="zh-CN"/>
        </w:rPr>
        <w:t>ly</w:t>
      </w:r>
      <w:r>
        <w:rPr>
          <w:rFonts w:hint="default" w:ascii="Times New Roman" w:hAnsi="Times New Roman" w:cs="Times New Roman"/>
        </w:rPr>
        <w:t xml:space="preserve">, consensus confirmation: </w:t>
      </w:r>
      <w:r>
        <w:rPr>
          <w:rFonts w:hint="eastAsia" w:ascii="Times New Roman" w:hAnsi="Times New Roman" w:cs="Times New Roman"/>
          <w:lang w:val="en-US" w:eastAsia="zh-CN"/>
        </w:rPr>
        <w:t>Make sure that our current consensus remains consistent.</w:t>
      </w:r>
    </w:p>
    <w:p w14:paraId="2C87460C">
      <w:pPr>
        <w:pStyle w:val="4"/>
        <w:keepNext w:val="0"/>
        <w:keepLines w:val="0"/>
        <w:widowControl/>
        <w:suppressLineNumbers w:val="0"/>
        <w:spacing w:line="480" w:lineRule="auto"/>
        <w:jc w:val="both"/>
        <w:rPr>
          <w:rFonts w:hint="default" w:ascii="Times New Roman" w:hAnsi="Times New Roman" w:cs="Times New Roman"/>
        </w:rPr>
      </w:pPr>
      <w:r>
        <w:rPr>
          <w:rFonts w:hint="default" w:ascii="Times New Roman" w:hAnsi="Times New Roman" w:cs="Times New Roman"/>
        </w:rPr>
        <w:t>Practical examples demonstrate this mechanism's effectiveness. After an Indian consultant stated, “The client requires more detailed service,” a British assistant sequentially confirmed: “By ‘more detailed service,’ do you mean increasing weekly communication frequency?” “My proposed action plan is to provide progress updates to the client every Tuesday and Thursday.” “Our shared understanding is to provide progress updates to this client every Tuesday and Thursday, correct?” This mechanism effectively mitigates semantic deviation risks, elevating the team's project delivery satisfaction rate from 82% to 94% (FSB, 2024).</w:t>
      </w:r>
    </w:p>
    <w:p w14:paraId="5A9B397C">
      <w:pPr>
        <w:pStyle w:val="4"/>
        <w:keepNext w:val="0"/>
        <w:keepLines w:val="0"/>
        <w:widowControl/>
        <w:suppressLineNumbers w:val="0"/>
      </w:pPr>
    </w:p>
    <w:p w14:paraId="2813F2FF">
      <w:pPr>
        <w:pStyle w:val="4"/>
        <w:keepNext w:val="0"/>
        <w:keepLines w:val="0"/>
        <w:widowControl/>
        <w:suppressLineNumbers w:val="0"/>
      </w:pPr>
    </w:p>
    <w:p w14:paraId="0B063A27">
      <w:pPr>
        <w:pStyle w:val="4"/>
        <w:keepNext w:val="0"/>
        <w:keepLines w:val="0"/>
        <w:widowControl/>
        <w:suppressLineNumbers w:val="0"/>
        <w:spacing w:line="480" w:lineRule="auto"/>
        <w:jc w:val="both"/>
        <w:rPr>
          <w:rFonts w:hint="default" w:ascii="Times New Roman" w:hAnsi="Times New Roman" w:cs="Times New Roman"/>
          <w:sz w:val="24"/>
          <w:szCs w:val="24"/>
        </w:rPr>
      </w:pPr>
    </w:p>
    <w:p w14:paraId="6629F595">
      <w:pPr>
        <w:pStyle w:val="4"/>
        <w:keepNext w:val="0"/>
        <w:keepLines w:val="0"/>
        <w:widowControl/>
        <w:suppressLineNumbers w:val="0"/>
        <w:spacing w:line="480" w:lineRule="auto"/>
        <w:jc w:val="both"/>
        <w:rPr>
          <w:rFonts w:hint="default" w:ascii="Times New Roman" w:hAnsi="Times New Roman" w:cs="Times New Roman"/>
          <w:sz w:val="24"/>
          <w:szCs w:val="24"/>
        </w:rPr>
      </w:pPr>
    </w:p>
    <w:p w14:paraId="76A09289">
      <w:pPr>
        <w:pStyle w:val="4"/>
        <w:keepNext w:val="0"/>
        <w:keepLines w:val="0"/>
        <w:widowControl/>
        <w:suppressLineNumbers w:val="0"/>
        <w:spacing w:line="480" w:lineRule="auto"/>
        <w:jc w:val="both"/>
        <w:rPr>
          <w:rFonts w:hint="default" w:ascii="Times New Roman" w:hAnsi="Times New Roman" w:cs="Times New Roman"/>
          <w:sz w:val="24"/>
          <w:szCs w:val="24"/>
        </w:rPr>
      </w:pPr>
    </w:p>
    <w:p w14:paraId="35C1512D">
      <w:pPr>
        <w:pStyle w:val="4"/>
        <w:keepNext w:val="0"/>
        <w:keepLines w:val="0"/>
        <w:widowControl/>
        <w:suppressLineNumbers w:val="0"/>
        <w:spacing w:line="480" w:lineRule="auto"/>
        <w:jc w:val="both"/>
        <w:rPr>
          <w:rFonts w:hint="default" w:ascii="Times New Roman" w:hAnsi="Times New Roman" w:cs="Times New Roman"/>
          <w:sz w:val="24"/>
          <w:szCs w:val="24"/>
        </w:rPr>
      </w:pPr>
    </w:p>
    <w:p w14:paraId="0CC90CB3">
      <w:pPr>
        <w:pStyle w:val="4"/>
        <w:keepNext w:val="0"/>
        <w:keepLines w:val="0"/>
        <w:widowControl/>
        <w:suppressLineNumbers w:val="0"/>
        <w:spacing w:line="480" w:lineRule="auto"/>
        <w:jc w:val="both"/>
        <w:rPr>
          <w:rFonts w:hint="default" w:ascii="Times New Roman" w:hAnsi="Times New Roman" w:cs="Times New Roman"/>
          <w:sz w:val="24"/>
          <w:szCs w:val="24"/>
        </w:rPr>
      </w:pPr>
    </w:p>
    <w:p w14:paraId="37118745">
      <w:pPr>
        <w:pStyle w:val="4"/>
        <w:keepNext w:val="0"/>
        <w:keepLines w:val="0"/>
        <w:widowControl/>
        <w:suppressLineNumbers w:val="0"/>
        <w:spacing w:line="480" w:lineRule="auto"/>
        <w:jc w:val="both"/>
        <w:rPr>
          <w:rFonts w:hint="default" w:ascii="Times New Roman" w:hAnsi="Times New Roman" w:cs="Times New Roman"/>
          <w:sz w:val="24"/>
          <w:szCs w:val="24"/>
        </w:rPr>
      </w:pPr>
    </w:p>
    <w:p w14:paraId="740A9D3D">
      <w:pPr>
        <w:pStyle w:val="4"/>
        <w:keepNext w:val="0"/>
        <w:keepLines w:val="0"/>
        <w:widowControl/>
        <w:suppressLineNumbers w:val="0"/>
        <w:spacing w:line="480" w:lineRule="auto"/>
        <w:jc w:val="both"/>
        <w:rPr>
          <w:rFonts w:hint="default" w:ascii="Times New Roman" w:hAnsi="Times New Roman" w:cs="Times New Roman"/>
          <w:sz w:val="24"/>
          <w:szCs w:val="24"/>
        </w:rPr>
      </w:pPr>
    </w:p>
    <w:p w14:paraId="103D5D56">
      <w:pPr>
        <w:pStyle w:val="4"/>
        <w:keepNext w:val="0"/>
        <w:keepLines w:val="0"/>
        <w:widowControl/>
        <w:suppressLineNumbers w:val="0"/>
        <w:spacing w:line="480" w:lineRule="auto"/>
        <w:jc w:val="both"/>
        <w:rPr>
          <w:rFonts w:hint="default" w:ascii="Times New Roman" w:hAnsi="Times New Roman" w:cs="Times New Roman"/>
          <w:sz w:val="24"/>
          <w:szCs w:val="24"/>
        </w:rPr>
      </w:pPr>
    </w:p>
    <w:p w14:paraId="1FF05A14">
      <w:pPr>
        <w:pStyle w:val="4"/>
        <w:keepNext w:val="0"/>
        <w:keepLines w:val="0"/>
        <w:widowControl/>
        <w:suppressLineNumbers w:val="0"/>
        <w:spacing w:line="480" w:lineRule="auto"/>
        <w:jc w:val="both"/>
        <w:rPr>
          <w:rFonts w:hint="default" w:ascii="Times New Roman" w:hAnsi="Times New Roman" w:cs="Times New Roman"/>
          <w:sz w:val="24"/>
          <w:szCs w:val="24"/>
        </w:rPr>
      </w:pPr>
    </w:p>
    <w:p w14:paraId="749FB57A">
      <w:pPr>
        <w:pStyle w:val="4"/>
        <w:keepNext w:val="0"/>
        <w:keepLines w:val="0"/>
        <w:widowControl/>
        <w:suppressLineNumbers w:val="0"/>
        <w:spacing w:line="480" w:lineRule="auto"/>
        <w:jc w:val="both"/>
        <w:rPr>
          <w:rFonts w:hint="default" w:ascii="Times New Roman" w:hAnsi="Times New Roman" w:cs="Times New Roman"/>
          <w:sz w:val="24"/>
          <w:szCs w:val="24"/>
        </w:rPr>
      </w:pPr>
    </w:p>
    <w:p w14:paraId="4A679DF0">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4.0 Recommendations: Limitations and Flexible Application of Cultural Models</w:t>
      </w:r>
    </w:p>
    <w:p w14:paraId="6FD928C0">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It is important to note that Hall's high/low-context model represents “common characteristics of cultural groups,” not “absolute labels for individuals.” In real-world workplaces, individual communication styles are influenced by factors such as “cultural adaptation level” and “personal temperament.” For instance, Chinese employees who have lived in the UK for over seven years may adopt a more “low-context” communication style, directly expressing dissent. Conversely, some British employees, after prolonged collaboration with members of high-context cultures, may also develop a habit of conveying negative feedback through “indirect expressions” (University of Liverpool, 2024).</w:t>
      </w:r>
    </w:p>
    <w:p w14:paraId="00751B68">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London School of Economics (2024) emphasizes in its Cross-Cultural Team Management Report for Multinational Corporations that cultural models serve as “tools for understanding differences,” not “bases for labeling individuals.” Managers in British multinational corporations should avoid stereotypes—such as assuming “all Chinese employees are indirect” or “all British employees are direct.” Instead, they should understand each member's actual communication habits through “preliminary communication preference surveys” and “daily interaction observations,” then tailor collaboration methods accordingly.</w:t>
      </w:r>
    </w:p>
    <w:p w14:paraId="739A5E01">
      <w:pPr>
        <w:pStyle w:val="4"/>
        <w:keepNext w:val="0"/>
        <w:keepLines w:val="0"/>
        <w:widowControl/>
        <w:suppressLineNumbers w:val="0"/>
        <w:spacing w:line="480" w:lineRule="auto"/>
        <w:jc w:val="both"/>
        <w:rPr>
          <w:rFonts w:hint="default" w:ascii="Times New Roman" w:hAnsi="Times New Roman" w:cs="Times New Roman"/>
          <w:sz w:val="24"/>
          <w:szCs w:val="24"/>
        </w:rPr>
      </w:pPr>
    </w:p>
    <w:p w14:paraId="75A78FEE">
      <w:pPr>
        <w:pStyle w:val="4"/>
        <w:keepNext w:val="0"/>
        <w:keepLines w:val="0"/>
        <w:widowControl/>
        <w:suppressLineNumbers w:val="0"/>
        <w:spacing w:line="480" w:lineRule="auto"/>
        <w:jc w:val="both"/>
        <w:rPr>
          <w:rFonts w:hint="default" w:ascii="Times New Roman" w:hAnsi="Times New Roman" w:cs="Times New Roman"/>
          <w:sz w:val="24"/>
          <w:szCs w:val="24"/>
        </w:rPr>
      </w:pPr>
    </w:p>
    <w:p w14:paraId="230A7A40">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5.0 Conclusion</w:t>
      </w:r>
    </w:p>
    <w:p w14:paraId="1B9ECF29">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Within cross-cultural teams of British multinational corporations, differences between high-context and low-context cultures represent one of the core sources of communication conflicts. However, these differences are not “irreconcilable contradictions”—they are fundamentally “differences in communication logic” between cultures, not “differences between right and wrong.” Through strategies such as establishing contextual awareness via preemptive cultural training, standardizing communication tools to translate implicit information, and implementing proactive confirmation mechanisms to avoid default assumptions, teams can transform “contextual differences” into collaborative strengths: High-context members' “indirect expression” and “relationship-oriented mindset” can enhance client retention and internal cohesion, while low-context members' “direct communication” and “task-oriented approach” can boost decision-making efficiency and clarify execution direction.</w:t>
      </w:r>
    </w:p>
    <w:p w14:paraId="7706899F">
      <w:pPr>
        <w:pStyle w:val="4"/>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2022 report by the UK Department for Business reveals that cross-cultural teams effectively managing contextual differences demonstrate 28% higher innovation capacity (measured by new market ideas) and 32% faster market adaptability (measured by time to enter new regional markets) compared to monocultural teams. Therefore, understanding and flexibly applying the characteristics of high- and low-context cultures is not only key to resolving cross-cultural communication conflicts but also a core pathway for UK multinationals to enhance global competitiveness. Looking ahead, as cultural diversity in the UK workplace continues to grow, management strategies addressing “contextual differences” must be continuously refined to achieve more precise implementation tailored to each company's specific business context.</w:t>
      </w:r>
    </w:p>
    <w:p w14:paraId="3A38BD13">
      <w:pPr>
        <w:pStyle w:val="4"/>
        <w:keepNext w:val="0"/>
        <w:keepLines w:val="0"/>
        <w:widowControl/>
        <w:suppressLineNumbers w:val="0"/>
        <w:spacing w:line="480" w:lineRule="auto"/>
        <w:jc w:val="both"/>
        <w:rPr>
          <w:rFonts w:hint="default" w:ascii="Times New Roman" w:hAnsi="Times New Roman" w:cs="Times New Roman"/>
          <w:sz w:val="24"/>
          <w:szCs w:val="24"/>
        </w:rPr>
      </w:pPr>
    </w:p>
    <w:p w14:paraId="2DD090EC">
      <w:pPr>
        <w:pStyle w:val="4"/>
        <w:keepNext w:val="0"/>
        <w:keepLines w:val="0"/>
        <w:widowControl/>
        <w:suppressLineNumbers w:val="0"/>
        <w:spacing w:line="480" w:lineRule="auto"/>
        <w:jc w:val="both"/>
        <w:rPr>
          <w:rFonts w:hint="default" w:ascii="Times New Roman" w:hAnsi="Times New Roman" w:cs="Times New Roman"/>
          <w:sz w:val="24"/>
          <w:szCs w:val="24"/>
        </w:rPr>
      </w:pPr>
    </w:p>
    <w:p w14:paraId="34286365">
      <w:pPr>
        <w:spacing w:line="480" w:lineRule="auto"/>
        <w:jc w:val="both"/>
        <w:rPr>
          <w:rFonts w:hint="default" w:ascii="Times New Roman" w:hAnsi="Times New Roman" w:cs="Times New Roman"/>
          <w:sz w:val="24"/>
          <w:szCs w:val="24"/>
        </w:rPr>
      </w:pPr>
    </w:p>
    <w:p w14:paraId="0AF9CB4F">
      <w:pPr>
        <w:spacing w:line="480" w:lineRule="auto"/>
        <w:jc w:val="both"/>
        <w:rPr>
          <w:rFonts w:hint="default" w:ascii="Times New Roman" w:hAnsi="Times New Roman" w:cs="Times New Roman"/>
          <w:sz w:val="24"/>
          <w:szCs w:val="24"/>
          <w:lang w:val="en-US" w:eastAsia="zh-CN"/>
        </w:rPr>
      </w:pPr>
    </w:p>
    <w:p w14:paraId="674A4135">
      <w:pPr>
        <w:spacing w:line="480" w:lineRule="auto"/>
        <w:jc w:val="both"/>
        <w:rPr>
          <w:rFonts w:hint="default" w:ascii="Times New Roman" w:hAnsi="Times New Roman" w:cs="Times New Roman"/>
          <w:sz w:val="24"/>
          <w:szCs w:val="24"/>
          <w:lang w:val="en-US" w:eastAsia="zh-CN"/>
        </w:rPr>
      </w:pPr>
    </w:p>
    <w:p w14:paraId="2F67AEFB">
      <w:pPr>
        <w:spacing w:line="480" w:lineRule="auto"/>
        <w:jc w:val="both"/>
        <w:rPr>
          <w:rFonts w:hint="default" w:ascii="Times New Roman" w:hAnsi="Times New Roman" w:cs="Times New Roman"/>
          <w:sz w:val="24"/>
          <w:szCs w:val="24"/>
          <w:lang w:val="en-US" w:eastAsia="zh-CN"/>
        </w:rPr>
      </w:pPr>
    </w:p>
    <w:p w14:paraId="7EB32B2A">
      <w:pPr>
        <w:spacing w:line="480" w:lineRule="auto"/>
        <w:jc w:val="both"/>
        <w:rPr>
          <w:rFonts w:hint="default" w:ascii="Times New Roman" w:hAnsi="Times New Roman" w:cs="Times New Roman"/>
          <w:sz w:val="24"/>
          <w:szCs w:val="24"/>
          <w:lang w:val="en-US" w:eastAsia="zh-CN"/>
        </w:rPr>
      </w:pPr>
    </w:p>
    <w:p w14:paraId="02403FD9">
      <w:pPr>
        <w:spacing w:line="480" w:lineRule="auto"/>
        <w:jc w:val="both"/>
        <w:rPr>
          <w:rFonts w:hint="default" w:ascii="Times New Roman" w:hAnsi="Times New Roman" w:cs="Times New Roman"/>
          <w:sz w:val="24"/>
          <w:szCs w:val="24"/>
          <w:lang w:val="en-US" w:eastAsia="zh-CN"/>
        </w:rPr>
      </w:pPr>
    </w:p>
    <w:p w14:paraId="1FBF2481">
      <w:pPr>
        <w:spacing w:line="480" w:lineRule="auto"/>
        <w:jc w:val="both"/>
        <w:rPr>
          <w:rFonts w:hint="default" w:ascii="Times New Roman" w:hAnsi="Times New Roman" w:cs="Times New Roman"/>
          <w:sz w:val="24"/>
          <w:szCs w:val="24"/>
          <w:lang w:val="en-US" w:eastAsia="zh-CN"/>
        </w:rPr>
      </w:pPr>
    </w:p>
    <w:p w14:paraId="343FE18A">
      <w:pPr>
        <w:spacing w:line="480" w:lineRule="auto"/>
        <w:jc w:val="both"/>
        <w:rPr>
          <w:rFonts w:hint="default" w:ascii="Times New Roman" w:hAnsi="Times New Roman" w:cs="Times New Roman"/>
          <w:sz w:val="24"/>
          <w:szCs w:val="24"/>
          <w:lang w:val="en-US" w:eastAsia="zh-CN"/>
        </w:rPr>
      </w:pPr>
    </w:p>
    <w:p w14:paraId="3865D27D">
      <w:pPr>
        <w:spacing w:line="480" w:lineRule="auto"/>
        <w:jc w:val="both"/>
        <w:rPr>
          <w:rFonts w:hint="default" w:ascii="Times New Roman" w:hAnsi="Times New Roman" w:cs="Times New Roman"/>
          <w:sz w:val="24"/>
          <w:szCs w:val="24"/>
          <w:lang w:val="en-US" w:eastAsia="zh-CN"/>
        </w:rPr>
      </w:pPr>
    </w:p>
    <w:p w14:paraId="79D3EA04">
      <w:pPr>
        <w:spacing w:line="480" w:lineRule="auto"/>
        <w:jc w:val="both"/>
        <w:rPr>
          <w:rFonts w:hint="default" w:ascii="Times New Roman" w:hAnsi="Times New Roman" w:cs="Times New Roman"/>
          <w:sz w:val="24"/>
          <w:szCs w:val="24"/>
          <w:lang w:val="en-US" w:eastAsia="zh-CN"/>
        </w:rPr>
      </w:pPr>
    </w:p>
    <w:p w14:paraId="0BF77288">
      <w:pPr>
        <w:spacing w:line="480" w:lineRule="auto"/>
        <w:jc w:val="both"/>
        <w:rPr>
          <w:rFonts w:hint="default" w:ascii="Times New Roman" w:hAnsi="Times New Roman" w:cs="Times New Roman"/>
          <w:sz w:val="24"/>
          <w:szCs w:val="24"/>
          <w:lang w:val="en-US" w:eastAsia="zh-CN"/>
        </w:rPr>
      </w:pPr>
    </w:p>
    <w:p w14:paraId="7D08E033">
      <w:pPr>
        <w:spacing w:line="480" w:lineRule="auto"/>
        <w:jc w:val="both"/>
        <w:rPr>
          <w:rFonts w:hint="default" w:ascii="Times New Roman" w:hAnsi="Times New Roman" w:cs="Times New Roman"/>
          <w:sz w:val="24"/>
          <w:szCs w:val="24"/>
          <w:lang w:val="en-US" w:eastAsia="zh-CN"/>
        </w:rPr>
      </w:pPr>
    </w:p>
    <w:p w14:paraId="5DE28A3E">
      <w:pPr>
        <w:spacing w:line="480" w:lineRule="auto"/>
        <w:jc w:val="both"/>
        <w:rPr>
          <w:rFonts w:hint="default" w:ascii="Times New Roman" w:hAnsi="Times New Roman" w:cs="Times New Roman"/>
          <w:sz w:val="24"/>
          <w:szCs w:val="24"/>
          <w:lang w:val="en-US" w:eastAsia="zh-CN"/>
        </w:rPr>
      </w:pPr>
    </w:p>
    <w:p w14:paraId="4AF5FB08">
      <w:pPr>
        <w:spacing w:line="480" w:lineRule="auto"/>
        <w:jc w:val="both"/>
        <w:rPr>
          <w:rFonts w:hint="default" w:ascii="Times New Roman" w:hAnsi="Times New Roman" w:cs="Times New Roman"/>
          <w:sz w:val="24"/>
          <w:szCs w:val="24"/>
          <w:lang w:val="en-US" w:eastAsia="zh-CN"/>
        </w:rPr>
      </w:pPr>
    </w:p>
    <w:p w14:paraId="4D0EDF27">
      <w:pPr>
        <w:spacing w:line="480" w:lineRule="auto"/>
        <w:jc w:val="both"/>
        <w:rPr>
          <w:rFonts w:hint="default" w:ascii="Times New Roman" w:hAnsi="Times New Roman" w:cs="Times New Roman"/>
          <w:sz w:val="24"/>
          <w:szCs w:val="24"/>
          <w:lang w:val="en-US" w:eastAsia="zh-CN"/>
        </w:rPr>
      </w:pPr>
    </w:p>
    <w:p w14:paraId="42270B09">
      <w:pPr>
        <w:spacing w:line="48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6.0 Reference</w:t>
      </w:r>
    </w:p>
    <w:p w14:paraId="51AE852B">
      <w:pPr>
        <w:spacing w:line="480" w:lineRule="auto"/>
        <w:jc w:val="both"/>
        <w:rPr>
          <w:rFonts w:hint="default" w:ascii="Times New Roman" w:hAnsi="Times New Roman" w:cs="Times New Roman"/>
          <w:sz w:val="24"/>
          <w:szCs w:val="24"/>
        </w:rPr>
      </w:pPr>
    </w:p>
    <w:p w14:paraId="2ACA13A4">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 Department for Business, Energy &amp; Industrial Strategy (BEIS). (2022). </w:t>
      </w:r>
      <w:r>
        <w:rPr>
          <w:rFonts w:hint="default" w:ascii="Times New Roman" w:hAnsi="Times New Roman" w:cs="Times New Roman"/>
          <w:i/>
          <w:iCs/>
          <w:sz w:val="24"/>
          <w:szCs w:val="24"/>
        </w:rPr>
        <w:t xml:space="preserve">Cultural Diversity and Workplace Productivity in UK Multinational Enterprises. </w:t>
      </w:r>
      <w:r>
        <w:rPr>
          <w:rFonts w:hint="default" w:ascii="Times New Roman" w:hAnsi="Times New Roman" w:cs="Times New Roman"/>
          <w:sz w:val="24"/>
          <w:szCs w:val="24"/>
        </w:rPr>
        <w:t>London: UK Government.</w:t>
      </w:r>
    </w:p>
    <w:p w14:paraId="4FE17E11">
      <w:pPr>
        <w:spacing w:line="480" w:lineRule="auto"/>
        <w:jc w:val="both"/>
        <w:rPr>
          <w:rFonts w:hint="default" w:ascii="Times New Roman" w:hAnsi="Times New Roman" w:cs="Times New Roman"/>
          <w:sz w:val="24"/>
          <w:szCs w:val="24"/>
        </w:rPr>
      </w:pPr>
    </w:p>
    <w:p w14:paraId="0D0933C3">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2. British Council. (2023). </w:t>
      </w:r>
      <w:r>
        <w:rPr>
          <w:rFonts w:hint="default" w:ascii="Times New Roman" w:hAnsi="Times New Roman" w:cs="Times New Roman"/>
          <w:i/>
          <w:iCs/>
          <w:sz w:val="24"/>
          <w:szCs w:val="24"/>
        </w:rPr>
        <w:t>Intercultural Communication Challenges in UK Professional Settings</w:t>
      </w:r>
      <w:r>
        <w:rPr>
          <w:rFonts w:hint="default" w:ascii="Times New Roman" w:hAnsi="Times New Roman" w:cs="Times New Roman"/>
          <w:sz w:val="24"/>
          <w:szCs w:val="24"/>
        </w:rPr>
        <w:t>. Manchester: British Council.</w:t>
      </w:r>
    </w:p>
    <w:p w14:paraId="65517ADD">
      <w:pPr>
        <w:spacing w:line="480" w:lineRule="auto"/>
        <w:jc w:val="both"/>
        <w:rPr>
          <w:rFonts w:hint="default" w:ascii="Times New Roman" w:hAnsi="Times New Roman" w:cs="Times New Roman"/>
          <w:sz w:val="24"/>
          <w:szCs w:val="24"/>
        </w:rPr>
      </w:pPr>
    </w:p>
    <w:p w14:paraId="7EF5ED30">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3. London School of Economics (LSE). (2024). </w:t>
      </w:r>
      <w:r>
        <w:rPr>
          <w:rFonts w:hint="default" w:ascii="Times New Roman" w:hAnsi="Times New Roman" w:cs="Times New Roman"/>
          <w:i/>
          <w:iCs/>
          <w:sz w:val="24"/>
          <w:szCs w:val="24"/>
        </w:rPr>
        <w:t>Contextual Communication in Global Corporate Teams</w:t>
      </w:r>
      <w:r>
        <w:rPr>
          <w:rFonts w:hint="default" w:ascii="Times New Roman" w:hAnsi="Times New Roman" w:cs="Times New Roman"/>
          <w:sz w:val="24"/>
          <w:szCs w:val="24"/>
        </w:rPr>
        <w:t>. London: LSE Press.</w:t>
      </w:r>
    </w:p>
    <w:p w14:paraId="7F6A4450">
      <w:pPr>
        <w:spacing w:line="480" w:lineRule="auto"/>
        <w:jc w:val="both"/>
        <w:rPr>
          <w:rFonts w:hint="default" w:ascii="Times New Roman" w:hAnsi="Times New Roman" w:cs="Times New Roman"/>
          <w:sz w:val="24"/>
          <w:szCs w:val="24"/>
        </w:rPr>
      </w:pPr>
    </w:p>
    <w:p w14:paraId="06EB015B">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4. University of Manchester. (2024).</w:t>
      </w:r>
      <w:r>
        <w:rPr>
          <w:rFonts w:hint="default" w:ascii="Times New Roman" w:hAnsi="Times New Roman" w:cs="Times New Roman"/>
          <w:i/>
          <w:iCs/>
          <w:sz w:val="24"/>
          <w:szCs w:val="24"/>
        </w:rPr>
        <w:t xml:space="preserve"> Practical Collaboration Strategies for Cross-Cultural Teams. </w:t>
      </w:r>
      <w:r>
        <w:rPr>
          <w:rFonts w:hint="default" w:ascii="Times New Roman" w:hAnsi="Times New Roman" w:cs="Times New Roman"/>
          <w:sz w:val="24"/>
          <w:szCs w:val="24"/>
        </w:rPr>
        <w:t>Manchester: Manchester University Press.</w:t>
      </w:r>
    </w:p>
    <w:p w14:paraId="01982F4E">
      <w:pPr>
        <w:spacing w:line="480" w:lineRule="auto"/>
        <w:jc w:val="both"/>
        <w:rPr>
          <w:rFonts w:hint="default" w:ascii="Times New Roman" w:hAnsi="Times New Roman" w:cs="Times New Roman"/>
          <w:sz w:val="24"/>
          <w:szCs w:val="24"/>
        </w:rPr>
      </w:pPr>
    </w:p>
    <w:p w14:paraId="092AD7DB">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5. Chartered Institute of Personnel and Development (CIPD). (2023). </w:t>
      </w:r>
      <w:r>
        <w:rPr>
          <w:rFonts w:hint="default" w:ascii="Times New Roman" w:hAnsi="Times New Roman" w:cs="Times New Roman"/>
          <w:i/>
          <w:iCs/>
          <w:sz w:val="24"/>
          <w:szCs w:val="24"/>
        </w:rPr>
        <w:t>Managing Intercultural Communication in UK Workplaces.</w:t>
      </w:r>
      <w:r>
        <w:rPr>
          <w:rFonts w:hint="default" w:ascii="Times New Roman" w:hAnsi="Times New Roman" w:cs="Times New Roman"/>
          <w:sz w:val="24"/>
          <w:szCs w:val="24"/>
        </w:rPr>
        <w:t xml:space="preserve"> London: CIPD.</w:t>
      </w:r>
    </w:p>
    <w:p w14:paraId="3A693342">
      <w:pPr>
        <w:spacing w:line="480" w:lineRule="auto"/>
        <w:jc w:val="both"/>
        <w:rPr>
          <w:rFonts w:hint="default" w:ascii="Times New Roman" w:hAnsi="Times New Roman" w:cs="Times New Roman"/>
          <w:sz w:val="24"/>
          <w:szCs w:val="24"/>
        </w:rPr>
      </w:pPr>
    </w:p>
    <w:p w14:paraId="735F4142">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6. University of Glasgow. (2024). </w:t>
      </w:r>
      <w:r>
        <w:rPr>
          <w:rFonts w:hint="default" w:ascii="Times New Roman" w:hAnsi="Times New Roman" w:cs="Times New Roman"/>
          <w:i/>
          <w:iCs/>
          <w:sz w:val="24"/>
          <w:szCs w:val="24"/>
        </w:rPr>
        <w:t xml:space="preserve">High-Context Communication Norms in UK Asian Employee Groups. </w:t>
      </w:r>
      <w:r>
        <w:rPr>
          <w:rFonts w:hint="default" w:ascii="Times New Roman" w:hAnsi="Times New Roman" w:cs="Times New Roman"/>
          <w:sz w:val="24"/>
          <w:szCs w:val="24"/>
        </w:rPr>
        <w:t>Glasgow: Glasgow University Press.</w:t>
      </w:r>
    </w:p>
    <w:p w14:paraId="41163C61">
      <w:pPr>
        <w:spacing w:line="480" w:lineRule="auto"/>
        <w:jc w:val="both"/>
        <w:rPr>
          <w:rFonts w:hint="default" w:ascii="Times New Roman" w:hAnsi="Times New Roman" w:cs="Times New Roman"/>
          <w:sz w:val="24"/>
          <w:szCs w:val="24"/>
        </w:rPr>
      </w:pPr>
    </w:p>
    <w:p w14:paraId="376B739E">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7. Federation of Small Businesses (FSB). (2024). </w:t>
      </w:r>
      <w:r>
        <w:rPr>
          <w:rFonts w:hint="default" w:ascii="Times New Roman" w:hAnsi="Times New Roman" w:cs="Times New Roman"/>
          <w:i/>
          <w:iCs/>
          <w:sz w:val="24"/>
          <w:szCs w:val="24"/>
        </w:rPr>
        <w:t>Effective Communication in Small Business Cross-Cultural Teams.</w:t>
      </w:r>
      <w:r>
        <w:rPr>
          <w:rFonts w:hint="default" w:ascii="Times New Roman" w:hAnsi="Times New Roman" w:cs="Times New Roman"/>
          <w:sz w:val="24"/>
          <w:szCs w:val="24"/>
        </w:rPr>
        <w:t xml:space="preserve"> London: FSB.</w:t>
      </w:r>
    </w:p>
    <w:p w14:paraId="2863686B">
      <w:pPr>
        <w:spacing w:line="480" w:lineRule="auto"/>
        <w:jc w:val="both"/>
        <w:rPr>
          <w:rFonts w:hint="default" w:ascii="Times New Roman" w:hAnsi="Times New Roman" w:cs="Times New Roman"/>
          <w:sz w:val="24"/>
          <w:szCs w:val="24"/>
        </w:rPr>
      </w:pPr>
    </w:p>
    <w:p w14:paraId="41302382">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8. University of Birmingham. (2022). </w:t>
      </w:r>
      <w:r>
        <w:rPr>
          <w:rFonts w:hint="default" w:ascii="Times New Roman" w:hAnsi="Times New Roman" w:cs="Times New Roman"/>
          <w:i/>
          <w:iCs/>
          <w:sz w:val="24"/>
          <w:szCs w:val="24"/>
        </w:rPr>
        <w:t>Hall’s Context Model: Application in UK Corporate Teams</w:t>
      </w:r>
      <w:r>
        <w:rPr>
          <w:rFonts w:hint="default" w:ascii="Times New Roman" w:hAnsi="Times New Roman" w:cs="Times New Roman"/>
          <w:sz w:val="24"/>
          <w:szCs w:val="24"/>
        </w:rPr>
        <w:t>. Birmingham: Birmingham University Press.</w:t>
      </w:r>
    </w:p>
    <w:p w14:paraId="32EC5367">
      <w:pPr>
        <w:spacing w:line="480" w:lineRule="auto"/>
        <w:jc w:val="both"/>
        <w:rPr>
          <w:rFonts w:hint="default" w:ascii="Times New Roman" w:hAnsi="Times New Roman" w:cs="Times New Roman"/>
          <w:sz w:val="24"/>
          <w:szCs w:val="24"/>
        </w:rPr>
      </w:pPr>
    </w:p>
    <w:p w14:paraId="69EF5496">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9. University of Liverpool. (2024). </w:t>
      </w:r>
      <w:r>
        <w:rPr>
          <w:rFonts w:hint="default" w:ascii="Times New Roman" w:hAnsi="Times New Roman" w:cs="Times New Roman"/>
          <w:i/>
          <w:iCs/>
          <w:sz w:val="24"/>
          <w:szCs w:val="24"/>
        </w:rPr>
        <w:t xml:space="preserve">Cultural Adaptation in UK Multinational Workplaces. </w:t>
      </w:r>
      <w:r>
        <w:rPr>
          <w:rFonts w:hint="default" w:ascii="Times New Roman" w:hAnsi="Times New Roman" w:cs="Times New Roman"/>
          <w:sz w:val="24"/>
          <w:szCs w:val="24"/>
        </w:rPr>
        <w:t>Liverpool: Liverpool University Press.</w:t>
      </w:r>
    </w:p>
    <w:p w14:paraId="0CD3E3C8">
      <w:pPr>
        <w:spacing w:line="480" w:lineRule="auto"/>
        <w:jc w:val="both"/>
        <w:rPr>
          <w:rFonts w:hint="default" w:ascii="Times New Roman" w:hAnsi="Times New Roman" w:cs="Times New Roman"/>
          <w:sz w:val="24"/>
          <w:szCs w:val="24"/>
        </w:rPr>
      </w:pPr>
    </w:p>
    <w:p w14:paraId="5FC44743">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10. University of Oxford. (2022). </w:t>
      </w:r>
      <w:r>
        <w:rPr>
          <w:rFonts w:hint="default" w:ascii="Times New Roman" w:hAnsi="Times New Roman" w:cs="Times New Roman"/>
          <w:i/>
          <w:iCs/>
          <w:sz w:val="24"/>
          <w:szCs w:val="24"/>
        </w:rPr>
        <w:t xml:space="preserve">High-Context vs Low-Context Communication: A UK Workplace Analysis. </w:t>
      </w:r>
      <w:r>
        <w:rPr>
          <w:rFonts w:hint="default" w:ascii="Times New Roman" w:hAnsi="Times New Roman" w:cs="Times New Roman"/>
          <w:sz w:val="24"/>
          <w:szCs w:val="24"/>
        </w:rPr>
        <w:t>Oxford: Oxford University Press.</w:t>
      </w:r>
    </w:p>
    <w:p w14:paraId="45F581FC">
      <w:pPr>
        <w:spacing w:line="480" w:lineRule="auto"/>
        <w:jc w:val="both"/>
        <w:rPr>
          <w:rFonts w:hint="default" w:ascii="Times New Roman" w:hAnsi="Times New Roman" w:cs="Times New Roman"/>
          <w:sz w:val="24"/>
          <w:szCs w:val="24"/>
        </w:rPr>
      </w:pPr>
    </w:p>
    <w:p w14:paraId="1D906D22">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11. University of Cambridge. (2023). </w:t>
      </w:r>
      <w:r>
        <w:rPr>
          <w:rFonts w:hint="default" w:ascii="Times New Roman" w:hAnsi="Times New Roman" w:cs="Times New Roman"/>
          <w:i/>
          <w:iCs/>
          <w:sz w:val="24"/>
          <w:szCs w:val="24"/>
        </w:rPr>
        <w:t xml:space="preserve">Cultural Dimensions and Team Performance in UK Enterprises. </w:t>
      </w:r>
      <w:r>
        <w:rPr>
          <w:rFonts w:hint="default" w:ascii="Times New Roman" w:hAnsi="Times New Roman" w:cs="Times New Roman"/>
          <w:sz w:val="24"/>
          <w:szCs w:val="24"/>
        </w:rPr>
        <w:t>Cambridge: Cambridge University Press.</w:t>
      </w:r>
    </w:p>
    <w:p w14:paraId="55952100">
      <w:pPr>
        <w:spacing w:line="480" w:lineRule="auto"/>
        <w:jc w:val="both"/>
        <w:rPr>
          <w:rFonts w:hint="default" w:ascii="Times New Roman" w:hAnsi="Times New Roman" w:cs="Times New Roman"/>
          <w:sz w:val="24"/>
          <w:szCs w:val="24"/>
        </w:rPr>
      </w:pPr>
    </w:p>
    <w:p w14:paraId="615C057C">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12. British Chambers of Commerce (BCC). (2023). </w:t>
      </w:r>
      <w:r>
        <w:rPr>
          <w:rFonts w:hint="default" w:ascii="Times New Roman" w:hAnsi="Times New Roman" w:cs="Times New Roman"/>
          <w:i/>
          <w:iCs/>
          <w:sz w:val="24"/>
          <w:szCs w:val="24"/>
        </w:rPr>
        <w:t xml:space="preserve">Supporting Cross-Cultural Collaboration in UK Businesses. </w:t>
      </w:r>
      <w:r>
        <w:rPr>
          <w:rFonts w:hint="default" w:ascii="Times New Roman" w:hAnsi="Times New Roman" w:cs="Times New Roman"/>
          <w:sz w:val="24"/>
          <w:szCs w:val="24"/>
        </w:rPr>
        <w:t>London: BCC.</w:t>
      </w:r>
    </w:p>
    <w:p w14:paraId="3085F50C">
      <w:pPr>
        <w:spacing w:line="480" w:lineRule="auto"/>
        <w:jc w:val="both"/>
        <w:rPr>
          <w:rFonts w:hint="default" w:ascii="Times New Roman" w:hAnsi="Times New Roman" w:cs="Times New Roman"/>
          <w:sz w:val="24"/>
          <w:szCs w:val="24"/>
        </w:rPr>
      </w:pPr>
    </w:p>
    <w:p w14:paraId="43276F39">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13. Institute of Directors (IoD). (2021). </w:t>
      </w:r>
      <w:r>
        <w:rPr>
          <w:rFonts w:hint="default" w:ascii="Times New Roman" w:hAnsi="Times New Roman" w:cs="Times New Roman"/>
          <w:i/>
          <w:iCs/>
          <w:sz w:val="24"/>
          <w:szCs w:val="24"/>
        </w:rPr>
        <w:t xml:space="preserve">Leading Diverse Teams in the UK Corporate Sector. </w:t>
      </w:r>
      <w:r>
        <w:rPr>
          <w:rFonts w:hint="default" w:ascii="Times New Roman" w:hAnsi="Times New Roman" w:cs="Times New Roman"/>
          <w:sz w:val="24"/>
          <w:szCs w:val="24"/>
        </w:rPr>
        <w:t>London: IoD.</w:t>
      </w:r>
    </w:p>
    <w:p w14:paraId="5A3337CE">
      <w:pPr>
        <w:spacing w:line="480" w:lineRule="auto"/>
        <w:jc w:val="both"/>
        <w:rPr>
          <w:rFonts w:hint="default" w:ascii="Times New Roman" w:hAnsi="Times New Roman" w:cs="Times New Roman"/>
          <w:sz w:val="24"/>
          <w:szCs w:val="24"/>
        </w:rPr>
      </w:pPr>
    </w:p>
    <w:p w14:paraId="7C891DB3">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14. University of Leeds. (2023). </w:t>
      </w:r>
      <w:r>
        <w:rPr>
          <w:rFonts w:hint="default" w:ascii="Times New Roman" w:hAnsi="Times New Roman" w:cs="Times New Roman"/>
          <w:i/>
          <w:iCs/>
          <w:sz w:val="24"/>
          <w:szCs w:val="24"/>
        </w:rPr>
        <w:t>Communication Norms in UK Cross-Cultural Workplaces.</w:t>
      </w:r>
      <w:r>
        <w:rPr>
          <w:rFonts w:hint="default" w:ascii="Times New Roman" w:hAnsi="Times New Roman" w:cs="Times New Roman"/>
          <w:sz w:val="24"/>
          <w:szCs w:val="24"/>
        </w:rPr>
        <w:t xml:space="preserve"> Leeds: Leeds University Press.</w:t>
      </w:r>
    </w:p>
    <w:p w14:paraId="3A6D771F">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15. Royal Society of Arts (RSA). (2022). </w:t>
      </w:r>
      <w:r>
        <w:rPr>
          <w:rFonts w:hint="default" w:ascii="Times New Roman" w:hAnsi="Times New Roman" w:cs="Times New Roman"/>
          <w:i/>
          <w:iCs/>
          <w:sz w:val="24"/>
          <w:szCs w:val="24"/>
        </w:rPr>
        <w:t>Inclusive Communication Practices for Diverse UK Teams.</w:t>
      </w:r>
      <w:r>
        <w:rPr>
          <w:rFonts w:hint="default" w:ascii="Times New Roman" w:hAnsi="Times New Roman" w:cs="Times New Roman"/>
          <w:sz w:val="24"/>
          <w:szCs w:val="24"/>
        </w:rPr>
        <w:t xml:space="preserve"> London: RSA.</w:t>
      </w:r>
    </w:p>
    <w:p w14:paraId="6192392F">
      <w:pPr>
        <w:spacing w:line="480" w:lineRule="auto"/>
        <w:jc w:val="both"/>
        <w:rPr>
          <w:rFonts w:hint="default" w:ascii="Times New Roman" w:hAnsi="Times New Roman" w:cs="Times New Roman"/>
          <w:sz w:val="24"/>
          <w:szCs w:val="24"/>
        </w:rPr>
      </w:pPr>
    </w:p>
    <w:p w14:paraId="5DFBE64D">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16. University of Southampton. (2023). </w:t>
      </w:r>
      <w:r>
        <w:rPr>
          <w:rFonts w:hint="default" w:ascii="Times New Roman" w:hAnsi="Times New Roman" w:cs="Times New Roman"/>
          <w:i/>
          <w:iCs/>
          <w:sz w:val="24"/>
          <w:szCs w:val="24"/>
        </w:rPr>
        <w:t xml:space="preserve">Resolving Contextual Conflicts in UK Multinational Teams. </w:t>
      </w:r>
      <w:r>
        <w:rPr>
          <w:rFonts w:hint="default" w:ascii="Times New Roman" w:hAnsi="Times New Roman" w:cs="Times New Roman"/>
          <w:sz w:val="24"/>
          <w:szCs w:val="24"/>
        </w:rPr>
        <w:t>Southampton: Southampton University Press.</w:t>
      </w:r>
    </w:p>
    <w:p w14:paraId="62B13825">
      <w:pPr>
        <w:spacing w:line="480" w:lineRule="auto"/>
        <w:jc w:val="both"/>
        <w:rPr>
          <w:rFonts w:hint="default" w:ascii="Times New Roman" w:hAnsi="Times New Roman" w:cs="Times New Roman"/>
          <w:sz w:val="24"/>
          <w:szCs w:val="24"/>
        </w:rPr>
      </w:pPr>
    </w:p>
    <w:p w14:paraId="5F1B93AD">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17. Confederation of British Industry (CBI). (2022). </w:t>
      </w:r>
      <w:r>
        <w:rPr>
          <w:rFonts w:hint="default" w:ascii="Times New Roman" w:hAnsi="Times New Roman" w:cs="Times New Roman"/>
          <w:i/>
          <w:iCs/>
          <w:sz w:val="24"/>
          <w:szCs w:val="24"/>
        </w:rPr>
        <w:t xml:space="preserve">Building Effective Cross-Cultural Teams in UK Business. </w:t>
      </w:r>
      <w:r>
        <w:rPr>
          <w:rFonts w:hint="default" w:ascii="Times New Roman" w:hAnsi="Times New Roman" w:cs="Times New Roman"/>
          <w:sz w:val="24"/>
          <w:szCs w:val="24"/>
        </w:rPr>
        <w:t>London: CBI.</w:t>
      </w:r>
    </w:p>
    <w:p w14:paraId="458D42B2">
      <w:pPr>
        <w:spacing w:line="480" w:lineRule="auto"/>
        <w:jc w:val="both"/>
        <w:rPr>
          <w:rFonts w:hint="default" w:ascii="Times New Roman" w:hAnsi="Times New Roman" w:cs="Times New Roman"/>
          <w:sz w:val="24"/>
          <w:szCs w:val="24"/>
        </w:rPr>
      </w:pPr>
    </w:p>
    <w:p w14:paraId="0747192B">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18. Office for National Statistics (ONS). (2021). </w:t>
      </w:r>
      <w:r>
        <w:rPr>
          <w:rFonts w:hint="default" w:ascii="Times New Roman" w:hAnsi="Times New Roman" w:cs="Times New Roman"/>
          <w:i/>
          <w:iCs/>
          <w:sz w:val="24"/>
          <w:szCs w:val="24"/>
        </w:rPr>
        <w:t xml:space="preserve">Migration and Cultural Diversity in UK Workplaces. </w:t>
      </w:r>
      <w:r>
        <w:rPr>
          <w:rFonts w:hint="default" w:ascii="Times New Roman" w:hAnsi="Times New Roman" w:cs="Times New Roman"/>
          <w:sz w:val="24"/>
          <w:szCs w:val="24"/>
        </w:rPr>
        <w:t>London: ONS.</w:t>
      </w:r>
    </w:p>
    <w:p w14:paraId="04B883E2">
      <w:pPr>
        <w:spacing w:line="480" w:lineRule="auto"/>
        <w:jc w:val="both"/>
        <w:rPr>
          <w:rFonts w:hint="default" w:ascii="Times New Roman" w:hAnsi="Times New Roman" w:cs="Times New Roman"/>
          <w:sz w:val="24"/>
          <w:szCs w:val="24"/>
        </w:rPr>
      </w:pPr>
    </w:p>
    <w:p w14:paraId="16BEA6F7">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19. Nam, S. (2025). </w:t>
      </w:r>
      <w:r>
        <w:rPr>
          <w:rFonts w:hint="default" w:ascii="Times New Roman" w:hAnsi="Times New Roman" w:cs="Times New Roman"/>
          <w:i/>
          <w:iCs/>
          <w:sz w:val="24"/>
          <w:szCs w:val="24"/>
        </w:rPr>
        <w:t>Silence as Communication: Cross-Cultural Perspectives in UK Workplaces.</w:t>
      </w:r>
      <w:r>
        <w:rPr>
          <w:rFonts w:hint="default" w:ascii="Times New Roman" w:hAnsi="Times New Roman" w:cs="Times New Roman"/>
          <w:sz w:val="24"/>
          <w:szCs w:val="24"/>
        </w:rPr>
        <w:t xml:space="preserve"> London: Palgrave Macmillan.</w:t>
      </w:r>
    </w:p>
    <w:p w14:paraId="3D4B8F5A">
      <w:pPr>
        <w:spacing w:line="480" w:lineRule="auto"/>
        <w:jc w:val="both"/>
        <w:rPr>
          <w:rFonts w:hint="default" w:ascii="Times New Roman" w:hAnsi="Times New Roman" w:cs="Times New Roman"/>
          <w:sz w:val="24"/>
          <w:szCs w:val="24"/>
        </w:rPr>
      </w:pPr>
    </w:p>
    <w:p w14:paraId="45A3752F">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20. Hooker, J. (2018). </w:t>
      </w:r>
      <w:r>
        <w:rPr>
          <w:rFonts w:hint="default" w:ascii="Times New Roman" w:hAnsi="Times New Roman" w:cs="Times New Roman"/>
          <w:i/>
          <w:iCs/>
          <w:sz w:val="24"/>
          <w:szCs w:val="24"/>
        </w:rPr>
        <w:t xml:space="preserve">Cultural Intelligence in Global Teams. </w:t>
      </w:r>
      <w:r>
        <w:rPr>
          <w:rFonts w:hint="default" w:ascii="Times New Roman" w:hAnsi="Times New Roman" w:cs="Times New Roman"/>
          <w:sz w:val="24"/>
          <w:szCs w:val="24"/>
        </w:rPr>
        <w:t>London: Routledge.</w:t>
      </w:r>
    </w:p>
    <w:p w14:paraId="48438881">
      <w:pPr>
        <w:jc w:val="both"/>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8CAC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18814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818814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8E524B"/>
    <w:rsid w:val="05F20E85"/>
    <w:rsid w:val="3FBA0539"/>
    <w:rsid w:val="428E52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2252</Words>
  <Characters>16230</Characters>
  <Lines>0</Lines>
  <Paragraphs>0</Paragraphs>
  <TotalTime>225</TotalTime>
  <ScaleCrop>false</ScaleCrop>
  <LinksUpToDate>false</LinksUpToDate>
  <CharactersWithSpaces>18463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2025-11-11T18:34:00Z</dcterms:created>
  <dc:creator>沐言小朋友</dc:creator>
  <cp:lastModifiedBy>沐言小朋友</cp:lastModifiedBy>
  <dcterms:modified xsi:type="dcterms:W3CDTF">2025-11-13T22:27:56Z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33A2EB1DFDB648E1A9C5436EA7A6F52E_11</vt:lpwstr>
  </property>
  <property fmtid="{D5CDD505-2E9C-101B-9397-08002B2CF9AE}" pid="4" name="KSOTemplateDocerSaveRecord">
    <vt:lpwstr>eyJoZGlkIjoiMTVjZDMyZTNiNmRiYWY2MzFiMmFhMzgyYzU1YjcyMzUiLCJ1c2VySWQiOiIxMTU5MzgwNTA2In0=</vt:lpwstr>
  </property>
</Properties>
</file>