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itreprincipal"/>
        <w:spacing w:lineRule="auto" w:line="360"/>
        <w:jc w:val="both"/>
        <w:rPr>
          <w:rFonts w:ascii="Times New Roman" w:hAnsi="Times New Roman" w:cs="Times New Roman"/>
          <w:b/>
          <w:b/>
          <w:sz w:val="24"/>
          <w:szCs w:val="24"/>
          <w:lang w:val="en-GB"/>
        </w:rPr>
      </w:pPr>
      <w:r>
        <w:rPr>
          <w:rFonts w:cs="Times New Roman" w:ascii="Times New Roman" w:hAnsi="Times New Roman"/>
          <w:b/>
          <w:sz w:val="24"/>
          <w:szCs w:val="24"/>
          <w:lang w:val="en-GB"/>
        </w:rPr>
      </w:r>
    </w:p>
    <w:p>
      <w:pPr>
        <w:pStyle w:val="Titreprincipal"/>
        <w:spacing w:lineRule="auto" w:line="360"/>
        <w:jc w:val="both"/>
        <w:rPr>
          <w:rFonts w:ascii="Times New Roman" w:hAnsi="Times New Roman" w:cs="Times New Roman"/>
          <w:b/>
          <w:b/>
          <w:sz w:val="24"/>
          <w:szCs w:val="24"/>
          <w:lang w:val="en-GB"/>
        </w:rPr>
      </w:pPr>
      <w:r>
        <w:rPr>
          <w:rFonts w:cs="Times New Roman" w:ascii="Times New Roman" w:hAnsi="Times New Roman"/>
          <w:b/>
          <w:sz w:val="24"/>
          <w:szCs w:val="24"/>
          <w:lang w:val="en-GB"/>
        </w:rPr>
      </w:r>
    </w:p>
    <w:p>
      <w:pPr>
        <w:pStyle w:val="Titreprincipal"/>
        <w:spacing w:lineRule="auto" w:line="360"/>
        <w:jc w:val="both"/>
        <w:rPr>
          <w:rFonts w:ascii="Times New Roman" w:hAnsi="Times New Roman" w:cs="Times New Roman"/>
          <w:b/>
          <w:b/>
          <w:sz w:val="24"/>
          <w:szCs w:val="24"/>
          <w:lang w:val="en-GB"/>
        </w:rPr>
      </w:pPr>
      <w:r>
        <w:rPr>
          <w:rFonts w:cs="Times New Roman" w:ascii="Times New Roman" w:hAnsi="Times New Roman"/>
          <w:b/>
          <w:sz w:val="24"/>
          <w:szCs w:val="24"/>
          <w:lang w:val="en-GB"/>
        </w:rPr>
      </w:r>
    </w:p>
    <w:p>
      <w:pPr>
        <w:pStyle w:val="Titreprincipal"/>
        <w:spacing w:lineRule="auto" w:line="360"/>
        <w:jc w:val="both"/>
        <w:rPr>
          <w:rFonts w:ascii="Times New Roman" w:hAnsi="Times New Roman" w:cs="Times New Roman"/>
          <w:b/>
          <w:b/>
          <w:sz w:val="24"/>
          <w:szCs w:val="24"/>
          <w:lang w:val="en-GB"/>
        </w:rPr>
      </w:pPr>
      <w:r>
        <w:rPr>
          <w:rFonts w:cs="Times New Roman" w:ascii="Times New Roman" w:hAnsi="Times New Roman"/>
          <w:b/>
          <w:sz w:val="24"/>
          <w:szCs w:val="24"/>
          <w:lang w:val="en-GB"/>
        </w:rPr>
      </w:r>
    </w:p>
    <w:p>
      <w:pPr>
        <w:pStyle w:val="Titreprincipal"/>
        <w:spacing w:lineRule="auto" w:line="360"/>
        <w:jc w:val="both"/>
        <w:rPr>
          <w:rFonts w:ascii="Times New Roman" w:hAnsi="Times New Roman" w:cs="Times New Roman"/>
          <w:b/>
          <w:b/>
          <w:sz w:val="24"/>
          <w:szCs w:val="24"/>
          <w:lang w:val="en-GB"/>
        </w:rPr>
      </w:pPr>
      <w:r>
        <w:rPr>
          <w:rFonts w:cs="Times New Roman" w:ascii="Times New Roman" w:hAnsi="Times New Roman"/>
          <w:b/>
          <w:sz w:val="24"/>
          <w:szCs w:val="24"/>
          <w:lang w:val="en-GB"/>
        </w:rPr>
      </w:r>
    </w:p>
    <w:p>
      <w:pPr>
        <w:pStyle w:val="Titreprincipal"/>
        <w:spacing w:lineRule="auto" w:line="360"/>
        <w:jc w:val="both"/>
        <w:rPr>
          <w:rFonts w:ascii="Times New Roman" w:hAnsi="Times New Roman" w:cs="Times New Roman"/>
          <w:b/>
          <w:b/>
          <w:sz w:val="24"/>
          <w:szCs w:val="24"/>
          <w:lang w:val="en-GB"/>
        </w:rPr>
      </w:pPr>
      <w:r>
        <w:rPr>
          <w:rFonts w:cs="Times New Roman" w:ascii="Times New Roman" w:hAnsi="Times New Roman"/>
          <w:b/>
          <w:sz w:val="24"/>
          <w:szCs w:val="24"/>
          <w:lang w:val="en-GB"/>
        </w:rPr>
      </w:r>
    </w:p>
    <w:p>
      <w:pPr>
        <w:pStyle w:val="Titreprincipal"/>
        <w:spacing w:lineRule="auto" w:line="360"/>
        <w:jc w:val="both"/>
        <w:rPr>
          <w:rFonts w:ascii="Times New Roman" w:hAnsi="Times New Roman" w:cs="Times New Roman"/>
          <w:b/>
          <w:b/>
          <w:sz w:val="24"/>
          <w:szCs w:val="24"/>
          <w:lang w:val="en-GB"/>
        </w:rPr>
      </w:pPr>
      <w:r>
        <w:rPr>
          <w:rFonts w:cs="Times New Roman" w:ascii="Times New Roman" w:hAnsi="Times New Roman"/>
          <w:b/>
          <w:sz w:val="24"/>
          <w:szCs w:val="24"/>
          <w:lang w:val="en-GB"/>
        </w:rPr>
      </w:r>
    </w:p>
    <w:p>
      <w:pPr>
        <w:pStyle w:val="Normal"/>
        <w:jc w:val="center"/>
        <w:rPr>
          <w:rFonts w:ascii="Times New Roman" w:hAnsi="Times New Roman" w:cs="Times New Roman"/>
          <w:b/>
          <w:b/>
          <w:color w:val="000000" w:themeColor="text1"/>
          <w:sz w:val="36"/>
          <w:szCs w:val="36"/>
          <w:highlight w:val="white"/>
        </w:rPr>
      </w:pPr>
      <w:r>
        <w:rPr>
          <w:rFonts w:cs="Times New Roman" w:ascii="Times New Roman" w:hAnsi="Times New Roman"/>
          <w:b/>
          <w:color w:val="000000" w:themeColor="text1"/>
          <w:sz w:val="36"/>
          <w:szCs w:val="36"/>
          <w:highlight w:val="white"/>
        </w:rPr>
        <w:t>Legal Process</w:t>
      </w:r>
    </w:p>
    <w:p>
      <w:pPr>
        <w:pStyle w:val="Normal"/>
        <w:spacing w:lineRule="auto" w:line="360"/>
        <w:jc w:val="both"/>
        <w:rPr>
          <w:rFonts w:ascii="Times New Roman" w:hAnsi="Times New Roman" w:cs="Times New Roman"/>
          <w:b/>
          <w:b/>
          <w:sz w:val="24"/>
          <w:szCs w:val="24"/>
          <w:lang w:val="en-GB"/>
        </w:rPr>
      </w:pPr>
      <w:r>
        <w:rPr>
          <w:rFonts w:cs="Times New Roman" w:ascii="Times New Roman" w:hAnsi="Times New Roman"/>
          <w:b/>
          <w:sz w:val="24"/>
          <w:szCs w:val="24"/>
          <w:lang w:val="en-GB"/>
        </w:rPr>
      </w:r>
    </w:p>
    <w:p>
      <w:pPr>
        <w:pStyle w:val="Normal"/>
        <w:rPr>
          <w:rFonts w:ascii="Times New Roman" w:hAnsi="Times New Roman" w:cs="Times New Roman"/>
          <w:b/>
          <w:b/>
          <w:sz w:val="24"/>
          <w:szCs w:val="24"/>
          <w:lang w:val="en-GB"/>
        </w:rPr>
      </w:pPr>
      <w:r>
        <w:rPr/>
      </w:r>
    </w:p>
    <w:p>
      <w:pPr>
        <w:pStyle w:val="Normal"/>
        <w:rPr/>
      </w:pPr>
      <w:r>
        <w:rPr>
          <w:rFonts w:cs="Times New Roman" w:ascii="Times New Roman" w:hAnsi="Times New Roman"/>
          <w:b/>
          <w:sz w:val="24"/>
          <w:szCs w:val="24"/>
          <w:lang w:val="en-GB"/>
        </w:rPr>
        <w:t>STUDENT NAME:Matevici Constantin</w:t>
      </w:r>
    </w:p>
    <w:p>
      <w:pPr>
        <w:pStyle w:val="Normal"/>
        <w:rPr/>
      </w:pPr>
      <w:r>
        <w:rPr>
          <w:rFonts w:cs="Times New Roman" w:ascii="Times New Roman" w:hAnsi="Times New Roman"/>
          <w:b/>
          <w:sz w:val="24"/>
          <w:szCs w:val="24"/>
          <w:lang w:val="en-GB"/>
        </w:rPr>
        <w:t>STUDENT ID:2133059</w:t>
      </w:r>
    </w:p>
    <w:p>
      <w:pPr>
        <w:pStyle w:val="Normal"/>
        <w:rPr>
          <w:rFonts w:ascii="Times New Roman" w:hAnsi="Times New Roman" w:cs="Times New Roman"/>
          <w:b/>
          <w:b/>
          <w:sz w:val="24"/>
          <w:szCs w:val="24"/>
          <w:lang w:val="en-GB"/>
        </w:rPr>
      </w:pPr>
      <w:r>
        <w:rPr/>
      </w:r>
    </w:p>
    <w:p>
      <w:pPr>
        <w:pStyle w:val="Normal"/>
        <w:rPr>
          <w:rFonts w:ascii="Times New Roman" w:hAnsi="Times New Roman" w:cs="Times New Roman"/>
          <w:b/>
          <w:b/>
          <w:sz w:val="24"/>
          <w:szCs w:val="24"/>
          <w:lang w:val="en-GB"/>
        </w:rPr>
      </w:pPr>
      <w:r>
        <w:rPr/>
      </w:r>
    </w:p>
    <w:p>
      <w:pPr>
        <w:pStyle w:val="Normal"/>
        <w:rPr>
          <w:rFonts w:ascii="Times New Roman" w:hAnsi="Times New Roman" w:cs="Times New Roman"/>
          <w:b/>
          <w:b/>
          <w:sz w:val="24"/>
          <w:szCs w:val="24"/>
          <w:lang w:val="en-GB"/>
        </w:rPr>
      </w:pPr>
      <w:r>
        <w:rPr/>
      </w:r>
    </w:p>
    <w:p>
      <w:pPr>
        <w:pStyle w:val="Normal"/>
        <w:rPr/>
      </w:pPr>
      <w:r>
        <w:rPr>
          <w:rFonts w:cs="Times New Roman" w:ascii="Times New Roman" w:hAnsi="Times New Roman"/>
          <w:b/>
          <w:sz w:val="24"/>
          <w:szCs w:val="24"/>
          <w:lang w:val="en-GB"/>
        </w:rPr>
        <w:t>Table of content</w:t>
      </w:r>
    </w:p>
    <w:p>
      <w:pPr>
        <w:pStyle w:val="Normal"/>
        <w:spacing w:lineRule="auto" w:line="360"/>
        <w:jc w:val="center"/>
        <w:rPr>
          <w:rFonts w:ascii="Times New Roman" w:hAnsi="Times New Roman" w:cs="Times New Roman"/>
          <w:sz w:val="24"/>
          <w:szCs w:val="24"/>
          <w:lang w:val="en-GB"/>
        </w:rPr>
      </w:pPr>
      <w:r>
        <w:fldChar w:fldCharType="begin"/>
      </w:r>
      <w:r>
        <w:rPr>
          <w:sz w:val="24"/>
          <w:szCs w:val="24"/>
          <w:rFonts w:cs="Times New Roman" w:ascii="Times New Roman" w:hAnsi="Times New Roman"/>
        </w:rPr>
        <w:instrText> TOC \c </w:instrText>
      </w:r>
      <w:r>
        <w:rPr>
          <w:sz w:val="24"/>
          <w:szCs w:val="24"/>
          <w:rFonts w:cs="Times New Roman" w:ascii="Times New Roman" w:hAnsi="Times New Roman"/>
        </w:rPr>
        <w:fldChar w:fldCharType="separate"/>
      </w:r>
      <w:r>
        <w:rPr>
          <w:rFonts w:cs="Times New Roman" w:ascii="Times New Roman" w:hAnsi="Times New Roman"/>
          <w:sz w:val="24"/>
          <w:szCs w:val="24"/>
          <w:lang w:val="en-GB"/>
        </w:rPr>
      </w:r>
      <w:r>
        <w:rPr>
          <w:sz w:val="24"/>
          <w:szCs w:val="24"/>
          <w:rFonts w:cs="Times New Roman" w:ascii="Times New Roman" w:hAnsi="Times New Roman"/>
        </w:rPr>
        <w:fldChar w:fldCharType="end"/>
      </w:r>
    </w:p>
    <w:p>
      <w:pPr>
        <w:pStyle w:val="Tableoffigures"/>
        <w:tabs>
          <w:tab w:val="clear" w:pos="720"/>
          <w:tab w:val="right" w:pos="9350" w:leader="dot"/>
        </w:tabs>
        <w:spacing w:lineRule="auto" w:line="360"/>
        <w:jc w:val="both"/>
        <w:rPr>
          <w:rFonts w:ascii="Times New Roman" w:hAnsi="Times New Roman" w:eastAsia="" w:cs="Times New Roman" w:eastAsiaTheme="minorEastAsia"/>
          <w:sz w:val="24"/>
          <w:szCs w:val="24"/>
          <w:lang w:val="en-GB"/>
        </w:rPr>
      </w:pPr>
      <w:hyperlink w:anchor="_Toc109321360">
        <w:r>
          <w:rPr>
            <w:rStyle w:val="Sautdindex"/>
            <w:rFonts w:cs="Times New Roman" w:ascii="Times New Roman" w:hAnsi="Times New Roman"/>
            <w:sz w:val="24"/>
            <w:szCs w:val="24"/>
            <w:lang w:val="en-GB"/>
          </w:rPr>
          <w:t>Introduction</w:t>
        </w:r>
        <w:r>
          <w:rPr>
            <w:webHidden/>
          </w:rPr>
          <w:fldChar w:fldCharType="begin"/>
        </w:r>
        <w:r>
          <w:rPr>
            <w:webHidden/>
          </w:rPr>
          <w:instrText>PAGEREF _Toc109321360 \h</w:instrText>
        </w:r>
        <w:r>
          <w:rPr>
            <w:webHidden/>
          </w:rPr>
          <w:fldChar w:fldCharType="separate"/>
        </w:r>
        <w:r>
          <w:rPr>
            <w:rStyle w:val="Sautdindex"/>
            <w:rFonts w:cs="Times New Roman" w:ascii="Times New Roman" w:hAnsi="Times New Roman"/>
            <w:vanish w:val="false"/>
            <w:sz w:val="24"/>
            <w:szCs w:val="24"/>
            <w:lang w:val="en-GB"/>
          </w:rPr>
          <w:tab/>
          <w:t>3</w:t>
        </w:r>
        <w:r>
          <w:rPr>
            <w:webHidden/>
          </w:rPr>
          <w:fldChar w:fldCharType="end"/>
        </w:r>
      </w:hyperlink>
    </w:p>
    <w:p>
      <w:pPr>
        <w:pStyle w:val="Tableoffigures"/>
        <w:tabs>
          <w:tab w:val="clear" w:pos="720"/>
          <w:tab w:val="right" w:pos="9350" w:leader="dot"/>
        </w:tabs>
        <w:spacing w:lineRule="auto" w:line="360"/>
        <w:jc w:val="both"/>
        <w:rPr>
          <w:rFonts w:ascii="Times New Roman" w:hAnsi="Times New Roman" w:eastAsia="" w:cs="Times New Roman" w:eastAsiaTheme="minorEastAsia"/>
          <w:sz w:val="24"/>
          <w:szCs w:val="24"/>
          <w:lang w:val="en-GB"/>
        </w:rPr>
      </w:pPr>
      <w:hyperlink w:anchor="_Toc109321361">
        <w:r>
          <w:rPr>
            <w:rStyle w:val="Sautdindex"/>
            <w:rFonts w:cs="Times New Roman" w:ascii="Times New Roman" w:hAnsi="Times New Roman"/>
            <w:sz w:val="24"/>
            <w:szCs w:val="24"/>
            <w:lang w:val="en-GB"/>
          </w:rPr>
          <w:t>Body of discussion</w:t>
        </w:r>
        <w:r>
          <w:rPr>
            <w:webHidden/>
          </w:rPr>
          <w:fldChar w:fldCharType="begin"/>
        </w:r>
        <w:r>
          <w:rPr>
            <w:webHidden/>
          </w:rPr>
          <w:instrText>PAGEREF _Toc109321361 \h</w:instrText>
        </w:r>
        <w:r>
          <w:rPr>
            <w:webHidden/>
          </w:rPr>
          <w:fldChar w:fldCharType="separate"/>
        </w:r>
        <w:r>
          <w:rPr>
            <w:rStyle w:val="Sautdindex"/>
            <w:rFonts w:cs="Times New Roman" w:ascii="Times New Roman" w:hAnsi="Times New Roman"/>
            <w:vanish w:val="false"/>
            <w:sz w:val="24"/>
            <w:szCs w:val="24"/>
            <w:lang w:val="en-GB"/>
          </w:rPr>
          <w:tab/>
          <w:t>3</w:t>
        </w:r>
        <w:r>
          <w:rPr>
            <w:webHidden/>
          </w:rPr>
          <w:fldChar w:fldCharType="end"/>
        </w:r>
      </w:hyperlink>
    </w:p>
    <w:p>
      <w:pPr>
        <w:pStyle w:val="Tableoffigures"/>
        <w:tabs>
          <w:tab w:val="clear" w:pos="720"/>
          <w:tab w:val="right" w:pos="9350" w:leader="dot"/>
        </w:tabs>
        <w:spacing w:lineRule="auto" w:line="360"/>
        <w:jc w:val="both"/>
        <w:rPr>
          <w:rFonts w:ascii="Times New Roman" w:hAnsi="Times New Roman" w:eastAsia="" w:cs="Times New Roman" w:eastAsiaTheme="minorEastAsia"/>
          <w:sz w:val="24"/>
          <w:szCs w:val="24"/>
          <w:lang w:val="en-GB"/>
        </w:rPr>
      </w:pPr>
      <w:hyperlink w:anchor="_Toc109321362">
        <w:r>
          <w:rPr>
            <w:rStyle w:val="Sautdindex"/>
            <w:rFonts w:cs="Times New Roman" w:ascii="Times New Roman" w:hAnsi="Times New Roman"/>
            <w:sz w:val="24"/>
            <w:szCs w:val="24"/>
            <w:lang w:val="en-GB"/>
          </w:rPr>
          <w:t>Conclusion</w:t>
        </w:r>
        <w:r>
          <w:rPr>
            <w:webHidden/>
          </w:rPr>
          <w:fldChar w:fldCharType="begin"/>
        </w:r>
        <w:r>
          <w:rPr>
            <w:webHidden/>
          </w:rPr>
          <w:instrText>PAGEREF _Toc109321362 \h</w:instrText>
        </w:r>
        <w:r>
          <w:rPr>
            <w:webHidden/>
          </w:rPr>
          <w:fldChar w:fldCharType="separate"/>
        </w:r>
        <w:r>
          <w:rPr>
            <w:rStyle w:val="Sautdindex"/>
            <w:rFonts w:cs="Times New Roman" w:ascii="Times New Roman" w:hAnsi="Times New Roman"/>
            <w:vanish w:val="false"/>
            <w:sz w:val="24"/>
            <w:szCs w:val="24"/>
            <w:lang w:val="en-GB"/>
          </w:rPr>
          <w:tab/>
          <w:t>6</w:t>
        </w:r>
        <w:r>
          <w:rPr>
            <w:webHidden/>
          </w:rPr>
          <w:fldChar w:fldCharType="end"/>
        </w:r>
      </w:hyperlink>
    </w:p>
    <w:p>
      <w:pPr>
        <w:pStyle w:val="Tableoffigures"/>
        <w:tabs>
          <w:tab w:val="clear" w:pos="720"/>
          <w:tab w:val="right" w:pos="9350" w:leader="dot"/>
        </w:tabs>
        <w:spacing w:lineRule="auto" w:line="360"/>
        <w:jc w:val="both"/>
        <w:rPr>
          <w:rFonts w:ascii="Times New Roman" w:hAnsi="Times New Roman" w:eastAsia="" w:cs="Times New Roman" w:eastAsiaTheme="minorEastAsia"/>
          <w:sz w:val="24"/>
          <w:szCs w:val="24"/>
          <w:lang w:val="en-GB"/>
        </w:rPr>
      </w:pPr>
      <w:hyperlink w:anchor="_Toc109321363">
        <w:r>
          <w:rPr>
            <w:rStyle w:val="Sautdindex"/>
            <w:rFonts w:cs="Times New Roman" w:ascii="Times New Roman" w:hAnsi="Times New Roman"/>
            <w:sz w:val="24"/>
            <w:szCs w:val="24"/>
            <w:lang w:val="en-GB"/>
          </w:rPr>
          <w:t>References</w:t>
        </w:r>
        <w:r>
          <w:rPr>
            <w:webHidden/>
          </w:rPr>
          <w:fldChar w:fldCharType="begin"/>
        </w:r>
        <w:r>
          <w:rPr>
            <w:webHidden/>
          </w:rPr>
          <w:instrText>PAGEREF _Toc109321363 \h</w:instrText>
        </w:r>
        <w:r>
          <w:rPr>
            <w:webHidden/>
          </w:rPr>
          <w:fldChar w:fldCharType="separate"/>
        </w:r>
        <w:r>
          <w:rPr>
            <w:rStyle w:val="Sautdindex"/>
            <w:rFonts w:cs="Times New Roman" w:ascii="Times New Roman" w:hAnsi="Times New Roman"/>
            <w:vanish w:val="false"/>
            <w:sz w:val="24"/>
            <w:szCs w:val="24"/>
            <w:lang w:val="en-GB"/>
          </w:rPr>
          <w:tab/>
          <w:t>7</w:t>
        </w:r>
        <w:r>
          <w:rPr>
            <w:webHidden/>
          </w:rPr>
          <w:fldChar w:fldCharType="end"/>
        </w:r>
      </w:hyperlink>
    </w:p>
    <w:p>
      <w:pPr>
        <w:pStyle w:val="Normal"/>
        <w:spacing w:lineRule="auto" w:line="360"/>
        <w:jc w:val="both"/>
        <w:rPr>
          <w:rFonts w:ascii="Times New Roman" w:hAnsi="Times New Roman" w:cs="Times New Roman"/>
          <w:b/>
          <w:b/>
          <w:sz w:val="24"/>
          <w:szCs w:val="24"/>
          <w:lang w:val="en-GB"/>
        </w:rPr>
      </w:pPr>
      <w:r>
        <w:rPr>
          <w:rFonts w:cs="Times New Roman" w:ascii="Times New Roman" w:hAnsi="Times New Roman"/>
          <w:b/>
          <w:sz w:val="24"/>
          <w:szCs w:val="24"/>
          <w:lang w:val="en-GB"/>
        </w:rPr>
      </w:r>
    </w:p>
    <w:p>
      <w:pPr>
        <w:pStyle w:val="Normal"/>
        <w:spacing w:lineRule="auto" w:line="360"/>
        <w:jc w:val="both"/>
        <w:rPr>
          <w:rFonts w:ascii="Times New Roman" w:hAnsi="Times New Roman" w:cs="Times New Roman"/>
          <w:b/>
          <w:b/>
          <w:sz w:val="24"/>
          <w:szCs w:val="24"/>
          <w:lang w:val="en-GB"/>
        </w:rPr>
      </w:pPr>
      <w:r>
        <w:rPr>
          <w:rFonts w:cs="Times New Roman" w:ascii="Times New Roman" w:hAnsi="Times New Roman"/>
          <w:b/>
          <w:sz w:val="24"/>
          <w:szCs w:val="24"/>
          <w:lang w:val="en-GB"/>
        </w:rPr>
      </w:r>
      <w:r>
        <w:br w:type="page"/>
      </w:r>
    </w:p>
    <w:p>
      <w:pPr>
        <w:pStyle w:val="Titre1"/>
        <w:rPr>
          <w:szCs w:val="24"/>
        </w:rPr>
      </w:pPr>
      <w:bookmarkStart w:id="0" w:name="_Toc109321360"/>
      <w:r>
        <w:rPr>
          <w:szCs w:val="24"/>
        </w:rPr>
        <w:t>Introduction</w:t>
      </w:r>
      <w:bookmarkEnd w:id="0"/>
      <w:r>
        <w:rPr>
          <w:szCs w:val="24"/>
        </w:rPr>
        <w:t xml:space="preserve"> </w:t>
      </w:r>
    </w:p>
    <w:p>
      <w:pPr>
        <w:pStyle w:val="Normal"/>
        <w:spacing w:lineRule="auto" w:line="360"/>
        <w:jc w:val="both"/>
        <w:rPr>
          <w:rFonts w:ascii="Times New Roman" w:hAnsi="Times New Roman" w:cs="Times New Roman"/>
          <w:sz w:val="24"/>
          <w:szCs w:val="24"/>
          <w:lang w:val="en-GB"/>
        </w:rPr>
      </w:pPr>
      <w:r>
        <w:rPr>
          <w:rFonts w:cs="Times New Roman" w:ascii="Times New Roman" w:hAnsi="Times New Roman"/>
          <w:sz w:val="24"/>
          <w:szCs w:val="24"/>
          <w:lang w:val="en-GB"/>
        </w:rPr>
        <w:t xml:space="preserve">The UK in alignment with the traditional approach associated with the legal system and judiciary makes use of juries for making an optimised decisions in multiple scenarios. Juries are thus characterised as notable parts associated with the UK judicial system. The juries are additionally characterised as a group of individuals sourced from different aspects of lives involved in sworn assessment coupled with argument hearing in a legislative case. The inclusive criteria of being a jury correspond to having an age between 18 to 70 years coupled with having relevant documents such as a driving licence and a voter identification number making such person citizens of the UK for such activities (Anderson, </w:t>
      </w:r>
      <w:bookmarkStart w:id="1" w:name="_GoBack"/>
      <w:bookmarkEnd w:id="1"/>
      <w:r>
        <w:rPr>
          <w:rFonts w:cs="Times New Roman" w:ascii="Times New Roman" w:hAnsi="Times New Roman"/>
          <w:sz w:val="24"/>
          <w:szCs w:val="24"/>
          <w:lang w:val="en-GB"/>
        </w:rPr>
        <w:t xml:space="preserve">2020). Due to the different types of courts functioning in the UK, juries could be summoned by different types of courts such as the ‘The Crown Court’, ‘The County Court’, ‘the High Court’ and ‘the Coroner’s Court’. The aim of this study hence is to ascertain whether the current jury system associated with the judicial services be eliminated in the case of England and Wales. </w:t>
      </w:r>
    </w:p>
    <w:p>
      <w:pPr>
        <w:pStyle w:val="Titre1"/>
        <w:rPr>
          <w:szCs w:val="24"/>
        </w:rPr>
      </w:pPr>
      <w:bookmarkStart w:id="2" w:name="_Toc109321361"/>
      <w:r>
        <w:rPr>
          <w:szCs w:val="24"/>
        </w:rPr>
        <w:t>Body of discussion</w:t>
      </w:r>
      <w:bookmarkEnd w:id="2"/>
      <w:r>
        <w:rPr>
          <w:szCs w:val="24"/>
        </w:rPr>
        <w:t xml:space="preserve"> </w:t>
      </w:r>
    </w:p>
    <w:p>
      <w:pPr>
        <w:pStyle w:val="Normal"/>
        <w:spacing w:lineRule="auto" w:line="360"/>
        <w:jc w:val="both"/>
        <w:rPr>
          <w:rFonts w:ascii="Times New Roman" w:hAnsi="Times New Roman" w:cs="Times New Roman"/>
          <w:sz w:val="24"/>
          <w:szCs w:val="24"/>
          <w:lang w:val="en-GB"/>
        </w:rPr>
      </w:pPr>
      <w:r>
        <w:rPr>
          <w:rFonts w:cs="Times New Roman" w:ascii="Times New Roman" w:hAnsi="Times New Roman"/>
          <w:sz w:val="24"/>
          <w:szCs w:val="24"/>
          <w:lang w:val="en-GB"/>
        </w:rPr>
        <w:t xml:space="preserve">The responsibility for summoning the jurors for deliberation on the case lies with the Crown Courts. The officials associated with the Crown court are responsible for choosing particular individuals to form the electoral register as a juror to be present in a specific form of court. However, in collaboration with modern times, a computerised and automated approach is considered for such choices which are executed in a randomized manner. Hence, jurors may face any number of problems regarding the selection process which could be personal, professional or environmental. </w:t>
      </w:r>
    </w:p>
    <w:p>
      <w:pPr>
        <w:pStyle w:val="Normal"/>
        <w:spacing w:lineRule="auto" w:line="360"/>
        <w:jc w:val="both"/>
        <w:rPr>
          <w:rFonts w:ascii="Times New Roman" w:hAnsi="Times New Roman" w:cs="Times New Roman"/>
          <w:sz w:val="24"/>
          <w:szCs w:val="24"/>
          <w:lang w:val="en-GB"/>
        </w:rPr>
      </w:pPr>
      <w:r>
        <w:rPr>
          <w:rFonts w:cs="Times New Roman" w:ascii="Times New Roman" w:hAnsi="Times New Roman"/>
          <w:sz w:val="24"/>
          <w:szCs w:val="24"/>
          <w:lang w:val="en-GB"/>
        </w:rPr>
        <w:t>The process of selection is additional thrust upon each district that accesses the registry of voters and randomly selects the required numbers based on predefined criteria. However, not all of the process is automated. This is because the selected juries are put through a questionnaire that enables the honourable court to determine the qualifications of the individuals in the capacity to serve as a jury. A core example, in this case, corresponds to the possible challenge and most common occurrence of the same by defence couple with prosecution lawyers regarding the capacity of a juror. This is because the randomised selected candidates are required to provide a good reason to be finally allowed. The final selection lies with the judge as acceptance of such reason for being a juror is required to be accepted by a preceding judge on the case and if found not suitable, the same could be called upon in another case and required.</w:t>
      </w:r>
    </w:p>
    <w:p>
      <w:pPr>
        <w:pStyle w:val="Normal"/>
        <w:spacing w:lineRule="auto" w:line="360"/>
        <w:jc w:val="both"/>
        <w:rPr>
          <w:rFonts w:ascii="Times New Roman" w:hAnsi="Times New Roman" w:cs="Times New Roman"/>
          <w:sz w:val="24"/>
          <w:szCs w:val="24"/>
          <w:lang w:val="en-GB"/>
        </w:rPr>
      </w:pPr>
      <w:r>
        <w:rPr>
          <w:rFonts w:cs="Times New Roman" w:ascii="Times New Roman" w:hAnsi="Times New Roman"/>
          <w:sz w:val="24"/>
          <w:szCs w:val="24"/>
          <w:lang w:val="en-GB"/>
        </w:rPr>
        <w:t xml:space="preserve">There are other problems with the selection procedures in the jury such as failing to return the summons of the jury for service resulting in a £1000 fine. There also stays a necessity for the jurors to serve ten working days before getting on the jury (GOV, 2022). In a circumstance, where the case gets extended by almost 2 weeks, then the jurors’ stay for the services will also get extended. This makes the selection procedure for the jury members highly critical and challenging. Moreover, various criteria for the selection procedure also can be considered a big challenge. One of the criteria is that in case a person has been provided with a suspended sentence or has served time in prison, then he or she will be debarred from the selection process for 10 years. Similar to this, another criterion that is followed is that any community order or sentence for an individual would lead to rejection of him or her from the process. </w:t>
      </w:r>
    </w:p>
    <w:p>
      <w:pPr>
        <w:pStyle w:val="Normal"/>
        <w:spacing w:lineRule="auto" w:line="360"/>
        <w:jc w:val="both"/>
        <w:rPr>
          <w:rFonts w:ascii="Times New Roman" w:hAnsi="Times New Roman" w:cs="Times New Roman"/>
          <w:sz w:val="24"/>
          <w:szCs w:val="24"/>
          <w:lang w:val="en-GB"/>
        </w:rPr>
      </w:pPr>
      <w:r>
        <w:rPr>
          <w:rFonts w:cs="Times New Roman" w:ascii="Times New Roman" w:hAnsi="Times New Roman"/>
          <w:sz w:val="24"/>
          <w:szCs w:val="24"/>
          <w:lang w:val="en-GB"/>
        </w:rPr>
        <w:t>Only after the court clerk has chosen the 12 members for the jury, they will be authorised with permission to get into the jury box. After this, they will be sworn in as the respective jurors. One of the challenging factors for the jurors after they have been sworn in is from the prosecution and defence counsel. These groups can challenge the jurors using various agendas. For example, the "for cause" challenge the question's right of the juror to sit on that particular jury. Moreover, an audience of judges is required in case there is conflict among the existing jury members during the case discussion (GOV, 2022). According to the Juries Act 1974, certain characteristics disqualify an individual to get selected for the jury in England. These characteristics are:</w:t>
      </w:r>
    </w:p>
    <w:p>
      <w:pPr>
        <w:pStyle w:val="ListParagraph"/>
        <w:numPr>
          <w:ilvl w:val="0"/>
          <w:numId w:val="1"/>
        </w:numPr>
        <w:rPr>
          <w:rFonts w:cs="Times New Roman"/>
          <w:bCs/>
          <w:sz w:val="24"/>
          <w:szCs w:val="24"/>
          <w:lang w:val="en-GB"/>
        </w:rPr>
      </w:pPr>
      <w:r>
        <w:rPr>
          <w:rFonts w:cs="Times New Roman"/>
          <w:sz w:val="24"/>
          <w:szCs w:val="24"/>
          <w:lang w:val="en-GB"/>
        </w:rPr>
        <w:t xml:space="preserve">The indeterminate custodial sentence under </w:t>
      </w:r>
      <w:r>
        <w:rPr>
          <w:rFonts w:cs="Times New Roman"/>
          <w:bCs/>
          <w:sz w:val="24"/>
          <w:szCs w:val="24"/>
          <w:lang w:val="en-GB"/>
        </w:rPr>
        <w:t>“Article 13 of the Criminal Justice order 2008”</w:t>
      </w:r>
    </w:p>
    <w:p>
      <w:pPr>
        <w:pStyle w:val="ListParagraph"/>
        <w:numPr>
          <w:ilvl w:val="0"/>
          <w:numId w:val="1"/>
        </w:numPr>
        <w:rPr>
          <w:rFonts w:cs="Times New Roman"/>
          <w:bCs/>
          <w:sz w:val="24"/>
          <w:szCs w:val="24"/>
          <w:lang w:val="en-GB"/>
        </w:rPr>
      </w:pPr>
      <w:r>
        <w:rPr>
          <w:rFonts w:cs="Times New Roman"/>
          <w:bCs/>
          <w:sz w:val="24"/>
          <w:szCs w:val="24"/>
          <w:lang w:val="en-GB"/>
        </w:rPr>
        <w:t>Sentenced to five or more years of prison by Isle of Man, Channel Islands, and the UK</w:t>
      </w:r>
    </w:p>
    <w:p>
      <w:pPr>
        <w:pStyle w:val="ListParagraph"/>
        <w:numPr>
          <w:ilvl w:val="0"/>
          <w:numId w:val="1"/>
        </w:numPr>
        <w:rPr>
          <w:rFonts w:cs="Times New Roman"/>
          <w:bCs/>
          <w:sz w:val="24"/>
          <w:szCs w:val="24"/>
          <w:lang w:val="en-GB"/>
        </w:rPr>
      </w:pPr>
      <w:r>
        <w:rPr>
          <w:rFonts w:cs="Times New Roman"/>
          <w:bCs/>
          <w:sz w:val="24"/>
          <w:szCs w:val="24"/>
          <w:lang w:val="en-GB"/>
        </w:rPr>
        <w:t xml:space="preserve">Having bail in ongoing criminal proceedings </w:t>
      </w:r>
    </w:p>
    <w:p>
      <w:pPr>
        <w:pStyle w:val="ListParagraph"/>
        <w:numPr>
          <w:ilvl w:val="0"/>
          <w:numId w:val="1"/>
        </w:numPr>
        <w:rPr>
          <w:rFonts w:cs="Times New Roman"/>
          <w:bCs/>
          <w:sz w:val="24"/>
          <w:szCs w:val="24"/>
          <w:lang w:val="en-GB"/>
        </w:rPr>
      </w:pPr>
      <w:r>
        <w:rPr>
          <w:rFonts w:cs="Times New Roman"/>
          <w:bCs/>
          <w:sz w:val="24"/>
          <w:szCs w:val="24"/>
          <w:lang w:val="en-GB"/>
        </w:rPr>
        <w:t>Having detention or life imprisonment because of public protection</w:t>
      </w:r>
    </w:p>
    <w:p>
      <w:pPr>
        <w:pStyle w:val="ListParagraph"/>
        <w:numPr>
          <w:ilvl w:val="0"/>
          <w:numId w:val="1"/>
        </w:numPr>
        <w:rPr>
          <w:rFonts w:cs="Times New Roman"/>
          <w:bCs/>
          <w:sz w:val="24"/>
          <w:szCs w:val="24"/>
          <w:lang w:val="en-GB"/>
        </w:rPr>
      </w:pPr>
      <w:r>
        <w:rPr>
          <w:rFonts w:cs="Times New Roman"/>
          <w:bCs/>
          <w:sz w:val="24"/>
          <w:szCs w:val="24"/>
          <w:lang w:val="en-GB"/>
        </w:rPr>
        <w:t xml:space="preserve">Individuals outside the age bracket of 18 to 70 years </w:t>
      </w:r>
      <w:r>
        <w:rPr>
          <w:rFonts w:cs="Times New Roman"/>
          <w:sz w:val="24"/>
          <w:szCs w:val="24"/>
          <w:lang w:val="en-GB"/>
        </w:rPr>
        <w:t>(nidirect, 2022)</w:t>
      </w:r>
    </w:p>
    <w:p>
      <w:pPr>
        <w:pStyle w:val="Normal"/>
        <w:spacing w:lineRule="auto" w:line="360"/>
        <w:jc w:val="both"/>
        <w:rPr>
          <w:rFonts w:ascii="Times New Roman" w:hAnsi="Times New Roman" w:cs="Times New Roman"/>
          <w:bCs/>
          <w:sz w:val="24"/>
          <w:szCs w:val="24"/>
          <w:lang w:val="en-GB"/>
        </w:rPr>
      </w:pPr>
      <w:r>
        <w:rPr>
          <w:rFonts w:cs="Times New Roman" w:ascii="Times New Roman" w:hAnsi="Times New Roman"/>
          <w:bCs/>
          <w:sz w:val="24"/>
          <w:szCs w:val="24"/>
          <w:lang w:val="en-GB"/>
        </w:rPr>
        <w:t>Democratising the judiciary of the nation is one of the major principal ideologies related to the introduction of the jury system in any legal case. It can also be stated that this supports in assessment and evaluation of the arguments from both the parties involved. This also maintains the balance in justice and keeps the system under check. A majority view for the sentence is also achieved through this approach and it also makes way for stronger emotional arguments in legal cases. A mix of emotional arguments and juror trials has the potential of largely affecting the justice pathway. However, due to the same, the jury might incline towards miscarrying the justice solely based on better emotional-based arguments. Therefore, the reputation of the justice system would be harmed and this will make major compromises in fair decision-making. therefore, it can be understood that the concept of the jury system in various legal cases is associated with both opportunities and threats.</w:t>
      </w:r>
    </w:p>
    <w:p>
      <w:pPr>
        <w:pStyle w:val="Normal"/>
        <w:spacing w:lineRule="auto" w:line="360"/>
        <w:jc w:val="both"/>
        <w:rPr>
          <w:rFonts w:ascii="Times New Roman" w:hAnsi="Times New Roman" w:cs="Times New Roman"/>
          <w:sz w:val="24"/>
          <w:szCs w:val="24"/>
          <w:lang w:val="en-GB"/>
        </w:rPr>
      </w:pPr>
      <w:r>
        <w:rPr>
          <w:rFonts w:cs="Times New Roman" w:ascii="Times New Roman" w:hAnsi="Times New Roman"/>
          <w:sz w:val="24"/>
          <w:szCs w:val="24"/>
          <w:lang w:val="en-GB"/>
        </w:rPr>
      </w:r>
    </w:p>
    <w:p>
      <w:pPr>
        <w:pStyle w:val="Normal"/>
        <w:spacing w:lineRule="auto" w:line="360"/>
        <w:jc w:val="both"/>
        <w:rPr>
          <w:rFonts w:ascii="Times New Roman" w:hAnsi="Times New Roman" w:cs="Times New Roman"/>
          <w:sz w:val="24"/>
          <w:szCs w:val="24"/>
          <w:lang w:val="en-GB"/>
        </w:rPr>
      </w:pPr>
      <w:r>
        <w:rPr>
          <w:rFonts w:cs="Times New Roman" w:ascii="Times New Roman" w:hAnsi="Times New Roman"/>
          <w:sz w:val="24"/>
          <w:szCs w:val="24"/>
          <w:lang w:val="en-GB"/>
        </w:rPr>
        <w:t xml:space="preserve">The jury system often places their argument an easy way than the judges. As per the viewpoint of Bhagwat (2021), easier access to the judgement improves argumentation quality and henceforth, it makes the judgement much easier. Reduction of judicial bias often makes the judgement easier and more transparent. Sometimes, it is seen that the jury, due to misled activities of stakeholders makes the judgement faulty. Quality of argumentation often increases due to pressure from presenting the case to jurors which eases the path of justice. In the year 1953, a police constable named Sidney Miles was murdered in the case of Derek Bentley. In the year, 1998, the case was reopened and Derek was convicted by the court of law. It is seen that the victim has a lot of mental disabilities and it has been proved after executing the long campaign. In another case Judith Ward, it is observed that 12 people were killed. In the year 1992, her conviction was dismissed as a defence lawyer proved her mental illness. </w:t>
      </w:r>
    </w:p>
    <w:p>
      <w:pPr>
        <w:pStyle w:val="Normal"/>
        <w:spacing w:lineRule="auto" w:line="360"/>
        <w:jc w:val="both"/>
        <w:rPr>
          <w:rFonts w:ascii="Times New Roman" w:hAnsi="Times New Roman" w:cs="Times New Roman"/>
          <w:sz w:val="24"/>
          <w:szCs w:val="24"/>
          <w:lang w:val="en-GB"/>
        </w:rPr>
      </w:pPr>
      <w:r>
        <w:rPr>
          <w:rFonts w:cs="Times New Roman" w:ascii="Times New Roman" w:hAnsi="Times New Roman"/>
          <w:sz w:val="24"/>
          <w:szCs w:val="24"/>
          <w:lang w:val="en-GB"/>
        </w:rPr>
        <w:t xml:space="preserve">The backlog cases are known as the situation in the judicial system as a court of law is overburdened with various workloads that create hindrance in the proper flow of justice. It is seen that the selection of the jury in a particular case often reduces trails speed as both sides try their level best to put their arguments in a precise way. On the other hand, it is seen that judges are professional who understands the scenario much better and henceforth, guarantees a systematic unbiased trial system. To give the right judgement, the jury spends a lot of time understanding the scenario whereas judges are quite experts in this scenario (Bhagwat, 2021). Therefore, jury trials often slow down the judgement rate. Suspension of jury trials has boosted the velocity of justice delivery. In the Stephen Downing case, the convicted was jailed for 27 years for murdering Wendy Sewell. It has been observed that the case was restricted mainly by raising questions as it is the medium of confession signing along with the role of the police. </w:t>
      </w:r>
    </w:p>
    <w:p>
      <w:pPr>
        <w:pStyle w:val="Normal"/>
        <w:spacing w:lineRule="auto" w:line="360"/>
        <w:jc w:val="both"/>
        <w:rPr>
          <w:rFonts w:ascii="Times New Roman" w:hAnsi="Times New Roman" w:cs="Times New Roman"/>
          <w:sz w:val="24"/>
          <w:szCs w:val="24"/>
          <w:lang w:val="en-GB"/>
        </w:rPr>
      </w:pPr>
      <w:r>
        <w:rPr>
          <w:rFonts w:cs="Times New Roman" w:ascii="Times New Roman" w:hAnsi="Times New Roman"/>
          <w:sz w:val="24"/>
          <w:szCs w:val="24"/>
          <w:lang w:val="en-GB"/>
        </w:rPr>
        <w:t xml:space="preserve">There is a presence of some factors that affects jury selection procedure. After considering these significant factors, the court of England has suggested restructuring their policies in the jury selection procedure to boost its judicial system. Several recommendations can be considered such as reopening pending cases when the jury is hung, allowing non-unanimous jury verdicts and eliminating peremptory strikes.  These recommendations can guide to focus on pending cases and it may improve the performance of the judicial system. Simplification of jurisdiction procedure can create a positive impact on legal direction. Handling pending cases properly often aids jurisdictions to focus on fast track process so that they can systematically deliver justice. Henceforth, it can be said that the proper judiciary of a nation can guide the nation to make proper distinctions between several cases that can reduce complexity and time while delivering justice. Misleading the jury by other stakeholders of the present justice system sometimes results in faulty judgement. Therefore, transparency on access needs to be enhanced and judicial business needs to be reduced to boost the judicial system effectively.  </w:t>
      </w:r>
    </w:p>
    <w:p>
      <w:pPr>
        <w:pStyle w:val="Titre1"/>
        <w:rPr>
          <w:szCs w:val="24"/>
        </w:rPr>
      </w:pPr>
      <w:bookmarkStart w:id="3" w:name="_Toc109321362"/>
      <w:r>
        <w:rPr>
          <w:szCs w:val="24"/>
        </w:rPr>
        <w:t>Conclusion</w:t>
      </w:r>
      <w:bookmarkEnd w:id="3"/>
    </w:p>
    <w:p>
      <w:pPr>
        <w:pStyle w:val="Normal"/>
        <w:spacing w:lineRule="auto" w:line="360"/>
        <w:jc w:val="both"/>
        <w:rPr>
          <w:rFonts w:ascii="Times New Roman" w:hAnsi="Times New Roman" w:cs="Times New Roman"/>
          <w:sz w:val="24"/>
          <w:szCs w:val="24"/>
          <w:lang w:val="en-GB"/>
        </w:rPr>
      </w:pPr>
      <w:r>
        <w:rPr>
          <w:rFonts w:cs="Times New Roman" w:ascii="Times New Roman" w:hAnsi="Times New Roman"/>
          <w:sz w:val="24"/>
          <w:szCs w:val="24"/>
          <w:lang w:val="en-GB"/>
        </w:rPr>
        <w:t xml:space="preserve">Relative to the study conducted, it is inferred that the selection process and mechanism associated with juries are highly time-consuming. This is due to the extensive number of variables associated with the same including the randomised approach undertaken for the selection of juries. Hence, due to extensive limitations, some reforms have been suggested in this study but a specific consensus on the complete abolishment of the juries could not be developed. This is because of the increasing complexity of the judicial system coupled with the traditions associated with judiciary services. </w:t>
      </w:r>
    </w:p>
    <w:p>
      <w:pPr>
        <w:pStyle w:val="Normal"/>
        <w:spacing w:lineRule="auto" w:line="360"/>
        <w:jc w:val="both"/>
        <w:rPr>
          <w:rFonts w:ascii="Times New Roman" w:hAnsi="Times New Roman" w:cs="Times New Roman"/>
          <w:sz w:val="24"/>
          <w:szCs w:val="24"/>
          <w:lang w:val="en-GB"/>
        </w:rPr>
      </w:pPr>
      <w:r>
        <w:rPr>
          <w:rFonts w:cs="Times New Roman" w:ascii="Times New Roman" w:hAnsi="Times New Roman"/>
          <w:sz w:val="24"/>
          <w:szCs w:val="24"/>
          <w:lang w:val="en-GB"/>
        </w:rPr>
      </w:r>
      <w:r>
        <w:br w:type="page"/>
      </w:r>
    </w:p>
    <w:p>
      <w:pPr>
        <w:pStyle w:val="Titre1"/>
        <w:rPr>
          <w:szCs w:val="24"/>
        </w:rPr>
      </w:pPr>
      <w:bookmarkStart w:id="4" w:name="_Toc109321363"/>
      <w:r>
        <w:rPr>
          <w:szCs w:val="24"/>
        </w:rPr>
        <w:t>References</w:t>
      </w:r>
      <w:bookmarkEnd w:id="4"/>
    </w:p>
    <w:p>
      <w:pPr>
        <w:pStyle w:val="Normal"/>
        <w:spacing w:lineRule="auto" w:line="360" w:before="0" w:after="0"/>
        <w:jc w:val="both"/>
        <w:rPr>
          <w:rFonts w:ascii="Times New Roman" w:hAnsi="Times New Roman" w:cs="Times New Roman"/>
          <w:sz w:val="24"/>
          <w:szCs w:val="24"/>
          <w:lang w:val="en-GB"/>
        </w:rPr>
      </w:pPr>
      <w:r>
        <w:rPr>
          <w:rFonts w:cs="Times New Roman" w:ascii="Times New Roman" w:hAnsi="Times New Roman"/>
          <w:color w:val="222222"/>
          <w:sz w:val="24"/>
          <w:szCs w:val="24"/>
          <w:lang w:val="en-GB"/>
        </w:rPr>
        <w:t xml:space="preserve">Anderson, A.J., 2020. Peremptory Challenges at the Turn of the Nineteenth Century: Development of Modern Jury Selection Strategies as Seen in Practitioners' Trial Manuals. </w:t>
      </w:r>
      <w:r>
        <w:rPr>
          <w:rFonts w:cs="Times New Roman" w:ascii="Times New Roman" w:hAnsi="Times New Roman"/>
          <w:i/>
          <w:color w:val="222222"/>
          <w:sz w:val="24"/>
          <w:szCs w:val="24"/>
          <w:lang w:val="en-GB"/>
        </w:rPr>
        <w:t>Stan. JCR &amp; CL</w:t>
      </w:r>
      <w:r>
        <w:rPr>
          <w:rFonts w:cs="Times New Roman" w:ascii="Times New Roman" w:hAnsi="Times New Roman"/>
          <w:color w:val="222222"/>
          <w:sz w:val="24"/>
          <w:szCs w:val="24"/>
          <w:lang w:val="en-GB"/>
        </w:rPr>
        <w:t xml:space="preserve">, </w:t>
      </w:r>
      <w:r>
        <w:rPr>
          <w:rFonts w:cs="Times New Roman" w:ascii="Times New Roman" w:hAnsi="Times New Roman"/>
          <w:i/>
          <w:color w:val="222222"/>
          <w:sz w:val="24"/>
          <w:szCs w:val="24"/>
          <w:lang w:val="en-GB"/>
        </w:rPr>
        <w:t>16</w:t>
      </w:r>
      <w:r>
        <w:rPr>
          <w:rFonts w:cs="Times New Roman" w:ascii="Times New Roman" w:hAnsi="Times New Roman"/>
          <w:color w:val="222222"/>
          <w:sz w:val="24"/>
          <w:szCs w:val="24"/>
          <w:lang w:val="en-GB"/>
        </w:rPr>
        <w:t>, p.1.</w:t>
      </w:r>
    </w:p>
    <w:p>
      <w:pPr>
        <w:pStyle w:val="Normal"/>
        <w:spacing w:lineRule="auto" w:line="360" w:before="0" w:after="0"/>
        <w:jc w:val="both"/>
        <w:rPr>
          <w:rFonts w:ascii="Times New Roman" w:hAnsi="Times New Roman" w:cs="Times New Roman"/>
          <w:color w:val="222222"/>
          <w:sz w:val="24"/>
          <w:szCs w:val="24"/>
          <w:lang w:val="en-GB"/>
        </w:rPr>
      </w:pPr>
      <w:r>
        <w:rPr>
          <w:rFonts w:cs="Times New Roman" w:ascii="Times New Roman" w:hAnsi="Times New Roman"/>
          <w:color w:val="222222"/>
          <w:sz w:val="24"/>
          <w:szCs w:val="24"/>
          <w:lang w:val="en-GB"/>
        </w:rPr>
        <w:t xml:space="preserve">Bhagwat, E., 2021. Jury System Abolishment. </w:t>
      </w:r>
      <w:r>
        <w:rPr>
          <w:rFonts w:cs="Times New Roman" w:ascii="Times New Roman" w:hAnsi="Times New Roman"/>
          <w:i/>
          <w:color w:val="222222"/>
          <w:sz w:val="24"/>
          <w:szCs w:val="24"/>
          <w:lang w:val="en-GB"/>
        </w:rPr>
        <w:t>Jus Corpus LJ</w:t>
      </w:r>
      <w:r>
        <w:rPr>
          <w:rFonts w:cs="Times New Roman" w:ascii="Times New Roman" w:hAnsi="Times New Roman"/>
          <w:color w:val="222222"/>
          <w:sz w:val="24"/>
          <w:szCs w:val="24"/>
          <w:lang w:val="en-GB"/>
        </w:rPr>
        <w:t xml:space="preserve">, </w:t>
      </w:r>
      <w:r>
        <w:rPr>
          <w:rFonts w:cs="Times New Roman" w:ascii="Times New Roman" w:hAnsi="Times New Roman"/>
          <w:i/>
          <w:color w:val="222222"/>
          <w:sz w:val="24"/>
          <w:szCs w:val="24"/>
          <w:lang w:val="en-GB"/>
        </w:rPr>
        <w:t>2</w:t>
      </w:r>
      <w:r>
        <w:rPr>
          <w:rFonts w:cs="Times New Roman" w:ascii="Times New Roman" w:hAnsi="Times New Roman"/>
          <w:color w:val="222222"/>
          <w:sz w:val="24"/>
          <w:szCs w:val="24"/>
          <w:lang w:val="en-GB"/>
        </w:rPr>
        <w:t>, p.268.</w:t>
      </w:r>
    </w:p>
    <w:p>
      <w:pPr>
        <w:pStyle w:val="Normal"/>
        <w:spacing w:lineRule="auto" w:line="360" w:before="0" w:after="0"/>
        <w:jc w:val="both"/>
        <w:rPr>
          <w:rFonts w:ascii="Times New Roman" w:hAnsi="Times New Roman" w:cs="Times New Roman"/>
          <w:color w:val="222222"/>
          <w:sz w:val="24"/>
          <w:szCs w:val="24"/>
          <w:lang w:val="en-GB"/>
        </w:rPr>
      </w:pPr>
      <w:bookmarkStart w:id="5" w:name="_heading=h.tyjcwt"/>
      <w:bookmarkEnd w:id="5"/>
      <w:r>
        <w:rPr>
          <w:rFonts w:cs="Times New Roman" w:ascii="Times New Roman" w:hAnsi="Times New Roman"/>
          <w:color w:val="222222"/>
          <w:sz w:val="24"/>
          <w:szCs w:val="24"/>
          <w:lang w:val="en-GB"/>
        </w:rPr>
        <w:t xml:space="preserve">Bornstein, B.H., Hamm, J.A., Dellapaolera, K.S., Kleynhans, A. and Miller, M.K., 2020. JUST: a measure of jury system trustworthiness. </w:t>
      </w:r>
      <w:r>
        <w:rPr>
          <w:rFonts w:cs="Times New Roman" w:ascii="Times New Roman" w:hAnsi="Times New Roman"/>
          <w:i/>
          <w:color w:val="222222"/>
          <w:sz w:val="24"/>
          <w:szCs w:val="24"/>
          <w:lang w:val="en-GB"/>
        </w:rPr>
        <w:t>Psychology, Crime &amp; Law</w:t>
      </w:r>
      <w:r>
        <w:rPr>
          <w:rFonts w:cs="Times New Roman" w:ascii="Times New Roman" w:hAnsi="Times New Roman"/>
          <w:color w:val="222222"/>
          <w:sz w:val="24"/>
          <w:szCs w:val="24"/>
          <w:lang w:val="en-GB"/>
        </w:rPr>
        <w:t xml:space="preserve">, </w:t>
      </w:r>
      <w:r>
        <w:rPr>
          <w:rFonts w:cs="Times New Roman" w:ascii="Times New Roman" w:hAnsi="Times New Roman"/>
          <w:i/>
          <w:color w:val="222222"/>
          <w:sz w:val="24"/>
          <w:szCs w:val="24"/>
          <w:lang w:val="en-GB"/>
        </w:rPr>
        <w:t>26</w:t>
      </w:r>
      <w:r>
        <w:rPr>
          <w:rFonts w:cs="Times New Roman" w:ascii="Times New Roman" w:hAnsi="Times New Roman"/>
          <w:color w:val="222222"/>
          <w:sz w:val="24"/>
          <w:szCs w:val="24"/>
          <w:lang w:val="en-GB"/>
        </w:rPr>
        <w:t>(8), pp.797-822.</w:t>
      </w:r>
    </w:p>
    <w:p>
      <w:pPr>
        <w:pStyle w:val="Normal"/>
        <w:spacing w:lineRule="auto" w:line="360"/>
        <w:jc w:val="both"/>
        <w:rPr>
          <w:rFonts w:ascii="Times New Roman" w:hAnsi="Times New Roman" w:cs="Times New Roman"/>
          <w:sz w:val="24"/>
          <w:szCs w:val="24"/>
          <w:lang w:val="en-GB"/>
        </w:rPr>
      </w:pPr>
      <w:r>
        <w:rPr>
          <w:rFonts w:cs="Times New Roman" w:ascii="Times New Roman" w:hAnsi="Times New Roman"/>
          <w:sz w:val="24"/>
          <w:szCs w:val="24"/>
          <w:lang w:val="en-GB"/>
        </w:rPr>
        <w:t xml:space="preserve">GOV, 2022. </w:t>
      </w:r>
      <w:r>
        <w:rPr>
          <w:rFonts w:cs="Times New Roman" w:ascii="Times New Roman" w:hAnsi="Times New Roman"/>
          <w:i/>
          <w:sz w:val="24"/>
          <w:szCs w:val="24"/>
          <w:lang w:val="en-GB"/>
        </w:rPr>
        <w:t>Jury service</w:t>
      </w:r>
      <w:r>
        <w:rPr>
          <w:rFonts w:cs="Times New Roman" w:ascii="Times New Roman" w:hAnsi="Times New Roman"/>
          <w:sz w:val="24"/>
          <w:szCs w:val="24"/>
          <w:lang w:val="en-GB"/>
        </w:rPr>
        <w:t>. [online] GOV.UK. Available at: &lt;https://www.gov.uk/jury-service&gt; [Accessed 21 July 2022].</w:t>
      </w:r>
    </w:p>
    <w:p>
      <w:pPr>
        <w:pStyle w:val="Normal"/>
        <w:spacing w:lineRule="auto" w:line="360"/>
        <w:jc w:val="both"/>
        <w:rPr>
          <w:rFonts w:ascii="Times New Roman" w:hAnsi="Times New Roman" w:cs="Times New Roman"/>
          <w:sz w:val="24"/>
          <w:szCs w:val="24"/>
          <w:lang w:val="en-GB"/>
        </w:rPr>
      </w:pPr>
      <w:r>
        <w:rPr>
          <w:rFonts w:cs="Times New Roman" w:ascii="Times New Roman" w:hAnsi="Times New Roman"/>
          <w:sz w:val="24"/>
          <w:szCs w:val="24"/>
          <w:lang w:val="en-GB"/>
        </w:rPr>
        <w:t xml:space="preserve">GOV, 2022. </w:t>
      </w:r>
      <w:r>
        <w:rPr>
          <w:rFonts w:cs="Times New Roman" w:ascii="Times New Roman" w:hAnsi="Times New Roman"/>
          <w:i/>
          <w:sz w:val="24"/>
          <w:szCs w:val="24"/>
          <w:lang w:val="en-GB"/>
        </w:rPr>
        <w:t>Jury vetting: right of stand by guidelines</w:t>
      </w:r>
      <w:r>
        <w:rPr>
          <w:rFonts w:cs="Times New Roman" w:ascii="Times New Roman" w:hAnsi="Times New Roman"/>
          <w:sz w:val="24"/>
          <w:szCs w:val="24"/>
          <w:lang w:val="en-GB"/>
        </w:rPr>
        <w:t>. [online] GOV.UK. Available at: &lt;https://www.gov.uk/guidance/jury-vetting-right-of-stand-by-guidelines--2&gt; [Accessed 21 July 2022].</w:t>
      </w:r>
    </w:p>
    <w:p>
      <w:pPr>
        <w:pStyle w:val="Normal"/>
        <w:spacing w:lineRule="auto" w:line="360"/>
        <w:jc w:val="both"/>
        <w:rPr>
          <w:rFonts w:ascii="Times New Roman" w:hAnsi="Times New Roman" w:cs="Times New Roman"/>
          <w:sz w:val="24"/>
          <w:szCs w:val="24"/>
          <w:lang w:val="en-GB"/>
        </w:rPr>
      </w:pPr>
      <w:r>
        <w:rPr>
          <w:rFonts w:cs="Times New Roman" w:ascii="Times New Roman" w:hAnsi="Times New Roman"/>
          <w:sz w:val="24"/>
          <w:szCs w:val="24"/>
          <w:lang w:val="en-GB"/>
        </w:rPr>
        <w:t xml:space="preserve">nidirect, 2022. </w:t>
      </w:r>
      <w:r>
        <w:rPr>
          <w:rFonts w:cs="Times New Roman" w:ascii="Times New Roman" w:hAnsi="Times New Roman"/>
          <w:i/>
          <w:sz w:val="24"/>
          <w:szCs w:val="24"/>
          <w:lang w:val="en-GB"/>
        </w:rPr>
        <w:t>Exemptions from jury service</w:t>
      </w:r>
      <w:r>
        <w:rPr>
          <w:rFonts w:cs="Times New Roman" w:ascii="Times New Roman" w:hAnsi="Times New Roman"/>
          <w:sz w:val="24"/>
          <w:szCs w:val="24"/>
          <w:lang w:val="en-GB"/>
        </w:rPr>
        <w:t>. [online] nidirect. Available at: &lt;https://www.nidirect.gov.uk/articles/exemptions-jury-service&gt; [Accessed 21 July 2022].</w:t>
      </w:r>
    </w:p>
    <w:p>
      <w:pPr>
        <w:pStyle w:val="Normal"/>
        <w:spacing w:lineRule="auto" w:line="360"/>
        <w:jc w:val="both"/>
        <w:rPr>
          <w:rFonts w:ascii="Times New Roman" w:hAnsi="Times New Roman" w:cs="Times New Roman"/>
          <w:sz w:val="24"/>
          <w:szCs w:val="24"/>
          <w:lang w:val="en-GB"/>
        </w:rPr>
      </w:pPr>
      <w:r>
        <w:rPr>
          <w:rFonts w:cs="Times New Roman" w:ascii="Times New Roman" w:hAnsi="Times New Roman"/>
          <w:sz w:val="24"/>
          <w:szCs w:val="24"/>
          <w:lang w:val="en-GB"/>
        </w:rPr>
        <w:t xml:space="preserve">nidirect, 2022. </w:t>
      </w:r>
      <w:r>
        <w:rPr>
          <w:rFonts w:cs="Times New Roman" w:ascii="Times New Roman" w:hAnsi="Times New Roman"/>
          <w:i/>
          <w:sz w:val="24"/>
          <w:szCs w:val="24"/>
          <w:lang w:val="en-GB"/>
        </w:rPr>
        <w:t>What happens at a jury trial</w:t>
      </w:r>
      <w:r>
        <w:rPr>
          <w:rFonts w:cs="Times New Roman" w:ascii="Times New Roman" w:hAnsi="Times New Roman"/>
          <w:sz w:val="24"/>
          <w:szCs w:val="24"/>
          <w:lang w:val="en-GB"/>
        </w:rPr>
        <w:t>. [online] nidirect. Available at: &lt;https://www.nidirect.gov.uk/articles/what-happens-jury-trial&gt; [Accessed 21 July 2022].</w:t>
      </w:r>
    </w:p>
    <w:p>
      <w:pPr>
        <w:pStyle w:val="Normal"/>
        <w:spacing w:lineRule="auto" w:line="360" w:before="0" w:after="0"/>
        <w:jc w:val="both"/>
        <w:rPr>
          <w:rFonts w:ascii="Times New Roman" w:hAnsi="Times New Roman" w:cs="Times New Roman"/>
          <w:sz w:val="24"/>
          <w:szCs w:val="24"/>
          <w:lang w:val="en-GB"/>
        </w:rPr>
      </w:pPr>
      <w:r>
        <w:rPr>
          <w:rFonts w:cs="Times New Roman" w:ascii="Times New Roman" w:hAnsi="Times New Roman"/>
          <w:sz w:val="24"/>
          <w:szCs w:val="24"/>
          <w:lang w:val="en-GB"/>
        </w:rPr>
        <w:t xml:space="preserve">parliament, 2022. </w:t>
      </w:r>
      <w:r>
        <w:rPr>
          <w:rFonts w:cs="Times New Roman" w:ascii="Times New Roman" w:hAnsi="Times New Roman"/>
          <w:i/>
          <w:sz w:val="24"/>
          <w:szCs w:val="24"/>
          <w:lang w:val="en-GB"/>
        </w:rPr>
        <w:t>Reducing the backlog in criminal courts</w:t>
      </w:r>
      <w:r>
        <w:rPr>
          <w:rFonts w:cs="Times New Roman" w:ascii="Times New Roman" w:hAnsi="Times New Roman"/>
          <w:sz w:val="24"/>
          <w:szCs w:val="24"/>
          <w:lang w:val="en-GB"/>
        </w:rPr>
        <w:t>. [online] Available at: &lt;https://committees.parliament.uk/work/1521/reducing-the-backlog-in-criminal-courts/&gt; [Accessed 21 July 2022].</w:t>
      </w:r>
    </w:p>
    <w:p>
      <w:pPr>
        <w:pStyle w:val="Normal"/>
        <w:spacing w:lineRule="auto" w:line="360" w:before="0" w:after="160"/>
        <w:jc w:val="both"/>
        <w:rPr/>
      </w:pPr>
      <w:r>
        <w:rPr/>
      </w:r>
    </w:p>
    <w:sectPr>
      <w:footerReference w:type="default" r:id="rId2"/>
      <w:type w:val="nextPage"/>
      <w:pgSz w:w="12240" w:h="15840"/>
      <w:pgMar w:left="1440" w:right="1440" w:header="0" w:top="1440" w:footer="720" w:bottom="1440"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Calibri">
    <w:charset w:val="00"/>
    <w:family w:val="roman"/>
    <w:pitch w:val="variable"/>
  </w:font>
  <w:font w:name="Calibri Light">
    <w:charset w:val="00"/>
    <w:family w:val="roman"/>
    <w:pitch w:val="variable"/>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2122291508"/>
    </w:sdtPr>
    <w:sdtContent>
      <w:p>
        <w:pPr>
          <w:pStyle w:val="Pieddepage"/>
          <w:jc w:val="right"/>
          <w:rPr/>
        </w:pPr>
        <w:r>
          <w:rPr/>
          <w:fldChar w:fldCharType="begin"/>
        </w:r>
        <w:r>
          <w:rPr/>
          <w:instrText> PAGE </w:instrText>
        </w:r>
        <w:r>
          <w:rPr/>
          <w:fldChar w:fldCharType="separate"/>
        </w:r>
        <w:r>
          <w:rPr/>
          <w:t>7</w:t>
        </w:r>
        <w:r>
          <w:rPr/>
          <w:fldChar w:fldCharType="end"/>
        </w:r>
      </w:p>
    </w:sdtContent>
  </w:sdt>
  <w:p>
    <w:pPr>
      <w:pStyle w:val="Pieddepage"/>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006c88"/>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Titre1">
    <w:name w:val="Heading 1"/>
    <w:basedOn w:val="Normal"/>
    <w:next w:val="Normal"/>
    <w:link w:val="Heading1Char"/>
    <w:uiPriority w:val="9"/>
    <w:qFormat/>
    <w:rsid w:val="00f154cd"/>
    <w:pPr>
      <w:spacing w:lineRule="auto" w:line="360"/>
      <w:jc w:val="both"/>
      <w:outlineLvl w:val="0"/>
    </w:pPr>
    <w:rPr>
      <w:rFonts w:ascii="Times New Roman" w:hAnsi="Times New Roman" w:cs="Times New Roman"/>
      <w:b/>
      <w:sz w:val="24"/>
      <w:lang w:val="en-GB"/>
    </w:rPr>
  </w:style>
  <w:style w:type="character" w:styleId="DefaultParagraphFont" w:default="1">
    <w:name w:val="Default Paragraph Font"/>
    <w:uiPriority w:val="1"/>
    <w:semiHidden/>
    <w:unhideWhenUsed/>
    <w:qFormat/>
    <w:rPr/>
  </w:style>
  <w:style w:type="character" w:styleId="HeaderChar" w:customStyle="1">
    <w:name w:val="Header Char"/>
    <w:basedOn w:val="DefaultParagraphFont"/>
    <w:link w:val="Header"/>
    <w:uiPriority w:val="99"/>
    <w:qFormat/>
    <w:rsid w:val="005419c6"/>
    <w:rPr/>
  </w:style>
  <w:style w:type="character" w:styleId="FooterChar" w:customStyle="1">
    <w:name w:val="Footer Char"/>
    <w:basedOn w:val="DefaultParagraphFont"/>
    <w:link w:val="Footer"/>
    <w:uiPriority w:val="99"/>
    <w:qFormat/>
    <w:rsid w:val="005419c6"/>
    <w:rPr/>
  </w:style>
  <w:style w:type="character" w:styleId="Heading1Char" w:customStyle="1">
    <w:name w:val="Heading 1 Char"/>
    <w:basedOn w:val="DefaultParagraphFont"/>
    <w:link w:val="Heading1"/>
    <w:uiPriority w:val="9"/>
    <w:qFormat/>
    <w:rsid w:val="00f154cd"/>
    <w:rPr>
      <w:rFonts w:ascii="Times New Roman" w:hAnsi="Times New Roman" w:cs="Times New Roman"/>
      <w:b/>
      <w:sz w:val="24"/>
      <w:lang w:val="en-GB"/>
    </w:rPr>
  </w:style>
  <w:style w:type="character" w:styleId="TitleChar" w:customStyle="1">
    <w:name w:val="Title Char"/>
    <w:basedOn w:val="DefaultParagraphFont"/>
    <w:link w:val="Title"/>
    <w:uiPriority w:val="10"/>
    <w:qFormat/>
    <w:rsid w:val="005119c3"/>
    <w:rPr>
      <w:rFonts w:ascii="Calibri Light" w:hAnsi="Calibri Light" w:eastAsia="" w:cs="" w:asciiTheme="majorHAnsi" w:cstheme="majorBidi" w:eastAsiaTheme="majorEastAsia" w:hAnsiTheme="majorHAnsi"/>
      <w:spacing w:val="-10"/>
      <w:kern w:val="2"/>
      <w:sz w:val="56"/>
      <w:szCs w:val="56"/>
    </w:rPr>
  </w:style>
  <w:style w:type="character" w:styleId="LienInternet">
    <w:name w:val="Lien Internet"/>
    <w:basedOn w:val="DefaultParagraphFont"/>
    <w:uiPriority w:val="99"/>
    <w:unhideWhenUsed/>
    <w:rsid w:val="0045481a"/>
    <w:rPr>
      <w:color w:val="0563C1" w:themeColor="hyperlink"/>
      <w:u w:val="single"/>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Sautdindex">
    <w:name w:val="Saut d'index"/>
    <w:qFormat/>
    <w:rPr/>
  </w:style>
  <w:style w:type="paragraph" w:styleId="Titre">
    <w:name w:val="Titre"/>
    <w:basedOn w:val="Normal"/>
    <w:next w:val="Corpsdetexte"/>
    <w:qFormat/>
    <w:pPr>
      <w:keepNext w:val="true"/>
      <w:spacing w:before="240" w:after="120"/>
    </w:pPr>
    <w:rPr>
      <w:rFonts w:ascii="Arial" w:hAnsi="Arial"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Entte">
    <w:name w:val="Header"/>
    <w:basedOn w:val="Normal"/>
    <w:link w:val="HeaderChar"/>
    <w:uiPriority w:val="99"/>
    <w:unhideWhenUsed/>
    <w:rsid w:val="005419c6"/>
    <w:pPr>
      <w:tabs>
        <w:tab w:val="clear" w:pos="720"/>
        <w:tab w:val="center" w:pos="4680" w:leader="none"/>
        <w:tab w:val="right" w:pos="9360" w:leader="none"/>
      </w:tabs>
      <w:spacing w:lineRule="auto" w:line="240" w:before="0" w:after="0"/>
    </w:pPr>
    <w:rPr/>
  </w:style>
  <w:style w:type="paragraph" w:styleId="Pieddepage">
    <w:name w:val="Footer"/>
    <w:basedOn w:val="Normal"/>
    <w:link w:val="FooterChar"/>
    <w:uiPriority w:val="99"/>
    <w:unhideWhenUsed/>
    <w:rsid w:val="005419c6"/>
    <w:pPr>
      <w:tabs>
        <w:tab w:val="clear" w:pos="720"/>
        <w:tab w:val="center" w:pos="4680" w:leader="none"/>
        <w:tab w:val="right" w:pos="9360" w:leader="none"/>
      </w:tabs>
      <w:spacing w:lineRule="auto" w:line="240" w:before="0" w:after="0"/>
    </w:pPr>
    <w:rPr/>
  </w:style>
  <w:style w:type="paragraph" w:styleId="Titreprincipal">
    <w:name w:val="Title"/>
    <w:basedOn w:val="Normal"/>
    <w:next w:val="Normal"/>
    <w:link w:val="TitleChar"/>
    <w:uiPriority w:val="10"/>
    <w:qFormat/>
    <w:rsid w:val="005119c3"/>
    <w:pPr>
      <w:spacing w:lineRule="auto" w:line="240" w:before="0" w:after="0"/>
      <w:contextualSpacing/>
    </w:pPr>
    <w:rPr>
      <w:rFonts w:ascii="Calibri Light" w:hAnsi="Calibri Light" w:eastAsia="" w:cs="" w:asciiTheme="majorHAnsi" w:cstheme="majorBidi" w:eastAsiaTheme="majorEastAsia" w:hAnsiTheme="majorHAnsi"/>
      <w:spacing w:val="-10"/>
      <w:kern w:val="2"/>
      <w:sz w:val="56"/>
      <w:szCs w:val="56"/>
    </w:rPr>
  </w:style>
  <w:style w:type="paragraph" w:styleId="Tableoffigures">
    <w:name w:val="table of figures"/>
    <w:basedOn w:val="Normal"/>
    <w:next w:val="Normal"/>
    <w:uiPriority w:val="99"/>
    <w:unhideWhenUsed/>
    <w:qFormat/>
    <w:rsid w:val="0045481a"/>
    <w:pPr>
      <w:spacing w:before="0" w:after="0"/>
    </w:pPr>
    <w:rPr/>
  </w:style>
  <w:style w:type="paragraph" w:styleId="ListParagraph">
    <w:name w:val="List Paragraph"/>
    <w:basedOn w:val="Normal"/>
    <w:uiPriority w:val="34"/>
    <w:qFormat/>
    <w:rsid w:val="007a7457"/>
    <w:pPr>
      <w:spacing w:lineRule="auto" w:line="360" w:before="0" w:after="160"/>
      <w:ind w:left="720" w:hanging="0"/>
      <w:contextualSpacing/>
      <w:jc w:val="both"/>
    </w:pPr>
    <w:rPr>
      <w:rFonts w:ascii="Times New Roman" w:hAnsi="Times New Roman"/>
    </w:rPr>
  </w:style>
  <w:style w:type="numbering" w:styleId="NoList" w:default="1">
    <w:name w:val="No List"/>
    <w:uiPriority w:val="99"/>
    <w:semiHidden/>
    <w:unhideWhenUsed/>
    <w:qFormat/>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63456-5BEC-4693-BA2D-51FF26CAFB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Application>Trio_Office/6.2.8.2$Windows_x86 LibreOffice_project/</Application>
  <Pages>7</Pages>
  <Words>1726</Words>
  <Characters>9276</Characters>
  <CharactersWithSpaces>10972</CharactersWithSpaces>
  <Paragraphs>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2022-07-21T13:42:00Z</dcterms:created>
  <dc:creator/>
  <dc:description/>
  <dc:language>fr-CH</dc:language>
  <cp:lastModifiedBy/>
  <dcterms:modified xsi:type="dcterms:W3CDTF">2022-07-22T23:44:49Z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