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4A9714" w14:textId="77777777" w:rsidR="00D077E9" w:rsidRPr="00B23DBD" w:rsidRDefault="00D077E9" w:rsidP="00D70D02">
      <w:pPr>
        <w:rPr>
          <w:rFonts w:ascii="Arial" w:hAnsi="Arial" w:cs="Arial"/>
          <w:color w:val="auto"/>
          <w:sz w:val="22"/>
        </w:rPr>
      </w:pPr>
      <w:r w:rsidRPr="00B23DBD">
        <w:rPr>
          <w:rFonts w:ascii="Arial" w:hAnsi="Arial" w:cs="Arial"/>
          <w:noProof/>
          <w:color w:val="auto"/>
          <w:sz w:val="22"/>
        </w:rPr>
        <w:drawing>
          <wp:anchor distT="0" distB="0" distL="114300" distR="114300" simplePos="0" relativeHeight="251658240" behindDoc="1" locked="0" layoutInCell="1" allowOverlap="1" wp14:anchorId="30FCE13B" wp14:editId="49FE282A">
            <wp:simplePos x="0" y="0"/>
            <wp:positionH relativeFrom="column">
              <wp:posOffset>-479108</wp:posOffset>
            </wp:positionH>
            <wp:positionV relativeFrom="page">
              <wp:posOffset>478155</wp:posOffset>
            </wp:positionV>
            <wp:extent cx="7760970" cy="4527232"/>
            <wp:effectExtent l="0" t="0" r="0" b="698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7760970" cy="4527232"/>
                    </a:xfrm>
                    <a:prstGeom prst="rect">
                      <a:avLst/>
                    </a:prstGeom>
                  </pic:spPr>
                </pic:pic>
              </a:graphicData>
            </a:graphic>
            <wp14:sizeRelH relativeFrom="margin">
              <wp14:pctWidth>0</wp14:pctWidth>
            </wp14:sizeRelH>
            <wp14:sizeRelV relativeFrom="margin">
              <wp14:pctHeight>0</wp14:pctHeight>
            </wp14:sizeRelV>
          </wp:anchor>
        </w:drawing>
      </w:r>
    </w:p>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580"/>
      </w:tblGrid>
      <w:tr w:rsidR="00D077E9" w:rsidRPr="00B23DBD" w14:paraId="0A2CE76B" w14:textId="77777777" w:rsidTr="00AA7177">
        <w:trPr>
          <w:trHeight w:val="1985"/>
        </w:trPr>
        <w:tc>
          <w:tcPr>
            <w:tcW w:w="5580" w:type="dxa"/>
            <w:tcBorders>
              <w:top w:val="nil"/>
              <w:left w:val="nil"/>
              <w:bottom w:val="nil"/>
              <w:right w:val="nil"/>
            </w:tcBorders>
          </w:tcPr>
          <w:p w14:paraId="4F92AFC2" w14:textId="77777777" w:rsidR="00D077E9" w:rsidRPr="00B23DBD" w:rsidRDefault="00D077E9" w:rsidP="00D077E9">
            <w:pPr>
              <w:rPr>
                <w:rFonts w:ascii="Arial" w:hAnsi="Arial" w:cs="Arial"/>
                <w:color w:val="auto"/>
                <w:sz w:val="22"/>
              </w:rPr>
            </w:pPr>
            <w:r w:rsidRPr="00B23DBD">
              <w:rPr>
                <w:rFonts w:ascii="Arial" w:hAnsi="Arial" w:cs="Arial"/>
                <w:noProof/>
                <w:color w:val="auto"/>
                <w:sz w:val="22"/>
              </w:rPr>
              <mc:AlternateContent>
                <mc:Choice Requires="wps">
                  <w:drawing>
                    <wp:inline distT="0" distB="0" distL="0" distR="0" wp14:anchorId="329A7D16" wp14:editId="6BBD750E">
                      <wp:extent cx="3528695" cy="1210614"/>
                      <wp:effectExtent l="0" t="0" r="0" b="0"/>
                      <wp:docPr id="8" name="Text Box 8"/>
                      <wp:cNvGraphicFramePr/>
                      <a:graphic xmlns:a="http://schemas.openxmlformats.org/drawingml/2006/main">
                        <a:graphicData uri="http://schemas.microsoft.com/office/word/2010/wordprocessingShape">
                          <wps:wsp>
                            <wps:cNvSpPr txBox="1"/>
                            <wps:spPr>
                              <a:xfrm>
                                <a:off x="0" y="0"/>
                                <a:ext cx="3528695" cy="1210614"/>
                              </a:xfrm>
                              <a:prstGeom prst="rect">
                                <a:avLst/>
                              </a:prstGeom>
                              <a:noFill/>
                              <a:ln w="6350">
                                <a:noFill/>
                              </a:ln>
                            </wps:spPr>
                            <wps:txbx>
                              <w:txbxContent>
                                <w:p w14:paraId="2D870F1C" w14:textId="0D443363" w:rsidR="00AA7177" w:rsidRPr="00AA7177" w:rsidRDefault="00AA7177" w:rsidP="00810503">
                                  <w:pPr>
                                    <w:pStyle w:val="Title"/>
                                    <w:rPr>
                                      <w:sz w:val="28"/>
                                      <w:szCs w:val="28"/>
                                      <w:lang w:val="en-GB"/>
                                    </w:rPr>
                                  </w:pPr>
                                  <w:r w:rsidRPr="00AA7177">
                                    <w:rPr>
                                      <w:sz w:val="28"/>
                                      <w:szCs w:val="28"/>
                                      <w:lang w:val="en-GB"/>
                                    </w:rPr>
                                    <w:t>Disclosure: A perennial policing issue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329A7D16" id="_x0000_t202" coordsize="21600,21600" o:spt="202" path="m,l,21600r21600,l21600,xe">
                      <v:stroke joinstyle="miter"/>
                      <v:path gradientshapeok="t" o:connecttype="rect"/>
                    </v:shapetype>
                    <v:shape id="Text Box 8" o:spid="_x0000_s1026" type="#_x0000_t202" style="width:277.85pt;height:95.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" filled="f" stroked="f" strokeweight=".5pt">
                      <v:textbox>
                        <w:txbxContent>
                          <w:p w14:paraId="2D870F1C" w14:textId="0D443363" w:rsidR="00AA7177" w:rsidRPr="00AA7177" w:rsidRDefault="00AA7177" w:rsidP="00810503">
                            <w:pPr>
                              <w:pStyle w:val="Title"/>
                              <w:rPr>
                                <w:sz w:val="28"/>
                                <w:szCs w:val="28"/>
                                <w:lang w:val="en-GB"/>
                              </w:rPr>
                            </w:pPr>
                            <w:r w:rsidRPr="00AA7177">
                              <w:rPr>
                                <w:sz w:val="28"/>
                                <w:szCs w:val="28"/>
                                <w:lang w:val="en-GB"/>
                              </w:rPr>
                              <w:t>Disclosure: A perennial policing issue</w:t>
                            </w:r>
                          </w:p>
                        </w:txbxContent>
                      </v:textbox>
                      <w10:anchorlock/>
                    </v:shape>
                  </w:pict>
                </mc:Fallback>
              </mc:AlternateContent>
            </w:r>
          </w:p>
          <w:p w14:paraId="496D88FB" w14:textId="77777777" w:rsidR="00D077E9" w:rsidRPr="00B23DBD" w:rsidRDefault="00D077E9" w:rsidP="00D077E9">
            <w:pPr>
              <w:rPr>
                <w:rFonts w:ascii="Arial" w:hAnsi="Arial" w:cs="Arial"/>
                <w:color w:val="auto"/>
                <w:sz w:val="22"/>
              </w:rPr>
            </w:pPr>
            <w:r w:rsidRPr="00B23DBD">
              <w:rPr>
                <w:rFonts w:ascii="Arial" w:hAnsi="Arial" w:cs="Arial"/>
                <w:noProof/>
                <w:color w:val="auto"/>
                <w:sz w:val="22"/>
              </w:rPr>
              <mc:AlternateContent>
                <mc:Choice Requires="wps">
                  <w:drawing>
                    <wp:inline distT="0" distB="0" distL="0" distR="0" wp14:anchorId="5E407F8A" wp14:editId="6B69A8DF">
                      <wp:extent cx="1390918" cy="0"/>
                      <wp:effectExtent l="0" t="19050" r="19050" b="19050"/>
                      <wp:docPr id="5" name="Straight Connector 5" descr="text divider"/>
                      <wp:cNvGraphicFramePr/>
                      <a:graphic xmlns:a="http://schemas.openxmlformats.org/drawingml/2006/main">
                        <a:graphicData uri="http://schemas.microsoft.com/office/word/2010/wordprocessingShape">
                          <wps:wsp>
                            <wps:cNvCnPr/>
                            <wps:spPr>
                              <a:xfrm>
                                <a:off x="0" y="0"/>
                                <a:ext cx="1390918"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389191D0"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09.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" strokecolor="#082a75 [3215]" strokeweight="3pt">
                      <w10:anchorlock/>
                    </v:line>
                  </w:pict>
                </mc:Fallback>
              </mc:AlternateContent>
            </w:r>
          </w:p>
        </w:tc>
      </w:tr>
      <w:tr w:rsidR="00D077E9" w:rsidRPr="00B23DBD" w14:paraId="35FF6A57" w14:textId="77777777" w:rsidTr="00D077E9">
        <w:trPr>
          <w:trHeight w:val="7636"/>
        </w:trPr>
        <w:tc>
          <w:tcPr>
            <w:tcW w:w="5580" w:type="dxa"/>
            <w:tcBorders>
              <w:top w:val="nil"/>
              <w:left w:val="nil"/>
              <w:bottom w:val="nil"/>
              <w:right w:val="nil"/>
            </w:tcBorders>
          </w:tcPr>
          <w:p w14:paraId="77B6AC5D" w14:textId="77777777" w:rsidR="00D077E9" w:rsidRPr="00B23DBD" w:rsidRDefault="00D077E9" w:rsidP="00D077E9">
            <w:pPr>
              <w:rPr>
                <w:rFonts w:ascii="Arial" w:hAnsi="Arial" w:cs="Arial"/>
                <w:noProof/>
                <w:color w:val="auto"/>
                <w:sz w:val="22"/>
              </w:rPr>
            </w:pPr>
          </w:p>
        </w:tc>
      </w:tr>
      <w:tr w:rsidR="00C0386B" w:rsidRPr="00B23DBD" w14:paraId="4E6CB450" w14:textId="77777777" w:rsidTr="00D077E9">
        <w:trPr>
          <w:trHeight w:val="2171"/>
        </w:trPr>
        <w:tc>
          <w:tcPr>
            <w:tcW w:w="5580" w:type="dxa"/>
            <w:tcBorders>
              <w:top w:val="nil"/>
              <w:left w:val="nil"/>
              <w:bottom w:val="nil"/>
              <w:right w:val="nil"/>
            </w:tcBorders>
          </w:tcPr>
          <w:sdt>
            <w:sdtPr>
              <w:rPr>
                <w:rFonts w:ascii="Arial" w:hAnsi="Arial" w:cs="Arial"/>
                <w:color w:val="auto"/>
                <w:sz w:val="22"/>
              </w:rPr>
              <w:id w:val="1080870105"/>
              <w:placeholder>
                <w:docPart w:val="B6EB82F0EC4D4F5F8B3335BC8C97E134"/>
              </w:placeholder>
              <w15:appearance w15:val="hidden"/>
            </w:sdtPr>
            <w:sdtEndPr/>
            <w:sdtContent>
              <w:p w14:paraId="229F5D81" w14:textId="269CE799" w:rsidR="00D077E9" w:rsidRPr="00B23DBD" w:rsidRDefault="00AA7177" w:rsidP="00D077E9">
                <w:pPr>
                  <w:rPr>
                    <w:rFonts w:ascii="Arial" w:hAnsi="Arial" w:cs="Arial"/>
                    <w:color w:val="auto"/>
                    <w:sz w:val="22"/>
                  </w:rPr>
                </w:pPr>
                <w:r>
                  <w:rPr>
                    <w:rFonts w:ascii="Arial" w:hAnsi="Arial" w:cs="Arial"/>
                    <w:color w:val="auto"/>
                    <w:sz w:val="22"/>
                  </w:rPr>
                  <w:t>July</w:t>
                </w:r>
                <w:r w:rsidR="00810503">
                  <w:rPr>
                    <w:rFonts w:ascii="Arial" w:hAnsi="Arial" w:cs="Arial"/>
                    <w:color w:val="auto"/>
                    <w:sz w:val="22"/>
                  </w:rPr>
                  <w:t xml:space="preserve"> 2022</w:t>
                </w:r>
              </w:p>
            </w:sdtContent>
          </w:sdt>
          <w:p w14:paraId="56D2E5CB" w14:textId="77777777" w:rsidR="00D077E9" w:rsidRPr="00B23DBD" w:rsidRDefault="00D077E9" w:rsidP="00D077E9">
            <w:pPr>
              <w:rPr>
                <w:rFonts w:ascii="Arial" w:hAnsi="Arial" w:cs="Arial"/>
                <w:noProof/>
                <w:color w:val="auto"/>
                <w:sz w:val="22"/>
              </w:rPr>
            </w:pPr>
            <w:r w:rsidRPr="00B23DBD">
              <w:rPr>
                <w:rFonts w:ascii="Arial" w:hAnsi="Arial" w:cs="Arial"/>
                <w:noProof/>
                <w:color w:val="auto"/>
                <w:sz w:val="22"/>
              </w:rPr>
              <mc:AlternateContent>
                <mc:Choice Requires="wps">
                  <w:drawing>
                    <wp:inline distT="0" distB="0" distL="0" distR="0" wp14:anchorId="4F8067C0" wp14:editId="0C190A98">
                      <wp:extent cx="1493949" cy="0"/>
                      <wp:effectExtent l="0" t="19050" r="30480" b="19050"/>
                      <wp:docPr id="6" name="Straight Connector 6" descr="text divider"/>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1C6F1CF6" id="Straight Connector 6"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17.6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" strokecolor="#082a75 [3215]" strokeweight="3pt">
                      <w10:anchorlock/>
                    </v:line>
                  </w:pict>
                </mc:Fallback>
              </mc:AlternateContent>
            </w:r>
          </w:p>
          <w:p w14:paraId="73C684F8" w14:textId="77777777" w:rsidR="00D077E9" w:rsidRPr="00B23DBD" w:rsidRDefault="00D077E9" w:rsidP="00D077E9">
            <w:pPr>
              <w:rPr>
                <w:rFonts w:ascii="Arial" w:hAnsi="Arial" w:cs="Arial"/>
                <w:noProof/>
                <w:color w:val="auto"/>
                <w:sz w:val="22"/>
              </w:rPr>
            </w:pPr>
          </w:p>
          <w:p w14:paraId="21E81156" w14:textId="77777777" w:rsidR="00D077E9" w:rsidRPr="00B23DBD" w:rsidRDefault="00D077E9" w:rsidP="00D077E9">
            <w:pPr>
              <w:rPr>
                <w:rFonts w:ascii="Arial" w:hAnsi="Arial" w:cs="Arial"/>
                <w:noProof/>
                <w:color w:val="auto"/>
                <w:sz w:val="22"/>
              </w:rPr>
            </w:pPr>
          </w:p>
          <w:p w14:paraId="01FFD3CB" w14:textId="58CF951C" w:rsidR="00D077E9" w:rsidRPr="00B23DBD" w:rsidRDefault="00C0386B" w:rsidP="00C0386B">
            <w:pPr>
              <w:rPr>
                <w:rFonts w:ascii="Arial" w:hAnsi="Arial" w:cs="Arial"/>
                <w:noProof/>
                <w:color w:val="auto"/>
                <w:sz w:val="22"/>
              </w:rPr>
            </w:pPr>
            <w:r>
              <w:rPr>
                <w:rFonts w:ascii="Arial" w:hAnsi="Arial" w:cs="Arial"/>
                <w:noProof/>
                <w:color w:val="auto"/>
                <w:sz w:val="22"/>
              </w:rPr>
              <w:t xml:space="preserve">Mark O’Shea </w:t>
            </w:r>
          </w:p>
        </w:tc>
      </w:tr>
    </w:tbl>
    <w:p w14:paraId="455E7FC3" w14:textId="23250B45" w:rsidR="00D077E9" w:rsidRPr="00B23DBD" w:rsidRDefault="00D077E9" w:rsidP="00C0386B">
      <w:pPr>
        <w:spacing w:after="200"/>
        <w:rPr>
          <w:rFonts w:ascii="Arial" w:hAnsi="Arial" w:cs="Arial"/>
          <w:color w:val="auto"/>
          <w:sz w:val="22"/>
        </w:rPr>
      </w:pPr>
      <w:r w:rsidRPr="00B23DBD">
        <w:rPr>
          <w:rFonts w:ascii="Arial" w:hAnsi="Arial" w:cs="Arial"/>
          <w:noProof/>
          <w:color w:val="auto"/>
          <w:sz w:val="22"/>
        </w:rPr>
        <mc:AlternateContent>
          <mc:Choice Requires="wps">
            <w:drawing>
              <wp:anchor distT="0" distB="0" distL="114300" distR="114300" simplePos="0" relativeHeight="251659264" behindDoc="1" locked="0" layoutInCell="1" allowOverlap="1" wp14:anchorId="7165688C" wp14:editId="69C5E402">
                <wp:simplePos x="0" y="0"/>
                <wp:positionH relativeFrom="column">
                  <wp:posOffset>-746975</wp:posOffset>
                </wp:positionH>
                <wp:positionV relativeFrom="page">
                  <wp:posOffset>6671945</wp:posOffset>
                </wp:positionV>
                <wp:extent cx="7761600" cy="3373200"/>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7761600" cy="3373200"/>
                        </a:xfrm>
                        <a:prstGeom prst="rect">
                          <a:avLst/>
                        </a:prstGeom>
                        <a:solidFill>
                          <a:srgbClr val="00206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7EF3F18" id="Rectangle 2" o:spid="_x0000_s1026" alt="colored rectangle" style="position:absolute;margin-left:-58.8pt;margin-top:525.35pt;width:611.15pt;height:265.6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" fillcolor="#002060" stroked="f" strokeweight="2pt">
                <w10:wrap anchory="page"/>
              </v:rect>
            </w:pict>
          </mc:Fallback>
        </mc:AlternateContent>
      </w:r>
      <w:r w:rsidRPr="00B23DBD">
        <w:rPr>
          <w:rFonts w:ascii="Arial" w:hAnsi="Arial" w:cs="Arial"/>
          <w:noProof/>
          <w:color w:val="auto"/>
          <w:sz w:val="22"/>
        </w:rPr>
        <mc:AlternateContent>
          <mc:Choice Requires="wps">
            <w:drawing>
              <wp:anchor distT="0" distB="0" distL="114300" distR="114300" simplePos="0" relativeHeight="251660288" behindDoc="1" locked="0" layoutInCell="1" allowOverlap="1" wp14:anchorId="7DF3A6DE" wp14:editId="0755A0DE">
                <wp:simplePos x="0" y="0"/>
                <wp:positionH relativeFrom="column">
                  <wp:posOffset>-205105</wp:posOffset>
                </wp:positionH>
                <wp:positionV relativeFrom="page">
                  <wp:posOffset>900430</wp:posOffset>
                </wp:positionV>
                <wp:extent cx="3938905" cy="8267700"/>
                <wp:effectExtent l="0" t="0" r="4445" b="0"/>
                <wp:wrapNone/>
                <wp:docPr id="3" name="Rectangle 3" descr="white rectangle for text on cover"/>
                <wp:cNvGraphicFramePr/>
                <a:graphic xmlns:a="http://schemas.openxmlformats.org/drawingml/2006/main">
                  <a:graphicData uri="http://schemas.microsoft.com/office/word/2010/wordprocessingShape">
                    <wps:wsp>
                      <wps:cNvSpPr/>
                      <wps:spPr>
                        <a:xfrm>
                          <a:off x="0" y="0"/>
                          <a:ext cx="3938905" cy="82677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71B69FA" id="Rectangle 3" o:spid="_x0000_s1026" alt="white rectangle for text on cover" style="position:absolute;margin-left:-16.15pt;margin-top:70.9pt;width:310.15pt;height:651pt;z-index:-251656192;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" fillcolor="white [3212]" stroked="f" strokeweight="2pt">
                <w10:wrap anchory="page"/>
              </v:rect>
            </w:pict>
          </mc:Fallback>
        </mc:AlternateContent>
      </w:r>
      <w:r w:rsidRPr="00B23DBD">
        <w:rPr>
          <w:rFonts w:ascii="Arial" w:hAnsi="Arial" w:cs="Arial"/>
          <w:color w:val="auto"/>
          <w:sz w:val="22"/>
        </w:rPr>
        <w:br w:type="page"/>
      </w:r>
    </w:p>
    <w:tbl>
      <w:tblPr>
        <w:tblW w:w="10645" w:type="dxa"/>
        <w:tblInd w:w="-709" w:type="dxa"/>
        <w:tblCellMar>
          <w:left w:w="0" w:type="dxa"/>
          <w:right w:w="0" w:type="dxa"/>
        </w:tblCellMar>
        <w:tblLook w:val="0000" w:firstRow="0" w:lastRow="0" w:firstColumn="0" w:lastColumn="0" w:noHBand="0" w:noVBand="0"/>
      </w:tblPr>
      <w:tblGrid>
        <w:gridCol w:w="10645"/>
      </w:tblGrid>
      <w:tr w:rsidR="00D077E9" w:rsidRPr="00B23DBD" w14:paraId="33AC6C03" w14:textId="77777777" w:rsidTr="00D53459">
        <w:trPr>
          <w:trHeight w:val="3546"/>
        </w:trPr>
        <w:tc>
          <w:tcPr>
            <w:tcW w:w="10645" w:type="dxa"/>
          </w:tcPr>
          <w:sdt>
            <w:sdtPr>
              <w:rPr>
                <w:rFonts w:ascii="Arial" w:hAnsi="Arial" w:cs="Arial"/>
                <w:b/>
                <w:bCs/>
                <w:color w:val="auto"/>
                <w:sz w:val="22"/>
                <w:szCs w:val="22"/>
                <w:u w:val="single"/>
              </w:rPr>
              <w:id w:val="1660650702"/>
              <w:placeholder>
                <w:docPart w:val="1F7305811B904BE39DFBC300AB51A14F"/>
              </w:placeholder>
              <w15:dataBinding w:prefixMappings="xmlns:ns0='http://schemas.microsoft.com/temp/samples' " w:xpath="/ns0:employees[1]/ns0:employee[1]/ns0:CompanyName[1]" w:storeItemID="{00000000-0000-0000-0000-000000000000}"/>
              <w15:appearance w15:val="hidden"/>
            </w:sdtPr>
            <w:sdtEndPr>
              <w:rPr>
                <w:b w:val="0"/>
                <w:bCs w:val="0"/>
                <w:u w:val="none"/>
              </w:rPr>
            </w:sdtEndPr>
            <w:sdtContent>
              <w:p w14:paraId="5687D2BC" w14:textId="0C9F7AA9" w:rsidR="00365F1E" w:rsidRPr="00365F1E" w:rsidRDefault="008F6B7A" w:rsidP="00365F1E">
                <w:pPr>
                  <w:pStyle w:val="Heading2"/>
                  <w:rPr>
                    <w:rFonts w:ascii="Arial" w:hAnsi="Arial" w:cs="Arial"/>
                    <w:color w:val="auto"/>
                    <w:sz w:val="22"/>
                    <w:szCs w:val="22"/>
                  </w:rPr>
                </w:pPr>
                <w:r>
                  <w:rPr>
                    <w:rFonts w:ascii="Arial" w:hAnsi="Arial" w:cs="Arial"/>
                    <w:b/>
                    <w:bCs/>
                    <w:color w:val="auto"/>
                    <w:sz w:val="22"/>
                    <w:szCs w:val="22"/>
                    <w:u w:val="single"/>
                  </w:rPr>
                  <w:t xml:space="preserve">Assignment </w:t>
                </w:r>
                <w:r w:rsidR="00AA7177">
                  <w:rPr>
                    <w:rFonts w:ascii="Arial" w:hAnsi="Arial" w:cs="Arial"/>
                    <w:b/>
                    <w:bCs/>
                    <w:color w:val="auto"/>
                    <w:sz w:val="22"/>
                    <w:szCs w:val="22"/>
                    <w:u w:val="single"/>
                  </w:rPr>
                  <w:t>3</w:t>
                </w:r>
              </w:p>
            </w:sdtContent>
          </w:sdt>
        </w:tc>
      </w:tr>
      <w:tr w:rsidR="00DF027C" w:rsidRPr="00B23DBD" w14:paraId="56B82EAE" w14:textId="77777777" w:rsidTr="00D53459">
        <w:trPr>
          <w:trHeight w:val="1899"/>
        </w:trPr>
        <w:tc>
          <w:tcPr>
            <w:tcW w:w="10645" w:type="dxa"/>
            <w:shd w:val="clear" w:color="auto" w:fill="F2F2F2" w:themeFill="background1" w:themeFillShade="F2"/>
            <w:vAlign w:val="center"/>
          </w:tcPr>
          <w:p w14:paraId="78B87046" w14:textId="77777777" w:rsidR="00DF027C" w:rsidRPr="00B23DBD" w:rsidRDefault="00DF027C" w:rsidP="00DF027C">
            <w:pPr>
              <w:pStyle w:val="EmphasisText"/>
              <w:jc w:val="center"/>
              <w:rPr>
                <w:rFonts w:ascii="Arial" w:hAnsi="Arial" w:cs="Arial"/>
                <w:color w:val="auto"/>
                <w:sz w:val="22"/>
              </w:rPr>
            </w:pPr>
            <w:r w:rsidRPr="00B23DBD">
              <w:rPr>
                <w:rFonts w:ascii="Arial" w:hAnsi="Arial" w:cs="Arial"/>
                <w:noProof/>
                <w:color w:val="auto"/>
                <w:sz w:val="22"/>
              </w:rPr>
              <mc:AlternateContent>
                <mc:Choice Requires="wps">
                  <w:drawing>
                    <wp:inline distT="0" distB="0" distL="0" distR="0" wp14:anchorId="7B090ED4" wp14:editId="258AE556">
                      <wp:extent cx="5422005" cy="695459"/>
                      <wp:effectExtent l="0" t="0" r="0" b="0"/>
                      <wp:docPr id="7" name="Text Box 7"/>
                      <wp:cNvGraphicFramePr/>
                      <a:graphic xmlns:a="http://schemas.openxmlformats.org/drawingml/2006/main">
                        <a:graphicData uri="http://schemas.microsoft.com/office/word/2010/wordprocessingShape">
                          <wps:wsp>
                            <wps:cNvSpPr txBox="1"/>
                            <wps:spPr>
                              <a:xfrm>
                                <a:off x="0" y="0"/>
                                <a:ext cx="5422005" cy="695459"/>
                              </a:xfrm>
                              <a:prstGeom prst="rect">
                                <a:avLst/>
                              </a:prstGeom>
                              <a:noFill/>
                              <a:ln w="6350">
                                <a:noFill/>
                              </a:ln>
                            </wps:spPr>
                            <wps:txbx>
                              <w:txbxContent>
                                <w:p w14:paraId="49B7C15B" w14:textId="35B5F2FC" w:rsidR="00BD5446" w:rsidRPr="00C0386B" w:rsidRDefault="00BD5446" w:rsidP="00DF027C">
                                  <w:pPr>
                                    <w:jc w:val="center"/>
                                    <w:rPr>
                                      <w:lang w:val="en-GB"/>
                                    </w:rPr>
                                  </w:pPr>
                                  <w:r w:rsidRPr="00C0386B">
                                    <w:rPr>
                                      <w:b w:val="0"/>
                                      <w:bCs/>
                                      <w:lang w:val="en-GB"/>
                                    </w:rPr>
                                    <w:t xml:space="preserve">Assignment </w:t>
                                  </w:r>
                                  <w:r w:rsidR="00AA7177">
                                    <w:rPr>
                                      <w:b w:val="0"/>
                                      <w:bCs/>
                                      <w:lang w:val="en-GB"/>
                                    </w:rPr>
                                    <w:t>3</w:t>
                                  </w:r>
                                  <w:r w:rsidRPr="00C0386B">
                                    <w:rPr>
                                      <w:b w:val="0"/>
                                      <w:bCs/>
                                      <w:lang w:val="en-GB"/>
                                    </w:rPr>
                                    <w:t xml:space="preserve">: </w:t>
                                  </w:r>
                                  <w:r w:rsidR="00AA7177">
                                    <w:rPr>
                                      <w:rFonts w:ascii="Arial" w:hAnsi="Arial" w:cs="Arial"/>
                                      <w:b w:val="0"/>
                                      <w:bCs/>
                                      <w:sz w:val="24"/>
                                      <w:szCs w:val="24"/>
                                    </w:rPr>
                                    <w:t xml:space="preserve">Disclosure: A Perennial Policing issue.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7B090ED4" id="Text Box 7" o:spid="_x0000_s1027" type="#_x0000_t202" style="width:426.95pt;height:54.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" filled="f" stroked="f" strokeweight=".5pt">
                      <v:textbox>
                        <w:txbxContent>
                          <w:p w14:paraId="49B7C15B" w14:textId="35B5F2FC" w:rsidR="00BD5446" w:rsidRPr="00C0386B" w:rsidRDefault="00BD5446" w:rsidP="00DF027C">
                            <w:pPr>
                              <w:jc w:val="center"/>
                              <w:rPr>
                                <w:lang w:val="en-GB"/>
                              </w:rPr>
                            </w:pPr>
                            <w:r w:rsidRPr="00C0386B">
                              <w:rPr>
                                <w:b w:val="0"/>
                                <w:bCs/>
                                <w:lang w:val="en-GB"/>
                              </w:rPr>
                              <w:t xml:space="preserve">Assignment </w:t>
                            </w:r>
                            <w:r w:rsidR="00AA7177">
                              <w:rPr>
                                <w:b w:val="0"/>
                                <w:bCs/>
                                <w:lang w:val="en-GB"/>
                              </w:rPr>
                              <w:t>3</w:t>
                            </w:r>
                            <w:r w:rsidRPr="00C0386B">
                              <w:rPr>
                                <w:b w:val="0"/>
                                <w:bCs/>
                                <w:lang w:val="en-GB"/>
                              </w:rPr>
                              <w:t xml:space="preserve">: </w:t>
                            </w:r>
                            <w:r w:rsidR="00AA7177">
                              <w:rPr>
                                <w:rFonts w:ascii="Arial" w:hAnsi="Arial" w:cs="Arial"/>
                                <w:b w:val="0"/>
                                <w:bCs/>
                                <w:sz w:val="24"/>
                                <w:szCs w:val="24"/>
                              </w:rPr>
                              <w:t xml:space="preserve">Disclosure: A Perennial Policing issue. </w:t>
                            </w:r>
                          </w:p>
                        </w:txbxContent>
                      </v:textbox>
                      <w10:anchorlock/>
                    </v:shape>
                  </w:pict>
                </mc:Fallback>
              </mc:AlternateContent>
            </w:r>
          </w:p>
        </w:tc>
      </w:tr>
    </w:tbl>
    <w:p w14:paraId="0BCEB700" w14:textId="77777777" w:rsidR="00932F1A" w:rsidRDefault="00932F1A">
      <w:r>
        <w:rPr>
          <w:b w:val="0"/>
        </w:rPr>
        <w:br w:type="page"/>
      </w:r>
    </w:p>
    <w:tbl>
      <w:tblPr>
        <w:tblW w:w="10503" w:type="dxa"/>
        <w:tblInd w:w="-567" w:type="dxa"/>
        <w:tblCellMar>
          <w:left w:w="0" w:type="dxa"/>
          <w:right w:w="0" w:type="dxa"/>
        </w:tblCellMar>
        <w:tblLook w:val="0000" w:firstRow="0" w:lastRow="0" w:firstColumn="0" w:lastColumn="0" w:noHBand="0" w:noVBand="0"/>
      </w:tblPr>
      <w:tblGrid>
        <w:gridCol w:w="10503"/>
      </w:tblGrid>
      <w:tr w:rsidR="00DF027C" w:rsidRPr="00C21DB8" w14:paraId="26111EC6" w14:textId="77777777" w:rsidTr="006A3516">
        <w:trPr>
          <w:trHeight w:val="5931"/>
        </w:trPr>
        <w:tc>
          <w:tcPr>
            <w:tcW w:w="10503" w:type="dxa"/>
          </w:tcPr>
          <w:p w14:paraId="2888E810" w14:textId="5EA34CB7" w:rsidR="00AA7177" w:rsidRDefault="00E4782D" w:rsidP="00AA7177">
            <w:pPr>
              <w:pStyle w:val="NormalWeb"/>
              <w:spacing w:after="120" w:line="480" w:lineRule="auto"/>
              <w:rPr>
                <w:rFonts w:asciiTheme="majorHAnsi" w:hAnsiTheme="majorHAnsi" w:cstheme="majorHAnsi"/>
              </w:rPr>
            </w:pPr>
            <w:r w:rsidRPr="004D70E0">
              <w:rPr>
                <w:rFonts w:asciiTheme="majorHAnsi" w:hAnsiTheme="majorHAnsi" w:cstheme="majorHAnsi"/>
              </w:rPr>
              <w:lastRenderedPageBreak/>
              <w:t xml:space="preserve">Introduction: </w:t>
            </w:r>
          </w:p>
          <w:p w14:paraId="46444658" w14:textId="1F9EC218" w:rsidR="00AA7177" w:rsidRPr="00AA7177" w:rsidRDefault="00AA7177" w:rsidP="00AA7177">
            <w:pPr>
              <w:pStyle w:val="NormalWeb"/>
              <w:spacing w:after="120" w:line="480" w:lineRule="auto"/>
              <w:rPr>
                <w:rFonts w:asciiTheme="majorHAnsi" w:hAnsiTheme="majorHAnsi" w:cstheme="majorHAnsi"/>
              </w:rPr>
            </w:pPr>
            <w:r w:rsidRPr="00AA7177">
              <w:rPr>
                <w:rFonts w:asciiTheme="majorHAnsi" w:hAnsiTheme="majorHAnsi" w:cstheme="majorHAnsi"/>
              </w:rPr>
              <w:t xml:space="preserve">The Police Service across Wales and England has failed to effectively deal with disclosure of unused material (disclosure,) as required by the law set out in the Criminal Procedures and Investigations Act 1996 (CPIA) (Crown Copyright, 2020) since the inception of the legislation (Smith, 2020). This paper will examine the historical context, the risk of miscarriages of justice and its effect on public confidence in policing and the strategic responses to the challenges that disclosure; particularly in a digital age presents.  </w:t>
            </w:r>
          </w:p>
          <w:p w14:paraId="47BC4DA3" w14:textId="2C3D7B8E" w:rsidR="00E4782D" w:rsidRPr="004D70E0" w:rsidRDefault="00AA7177" w:rsidP="00AA7177">
            <w:pPr>
              <w:pStyle w:val="NormalWeb"/>
              <w:spacing w:before="0" w:beforeAutospacing="0" w:after="120" w:afterAutospacing="0" w:line="480" w:lineRule="auto"/>
              <w:rPr>
                <w:rFonts w:asciiTheme="majorHAnsi" w:hAnsiTheme="majorHAnsi" w:cstheme="majorHAnsi"/>
              </w:rPr>
            </w:pPr>
            <w:r w:rsidRPr="00AA7177">
              <w:rPr>
                <w:rFonts w:asciiTheme="majorHAnsi" w:hAnsiTheme="majorHAnsi" w:cstheme="majorHAnsi"/>
              </w:rPr>
              <w:t xml:space="preserve">This continuing challenge examines the operational impact on policing and the wider criminal justice system with particular focus on key policing interdependencies such as police culture, </w:t>
            </w:r>
            <w:proofErr w:type="gramStart"/>
            <w:r w:rsidRPr="00AA7177">
              <w:rPr>
                <w:rFonts w:asciiTheme="majorHAnsi" w:hAnsiTheme="majorHAnsi" w:cstheme="majorHAnsi"/>
              </w:rPr>
              <w:t>training</w:t>
            </w:r>
            <w:proofErr w:type="gramEnd"/>
            <w:r w:rsidRPr="00AA7177">
              <w:rPr>
                <w:rFonts w:asciiTheme="majorHAnsi" w:hAnsiTheme="majorHAnsi" w:cstheme="majorHAnsi"/>
              </w:rPr>
              <w:t xml:space="preserve"> and the experience of investigators in 2022 to deal with disclosure. The paper will reflect on the issues highlighted in the 2011 and 2012 reviews of disclosure in criminal proceedings conducted by Lord Justice Gross and the issues highlighted in the most recent reviews of disclosure practice conducted by various Attorney General’s from 2005 through to the most recent review conducted in May 2022. The paper contends that the police service has failed in the 11 years since the first Gross review, to address disclosure effectively and it is now time for the service to invest sufficient training resources and strategic oversight to address the systemic and cultural failings; </w:t>
            </w:r>
            <w:r w:rsidR="00222BA8" w:rsidRPr="00AA7177">
              <w:rPr>
                <w:rFonts w:asciiTheme="majorHAnsi" w:hAnsiTheme="majorHAnsi" w:cstheme="majorHAnsi"/>
              </w:rPr>
              <w:t>highlighting, the</w:t>
            </w:r>
            <w:r w:rsidRPr="00AA7177">
              <w:rPr>
                <w:rFonts w:asciiTheme="majorHAnsi" w:hAnsiTheme="majorHAnsi" w:cstheme="majorHAnsi"/>
              </w:rPr>
              <w:t xml:space="preserve"> poor engagement on this subject by Inspecting and Superintending ranks in changing police culture and practice as it relates to disclosure.</w:t>
            </w:r>
          </w:p>
          <w:p w14:paraId="0A58E20D" w14:textId="2E7C2367" w:rsidR="00E4782D" w:rsidRPr="004D70E0" w:rsidRDefault="00E4782D" w:rsidP="00C21DB8">
            <w:pPr>
              <w:pStyle w:val="NormalWeb"/>
              <w:spacing w:before="0" w:beforeAutospacing="0" w:after="120" w:afterAutospacing="0" w:line="480" w:lineRule="auto"/>
              <w:rPr>
                <w:rFonts w:asciiTheme="majorHAnsi" w:hAnsiTheme="majorHAnsi" w:cstheme="majorHAnsi"/>
              </w:rPr>
            </w:pPr>
          </w:p>
          <w:p w14:paraId="6B66FE88" w14:textId="693F989F" w:rsidR="00B23DBD" w:rsidRPr="004D70E0" w:rsidRDefault="00B23DBD" w:rsidP="00C21DB8">
            <w:pPr>
              <w:pStyle w:val="NormalWeb"/>
              <w:spacing w:before="0" w:beforeAutospacing="0" w:after="120" w:afterAutospacing="0" w:line="480" w:lineRule="auto"/>
              <w:rPr>
                <w:rFonts w:asciiTheme="majorHAnsi" w:hAnsiTheme="majorHAnsi" w:cstheme="majorHAnsi"/>
              </w:rPr>
            </w:pPr>
          </w:p>
          <w:p w14:paraId="47CEF749" w14:textId="69F17818" w:rsidR="00B23DBD" w:rsidRPr="004D70E0" w:rsidRDefault="00B23DBD" w:rsidP="00C21DB8">
            <w:pPr>
              <w:pStyle w:val="NormalWeb"/>
              <w:spacing w:before="0" w:beforeAutospacing="0" w:after="120" w:afterAutospacing="0" w:line="480" w:lineRule="auto"/>
              <w:rPr>
                <w:rFonts w:asciiTheme="majorHAnsi" w:hAnsiTheme="majorHAnsi" w:cstheme="majorHAnsi"/>
              </w:rPr>
            </w:pPr>
          </w:p>
          <w:p w14:paraId="6F9922FB" w14:textId="3A4454A8" w:rsidR="00B23DBD" w:rsidRPr="004D70E0" w:rsidRDefault="00B23DBD" w:rsidP="00C21DB8">
            <w:pPr>
              <w:pStyle w:val="NormalWeb"/>
              <w:spacing w:before="0" w:beforeAutospacing="0" w:after="120" w:afterAutospacing="0" w:line="480" w:lineRule="auto"/>
              <w:rPr>
                <w:rFonts w:asciiTheme="majorHAnsi" w:hAnsiTheme="majorHAnsi" w:cstheme="majorHAnsi"/>
              </w:rPr>
            </w:pPr>
          </w:p>
          <w:p w14:paraId="7C7B6945" w14:textId="58F0D639" w:rsidR="00482D78" w:rsidRPr="00482D78" w:rsidRDefault="00482D78" w:rsidP="00482D78">
            <w:pPr>
              <w:pStyle w:val="NormalWeb"/>
              <w:spacing w:after="120" w:line="480" w:lineRule="auto"/>
              <w:rPr>
                <w:rFonts w:asciiTheme="majorHAnsi" w:hAnsiTheme="majorHAnsi" w:cstheme="majorHAnsi"/>
              </w:rPr>
            </w:pPr>
            <w:r w:rsidRPr="00482D78">
              <w:rPr>
                <w:rFonts w:asciiTheme="majorHAnsi" w:hAnsiTheme="majorHAnsi" w:cstheme="majorHAnsi"/>
              </w:rPr>
              <w:lastRenderedPageBreak/>
              <w:t xml:space="preserve">Public confidence in the efficacy of the police service was rocked by a series of miscarriages of justice during the 1980’s and 1990’s as high-profile cases </w:t>
            </w:r>
            <w:r w:rsidR="00BA3F48" w:rsidRPr="00482D78">
              <w:rPr>
                <w:rFonts w:asciiTheme="majorHAnsi" w:hAnsiTheme="majorHAnsi" w:cstheme="majorHAnsi"/>
              </w:rPr>
              <w:t>collapsed,</w:t>
            </w:r>
            <w:r w:rsidRPr="00482D78">
              <w:rPr>
                <w:rFonts w:asciiTheme="majorHAnsi" w:hAnsiTheme="majorHAnsi" w:cstheme="majorHAnsi"/>
              </w:rPr>
              <w:t xml:space="preserve"> or convictions overturned on appeal due to failings in disclosure. These cases include the Guildford four, Stefan </w:t>
            </w:r>
            <w:proofErr w:type="spellStart"/>
            <w:r w:rsidRPr="00482D78">
              <w:rPr>
                <w:rFonts w:asciiTheme="majorHAnsi" w:hAnsiTheme="majorHAnsi" w:cstheme="majorHAnsi"/>
              </w:rPr>
              <w:t>Kizko</w:t>
            </w:r>
            <w:proofErr w:type="spellEnd"/>
            <w:r w:rsidRPr="00482D78">
              <w:rPr>
                <w:rFonts w:asciiTheme="majorHAnsi" w:hAnsiTheme="majorHAnsi" w:cstheme="majorHAnsi"/>
              </w:rPr>
              <w:t xml:space="preserve"> and Judith Ward cases (Taylor, 2001) (Smith, </w:t>
            </w:r>
            <w:r w:rsidR="00BA3F48" w:rsidRPr="00482D78">
              <w:rPr>
                <w:rFonts w:asciiTheme="majorHAnsi" w:hAnsiTheme="majorHAnsi" w:cstheme="majorHAnsi"/>
              </w:rPr>
              <w:t>2020) These</w:t>
            </w:r>
            <w:r w:rsidRPr="00482D78">
              <w:rPr>
                <w:rFonts w:asciiTheme="majorHAnsi" w:hAnsiTheme="majorHAnsi" w:cstheme="majorHAnsi"/>
              </w:rPr>
              <w:t xml:space="preserve"> failings led directly to the enactment of the Criminal Procedure and Investigations Act in 1996 intended to set out how the police service of Wales and England conduct investigations and specifically how material gathered during the life of an investigation is ‘revealed’ to the Crown Prosecution Service and in turn ‘disclosed’ to the defendant in a criminal case. The ethos reflects the Article 6 right to a fair trial by ensuring any exculpatory material is available to a Defendant. The law is set out in the Code of Practice (Crown Copyright, 2020) however both the NPCC and the College of Policing have accepted that they have repeatedly failed to train and equip Officers and Staff to manage disclosure effectively during the past 20 plus years (National Police Chiefs' Council, College of Policing, CPS, 2018). This difficulty in getting to grips with ‘disclosure’ continues to the present day, and in recent years the collapse of significant cases, R v </w:t>
            </w:r>
            <w:proofErr w:type="spellStart"/>
            <w:r w:rsidRPr="00482D78">
              <w:rPr>
                <w:rFonts w:asciiTheme="majorHAnsi" w:hAnsiTheme="majorHAnsi" w:cstheme="majorHAnsi"/>
              </w:rPr>
              <w:t>Mouncher</w:t>
            </w:r>
            <w:proofErr w:type="spellEnd"/>
            <w:r w:rsidRPr="00482D78">
              <w:rPr>
                <w:rFonts w:asciiTheme="majorHAnsi" w:hAnsiTheme="majorHAnsi" w:cstheme="majorHAnsi"/>
              </w:rPr>
              <w:t xml:space="preserve">, R v Allen and R v </w:t>
            </w:r>
            <w:proofErr w:type="spellStart"/>
            <w:proofErr w:type="gramStart"/>
            <w:r w:rsidRPr="00482D78">
              <w:rPr>
                <w:rFonts w:asciiTheme="majorHAnsi" w:hAnsiTheme="majorHAnsi" w:cstheme="majorHAnsi"/>
              </w:rPr>
              <w:t>Itari</w:t>
            </w:r>
            <w:proofErr w:type="spellEnd"/>
            <w:r w:rsidR="00BA3F48" w:rsidRPr="00482D78">
              <w:rPr>
                <w:rFonts w:asciiTheme="majorHAnsi" w:hAnsiTheme="majorHAnsi" w:cstheme="majorHAnsi"/>
              </w:rPr>
              <w:t xml:space="preserve">  (</w:t>
            </w:r>
            <w:proofErr w:type="gramEnd"/>
            <w:r w:rsidRPr="00482D78">
              <w:rPr>
                <w:rFonts w:asciiTheme="majorHAnsi" w:hAnsiTheme="majorHAnsi" w:cstheme="majorHAnsi"/>
              </w:rPr>
              <w:t xml:space="preserve">BBC Radio 4, Law in Action, 2018) has led to heightened media interest and renewed governmental focus on the police and Crown Prosecution Services ability to deal with disclosure, (House of Commons Justice Committee, 2018). In 2020, the Attorney General issued revised guidelines to the Police and the wider Criminal Justice System (Attorney General , 2020) The effect of these changes were significant for policing as they changed the operational delivery of disclosure management protocols between police and CPS and have led directly to three versions of the National Disclosure Improvement Plan (NDIP), (National Police Chief's Council, College of Policing, CPS, 2019) (National Police Chiefs' Council, College of Policing, CPS , 2020) In addition, following severe criticism of the CPS and police by their respective independent inspectorates (HMIC &amp; </w:t>
            </w:r>
            <w:r w:rsidRPr="00482D78">
              <w:rPr>
                <w:rFonts w:asciiTheme="majorHAnsi" w:hAnsiTheme="majorHAnsi" w:cstheme="majorHAnsi"/>
              </w:rPr>
              <w:lastRenderedPageBreak/>
              <w:t xml:space="preserve">HMCPSI, 2017 )the CPS have revised the Disclosure Manual and the Directors Guidance (Crown Prosecution Service , 2021) on case file preparation. </w:t>
            </w:r>
          </w:p>
          <w:p w14:paraId="25826F88" w14:textId="77777777" w:rsidR="00482D78" w:rsidRPr="00482D78" w:rsidRDefault="00482D78" w:rsidP="00482D78">
            <w:pPr>
              <w:pStyle w:val="NormalWeb"/>
              <w:spacing w:after="120" w:line="480" w:lineRule="auto"/>
              <w:rPr>
                <w:rFonts w:asciiTheme="majorHAnsi" w:hAnsiTheme="majorHAnsi" w:cstheme="majorHAnsi"/>
              </w:rPr>
            </w:pPr>
            <w:r w:rsidRPr="00482D78">
              <w:rPr>
                <w:rFonts w:asciiTheme="majorHAnsi" w:hAnsiTheme="majorHAnsi" w:cstheme="majorHAnsi"/>
              </w:rPr>
              <w:t xml:space="preserve">Despite </w:t>
            </w:r>
            <w:proofErr w:type="gramStart"/>
            <w:r w:rsidRPr="00482D78">
              <w:rPr>
                <w:rFonts w:asciiTheme="majorHAnsi" w:hAnsiTheme="majorHAnsi" w:cstheme="majorHAnsi"/>
              </w:rPr>
              <w:t>all of</w:t>
            </w:r>
            <w:proofErr w:type="gramEnd"/>
            <w:r w:rsidRPr="00482D78">
              <w:rPr>
                <w:rFonts w:asciiTheme="majorHAnsi" w:hAnsiTheme="majorHAnsi" w:cstheme="majorHAnsi"/>
              </w:rPr>
              <w:t xml:space="preserve"> the guidance and strategic plans, this paper argues that the police are still failing in a number of ways to get to grips with disclosure.</w:t>
            </w:r>
          </w:p>
          <w:p w14:paraId="17FD8ACD" w14:textId="1D952672" w:rsidR="00482D78" w:rsidRPr="00482D78" w:rsidRDefault="00482D78" w:rsidP="00482D78">
            <w:pPr>
              <w:pStyle w:val="NormalWeb"/>
              <w:spacing w:after="120" w:line="480" w:lineRule="auto"/>
              <w:rPr>
                <w:rFonts w:asciiTheme="majorHAnsi" w:hAnsiTheme="majorHAnsi" w:cstheme="majorHAnsi"/>
              </w:rPr>
            </w:pPr>
            <w:r w:rsidRPr="00482D78">
              <w:rPr>
                <w:rFonts w:asciiTheme="majorHAnsi" w:hAnsiTheme="majorHAnsi" w:cstheme="majorHAnsi"/>
              </w:rPr>
              <w:t>The theoretical application of the ‘Thinking Approach’ to disclosure advocated in the Gross Review and later manifested in the NPCC/CPS NDIP has yet to embed itself, and the basic concepts of disclosure practice such as the ‘relevancy test’ (Crown Copyright, 2020)</w:t>
            </w:r>
            <w:r w:rsidR="00BA3F48">
              <w:rPr>
                <w:rFonts w:asciiTheme="majorHAnsi" w:hAnsiTheme="majorHAnsi" w:cstheme="majorHAnsi"/>
              </w:rPr>
              <w:t xml:space="preserve"> </w:t>
            </w:r>
            <w:r w:rsidRPr="00482D78">
              <w:rPr>
                <w:rFonts w:asciiTheme="majorHAnsi" w:hAnsiTheme="majorHAnsi" w:cstheme="majorHAnsi"/>
              </w:rPr>
              <w:t xml:space="preserve">are yet to be widely understood. This renders miscarriages of justice still possible and indeed </w:t>
            </w:r>
            <w:r w:rsidR="00BA3F48">
              <w:rPr>
                <w:rFonts w:asciiTheme="majorHAnsi" w:hAnsiTheme="majorHAnsi" w:cstheme="majorHAnsi"/>
              </w:rPr>
              <w:t xml:space="preserve">highly </w:t>
            </w:r>
            <w:r w:rsidRPr="00482D78">
              <w:rPr>
                <w:rFonts w:asciiTheme="majorHAnsi" w:hAnsiTheme="majorHAnsi" w:cstheme="majorHAnsi"/>
              </w:rPr>
              <w:t xml:space="preserve">likely until disclosure is interwoven into every aspect of police investigative practice. (Attorney </w:t>
            </w:r>
            <w:r w:rsidR="00BA3F48" w:rsidRPr="00482D78">
              <w:rPr>
                <w:rFonts w:asciiTheme="majorHAnsi" w:hAnsiTheme="majorHAnsi" w:cstheme="majorHAnsi"/>
              </w:rPr>
              <w:t>General’s</w:t>
            </w:r>
            <w:r w:rsidRPr="00482D78">
              <w:rPr>
                <w:rFonts w:asciiTheme="majorHAnsi" w:hAnsiTheme="majorHAnsi" w:cstheme="majorHAnsi"/>
              </w:rPr>
              <w:t xml:space="preserve"> </w:t>
            </w:r>
            <w:proofErr w:type="gramStart"/>
            <w:r w:rsidRPr="00482D78">
              <w:rPr>
                <w:rFonts w:asciiTheme="majorHAnsi" w:hAnsiTheme="majorHAnsi" w:cstheme="majorHAnsi"/>
              </w:rPr>
              <w:t>Office ,</w:t>
            </w:r>
            <w:proofErr w:type="gramEnd"/>
            <w:r w:rsidRPr="00482D78">
              <w:rPr>
                <w:rFonts w:asciiTheme="majorHAnsi" w:hAnsiTheme="majorHAnsi" w:cstheme="majorHAnsi"/>
              </w:rPr>
              <w:t xml:space="preserve"> May 2022)</w:t>
            </w:r>
          </w:p>
          <w:p w14:paraId="74C29E81" w14:textId="77777777" w:rsidR="00482D78" w:rsidRPr="00482D78" w:rsidRDefault="00482D78" w:rsidP="00482D78">
            <w:pPr>
              <w:pStyle w:val="NormalWeb"/>
              <w:spacing w:after="120" w:line="480" w:lineRule="auto"/>
              <w:rPr>
                <w:rFonts w:asciiTheme="majorHAnsi" w:hAnsiTheme="majorHAnsi" w:cstheme="majorHAnsi"/>
              </w:rPr>
            </w:pPr>
            <w:r w:rsidRPr="00482D78">
              <w:rPr>
                <w:rFonts w:asciiTheme="majorHAnsi" w:hAnsiTheme="majorHAnsi" w:cstheme="majorHAnsi"/>
              </w:rPr>
              <w:t>Theoretical Explanation</w:t>
            </w:r>
          </w:p>
          <w:p w14:paraId="6947B85E" w14:textId="77777777" w:rsidR="00482D78" w:rsidRPr="00482D78" w:rsidRDefault="00482D78" w:rsidP="00482D78">
            <w:pPr>
              <w:pStyle w:val="NormalWeb"/>
              <w:spacing w:after="120" w:line="480" w:lineRule="auto"/>
              <w:rPr>
                <w:rFonts w:asciiTheme="majorHAnsi" w:hAnsiTheme="majorHAnsi" w:cstheme="majorHAnsi"/>
              </w:rPr>
            </w:pPr>
            <w:r w:rsidRPr="00482D78">
              <w:rPr>
                <w:rFonts w:asciiTheme="majorHAnsi" w:hAnsiTheme="majorHAnsi" w:cstheme="majorHAnsi"/>
              </w:rPr>
              <w:t xml:space="preserve">There has been much written in the past two decades by academics and judicial practitioners on the application and legal theory of disclosure as well as a myriad of case law, (Taylor, 2007) (Taylor, 2001) (Centre for Women's </w:t>
            </w:r>
            <w:proofErr w:type="gramStart"/>
            <w:r w:rsidRPr="00482D78">
              <w:rPr>
                <w:rFonts w:asciiTheme="majorHAnsi" w:hAnsiTheme="majorHAnsi" w:cstheme="majorHAnsi"/>
              </w:rPr>
              <w:t>Justice ,</w:t>
            </w:r>
            <w:proofErr w:type="gramEnd"/>
            <w:r w:rsidRPr="00482D78">
              <w:rPr>
                <w:rFonts w:asciiTheme="majorHAnsi" w:hAnsiTheme="majorHAnsi" w:cstheme="majorHAnsi"/>
              </w:rPr>
              <w:t xml:space="preserve"> 2020) (National Police Chiefs' Council, College of Policing, CPS, 2018) (Gross, 2011) (Smith, 2020) (Richard </w:t>
            </w:r>
            <w:proofErr w:type="spellStart"/>
            <w:r w:rsidRPr="00482D78">
              <w:rPr>
                <w:rFonts w:asciiTheme="majorHAnsi" w:hAnsiTheme="majorHAnsi" w:cstheme="majorHAnsi"/>
              </w:rPr>
              <w:t>Horwell</w:t>
            </w:r>
            <w:proofErr w:type="spellEnd"/>
            <w:r w:rsidRPr="00482D78">
              <w:rPr>
                <w:rFonts w:asciiTheme="majorHAnsi" w:hAnsiTheme="majorHAnsi" w:cstheme="majorHAnsi"/>
              </w:rPr>
              <w:t xml:space="preserve">, 2017)et al. </w:t>
            </w:r>
          </w:p>
          <w:p w14:paraId="7F78D193" w14:textId="77777777" w:rsidR="00482D78" w:rsidRPr="00482D78" w:rsidRDefault="00482D78" w:rsidP="00482D78">
            <w:pPr>
              <w:pStyle w:val="NormalWeb"/>
              <w:spacing w:after="120" w:line="480" w:lineRule="auto"/>
              <w:rPr>
                <w:rFonts w:asciiTheme="majorHAnsi" w:hAnsiTheme="majorHAnsi" w:cstheme="majorHAnsi"/>
              </w:rPr>
            </w:pPr>
            <w:r w:rsidRPr="00482D78">
              <w:rPr>
                <w:rFonts w:asciiTheme="majorHAnsi" w:hAnsiTheme="majorHAnsi" w:cstheme="majorHAnsi"/>
              </w:rPr>
              <w:t xml:space="preserve">The current Attorney General said in May 2022, </w:t>
            </w:r>
          </w:p>
          <w:p w14:paraId="590CF607" w14:textId="7DF096E3" w:rsidR="00482D78" w:rsidRPr="00482D78" w:rsidRDefault="00482D78" w:rsidP="00482D78">
            <w:pPr>
              <w:pStyle w:val="NormalWeb"/>
              <w:spacing w:after="120" w:line="480" w:lineRule="auto"/>
              <w:rPr>
                <w:rFonts w:asciiTheme="majorHAnsi" w:hAnsiTheme="majorHAnsi" w:cstheme="majorHAnsi"/>
              </w:rPr>
            </w:pPr>
            <w:r w:rsidRPr="00482D78">
              <w:rPr>
                <w:rFonts w:asciiTheme="majorHAnsi" w:hAnsiTheme="majorHAnsi" w:cstheme="majorHAnsi"/>
              </w:rPr>
              <w:t>“Disclosure remains one of the most important and complex issues in the criminal justice system, and it is a priority for this Government to encourage improvements in disclosure practice in order to ensure the disclosure regime operates effectively, fairly and justly.” (Attorney General, 2022)</w:t>
            </w:r>
          </w:p>
          <w:p w14:paraId="61474DAC" w14:textId="77777777" w:rsidR="00482D78" w:rsidRPr="00482D78" w:rsidRDefault="00482D78" w:rsidP="00482D78">
            <w:pPr>
              <w:pStyle w:val="NormalWeb"/>
              <w:spacing w:after="120" w:line="480" w:lineRule="auto"/>
              <w:rPr>
                <w:rFonts w:asciiTheme="majorHAnsi" w:hAnsiTheme="majorHAnsi" w:cstheme="majorHAnsi"/>
              </w:rPr>
            </w:pPr>
          </w:p>
          <w:p w14:paraId="077BA53E" w14:textId="5F3D5A0A" w:rsidR="00482D78" w:rsidRPr="00482D78" w:rsidRDefault="00482D78" w:rsidP="00482D78">
            <w:pPr>
              <w:pStyle w:val="NormalWeb"/>
              <w:spacing w:after="120" w:line="480" w:lineRule="auto"/>
              <w:rPr>
                <w:rFonts w:asciiTheme="majorHAnsi" w:hAnsiTheme="majorHAnsi" w:cstheme="majorHAnsi"/>
              </w:rPr>
            </w:pPr>
            <w:r w:rsidRPr="00482D78">
              <w:rPr>
                <w:rFonts w:asciiTheme="majorHAnsi" w:hAnsiTheme="majorHAnsi" w:cstheme="majorHAnsi"/>
              </w:rPr>
              <w:lastRenderedPageBreak/>
              <w:t xml:space="preserve">The public’s trust and confidence in policing has been significantly undermined by the collapse of nationally prominent criminal cases (Taylor, 2007) (Richard </w:t>
            </w:r>
            <w:proofErr w:type="spellStart"/>
            <w:r w:rsidRPr="00482D78">
              <w:rPr>
                <w:rFonts w:asciiTheme="majorHAnsi" w:hAnsiTheme="majorHAnsi" w:cstheme="majorHAnsi"/>
              </w:rPr>
              <w:t>Horwell</w:t>
            </w:r>
            <w:proofErr w:type="spellEnd"/>
            <w:r w:rsidRPr="00482D78">
              <w:rPr>
                <w:rFonts w:asciiTheme="majorHAnsi" w:hAnsiTheme="majorHAnsi" w:cstheme="majorHAnsi"/>
              </w:rPr>
              <w:t xml:space="preserve">, 2017) (Lord Chancellor and </w:t>
            </w:r>
            <w:r w:rsidR="00BA3F48" w:rsidRPr="00482D78">
              <w:rPr>
                <w:rFonts w:asciiTheme="majorHAnsi" w:hAnsiTheme="majorHAnsi" w:cstheme="majorHAnsi"/>
              </w:rPr>
              <w:t>Secretary</w:t>
            </w:r>
            <w:r w:rsidRPr="00482D78">
              <w:rPr>
                <w:rFonts w:asciiTheme="majorHAnsi" w:hAnsiTheme="majorHAnsi" w:cstheme="majorHAnsi"/>
              </w:rPr>
              <w:t xml:space="preserve"> of State for Justice, 2021) and has the risk of continuing to do so unless the police service rises to the challenge of dealing effectively with disclosure. In its annual report for 2015/16 the Criminal Cases Review Commission stated,</w:t>
            </w:r>
          </w:p>
          <w:p w14:paraId="2D7EE243" w14:textId="49820E9F" w:rsidR="00482D78" w:rsidRPr="00482D78" w:rsidRDefault="00482D78" w:rsidP="00482D78">
            <w:pPr>
              <w:pStyle w:val="NormalWeb"/>
              <w:spacing w:after="120" w:line="480" w:lineRule="auto"/>
              <w:rPr>
                <w:rFonts w:asciiTheme="majorHAnsi" w:hAnsiTheme="majorHAnsi" w:cstheme="majorHAnsi"/>
              </w:rPr>
            </w:pPr>
            <w:r w:rsidRPr="00482D78">
              <w:rPr>
                <w:rFonts w:asciiTheme="majorHAnsi" w:hAnsiTheme="majorHAnsi" w:cstheme="majorHAnsi"/>
              </w:rPr>
              <w:t xml:space="preserve">“In the past twelve months this Commission has continued to see a steady stream of miscarriages. The single most frequent cause continues to be failure to disclose to the defence information which could have assisted the accused.” (HMIC &amp; HMCPSI, </w:t>
            </w:r>
            <w:r w:rsidR="00BA3F48" w:rsidRPr="00482D78">
              <w:rPr>
                <w:rFonts w:asciiTheme="majorHAnsi" w:hAnsiTheme="majorHAnsi" w:cstheme="majorHAnsi"/>
              </w:rPr>
              <w:t>2017)</w:t>
            </w:r>
          </w:p>
          <w:p w14:paraId="77BAFAA7" w14:textId="14A0B341" w:rsidR="00482D78" w:rsidRPr="00482D78" w:rsidRDefault="00482D78" w:rsidP="00482D78">
            <w:pPr>
              <w:pStyle w:val="NormalWeb"/>
              <w:spacing w:after="120" w:line="480" w:lineRule="auto"/>
              <w:rPr>
                <w:rFonts w:asciiTheme="majorHAnsi" w:hAnsiTheme="majorHAnsi" w:cstheme="majorHAnsi"/>
              </w:rPr>
            </w:pPr>
            <w:r w:rsidRPr="00482D78">
              <w:rPr>
                <w:rFonts w:asciiTheme="majorHAnsi" w:hAnsiTheme="majorHAnsi" w:cstheme="majorHAnsi"/>
              </w:rPr>
              <w:t xml:space="preserve">The complexity of policing in a digital age is exponentially increasing the risks to the police service (Colvin, 2015) of failing to deal with voluminous amounts of data in accordance with the CPIA and the Data Protection Act. There is a requirement for police leaders to get to grips with the highly technical world of disclosure to effectively lead the changes required (Colvin, 2015) (HMIC &amp; HMCPSI, </w:t>
            </w:r>
            <w:r w:rsidR="00BA3F48" w:rsidRPr="00482D78">
              <w:rPr>
                <w:rFonts w:asciiTheme="majorHAnsi" w:hAnsiTheme="majorHAnsi" w:cstheme="majorHAnsi"/>
              </w:rPr>
              <w:t>2017)</w:t>
            </w:r>
            <w:r w:rsidRPr="00482D78">
              <w:rPr>
                <w:rFonts w:asciiTheme="majorHAnsi" w:hAnsiTheme="majorHAnsi" w:cstheme="majorHAnsi"/>
              </w:rPr>
              <w:t xml:space="preserve"> (House of Commons Justice Committee, 2018)</w:t>
            </w:r>
          </w:p>
          <w:p w14:paraId="5B2EE276" w14:textId="29178A20" w:rsidR="00482D78" w:rsidRPr="00482D78" w:rsidRDefault="00482D78" w:rsidP="00482D78">
            <w:pPr>
              <w:pStyle w:val="NormalWeb"/>
              <w:spacing w:after="120" w:line="480" w:lineRule="auto"/>
              <w:rPr>
                <w:rFonts w:asciiTheme="majorHAnsi" w:hAnsiTheme="majorHAnsi" w:cstheme="majorHAnsi"/>
              </w:rPr>
            </w:pPr>
            <w:r w:rsidRPr="00482D78">
              <w:rPr>
                <w:rFonts w:asciiTheme="majorHAnsi" w:hAnsiTheme="majorHAnsi" w:cstheme="majorHAnsi"/>
              </w:rPr>
              <w:t xml:space="preserve">One of the repeated criticisms in numerous reviews of disclosure (Gross, 2011) is the lack of technical understanding of the rules of disclosure on the part of many senior leaders in policing. As Colvin and Herrington opine in their 2015 paper on Police Leadership, leading a complex multi-dimensional improvement project such as the NDIP requires highly technical policing skills, coupled with effective communication. It could be argued that this lack of technical proficiency by senior operational leaders as well as many strategic leaders is hindering the delivery of the NDIP due to a lack understanding of the basic principles of disclosure and therefore causing a lack of influence being brought to bear on the required improvements mandated by the Attorney General. One of the continual challenges for policing is the upskilling of all ranks and grades on the practical </w:t>
            </w:r>
            <w:r w:rsidRPr="00482D78">
              <w:rPr>
                <w:rFonts w:asciiTheme="majorHAnsi" w:hAnsiTheme="majorHAnsi" w:cstheme="majorHAnsi"/>
              </w:rPr>
              <w:lastRenderedPageBreak/>
              <w:t xml:space="preserve">and theoretical application of disclosure rules. Increasing evidence emerging from national assessments of case file quality, (Crown Prosecution </w:t>
            </w:r>
            <w:r w:rsidR="00BA3F48" w:rsidRPr="00482D78">
              <w:rPr>
                <w:rFonts w:asciiTheme="majorHAnsi" w:hAnsiTheme="majorHAnsi" w:cstheme="majorHAnsi"/>
              </w:rPr>
              <w:t>Service,</w:t>
            </w:r>
            <w:r w:rsidRPr="00482D78">
              <w:rPr>
                <w:rFonts w:asciiTheme="majorHAnsi" w:hAnsiTheme="majorHAnsi" w:cstheme="majorHAnsi"/>
              </w:rPr>
              <w:t xml:space="preserve"> 2022) points to a lack of technical understanding of the theories and cultural concepts that underpin disclosure, with roughly half of all case work sent to the CPS by police being graded unsatisfactory due to disclosure errors. This is in part due to a lack of technical competence by leaders in the Inspecting and Superintending ranks. This paper argues that this is hindering the delivery of improvement. </w:t>
            </w:r>
          </w:p>
          <w:p w14:paraId="30B2A435" w14:textId="27A845D2" w:rsidR="00482D78" w:rsidRPr="00482D78" w:rsidRDefault="00482D78" w:rsidP="00482D78">
            <w:pPr>
              <w:pStyle w:val="NormalWeb"/>
              <w:spacing w:after="120" w:line="480" w:lineRule="auto"/>
              <w:rPr>
                <w:rFonts w:asciiTheme="majorHAnsi" w:hAnsiTheme="majorHAnsi" w:cstheme="majorHAnsi"/>
              </w:rPr>
            </w:pPr>
            <w:r w:rsidRPr="00482D78">
              <w:rPr>
                <w:rFonts w:asciiTheme="majorHAnsi" w:hAnsiTheme="majorHAnsi" w:cstheme="majorHAnsi"/>
              </w:rPr>
              <w:t xml:space="preserve">The 2017 joint report by the Police and CPS inspectorates made it clear that they felt performance was routinely poor by both organisations in managing disclosure. (HMIC &amp; HMCPSI, </w:t>
            </w:r>
            <w:r w:rsidR="00BA3F48" w:rsidRPr="00482D78">
              <w:rPr>
                <w:rFonts w:asciiTheme="majorHAnsi" w:hAnsiTheme="majorHAnsi" w:cstheme="majorHAnsi"/>
              </w:rPr>
              <w:t>2017)</w:t>
            </w:r>
            <w:r w:rsidRPr="00482D78">
              <w:rPr>
                <w:rFonts w:asciiTheme="majorHAnsi" w:hAnsiTheme="majorHAnsi" w:cstheme="majorHAnsi"/>
              </w:rPr>
              <w:t xml:space="preserve"> Significantly, the joint inspectorates concluded that training provision was poor in policing, but good in the CPS. In addition to the poor training delivery found across the board in policing, the Inspectorates concluded that there needed to be greater levels of importance given to disclosure by those in key strategic leadership roles in both organisations. Creating the right disclosure culture was and remains a key issue in policing (Taylor, 2007) (Quirk, 2006) (Richard </w:t>
            </w:r>
            <w:proofErr w:type="spellStart"/>
            <w:r w:rsidRPr="00482D78">
              <w:rPr>
                <w:rFonts w:asciiTheme="majorHAnsi" w:hAnsiTheme="majorHAnsi" w:cstheme="majorHAnsi"/>
              </w:rPr>
              <w:t>Horwell</w:t>
            </w:r>
            <w:proofErr w:type="spellEnd"/>
            <w:r w:rsidRPr="00482D78">
              <w:rPr>
                <w:rFonts w:asciiTheme="majorHAnsi" w:hAnsiTheme="majorHAnsi" w:cstheme="majorHAnsi"/>
              </w:rPr>
              <w:t>, 2017) (Smith, 2020)</w:t>
            </w:r>
          </w:p>
          <w:p w14:paraId="505248D7" w14:textId="77777777" w:rsidR="00482D78" w:rsidRPr="00482D78" w:rsidRDefault="00482D78" w:rsidP="00482D78">
            <w:pPr>
              <w:pStyle w:val="NormalWeb"/>
              <w:spacing w:after="120" w:line="480" w:lineRule="auto"/>
              <w:rPr>
                <w:rFonts w:asciiTheme="majorHAnsi" w:hAnsiTheme="majorHAnsi" w:cstheme="majorHAnsi"/>
              </w:rPr>
            </w:pPr>
            <w:r w:rsidRPr="00482D78">
              <w:rPr>
                <w:rFonts w:asciiTheme="majorHAnsi" w:hAnsiTheme="majorHAnsi" w:cstheme="majorHAnsi"/>
              </w:rPr>
              <w:t xml:space="preserve">It is now five years since the last formal inspection of disclosure by the HMI’s and in that time the College of Policing (College of Policing , 2019) has issued a number of revised training products and the National Police Chief’s Council has worked with the Director of Public Prosecutions Office to formulate 3 versions of a joint national disclosure improvement plan for Police Officers and Prosecutors, there has also been a new Manual of Guidance issued by CPS to its Prosecutors along with two versions of guidance issued by the Attorney General in 2020 and 2022 with a commitment that the Attorney will review Disclosure governance every year. The cluttered </w:t>
            </w:r>
            <w:r w:rsidRPr="00482D78">
              <w:rPr>
                <w:rFonts w:asciiTheme="majorHAnsi" w:hAnsiTheme="majorHAnsi" w:cstheme="majorHAnsi"/>
              </w:rPr>
              <w:lastRenderedPageBreak/>
              <w:t>landscape of guidance documents hinders the delivery of consistent disclosure training and the operational delivery of effective disclosure practice. (Gross, 2011)</w:t>
            </w:r>
          </w:p>
          <w:p w14:paraId="7FC133CC" w14:textId="64B4D9B2" w:rsidR="00482D78" w:rsidRPr="00482D78" w:rsidRDefault="00482D78" w:rsidP="00482D78">
            <w:pPr>
              <w:pStyle w:val="NormalWeb"/>
              <w:spacing w:after="120" w:line="480" w:lineRule="auto"/>
              <w:rPr>
                <w:rFonts w:asciiTheme="majorHAnsi" w:hAnsiTheme="majorHAnsi" w:cstheme="majorHAnsi"/>
              </w:rPr>
            </w:pPr>
            <w:r w:rsidRPr="00482D78">
              <w:rPr>
                <w:rFonts w:asciiTheme="majorHAnsi" w:hAnsiTheme="majorHAnsi" w:cstheme="majorHAnsi"/>
              </w:rPr>
              <w:t xml:space="preserve">The National Police Chiefs’ Council along with the Director of Public Prosecutions established a governance arrangement under the leadership of Assistant Commissioner Ephgrave to address the highly critical Justice Inspectorate report of 2017 (HMIC &amp; HMCPSI, </w:t>
            </w:r>
            <w:r w:rsidR="00BA3F48" w:rsidRPr="00482D78">
              <w:rPr>
                <w:rFonts w:asciiTheme="majorHAnsi" w:hAnsiTheme="majorHAnsi" w:cstheme="majorHAnsi"/>
              </w:rPr>
              <w:t>2017) and</w:t>
            </w:r>
            <w:r w:rsidRPr="00482D78">
              <w:rPr>
                <w:rFonts w:asciiTheme="majorHAnsi" w:hAnsiTheme="majorHAnsi" w:cstheme="majorHAnsi"/>
              </w:rPr>
              <w:t xml:space="preserve"> other negative reports that focussed on disclosure practice, such as that written by Richard </w:t>
            </w:r>
            <w:proofErr w:type="spellStart"/>
            <w:r w:rsidRPr="00482D78">
              <w:rPr>
                <w:rFonts w:asciiTheme="majorHAnsi" w:hAnsiTheme="majorHAnsi" w:cstheme="majorHAnsi"/>
              </w:rPr>
              <w:t>Horwell</w:t>
            </w:r>
            <w:proofErr w:type="spellEnd"/>
            <w:r w:rsidRPr="00482D78">
              <w:rPr>
                <w:rFonts w:asciiTheme="majorHAnsi" w:hAnsiTheme="majorHAnsi" w:cstheme="majorHAnsi"/>
              </w:rPr>
              <w:t xml:space="preserve"> QC following the collapse of a police corruption trial (R v </w:t>
            </w:r>
            <w:proofErr w:type="spellStart"/>
            <w:r w:rsidRPr="00482D78">
              <w:rPr>
                <w:rFonts w:asciiTheme="majorHAnsi" w:hAnsiTheme="majorHAnsi" w:cstheme="majorHAnsi"/>
              </w:rPr>
              <w:t>Mouncher</w:t>
            </w:r>
            <w:proofErr w:type="spellEnd"/>
            <w:r w:rsidRPr="00482D78">
              <w:rPr>
                <w:rFonts w:asciiTheme="majorHAnsi" w:hAnsiTheme="majorHAnsi" w:cstheme="majorHAnsi"/>
              </w:rPr>
              <w:t xml:space="preserve">) (Richard </w:t>
            </w:r>
            <w:proofErr w:type="spellStart"/>
            <w:r w:rsidRPr="00482D78">
              <w:rPr>
                <w:rFonts w:asciiTheme="majorHAnsi" w:hAnsiTheme="majorHAnsi" w:cstheme="majorHAnsi"/>
              </w:rPr>
              <w:t>Horwell</w:t>
            </w:r>
            <w:proofErr w:type="spellEnd"/>
            <w:r w:rsidRPr="00482D78">
              <w:rPr>
                <w:rFonts w:asciiTheme="majorHAnsi" w:hAnsiTheme="majorHAnsi" w:cstheme="majorHAnsi"/>
              </w:rPr>
              <w:t xml:space="preserve">, 2017). A joint national criminal justice improvement board has been established involving police, prosecutors, </w:t>
            </w:r>
            <w:proofErr w:type="gramStart"/>
            <w:r w:rsidRPr="00482D78">
              <w:rPr>
                <w:rFonts w:asciiTheme="majorHAnsi" w:hAnsiTheme="majorHAnsi" w:cstheme="majorHAnsi"/>
              </w:rPr>
              <w:t>defence</w:t>
            </w:r>
            <w:proofErr w:type="gramEnd"/>
            <w:r w:rsidRPr="00482D78">
              <w:rPr>
                <w:rFonts w:asciiTheme="majorHAnsi" w:hAnsiTheme="majorHAnsi" w:cstheme="majorHAnsi"/>
              </w:rPr>
              <w:t xml:space="preserve"> and judicial stakeholders to address the complexity of disclosure improvement (National Police Chiefs' Council, College of Policing, CPS, 2018) the complex challenge of improving performance across the entire criminal justice landscape could be described as an enduring ‘wicked’ issue (Colvin, 2015) particularly for policing. </w:t>
            </w:r>
          </w:p>
          <w:p w14:paraId="31ED1531" w14:textId="4F4A7B15" w:rsidR="00482D78" w:rsidRPr="00482D78" w:rsidRDefault="00482D78" w:rsidP="00482D78">
            <w:pPr>
              <w:pStyle w:val="NormalWeb"/>
              <w:spacing w:after="120" w:line="480" w:lineRule="auto"/>
              <w:rPr>
                <w:rFonts w:asciiTheme="majorHAnsi" w:hAnsiTheme="majorHAnsi" w:cstheme="majorHAnsi"/>
              </w:rPr>
            </w:pPr>
            <w:r w:rsidRPr="00482D78">
              <w:rPr>
                <w:rFonts w:asciiTheme="majorHAnsi" w:hAnsiTheme="majorHAnsi" w:cstheme="majorHAnsi"/>
              </w:rPr>
              <w:t xml:space="preserve">There are </w:t>
            </w:r>
            <w:proofErr w:type="gramStart"/>
            <w:r w:rsidRPr="00482D78">
              <w:rPr>
                <w:rFonts w:asciiTheme="majorHAnsi" w:hAnsiTheme="majorHAnsi" w:cstheme="majorHAnsi"/>
              </w:rPr>
              <w:t>a number of</w:t>
            </w:r>
            <w:proofErr w:type="gramEnd"/>
            <w:r w:rsidRPr="00482D78">
              <w:rPr>
                <w:rFonts w:asciiTheme="majorHAnsi" w:hAnsiTheme="majorHAnsi" w:cstheme="majorHAnsi"/>
              </w:rPr>
              <w:t xml:space="preserve"> interlocking dependencies in terms of trust and confidence linked to poor or ineffectual disclosure performance, with the most pressing one related to the poor outcome performance in rape and serious sexual offences. The national policing board has made tackling violence against women and girls a national priority and the recently commissioned end to end rape review (Lord Chancellor and </w:t>
            </w:r>
            <w:r w:rsidR="0017319E" w:rsidRPr="00482D78">
              <w:rPr>
                <w:rFonts w:asciiTheme="majorHAnsi" w:hAnsiTheme="majorHAnsi" w:cstheme="majorHAnsi"/>
              </w:rPr>
              <w:t>Secretary</w:t>
            </w:r>
            <w:r w:rsidRPr="00482D78">
              <w:rPr>
                <w:rFonts w:asciiTheme="majorHAnsi" w:hAnsiTheme="majorHAnsi" w:cstheme="majorHAnsi"/>
              </w:rPr>
              <w:t xml:space="preserve"> of State for Justice, 2021) has focussed significant attention on the way the police set about investigating rape. One of the challenges is the handling of disclosure of sensitive information about victims and witnesses in rape cases, known as ‘third party disclosure’ which arises from the examination of sensitive personal material derived from sources such as health and social services records or from personal electronic devices such smart phones. </w:t>
            </w:r>
          </w:p>
          <w:p w14:paraId="6F52CAD8" w14:textId="555958D3" w:rsidR="00482D78" w:rsidRPr="00482D78" w:rsidRDefault="00482D78" w:rsidP="00482D78">
            <w:pPr>
              <w:pStyle w:val="NormalWeb"/>
              <w:spacing w:after="120" w:line="480" w:lineRule="auto"/>
              <w:rPr>
                <w:rFonts w:asciiTheme="majorHAnsi" w:hAnsiTheme="majorHAnsi" w:cstheme="majorHAnsi"/>
              </w:rPr>
            </w:pPr>
            <w:r w:rsidRPr="00482D78">
              <w:rPr>
                <w:rFonts w:asciiTheme="majorHAnsi" w:hAnsiTheme="majorHAnsi" w:cstheme="majorHAnsi"/>
              </w:rPr>
              <w:lastRenderedPageBreak/>
              <w:t xml:space="preserve">The rape review (Lord Chancellor and </w:t>
            </w:r>
            <w:r w:rsidR="0017319E" w:rsidRPr="00482D78">
              <w:rPr>
                <w:rFonts w:asciiTheme="majorHAnsi" w:hAnsiTheme="majorHAnsi" w:cstheme="majorHAnsi"/>
              </w:rPr>
              <w:t>Secretary</w:t>
            </w:r>
            <w:r w:rsidRPr="00482D78">
              <w:rPr>
                <w:rFonts w:asciiTheme="majorHAnsi" w:hAnsiTheme="majorHAnsi" w:cstheme="majorHAnsi"/>
              </w:rPr>
              <w:t xml:space="preserve"> of State for Justice, 2021) highlighted the impact of poor disclosure practice upon victims of rape, with the Information Commissioners Report (Information </w:t>
            </w:r>
            <w:r w:rsidR="0017319E" w:rsidRPr="00482D78">
              <w:rPr>
                <w:rFonts w:asciiTheme="majorHAnsi" w:hAnsiTheme="majorHAnsi" w:cstheme="majorHAnsi"/>
              </w:rPr>
              <w:t>Commissioners</w:t>
            </w:r>
            <w:r w:rsidRPr="00482D78">
              <w:rPr>
                <w:rFonts w:asciiTheme="majorHAnsi" w:hAnsiTheme="majorHAnsi" w:cstheme="majorHAnsi"/>
              </w:rPr>
              <w:t xml:space="preserve"> Office , 2020) into mobile data extraction specifically levelling criticism at the way police extract personal data from electronic devices belonging to victims and witnesses, in what one victim advocate group referred to as a ‘digital strip search’ (Centre for Women's Justice , 2020) The issue of mobile data extraction and disclosure has been addressed in recently published guidelines (Home Office , May 2022). This draft code addresses competing ethical, </w:t>
            </w:r>
            <w:proofErr w:type="gramStart"/>
            <w:r w:rsidRPr="00482D78">
              <w:rPr>
                <w:rFonts w:asciiTheme="majorHAnsi" w:hAnsiTheme="majorHAnsi" w:cstheme="majorHAnsi"/>
              </w:rPr>
              <w:t>legislative</w:t>
            </w:r>
            <w:proofErr w:type="gramEnd"/>
            <w:r w:rsidRPr="00482D78">
              <w:rPr>
                <w:rFonts w:asciiTheme="majorHAnsi" w:hAnsiTheme="majorHAnsi" w:cstheme="majorHAnsi"/>
              </w:rPr>
              <w:t xml:space="preserve"> and operational challenges for policing (</w:t>
            </w:r>
            <w:proofErr w:type="spellStart"/>
            <w:r w:rsidRPr="00482D78">
              <w:rPr>
                <w:rFonts w:asciiTheme="majorHAnsi" w:hAnsiTheme="majorHAnsi" w:cstheme="majorHAnsi"/>
              </w:rPr>
              <w:t>Polykarpou</w:t>
            </w:r>
            <w:proofErr w:type="spellEnd"/>
            <w:r w:rsidRPr="00482D78">
              <w:rPr>
                <w:rFonts w:asciiTheme="majorHAnsi" w:hAnsiTheme="majorHAnsi" w:cstheme="majorHAnsi"/>
              </w:rPr>
              <w:t>, 2022) in a digital age and specifically addresses the reasonableness of the investigative approach to disclosure of digital material. This is a welcome development as it will codify a contentious area of criminal investigative practice but will require a cultural shift in the approach of both police and CPS to the examination of witnesses and victims prior to criminal trials (Taylor, 2007) (</w:t>
            </w:r>
            <w:proofErr w:type="spellStart"/>
            <w:r w:rsidRPr="00482D78">
              <w:rPr>
                <w:rFonts w:asciiTheme="majorHAnsi" w:hAnsiTheme="majorHAnsi" w:cstheme="majorHAnsi"/>
              </w:rPr>
              <w:t>Coliandris</w:t>
            </w:r>
            <w:proofErr w:type="spellEnd"/>
            <w:r w:rsidRPr="00482D78">
              <w:rPr>
                <w:rFonts w:asciiTheme="majorHAnsi" w:hAnsiTheme="majorHAnsi" w:cstheme="majorHAnsi"/>
              </w:rPr>
              <w:t xml:space="preserve"> G, 2008). The oversight of the Judiciary will be an important factor in determining the efficacy of the guidelines (Gross, 2011). It is often the defence who require the examination of the character of the victim in rape cases and since the high-profile collapse of the Liam Allen rape trial (BBC Radio 4, Law in Action, 2018) it is possible to argue that the pendulum of investigative focus, did indeed swing erroneously to a broad degree, in favour of examining the veracity of witnesses and complainants; particularly in rape cases, in clear contravention of a witnesses Article 8 Human Right. This is an example of police operational culture shifting quite significantly in response to the technological dependency of many people </w:t>
            </w:r>
            <w:proofErr w:type="gramStart"/>
            <w:r w:rsidRPr="00482D78">
              <w:rPr>
                <w:rFonts w:asciiTheme="majorHAnsi" w:hAnsiTheme="majorHAnsi" w:cstheme="majorHAnsi"/>
              </w:rPr>
              <w:t>in today’s society</w:t>
            </w:r>
            <w:proofErr w:type="gramEnd"/>
            <w:r w:rsidRPr="00482D78">
              <w:rPr>
                <w:rFonts w:asciiTheme="majorHAnsi" w:hAnsiTheme="majorHAnsi" w:cstheme="majorHAnsi"/>
              </w:rPr>
              <w:t xml:space="preserve"> to social media and other forms of digital interaction (Smith, 2020) (Taylor, 2007). Some have argued (Taylor, </w:t>
            </w:r>
            <w:proofErr w:type="gramStart"/>
            <w:r w:rsidRPr="00482D78">
              <w:rPr>
                <w:rFonts w:asciiTheme="majorHAnsi" w:hAnsiTheme="majorHAnsi" w:cstheme="majorHAnsi"/>
              </w:rPr>
              <w:t>2007)(</w:t>
            </w:r>
            <w:proofErr w:type="spellStart"/>
            <w:proofErr w:type="gramEnd"/>
            <w:r w:rsidRPr="00482D78">
              <w:rPr>
                <w:rFonts w:asciiTheme="majorHAnsi" w:hAnsiTheme="majorHAnsi" w:cstheme="majorHAnsi"/>
              </w:rPr>
              <w:t>Coliandris</w:t>
            </w:r>
            <w:proofErr w:type="spellEnd"/>
            <w:r w:rsidRPr="00482D78">
              <w:rPr>
                <w:rFonts w:asciiTheme="majorHAnsi" w:hAnsiTheme="majorHAnsi" w:cstheme="majorHAnsi"/>
              </w:rPr>
              <w:t xml:space="preserve"> G, 2008) that police culture has received both formal and informal messages on the failure of </w:t>
            </w:r>
            <w:r w:rsidRPr="00482D78">
              <w:rPr>
                <w:rFonts w:asciiTheme="majorHAnsi" w:hAnsiTheme="majorHAnsi" w:cstheme="majorHAnsi"/>
              </w:rPr>
              <w:lastRenderedPageBreak/>
              <w:t xml:space="preserve">disclosure practice and interpreted the solution in a way that one could argue is significantly at odds with both legislation and the best interests of victim groups. </w:t>
            </w:r>
          </w:p>
          <w:p w14:paraId="563CBCB3" w14:textId="5FB168D9" w:rsidR="00482D78" w:rsidRPr="00482D78" w:rsidRDefault="00482D78" w:rsidP="00482D78">
            <w:pPr>
              <w:pStyle w:val="NormalWeb"/>
              <w:spacing w:after="120" w:line="480" w:lineRule="auto"/>
              <w:rPr>
                <w:rFonts w:asciiTheme="majorHAnsi" w:hAnsiTheme="majorHAnsi" w:cstheme="majorHAnsi"/>
              </w:rPr>
            </w:pPr>
            <w:r w:rsidRPr="00482D78">
              <w:rPr>
                <w:rFonts w:asciiTheme="majorHAnsi" w:hAnsiTheme="majorHAnsi" w:cstheme="majorHAnsi"/>
              </w:rPr>
              <w:t>To address the continued challenges of poor disclosure practice and culture across the criminal justice system the police service must be prepared to consider alternative methods of dealing with unused material in criminal investigations. Some have long argued that the current regime can never be made to work effectively and needs a fundamental overhaul (Quirk, 2006) (</w:t>
            </w:r>
            <w:proofErr w:type="spellStart"/>
            <w:r w:rsidRPr="00482D78">
              <w:rPr>
                <w:rFonts w:asciiTheme="majorHAnsi" w:hAnsiTheme="majorHAnsi" w:cstheme="majorHAnsi"/>
              </w:rPr>
              <w:t>Polykarpou</w:t>
            </w:r>
            <w:proofErr w:type="spellEnd"/>
            <w:r w:rsidRPr="00482D78">
              <w:rPr>
                <w:rFonts w:asciiTheme="majorHAnsi" w:hAnsiTheme="majorHAnsi" w:cstheme="majorHAnsi"/>
              </w:rPr>
              <w:t xml:space="preserve">, 2022) (Smith, 2020). The root and branch change proponents, tend to argue for a new agency that would act as some form of intermediary between defence and prosecutor and somehow sit outside or above the adversarial rubric of the existing Common Law participants of Defence and Prosecution ‘teams.’ In Lord Justice Gross’s review (Gross, 2011), he considered the root and branch reform option by examining other legal jurisdictions in the United States and Europe and discounted that option in favour of sustained and incremental improvement across the existing investigatory and prosecutorial landscape of the Anglo/Welsh system. His learned view was that the tools to effectively manage disclosure of unused material are available, but they just ‘need to be used’ and overseen by the judiciary with effective case management (Gross, 2011).  </w:t>
            </w:r>
          </w:p>
          <w:p w14:paraId="731FFF28" w14:textId="77777777" w:rsidR="00482D78" w:rsidRPr="00482D78" w:rsidRDefault="00482D78" w:rsidP="00482D78">
            <w:pPr>
              <w:pStyle w:val="NormalWeb"/>
              <w:spacing w:after="120" w:line="480" w:lineRule="auto"/>
              <w:rPr>
                <w:rFonts w:asciiTheme="majorHAnsi" w:hAnsiTheme="majorHAnsi" w:cstheme="majorHAnsi"/>
              </w:rPr>
            </w:pPr>
            <w:r w:rsidRPr="00482D78">
              <w:rPr>
                <w:rFonts w:asciiTheme="majorHAnsi" w:hAnsiTheme="majorHAnsi" w:cstheme="majorHAnsi"/>
              </w:rPr>
              <w:t>Conclusion</w:t>
            </w:r>
          </w:p>
          <w:p w14:paraId="6A707763" w14:textId="5B4BA893" w:rsidR="00036F08" w:rsidRPr="004D70E0" w:rsidRDefault="00482D78" w:rsidP="00482D78">
            <w:pPr>
              <w:pStyle w:val="NormalWeb"/>
              <w:spacing w:before="0" w:beforeAutospacing="0" w:after="120" w:afterAutospacing="0" w:line="480" w:lineRule="auto"/>
              <w:rPr>
                <w:rFonts w:asciiTheme="majorHAnsi" w:hAnsiTheme="majorHAnsi" w:cstheme="majorHAnsi"/>
              </w:rPr>
            </w:pPr>
            <w:r w:rsidRPr="00482D78">
              <w:rPr>
                <w:rFonts w:asciiTheme="majorHAnsi" w:hAnsiTheme="majorHAnsi" w:cstheme="majorHAnsi"/>
              </w:rPr>
              <w:t xml:space="preserve">In accepting the Gross premise that the adversarial nature of the common law system of dealing with pre-trial disclosure is unlikely to change, the challenge for police disclosure practice and performance in a digital age remains a wicked issue as </w:t>
            </w:r>
            <w:proofErr w:type="gramStart"/>
            <w:r w:rsidRPr="00482D78">
              <w:rPr>
                <w:rFonts w:asciiTheme="majorHAnsi" w:hAnsiTheme="majorHAnsi" w:cstheme="majorHAnsi"/>
              </w:rPr>
              <w:t>it is clear that the</w:t>
            </w:r>
            <w:proofErr w:type="gramEnd"/>
            <w:r w:rsidRPr="00482D78">
              <w:rPr>
                <w:rFonts w:asciiTheme="majorHAnsi" w:hAnsiTheme="majorHAnsi" w:cstheme="majorHAnsi"/>
              </w:rPr>
              <w:t xml:space="preserve"> risks are increasing in terms of non-disclosure of key evidence in criminal cases (</w:t>
            </w:r>
            <w:proofErr w:type="spellStart"/>
            <w:r w:rsidRPr="00482D78">
              <w:rPr>
                <w:rFonts w:asciiTheme="majorHAnsi" w:hAnsiTheme="majorHAnsi" w:cstheme="majorHAnsi"/>
              </w:rPr>
              <w:t>Polykarpou</w:t>
            </w:r>
            <w:proofErr w:type="spellEnd"/>
            <w:r w:rsidRPr="00482D78">
              <w:rPr>
                <w:rFonts w:asciiTheme="majorHAnsi" w:hAnsiTheme="majorHAnsi" w:cstheme="majorHAnsi"/>
              </w:rPr>
              <w:t xml:space="preserve">, 2022). The importance of effective training and culture has been reiterated in all reviews of disclosure practice (Attorney </w:t>
            </w:r>
            <w:r w:rsidR="0017319E" w:rsidRPr="00482D78">
              <w:rPr>
                <w:rFonts w:asciiTheme="majorHAnsi" w:hAnsiTheme="majorHAnsi" w:cstheme="majorHAnsi"/>
              </w:rPr>
              <w:t>General’s</w:t>
            </w:r>
            <w:r w:rsidRPr="00482D78">
              <w:rPr>
                <w:rFonts w:asciiTheme="majorHAnsi" w:hAnsiTheme="majorHAnsi" w:cstheme="majorHAnsi"/>
              </w:rPr>
              <w:t xml:space="preserve"> Office, November </w:t>
            </w:r>
            <w:proofErr w:type="gramStart"/>
            <w:r w:rsidRPr="00482D78">
              <w:rPr>
                <w:rFonts w:asciiTheme="majorHAnsi" w:hAnsiTheme="majorHAnsi" w:cstheme="majorHAnsi"/>
              </w:rPr>
              <w:t>2018 )</w:t>
            </w:r>
            <w:proofErr w:type="gramEnd"/>
            <w:r w:rsidRPr="00482D78">
              <w:rPr>
                <w:rFonts w:asciiTheme="majorHAnsi" w:hAnsiTheme="majorHAnsi" w:cstheme="majorHAnsi"/>
              </w:rPr>
              <w:t xml:space="preserve"> (HMIC &amp; HMCPSI, 2017 ) (Richard </w:t>
            </w:r>
            <w:proofErr w:type="spellStart"/>
            <w:r w:rsidRPr="00482D78">
              <w:rPr>
                <w:rFonts w:asciiTheme="majorHAnsi" w:hAnsiTheme="majorHAnsi" w:cstheme="majorHAnsi"/>
              </w:rPr>
              <w:t>Horwell</w:t>
            </w:r>
            <w:proofErr w:type="spellEnd"/>
            <w:r w:rsidRPr="00482D78">
              <w:rPr>
                <w:rFonts w:asciiTheme="majorHAnsi" w:hAnsiTheme="majorHAnsi" w:cstheme="majorHAnsi"/>
              </w:rPr>
              <w:t xml:space="preserve">, 2017) (Lord </w:t>
            </w:r>
            <w:r w:rsidRPr="00482D78">
              <w:rPr>
                <w:rFonts w:asciiTheme="majorHAnsi" w:hAnsiTheme="majorHAnsi" w:cstheme="majorHAnsi"/>
              </w:rPr>
              <w:lastRenderedPageBreak/>
              <w:t xml:space="preserve">Chancellor and </w:t>
            </w:r>
            <w:r w:rsidR="0017319E" w:rsidRPr="00482D78">
              <w:rPr>
                <w:rFonts w:asciiTheme="majorHAnsi" w:hAnsiTheme="majorHAnsi" w:cstheme="majorHAnsi"/>
              </w:rPr>
              <w:t>Secretary</w:t>
            </w:r>
            <w:r w:rsidRPr="00482D78">
              <w:rPr>
                <w:rFonts w:asciiTheme="majorHAnsi" w:hAnsiTheme="majorHAnsi" w:cstheme="majorHAnsi"/>
              </w:rPr>
              <w:t xml:space="preserve"> of State for Justice, 2021) (Johnston E, March 2018) (Gross, 2011) et al. Another important element that the police service must get right is investigative ethics, the principle of an independent investigator following reasonable lines of enquiry that either assist the prosecution or defence, needs to be more deeply embedded in the culture of the police (</w:t>
            </w:r>
            <w:proofErr w:type="spellStart"/>
            <w:r w:rsidRPr="00482D78">
              <w:rPr>
                <w:rFonts w:asciiTheme="majorHAnsi" w:hAnsiTheme="majorHAnsi" w:cstheme="majorHAnsi"/>
              </w:rPr>
              <w:t>Coliandris</w:t>
            </w:r>
            <w:proofErr w:type="spellEnd"/>
            <w:r w:rsidRPr="00482D78">
              <w:rPr>
                <w:rFonts w:asciiTheme="majorHAnsi" w:hAnsiTheme="majorHAnsi" w:cstheme="majorHAnsi"/>
              </w:rPr>
              <w:t xml:space="preserve"> G, 2008) (Smith, 2020). There is a fundamental imbalance in resources available to the defence versus the prosecution in the common law model, so ethics and values become more prominent as a factor in terms of disclosure. The ethical decision-making lens of the disclosure officers (Richard </w:t>
            </w:r>
            <w:proofErr w:type="spellStart"/>
            <w:r w:rsidRPr="00482D78">
              <w:rPr>
                <w:rFonts w:asciiTheme="majorHAnsi" w:hAnsiTheme="majorHAnsi" w:cstheme="majorHAnsi"/>
              </w:rPr>
              <w:t>Horwell</w:t>
            </w:r>
            <w:proofErr w:type="spellEnd"/>
            <w:r w:rsidRPr="00482D78">
              <w:rPr>
                <w:rFonts w:asciiTheme="majorHAnsi" w:hAnsiTheme="majorHAnsi" w:cstheme="majorHAnsi"/>
              </w:rPr>
              <w:t>, 2017) (</w:t>
            </w:r>
            <w:proofErr w:type="spellStart"/>
            <w:r w:rsidRPr="00482D78">
              <w:rPr>
                <w:rFonts w:asciiTheme="majorHAnsi" w:hAnsiTheme="majorHAnsi" w:cstheme="majorHAnsi"/>
              </w:rPr>
              <w:t>Polykarpou</w:t>
            </w:r>
            <w:proofErr w:type="spellEnd"/>
            <w:r w:rsidRPr="00482D78">
              <w:rPr>
                <w:rFonts w:asciiTheme="majorHAnsi" w:hAnsiTheme="majorHAnsi" w:cstheme="majorHAnsi"/>
              </w:rPr>
              <w:t xml:space="preserve">, 2022) must be clear eyed and focussed on the due process of an independent and fair judicial inquisition of the allegation at hand. More work is required to educate police officers on the importance of this vital role in the due process of the Anglo Welsh legal system. It is not an administrative function that can be undertaken lightly, disclosure cannot be seen as an adjunct to an investigation, it must be viewed as a key pillar holding up the integrity of all investigations. To ensure the correct cultural messaging is communicated, this paper emphasises the key role of Inspecting and Superintending ranks in understanding the rules of disclosure. Too many senior members of the police service have little </w:t>
            </w:r>
            <w:proofErr w:type="gramStart"/>
            <w:r w:rsidRPr="00482D78">
              <w:rPr>
                <w:rFonts w:asciiTheme="majorHAnsi" w:hAnsiTheme="majorHAnsi" w:cstheme="majorHAnsi"/>
              </w:rPr>
              <w:t>understanding</w:t>
            </w:r>
            <w:proofErr w:type="gramEnd"/>
            <w:r w:rsidRPr="00482D78">
              <w:rPr>
                <w:rFonts w:asciiTheme="majorHAnsi" w:hAnsiTheme="majorHAnsi" w:cstheme="majorHAnsi"/>
              </w:rPr>
              <w:t xml:space="preserve"> of the legislative framework outlined in the Criminal Procedures and Investigations Act 1996. The culture in policing explored in (</w:t>
            </w:r>
            <w:proofErr w:type="spellStart"/>
            <w:r w:rsidRPr="00482D78">
              <w:rPr>
                <w:rFonts w:asciiTheme="majorHAnsi" w:hAnsiTheme="majorHAnsi" w:cstheme="majorHAnsi"/>
              </w:rPr>
              <w:t>Coliandris</w:t>
            </w:r>
            <w:proofErr w:type="spellEnd"/>
            <w:r w:rsidRPr="00482D78">
              <w:rPr>
                <w:rFonts w:asciiTheme="majorHAnsi" w:hAnsiTheme="majorHAnsi" w:cstheme="majorHAnsi"/>
              </w:rPr>
              <w:t xml:space="preserve"> G, 2008) provides a partial explanation in terms of the discretionary activity required to maintain professional knowledge. Much of the disclosure training delivered since 1996 has been discretionary and ad hoc in nature. For much of the service, the law which governs how the police must </w:t>
            </w:r>
            <w:proofErr w:type="gramStart"/>
            <w:r w:rsidRPr="00482D78">
              <w:rPr>
                <w:rFonts w:asciiTheme="majorHAnsi" w:hAnsiTheme="majorHAnsi" w:cstheme="majorHAnsi"/>
              </w:rPr>
              <w:t>conduct an investigation</w:t>
            </w:r>
            <w:proofErr w:type="gramEnd"/>
            <w:r w:rsidRPr="00482D78">
              <w:rPr>
                <w:rFonts w:asciiTheme="majorHAnsi" w:hAnsiTheme="majorHAnsi" w:cstheme="majorHAnsi"/>
              </w:rPr>
              <w:t xml:space="preserve"> has simply passed them by, leaving many senior leaders ill equipped to get to grips with poor disclosure performance.  The Home Affairs Select committee highlighted the lack of consistency in mandatory training (Home Office, 2019) across all forces and this is seen as a critical factor in the continuing challenge of delivering the National Disclosure Improvement Plan. The Governments response to the select committee </w:t>
            </w:r>
            <w:r w:rsidRPr="00482D78">
              <w:rPr>
                <w:rFonts w:asciiTheme="majorHAnsi" w:hAnsiTheme="majorHAnsi" w:cstheme="majorHAnsi"/>
              </w:rPr>
              <w:lastRenderedPageBreak/>
              <w:t xml:space="preserve">was to re-affirm the role of the College of Policing in delivering mandated training. Since the inception of the NDIP in 2018 the College has not mandated any disclosure training for officers outside of their initial ‘recruit’ training, this paper highlights the continuing failure of the service to get to grips with disclosure and sees the absence of mandated training aimed specifically at altering the cultural norms of police disclosure practice as a key area that needs to be addressed urgently.  </w:t>
            </w:r>
          </w:p>
          <w:sdt>
            <w:sdtPr>
              <w:rPr>
                <w:rFonts w:ascii="Calibri Light" w:eastAsia="Times New Roman" w:hAnsi="Calibri Light" w:cs="Times New Roman"/>
                <w:b w:val="0"/>
                <w:color w:val="2F5496"/>
                <w:sz w:val="32"/>
                <w:szCs w:val="32"/>
              </w:rPr>
              <w:id w:val="-172338372"/>
              <w:docPartObj>
                <w:docPartGallery w:val="Bibliographies"/>
              </w:docPartObj>
            </w:sdtPr>
            <w:sdtEndPr>
              <w:rPr>
                <w:rFonts w:ascii="Calibri" w:eastAsia="Calibri" w:hAnsi="Calibri"/>
                <w:color w:val="auto"/>
                <w:sz w:val="22"/>
                <w:szCs w:val="22"/>
                <w:lang w:val="en-GB"/>
              </w:rPr>
            </w:sdtEndPr>
            <w:sdtContent>
              <w:p w14:paraId="2870B808" w14:textId="77777777" w:rsidR="00482D78" w:rsidRPr="00482D78" w:rsidRDefault="00482D78" w:rsidP="00482D78">
                <w:pPr>
                  <w:keepNext/>
                  <w:keepLines/>
                  <w:spacing w:before="240" w:line="259" w:lineRule="auto"/>
                  <w:outlineLvl w:val="0"/>
                  <w:rPr>
                    <w:rFonts w:ascii="Calibri Light" w:eastAsia="Times New Roman" w:hAnsi="Calibri Light" w:cs="Times New Roman"/>
                    <w:b w:val="0"/>
                    <w:color w:val="2F5496"/>
                    <w:sz w:val="32"/>
                    <w:szCs w:val="32"/>
                  </w:rPr>
                </w:pPr>
                <w:r w:rsidRPr="00482D78">
                  <w:rPr>
                    <w:rFonts w:ascii="Calibri Light" w:eastAsia="Times New Roman" w:hAnsi="Calibri Light" w:cs="Times New Roman"/>
                    <w:b w:val="0"/>
                    <w:color w:val="2F5496"/>
                    <w:sz w:val="32"/>
                    <w:szCs w:val="32"/>
                  </w:rPr>
                  <w:t>References</w:t>
                </w:r>
              </w:p>
              <w:sdt>
                <w:sdtPr>
                  <w:rPr>
                    <w:rFonts w:ascii="Calibri" w:eastAsia="Calibri" w:hAnsi="Calibri" w:cs="Times New Roman"/>
                    <w:b w:val="0"/>
                    <w:color w:val="auto"/>
                    <w:sz w:val="22"/>
                    <w:lang w:val="en-GB"/>
                  </w:rPr>
                  <w:id w:val="-573587230"/>
                  <w:bibliography/>
                </w:sdtPr>
                <w:sdtContent>
                  <w:p w14:paraId="0750D311" w14:textId="77777777" w:rsidR="00482D78" w:rsidRPr="00482D78" w:rsidRDefault="00482D78" w:rsidP="00482D78">
                    <w:pPr>
                      <w:spacing w:after="160" w:line="259" w:lineRule="auto"/>
                      <w:rPr>
                        <w:rFonts w:ascii="Calibri" w:eastAsia="Calibri" w:hAnsi="Calibri" w:cs="Times New Roman"/>
                        <w:b w:val="0"/>
                        <w:noProof/>
                        <w:color w:val="auto"/>
                        <w:sz w:val="24"/>
                        <w:szCs w:val="24"/>
                      </w:rPr>
                    </w:pPr>
                    <w:r w:rsidRPr="00482D78">
                      <w:rPr>
                        <w:rFonts w:ascii="Calibri" w:eastAsia="Calibri" w:hAnsi="Calibri" w:cs="Times New Roman"/>
                        <w:b w:val="0"/>
                        <w:color w:val="auto"/>
                        <w:sz w:val="22"/>
                        <w:lang w:val="en-GB"/>
                      </w:rPr>
                      <w:fldChar w:fldCharType="begin"/>
                    </w:r>
                    <w:r w:rsidRPr="00482D78">
                      <w:rPr>
                        <w:rFonts w:ascii="Calibri" w:eastAsia="Calibri" w:hAnsi="Calibri" w:cs="Times New Roman"/>
                        <w:b w:val="0"/>
                        <w:color w:val="auto"/>
                        <w:sz w:val="22"/>
                        <w:lang w:val="en-GB"/>
                      </w:rPr>
                      <w:instrText xml:space="preserve"> BIBLIOGRAPHY </w:instrText>
                    </w:r>
                    <w:r w:rsidRPr="00482D78">
                      <w:rPr>
                        <w:rFonts w:ascii="Calibri" w:eastAsia="Calibri" w:hAnsi="Calibri" w:cs="Times New Roman"/>
                        <w:b w:val="0"/>
                        <w:color w:val="auto"/>
                        <w:sz w:val="22"/>
                        <w:lang w:val="en-GB"/>
                      </w:rPr>
                      <w:fldChar w:fldCharType="separate"/>
                    </w:r>
                    <w:r w:rsidRPr="00482D78">
                      <w:rPr>
                        <w:rFonts w:ascii="Calibri" w:eastAsia="Calibri" w:hAnsi="Calibri" w:cs="Times New Roman"/>
                        <w:b w:val="0"/>
                        <w:noProof/>
                        <w:color w:val="auto"/>
                        <w:sz w:val="22"/>
                      </w:rPr>
                      <w:t xml:space="preserve">Attorney General , 2020. </w:t>
                    </w:r>
                    <w:r w:rsidRPr="00482D78">
                      <w:rPr>
                        <w:rFonts w:ascii="Calibri" w:eastAsia="Calibri" w:hAnsi="Calibri" w:cs="Times New Roman"/>
                        <w:b w:val="0"/>
                        <w:i/>
                        <w:iCs/>
                        <w:noProof/>
                        <w:color w:val="auto"/>
                        <w:sz w:val="22"/>
                      </w:rPr>
                      <w:t xml:space="preserve">Attorney General's Guidelines on Disclosure, </w:t>
                    </w:r>
                    <w:r w:rsidRPr="00482D78">
                      <w:rPr>
                        <w:rFonts w:ascii="Calibri" w:eastAsia="Calibri" w:hAnsi="Calibri" w:cs="Times New Roman"/>
                        <w:b w:val="0"/>
                        <w:noProof/>
                        <w:color w:val="auto"/>
                        <w:sz w:val="22"/>
                      </w:rPr>
                      <w:t>s.l.: Crown Copyright.</w:t>
                    </w:r>
                  </w:p>
                  <w:p w14:paraId="42BDE394" w14:textId="77777777" w:rsidR="00482D78" w:rsidRPr="00482D78" w:rsidRDefault="00482D78" w:rsidP="00482D78">
                    <w:pPr>
                      <w:spacing w:after="160" w:line="259" w:lineRule="auto"/>
                      <w:rPr>
                        <w:rFonts w:ascii="Calibri" w:eastAsia="Calibri" w:hAnsi="Calibri" w:cs="Times New Roman"/>
                        <w:b w:val="0"/>
                        <w:noProof/>
                        <w:color w:val="auto"/>
                        <w:sz w:val="22"/>
                      </w:rPr>
                    </w:pPr>
                    <w:r w:rsidRPr="00482D78">
                      <w:rPr>
                        <w:rFonts w:ascii="Calibri" w:eastAsia="Calibri" w:hAnsi="Calibri" w:cs="Times New Roman"/>
                        <w:b w:val="0"/>
                        <w:noProof/>
                        <w:color w:val="auto"/>
                        <w:sz w:val="22"/>
                      </w:rPr>
                      <w:t xml:space="preserve">Attorney General , 2022. </w:t>
                    </w:r>
                    <w:r w:rsidRPr="00482D78">
                      <w:rPr>
                        <w:rFonts w:ascii="Calibri" w:eastAsia="Calibri" w:hAnsi="Calibri" w:cs="Times New Roman"/>
                        <w:b w:val="0"/>
                        <w:i/>
                        <w:iCs/>
                        <w:noProof/>
                        <w:color w:val="auto"/>
                        <w:sz w:val="22"/>
                      </w:rPr>
                      <w:t xml:space="preserve">Attorney Generals Guidelines on Disclosure, </w:t>
                    </w:r>
                    <w:r w:rsidRPr="00482D78">
                      <w:rPr>
                        <w:rFonts w:ascii="Calibri" w:eastAsia="Calibri" w:hAnsi="Calibri" w:cs="Times New Roman"/>
                        <w:b w:val="0"/>
                        <w:noProof/>
                        <w:color w:val="auto"/>
                        <w:sz w:val="22"/>
                      </w:rPr>
                      <w:t>s.l.: Crown Copyright .</w:t>
                    </w:r>
                  </w:p>
                  <w:p w14:paraId="09D08BA5" w14:textId="77777777" w:rsidR="00482D78" w:rsidRPr="00482D78" w:rsidRDefault="00482D78" w:rsidP="00482D78">
                    <w:pPr>
                      <w:spacing w:after="160" w:line="259" w:lineRule="auto"/>
                      <w:rPr>
                        <w:rFonts w:ascii="Calibri" w:eastAsia="Calibri" w:hAnsi="Calibri" w:cs="Times New Roman"/>
                        <w:b w:val="0"/>
                        <w:noProof/>
                        <w:color w:val="auto"/>
                        <w:sz w:val="22"/>
                      </w:rPr>
                    </w:pPr>
                    <w:r w:rsidRPr="00482D78">
                      <w:rPr>
                        <w:rFonts w:ascii="Calibri" w:eastAsia="Calibri" w:hAnsi="Calibri" w:cs="Times New Roman"/>
                        <w:b w:val="0"/>
                        <w:noProof/>
                        <w:color w:val="auto"/>
                        <w:sz w:val="22"/>
                      </w:rPr>
                      <w:t xml:space="preserve">Attorney Generals Office , May 2022. </w:t>
                    </w:r>
                    <w:r w:rsidRPr="00482D78">
                      <w:rPr>
                        <w:rFonts w:ascii="Calibri" w:eastAsia="Calibri" w:hAnsi="Calibri" w:cs="Times New Roman"/>
                        <w:b w:val="0"/>
                        <w:i/>
                        <w:iCs/>
                        <w:noProof/>
                        <w:color w:val="auto"/>
                        <w:sz w:val="22"/>
                      </w:rPr>
                      <w:t xml:space="preserve">Annual Review of Disclosure , </w:t>
                    </w:r>
                    <w:r w:rsidRPr="00482D78">
                      <w:rPr>
                        <w:rFonts w:ascii="Calibri" w:eastAsia="Calibri" w:hAnsi="Calibri" w:cs="Times New Roman"/>
                        <w:b w:val="0"/>
                        <w:noProof/>
                        <w:color w:val="auto"/>
                        <w:sz w:val="22"/>
                      </w:rPr>
                      <w:t>s.l.: crown Copyright.</w:t>
                    </w:r>
                  </w:p>
                  <w:p w14:paraId="2089FB7B" w14:textId="77777777" w:rsidR="00482D78" w:rsidRPr="00482D78" w:rsidRDefault="00482D78" w:rsidP="00482D78">
                    <w:pPr>
                      <w:spacing w:after="160" w:line="259" w:lineRule="auto"/>
                      <w:rPr>
                        <w:rFonts w:ascii="Calibri" w:eastAsia="Calibri" w:hAnsi="Calibri" w:cs="Times New Roman"/>
                        <w:b w:val="0"/>
                        <w:noProof/>
                        <w:color w:val="auto"/>
                        <w:sz w:val="22"/>
                      </w:rPr>
                    </w:pPr>
                    <w:r w:rsidRPr="00482D78">
                      <w:rPr>
                        <w:rFonts w:ascii="Calibri" w:eastAsia="Calibri" w:hAnsi="Calibri" w:cs="Times New Roman"/>
                        <w:b w:val="0"/>
                        <w:noProof/>
                        <w:color w:val="auto"/>
                        <w:sz w:val="22"/>
                      </w:rPr>
                      <w:t xml:space="preserve">Attorney Generals Office , November 2018 . </w:t>
                    </w:r>
                    <w:r w:rsidRPr="00482D78">
                      <w:rPr>
                        <w:rFonts w:ascii="Calibri" w:eastAsia="Calibri" w:hAnsi="Calibri" w:cs="Times New Roman"/>
                        <w:b w:val="0"/>
                        <w:i/>
                        <w:iCs/>
                        <w:noProof/>
                        <w:color w:val="auto"/>
                        <w:sz w:val="22"/>
                      </w:rPr>
                      <w:t xml:space="preserve">Review of the efficiency and effectiveness of discliosure in the criminal justice system , </w:t>
                    </w:r>
                    <w:r w:rsidRPr="00482D78">
                      <w:rPr>
                        <w:rFonts w:ascii="Calibri" w:eastAsia="Calibri" w:hAnsi="Calibri" w:cs="Times New Roman"/>
                        <w:b w:val="0"/>
                        <w:noProof/>
                        <w:color w:val="auto"/>
                        <w:sz w:val="22"/>
                      </w:rPr>
                      <w:t>s.l.: Crown Copyright .</w:t>
                    </w:r>
                  </w:p>
                  <w:p w14:paraId="68815C8C" w14:textId="77777777" w:rsidR="00482D78" w:rsidRPr="00482D78" w:rsidRDefault="00482D78" w:rsidP="00482D78">
                    <w:pPr>
                      <w:spacing w:after="160" w:line="259" w:lineRule="auto"/>
                      <w:rPr>
                        <w:rFonts w:ascii="Calibri" w:eastAsia="Calibri" w:hAnsi="Calibri" w:cs="Times New Roman"/>
                        <w:b w:val="0"/>
                        <w:noProof/>
                        <w:color w:val="auto"/>
                        <w:sz w:val="22"/>
                      </w:rPr>
                    </w:pPr>
                    <w:r w:rsidRPr="00482D78">
                      <w:rPr>
                        <w:rFonts w:ascii="Calibri" w:eastAsia="Calibri" w:hAnsi="Calibri" w:cs="Times New Roman"/>
                        <w:b w:val="0"/>
                        <w:noProof/>
                        <w:color w:val="auto"/>
                        <w:sz w:val="22"/>
                      </w:rPr>
                      <w:t xml:space="preserve">BBC Radio 4, Law in Action, 2018. </w:t>
                    </w:r>
                    <w:r w:rsidRPr="00482D78">
                      <w:rPr>
                        <w:rFonts w:ascii="Calibri" w:eastAsia="Calibri" w:hAnsi="Calibri" w:cs="Times New Roman"/>
                        <w:b w:val="0"/>
                        <w:i/>
                        <w:iCs/>
                        <w:noProof/>
                        <w:color w:val="auto"/>
                        <w:sz w:val="22"/>
                      </w:rPr>
                      <w:t xml:space="preserve">Failings in Evidence Disclosure. </w:t>
                    </w:r>
                    <w:r w:rsidRPr="00482D78">
                      <w:rPr>
                        <w:rFonts w:ascii="Calibri" w:eastAsia="Calibri" w:hAnsi="Calibri" w:cs="Times New Roman"/>
                        <w:b w:val="0"/>
                        <w:noProof/>
                        <w:color w:val="auto"/>
                        <w:sz w:val="22"/>
                      </w:rPr>
                      <w:t xml:space="preserve">[Online] </w:t>
                    </w:r>
                    <w:r w:rsidRPr="00482D78">
                      <w:rPr>
                        <w:rFonts w:ascii="Calibri" w:eastAsia="Calibri" w:hAnsi="Calibri" w:cs="Times New Roman"/>
                        <w:b w:val="0"/>
                        <w:noProof/>
                        <w:color w:val="auto"/>
                        <w:sz w:val="22"/>
                      </w:rPr>
                      <w:br/>
                      <w:t xml:space="preserve">Available at: </w:t>
                    </w:r>
                    <w:r w:rsidRPr="00482D78">
                      <w:rPr>
                        <w:rFonts w:ascii="Calibri" w:eastAsia="Calibri" w:hAnsi="Calibri" w:cs="Times New Roman"/>
                        <w:b w:val="0"/>
                        <w:noProof/>
                        <w:color w:val="auto"/>
                        <w:sz w:val="22"/>
                        <w:u w:val="single"/>
                      </w:rPr>
                      <w:t>https://www.bbc.co.uk/programmes/b09snj92</w:t>
                    </w:r>
                    <w:r w:rsidRPr="00482D78">
                      <w:rPr>
                        <w:rFonts w:ascii="Calibri" w:eastAsia="Calibri" w:hAnsi="Calibri" w:cs="Times New Roman"/>
                        <w:b w:val="0"/>
                        <w:noProof/>
                        <w:color w:val="auto"/>
                        <w:sz w:val="22"/>
                      </w:rPr>
                      <w:br/>
                      <w:t>[Accessed 16 June 2022].</w:t>
                    </w:r>
                  </w:p>
                  <w:p w14:paraId="45C84FE9" w14:textId="77777777" w:rsidR="00482D78" w:rsidRPr="00482D78" w:rsidRDefault="00482D78" w:rsidP="00482D78">
                    <w:pPr>
                      <w:spacing w:after="160" w:line="259" w:lineRule="auto"/>
                      <w:rPr>
                        <w:rFonts w:ascii="Calibri" w:eastAsia="Calibri" w:hAnsi="Calibri" w:cs="Times New Roman"/>
                        <w:b w:val="0"/>
                        <w:noProof/>
                        <w:color w:val="auto"/>
                        <w:sz w:val="22"/>
                      </w:rPr>
                    </w:pPr>
                    <w:r w:rsidRPr="00482D78">
                      <w:rPr>
                        <w:rFonts w:ascii="Calibri" w:eastAsia="Calibri" w:hAnsi="Calibri" w:cs="Times New Roman"/>
                        <w:b w:val="0"/>
                        <w:noProof/>
                        <w:color w:val="auto"/>
                        <w:sz w:val="22"/>
                      </w:rPr>
                      <w:t xml:space="preserve">Centre for Women's Justice , 2020. </w:t>
                    </w:r>
                    <w:r w:rsidRPr="00482D78">
                      <w:rPr>
                        <w:rFonts w:ascii="Calibri" w:eastAsia="Calibri" w:hAnsi="Calibri" w:cs="Times New Roman"/>
                        <w:b w:val="0"/>
                        <w:i/>
                        <w:iCs/>
                        <w:noProof/>
                        <w:color w:val="auto"/>
                        <w:sz w:val="22"/>
                      </w:rPr>
                      <w:t xml:space="preserve">Stop the 'Digital Strip Search' of rape victims like me.. </w:t>
                    </w:r>
                    <w:r w:rsidRPr="00482D78">
                      <w:rPr>
                        <w:rFonts w:ascii="Calibri" w:eastAsia="Calibri" w:hAnsi="Calibri" w:cs="Times New Roman"/>
                        <w:b w:val="0"/>
                        <w:noProof/>
                        <w:color w:val="auto"/>
                        <w:sz w:val="22"/>
                      </w:rPr>
                      <w:t xml:space="preserve">[Online] </w:t>
                    </w:r>
                    <w:r w:rsidRPr="00482D78">
                      <w:rPr>
                        <w:rFonts w:ascii="Calibri" w:eastAsia="Calibri" w:hAnsi="Calibri" w:cs="Times New Roman"/>
                        <w:b w:val="0"/>
                        <w:noProof/>
                        <w:color w:val="auto"/>
                        <w:sz w:val="22"/>
                      </w:rPr>
                      <w:br/>
                      <w:t xml:space="preserve">Available at: </w:t>
                    </w:r>
                    <w:r w:rsidRPr="00482D78">
                      <w:rPr>
                        <w:rFonts w:ascii="Calibri" w:eastAsia="Calibri" w:hAnsi="Calibri" w:cs="Times New Roman"/>
                        <w:b w:val="0"/>
                        <w:noProof/>
                        <w:color w:val="auto"/>
                        <w:sz w:val="22"/>
                        <w:u w:val="single"/>
                      </w:rPr>
                      <w:t>https://www.centreforwomensjustice.org.uk/new-blog-1/2020/3/13/stop-digital-strip-search</w:t>
                    </w:r>
                    <w:r w:rsidRPr="00482D78">
                      <w:rPr>
                        <w:rFonts w:ascii="Calibri" w:eastAsia="Calibri" w:hAnsi="Calibri" w:cs="Times New Roman"/>
                        <w:b w:val="0"/>
                        <w:noProof/>
                        <w:color w:val="auto"/>
                        <w:sz w:val="22"/>
                      </w:rPr>
                      <w:br/>
                      <w:t>[Accessed 17 June 2022].</w:t>
                    </w:r>
                  </w:p>
                  <w:p w14:paraId="30AE6A73" w14:textId="77777777" w:rsidR="00482D78" w:rsidRPr="00482D78" w:rsidRDefault="00482D78" w:rsidP="00482D78">
                    <w:pPr>
                      <w:spacing w:after="160" w:line="259" w:lineRule="auto"/>
                      <w:rPr>
                        <w:rFonts w:ascii="Calibri" w:eastAsia="Calibri" w:hAnsi="Calibri" w:cs="Times New Roman"/>
                        <w:b w:val="0"/>
                        <w:noProof/>
                        <w:color w:val="auto"/>
                        <w:sz w:val="22"/>
                      </w:rPr>
                    </w:pPr>
                    <w:r w:rsidRPr="00482D78">
                      <w:rPr>
                        <w:rFonts w:ascii="Calibri" w:eastAsia="Calibri" w:hAnsi="Calibri" w:cs="Times New Roman"/>
                        <w:b w:val="0"/>
                        <w:noProof/>
                        <w:color w:val="auto"/>
                        <w:sz w:val="22"/>
                      </w:rPr>
                      <w:t xml:space="preserve">Coliandris G, R. C., 2008. Linking Police Culture, Leadership and partnership-working. </w:t>
                    </w:r>
                    <w:r w:rsidRPr="00482D78">
                      <w:rPr>
                        <w:rFonts w:ascii="Calibri" w:eastAsia="Calibri" w:hAnsi="Calibri" w:cs="Times New Roman"/>
                        <w:b w:val="0"/>
                        <w:i/>
                        <w:iCs/>
                        <w:noProof/>
                        <w:color w:val="auto"/>
                        <w:sz w:val="22"/>
                      </w:rPr>
                      <w:t xml:space="preserve">The Police Journal, </w:t>
                    </w:r>
                    <w:r w:rsidRPr="00482D78">
                      <w:rPr>
                        <w:rFonts w:ascii="Calibri" w:eastAsia="Calibri" w:hAnsi="Calibri" w:cs="Times New Roman"/>
                        <w:b w:val="0"/>
                        <w:noProof/>
                        <w:color w:val="auto"/>
                        <w:sz w:val="22"/>
                      </w:rPr>
                      <w:t>Volume 81, pp. 111-125.</w:t>
                    </w:r>
                  </w:p>
                  <w:p w14:paraId="2E367839" w14:textId="77777777" w:rsidR="00482D78" w:rsidRPr="00482D78" w:rsidRDefault="00482D78" w:rsidP="00482D78">
                    <w:pPr>
                      <w:spacing w:after="160" w:line="259" w:lineRule="auto"/>
                      <w:rPr>
                        <w:rFonts w:ascii="Calibri" w:eastAsia="Calibri" w:hAnsi="Calibri" w:cs="Times New Roman"/>
                        <w:b w:val="0"/>
                        <w:noProof/>
                        <w:color w:val="auto"/>
                        <w:sz w:val="22"/>
                      </w:rPr>
                    </w:pPr>
                    <w:r w:rsidRPr="00482D78">
                      <w:rPr>
                        <w:rFonts w:ascii="Calibri" w:eastAsia="Calibri" w:hAnsi="Calibri" w:cs="Times New Roman"/>
                        <w:b w:val="0"/>
                        <w:noProof/>
                        <w:color w:val="auto"/>
                        <w:sz w:val="22"/>
                      </w:rPr>
                      <w:t xml:space="preserve">College of Policing , 2019. </w:t>
                    </w:r>
                    <w:r w:rsidRPr="00482D78">
                      <w:rPr>
                        <w:rFonts w:ascii="Calibri" w:eastAsia="Calibri" w:hAnsi="Calibri" w:cs="Times New Roman"/>
                        <w:b w:val="0"/>
                        <w:i/>
                        <w:iCs/>
                        <w:noProof/>
                        <w:color w:val="auto"/>
                        <w:sz w:val="22"/>
                      </w:rPr>
                      <w:t xml:space="preserve">Disclosure Training for Police-more than 100,000 complete course. </w:t>
                    </w:r>
                    <w:r w:rsidRPr="00482D78">
                      <w:rPr>
                        <w:rFonts w:ascii="Calibri" w:eastAsia="Calibri" w:hAnsi="Calibri" w:cs="Times New Roman"/>
                        <w:b w:val="0"/>
                        <w:noProof/>
                        <w:color w:val="auto"/>
                        <w:sz w:val="22"/>
                      </w:rPr>
                      <w:t xml:space="preserve">[Online] </w:t>
                    </w:r>
                    <w:r w:rsidRPr="00482D78">
                      <w:rPr>
                        <w:rFonts w:ascii="Calibri" w:eastAsia="Calibri" w:hAnsi="Calibri" w:cs="Times New Roman"/>
                        <w:b w:val="0"/>
                        <w:noProof/>
                        <w:color w:val="auto"/>
                        <w:sz w:val="22"/>
                      </w:rPr>
                      <w:br/>
                      <w:t xml:space="preserve">Available at: </w:t>
                    </w:r>
                    <w:r w:rsidRPr="00482D78">
                      <w:rPr>
                        <w:rFonts w:ascii="Calibri" w:eastAsia="Calibri" w:hAnsi="Calibri" w:cs="Times New Roman"/>
                        <w:b w:val="0"/>
                        <w:noProof/>
                        <w:color w:val="auto"/>
                        <w:sz w:val="22"/>
                        <w:u w:val="single"/>
                      </w:rPr>
                      <w:t>https://collegeofpolicing-newsroom.prgloo.com/news/disclosure-training-for-police-more-than-100-000-complete-course#:~:text=The%20%27disclosure%20and%20relevancy%20%E2%80%93%20conducting%20fair%20investigations%27,and%20staff%20involved%20in%20any%20aspec</w:t>
                    </w:r>
                    <w:r w:rsidRPr="00482D78">
                      <w:rPr>
                        <w:rFonts w:ascii="Calibri" w:eastAsia="Calibri" w:hAnsi="Calibri" w:cs="Times New Roman"/>
                        <w:b w:val="0"/>
                        <w:noProof/>
                        <w:color w:val="auto"/>
                        <w:sz w:val="22"/>
                      </w:rPr>
                      <w:br/>
                      <w:t>[Accessed 20 June 2022].</w:t>
                    </w:r>
                  </w:p>
                  <w:p w14:paraId="7AAEF041" w14:textId="77777777" w:rsidR="00482D78" w:rsidRPr="00482D78" w:rsidRDefault="00482D78" w:rsidP="00482D78">
                    <w:pPr>
                      <w:spacing w:after="160" w:line="259" w:lineRule="auto"/>
                      <w:rPr>
                        <w:rFonts w:ascii="Calibri" w:eastAsia="Calibri" w:hAnsi="Calibri" w:cs="Times New Roman"/>
                        <w:b w:val="0"/>
                        <w:noProof/>
                        <w:color w:val="auto"/>
                        <w:sz w:val="22"/>
                      </w:rPr>
                    </w:pPr>
                    <w:r w:rsidRPr="00482D78">
                      <w:rPr>
                        <w:rFonts w:ascii="Calibri" w:eastAsia="Calibri" w:hAnsi="Calibri" w:cs="Times New Roman"/>
                        <w:b w:val="0"/>
                        <w:noProof/>
                        <w:color w:val="auto"/>
                        <w:sz w:val="22"/>
                      </w:rPr>
                      <w:t xml:space="preserve">College of Policing, 2020. </w:t>
                    </w:r>
                    <w:r w:rsidRPr="00482D78">
                      <w:rPr>
                        <w:rFonts w:ascii="Calibri" w:eastAsia="Calibri" w:hAnsi="Calibri" w:cs="Times New Roman"/>
                        <w:b w:val="0"/>
                        <w:i/>
                        <w:iCs/>
                        <w:noProof/>
                        <w:color w:val="auto"/>
                        <w:sz w:val="22"/>
                      </w:rPr>
                      <w:t xml:space="preserve">Crimianl Procedure and Investigations Act 1996 Code of Practice, Attorney Generals Guidelines on Disclosure Briefing note on changes coming into force on 31 december 2020, </w:t>
                    </w:r>
                    <w:r w:rsidRPr="00482D78">
                      <w:rPr>
                        <w:rFonts w:ascii="Calibri" w:eastAsia="Calibri" w:hAnsi="Calibri" w:cs="Times New Roman"/>
                        <w:b w:val="0"/>
                        <w:noProof/>
                        <w:color w:val="auto"/>
                        <w:sz w:val="22"/>
                      </w:rPr>
                      <w:t>s.l.: College of Policing.</w:t>
                    </w:r>
                  </w:p>
                  <w:p w14:paraId="2443EDBE" w14:textId="77777777" w:rsidR="00482D78" w:rsidRPr="00482D78" w:rsidRDefault="00482D78" w:rsidP="00482D78">
                    <w:pPr>
                      <w:spacing w:after="160" w:line="259" w:lineRule="auto"/>
                      <w:rPr>
                        <w:rFonts w:ascii="Calibri" w:eastAsia="Calibri" w:hAnsi="Calibri" w:cs="Times New Roman"/>
                        <w:b w:val="0"/>
                        <w:noProof/>
                        <w:color w:val="auto"/>
                        <w:sz w:val="22"/>
                      </w:rPr>
                    </w:pPr>
                    <w:r w:rsidRPr="00482D78">
                      <w:rPr>
                        <w:rFonts w:ascii="Calibri" w:eastAsia="Calibri" w:hAnsi="Calibri" w:cs="Times New Roman"/>
                        <w:b w:val="0"/>
                        <w:noProof/>
                        <w:color w:val="auto"/>
                        <w:sz w:val="22"/>
                      </w:rPr>
                      <w:t xml:space="preserve">Colvin, A. H. V., 2015. Police Leadership for Complex Times. </w:t>
                    </w:r>
                    <w:r w:rsidRPr="00482D78">
                      <w:rPr>
                        <w:rFonts w:ascii="Calibri" w:eastAsia="Calibri" w:hAnsi="Calibri" w:cs="Times New Roman"/>
                        <w:b w:val="0"/>
                        <w:i/>
                        <w:iCs/>
                        <w:noProof/>
                        <w:color w:val="auto"/>
                        <w:sz w:val="22"/>
                      </w:rPr>
                      <w:t xml:space="preserve">Policing, </w:t>
                    </w:r>
                    <w:r w:rsidRPr="00482D78">
                      <w:rPr>
                        <w:rFonts w:ascii="Calibri" w:eastAsia="Calibri" w:hAnsi="Calibri" w:cs="Times New Roman"/>
                        <w:b w:val="0"/>
                        <w:noProof/>
                        <w:color w:val="auto"/>
                        <w:sz w:val="22"/>
                      </w:rPr>
                      <w:t>Volume 10, pp. 7-16.</w:t>
                    </w:r>
                  </w:p>
                  <w:p w14:paraId="5D045CE0" w14:textId="77777777" w:rsidR="00482D78" w:rsidRPr="00482D78" w:rsidRDefault="00482D78" w:rsidP="00482D78">
                    <w:pPr>
                      <w:spacing w:after="160" w:line="259" w:lineRule="auto"/>
                      <w:rPr>
                        <w:rFonts w:ascii="Calibri" w:eastAsia="Calibri" w:hAnsi="Calibri" w:cs="Times New Roman"/>
                        <w:b w:val="0"/>
                        <w:noProof/>
                        <w:color w:val="auto"/>
                        <w:sz w:val="22"/>
                      </w:rPr>
                    </w:pPr>
                    <w:r w:rsidRPr="00482D78">
                      <w:rPr>
                        <w:rFonts w:ascii="Calibri" w:eastAsia="Calibri" w:hAnsi="Calibri" w:cs="Times New Roman"/>
                        <w:b w:val="0"/>
                        <w:noProof/>
                        <w:color w:val="auto"/>
                        <w:sz w:val="22"/>
                      </w:rPr>
                      <w:t xml:space="preserve">Crown Copyright, 2020. </w:t>
                    </w:r>
                    <w:r w:rsidRPr="00482D78">
                      <w:rPr>
                        <w:rFonts w:ascii="Calibri" w:eastAsia="Calibri" w:hAnsi="Calibri" w:cs="Times New Roman"/>
                        <w:b w:val="0"/>
                        <w:i/>
                        <w:iCs/>
                        <w:noProof/>
                        <w:color w:val="auto"/>
                        <w:sz w:val="22"/>
                      </w:rPr>
                      <w:t xml:space="preserve">Criminal Procedure and Investigations Act 1996 (section 23 (1)). </w:t>
                    </w:r>
                    <w:r w:rsidRPr="00482D78">
                      <w:rPr>
                        <w:rFonts w:ascii="Calibri" w:eastAsia="Calibri" w:hAnsi="Calibri" w:cs="Times New Roman"/>
                        <w:b w:val="0"/>
                        <w:noProof/>
                        <w:color w:val="auto"/>
                        <w:sz w:val="22"/>
                      </w:rPr>
                      <w:t>s.l.:Her majesty's Stationary Office .</w:t>
                    </w:r>
                  </w:p>
                  <w:p w14:paraId="0B6BE8D3" w14:textId="77777777" w:rsidR="00482D78" w:rsidRPr="00482D78" w:rsidRDefault="00482D78" w:rsidP="00482D78">
                    <w:pPr>
                      <w:spacing w:after="160" w:line="259" w:lineRule="auto"/>
                      <w:rPr>
                        <w:rFonts w:ascii="Calibri" w:eastAsia="Calibri" w:hAnsi="Calibri" w:cs="Times New Roman"/>
                        <w:b w:val="0"/>
                        <w:noProof/>
                        <w:color w:val="auto"/>
                        <w:sz w:val="22"/>
                      </w:rPr>
                    </w:pPr>
                    <w:r w:rsidRPr="00482D78">
                      <w:rPr>
                        <w:rFonts w:ascii="Calibri" w:eastAsia="Calibri" w:hAnsi="Calibri" w:cs="Times New Roman"/>
                        <w:b w:val="0"/>
                        <w:noProof/>
                        <w:color w:val="auto"/>
                        <w:sz w:val="22"/>
                      </w:rPr>
                      <w:t xml:space="preserve">Crown Prosecution Service , 2021. </w:t>
                    </w:r>
                    <w:r w:rsidRPr="00482D78">
                      <w:rPr>
                        <w:rFonts w:ascii="Calibri" w:eastAsia="Calibri" w:hAnsi="Calibri" w:cs="Times New Roman"/>
                        <w:b w:val="0"/>
                        <w:i/>
                        <w:iCs/>
                        <w:noProof/>
                        <w:color w:val="auto"/>
                        <w:sz w:val="22"/>
                      </w:rPr>
                      <w:t xml:space="preserve">Directors Guidance on Charging (6th Edition) , </w:t>
                    </w:r>
                    <w:r w:rsidRPr="00482D78">
                      <w:rPr>
                        <w:rFonts w:ascii="Calibri" w:eastAsia="Calibri" w:hAnsi="Calibri" w:cs="Times New Roman"/>
                        <w:b w:val="0"/>
                        <w:noProof/>
                        <w:color w:val="auto"/>
                        <w:sz w:val="22"/>
                      </w:rPr>
                      <w:t>s.l.: Crown Copyright .</w:t>
                    </w:r>
                  </w:p>
                  <w:p w14:paraId="45CFAC43" w14:textId="77777777" w:rsidR="00482D78" w:rsidRPr="00482D78" w:rsidRDefault="00482D78" w:rsidP="00482D78">
                    <w:pPr>
                      <w:spacing w:after="160" w:line="259" w:lineRule="auto"/>
                      <w:rPr>
                        <w:rFonts w:ascii="Calibri" w:eastAsia="Calibri" w:hAnsi="Calibri" w:cs="Times New Roman"/>
                        <w:b w:val="0"/>
                        <w:noProof/>
                        <w:color w:val="auto"/>
                        <w:sz w:val="22"/>
                      </w:rPr>
                    </w:pPr>
                    <w:r w:rsidRPr="00482D78">
                      <w:rPr>
                        <w:rFonts w:ascii="Calibri" w:eastAsia="Calibri" w:hAnsi="Calibri" w:cs="Times New Roman"/>
                        <w:b w:val="0"/>
                        <w:noProof/>
                        <w:color w:val="auto"/>
                        <w:sz w:val="22"/>
                      </w:rPr>
                      <w:lastRenderedPageBreak/>
                      <w:t xml:space="preserve">Crown Prosecution Service , 2022. </w:t>
                    </w:r>
                    <w:r w:rsidRPr="00482D78">
                      <w:rPr>
                        <w:rFonts w:ascii="Calibri" w:eastAsia="Calibri" w:hAnsi="Calibri" w:cs="Times New Roman"/>
                        <w:b w:val="0"/>
                        <w:i/>
                        <w:iCs/>
                        <w:noProof/>
                        <w:color w:val="auto"/>
                        <w:sz w:val="22"/>
                      </w:rPr>
                      <w:t xml:space="preserve">Casework Quality Standards. </w:t>
                    </w:r>
                    <w:r w:rsidRPr="00482D78">
                      <w:rPr>
                        <w:rFonts w:ascii="Calibri" w:eastAsia="Calibri" w:hAnsi="Calibri" w:cs="Times New Roman"/>
                        <w:b w:val="0"/>
                        <w:noProof/>
                        <w:color w:val="auto"/>
                        <w:sz w:val="22"/>
                      </w:rPr>
                      <w:t xml:space="preserve">[Online] </w:t>
                    </w:r>
                    <w:r w:rsidRPr="00482D78">
                      <w:rPr>
                        <w:rFonts w:ascii="Calibri" w:eastAsia="Calibri" w:hAnsi="Calibri" w:cs="Times New Roman"/>
                        <w:b w:val="0"/>
                        <w:noProof/>
                        <w:color w:val="auto"/>
                        <w:sz w:val="22"/>
                      </w:rPr>
                      <w:br/>
                      <w:t xml:space="preserve">Available at: </w:t>
                    </w:r>
                    <w:r w:rsidRPr="00482D78">
                      <w:rPr>
                        <w:rFonts w:ascii="Calibri" w:eastAsia="Calibri" w:hAnsi="Calibri" w:cs="Times New Roman"/>
                        <w:b w:val="0"/>
                        <w:noProof/>
                        <w:color w:val="auto"/>
                        <w:sz w:val="22"/>
                        <w:u w:val="single"/>
                      </w:rPr>
                      <w:t>https://www.cps.gov.uk/publication/casework-quality-standards</w:t>
                    </w:r>
                    <w:r w:rsidRPr="00482D78">
                      <w:rPr>
                        <w:rFonts w:ascii="Calibri" w:eastAsia="Calibri" w:hAnsi="Calibri" w:cs="Times New Roman"/>
                        <w:b w:val="0"/>
                        <w:noProof/>
                        <w:color w:val="auto"/>
                        <w:sz w:val="22"/>
                      </w:rPr>
                      <w:br/>
                      <w:t>[Accessed 20 June 2022].</w:t>
                    </w:r>
                  </w:p>
                  <w:p w14:paraId="4B10565D" w14:textId="77777777" w:rsidR="00482D78" w:rsidRPr="00482D78" w:rsidRDefault="00482D78" w:rsidP="00482D78">
                    <w:pPr>
                      <w:spacing w:after="160" w:line="259" w:lineRule="auto"/>
                      <w:rPr>
                        <w:rFonts w:ascii="Calibri" w:eastAsia="Calibri" w:hAnsi="Calibri" w:cs="Times New Roman"/>
                        <w:b w:val="0"/>
                        <w:noProof/>
                        <w:color w:val="auto"/>
                        <w:sz w:val="22"/>
                      </w:rPr>
                    </w:pPr>
                    <w:r w:rsidRPr="00482D78">
                      <w:rPr>
                        <w:rFonts w:ascii="Calibri" w:eastAsia="Calibri" w:hAnsi="Calibri" w:cs="Times New Roman"/>
                        <w:b w:val="0"/>
                        <w:noProof/>
                        <w:color w:val="auto"/>
                        <w:sz w:val="22"/>
                      </w:rPr>
                      <w:t xml:space="preserve">Exeter University, 2022. </w:t>
                    </w:r>
                    <w:r w:rsidRPr="00482D78">
                      <w:rPr>
                        <w:rFonts w:ascii="Calibri" w:eastAsia="Calibri" w:hAnsi="Calibri" w:cs="Times New Roman"/>
                        <w:b w:val="0"/>
                        <w:i/>
                        <w:iCs/>
                        <w:noProof/>
                        <w:color w:val="auto"/>
                        <w:sz w:val="22"/>
                      </w:rPr>
                      <w:t xml:space="preserve">Evidenced Based Justice Lab - Judith Ward. </w:t>
                    </w:r>
                    <w:r w:rsidRPr="00482D78">
                      <w:rPr>
                        <w:rFonts w:ascii="Calibri" w:eastAsia="Calibri" w:hAnsi="Calibri" w:cs="Times New Roman"/>
                        <w:b w:val="0"/>
                        <w:noProof/>
                        <w:color w:val="auto"/>
                        <w:sz w:val="22"/>
                      </w:rPr>
                      <w:t xml:space="preserve">[Online] </w:t>
                    </w:r>
                    <w:r w:rsidRPr="00482D78">
                      <w:rPr>
                        <w:rFonts w:ascii="Calibri" w:eastAsia="Calibri" w:hAnsi="Calibri" w:cs="Times New Roman"/>
                        <w:b w:val="0"/>
                        <w:noProof/>
                        <w:color w:val="auto"/>
                        <w:sz w:val="22"/>
                      </w:rPr>
                      <w:br/>
                      <w:t xml:space="preserve">Available at: </w:t>
                    </w:r>
                    <w:r w:rsidRPr="00482D78">
                      <w:rPr>
                        <w:rFonts w:ascii="Calibri" w:eastAsia="Calibri" w:hAnsi="Calibri" w:cs="Times New Roman"/>
                        <w:b w:val="0"/>
                        <w:noProof/>
                        <w:color w:val="auto"/>
                        <w:sz w:val="22"/>
                        <w:u w:val="single"/>
                      </w:rPr>
                      <w:t>https://evidencebasedjustice.exeter.ac.uk/case/judith-ward/</w:t>
                    </w:r>
                    <w:r w:rsidRPr="00482D78">
                      <w:rPr>
                        <w:rFonts w:ascii="Calibri" w:eastAsia="Calibri" w:hAnsi="Calibri" w:cs="Times New Roman"/>
                        <w:b w:val="0"/>
                        <w:noProof/>
                        <w:color w:val="auto"/>
                        <w:sz w:val="22"/>
                      </w:rPr>
                      <w:br/>
                      <w:t>[Accessed 14 July 2022].</w:t>
                    </w:r>
                  </w:p>
                  <w:p w14:paraId="4CCE0753" w14:textId="77777777" w:rsidR="00482D78" w:rsidRPr="00482D78" w:rsidRDefault="00482D78" w:rsidP="00482D78">
                    <w:pPr>
                      <w:spacing w:after="160" w:line="259" w:lineRule="auto"/>
                      <w:rPr>
                        <w:rFonts w:ascii="Calibri" w:eastAsia="Calibri" w:hAnsi="Calibri" w:cs="Times New Roman"/>
                        <w:b w:val="0"/>
                        <w:noProof/>
                        <w:color w:val="auto"/>
                        <w:sz w:val="22"/>
                      </w:rPr>
                    </w:pPr>
                    <w:r w:rsidRPr="00482D78">
                      <w:rPr>
                        <w:rFonts w:ascii="Calibri" w:eastAsia="Calibri" w:hAnsi="Calibri" w:cs="Times New Roman"/>
                        <w:b w:val="0"/>
                        <w:noProof/>
                        <w:color w:val="auto"/>
                        <w:sz w:val="22"/>
                      </w:rPr>
                      <w:t xml:space="preserve">Gross, T. R. H. L. J., 2011. </w:t>
                    </w:r>
                    <w:r w:rsidRPr="00482D78">
                      <w:rPr>
                        <w:rFonts w:ascii="Calibri" w:eastAsia="Calibri" w:hAnsi="Calibri" w:cs="Times New Roman"/>
                        <w:b w:val="0"/>
                        <w:i/>
                        <w:iCs/>
                        <w:noProof/>
                        <w:color w:val="auto"/>
                        <w:sz w:val="22"/>
                      </w:rPr>
                      <w:t xml:space="preserve">Review of Disclosure in Criminal Proceedings on behalf of the Judiciary of England and Wales , </w:t>
                    </w:r>
                    <w:r w:rsidRPr="00482D78">
                      <w:rPr>
                        <w:rFonts w:ascii="Calibri" w:eastAsia="Calibri" w:hAnsi="Calibri" w:cs="Times New Roman"/>
                        <w:b w:val="0"/>
                        <w:noProof/>
                        <w:color w:val="auto"/>
                        <w:sz w:val="22"/>
                      </w:rPr>
                      <w:t>s.l.: Crown Copyright.</w:t>
                    </w:r>
                  </w:p>
                  <w:p w14:paraId="16FBD751" w14:textId="77777777" w:rsidR="00482D78" w:rsidRPr="00482D78" w:rsidRDefault="00482D78" w:rsidP="00482D78">
                    <w:pPr>
                      <w:spacing w:after="160" w:line="259" w:lineRule="auto"/>
                      <w:rPr>
                        <w:rFonts w:ascii="Calibri" w:eastAsia="Calibri" w:hAnsi="Calibri" w:cs="Times New Roman"/>
                        <w:b w:val="0"/>
                        <w:noProof/>
                        <w:color w:val="auto"/>
                        <w:sz w:val="22"/>
                      </w:rPr>
                    </w:pPr>
                    <w:r w:rsidRPr="00482D78">
                      <w:rPr>
                        <w:rFonts w:ascii="Calibri" w:eastAsia="Calibri" w:hAnsi="Calibri" w:cs="Times New Roman"/>
                        <w:b w:val="0"/>
                        <w:noProof/>
                        <w:color w:val="auto"/>
                        <w:sz w:val="22"/>
                      </w:rPr>
                      <w:t xml:space="preserve">HMIC &amp; HMCPSI, 2017 . </w:t>
                    </w:r>
                    <w:r w:rsidRPr="00482D78">
                      <w:rPr>
                        <w:rFonts w:ascii="Calibri" w:eastAsia="Calibri" w:hAnsi="Calibri" w:cs="Times New Roman"/>
                        <w:b w:val="0"/>
                        <w:i/>
                        <w:iCs/>
                        <w:noProof/>
                        <w:color w:val="auto"/>
                        <w:sz w:val="22"/>
                      </w:rPr>
                      <w:t xml:space="preserve">Making It Fair - A joint inspection of the disclosure of unused material in volume crown court cases, </w:t>
                    </w:r>
                    <w:r w:rsidRPr="00482D78">
                      <w:rPr>
                        <w:rFonts w:ascii="Calibri" w:eastAsia="Calibri" w:hAnsi="Calibri" w:cs="Times New Roman"/>
                        <w:b w:val="0"/>
                        <w:noProof/>
                        <w:color w:val="auto"/>
                        <w:sz w:val="22"/>
                      </w:rPr>
                      <w:t>s.l.: HMIC &amp; HMCPSI.</w:t>
                    </w:r>
                  </w:p>
                  <w:p w14:paraId="568001EF" w14:textId="77777777" w:rsidR="00482D78" w:rsidRPr="00482D78" w:rsidRDefault="00482D78" w:rsidP="00482D78">
                    <w:pPr>
                      <w:spacing w:after="160" w:line="259" w:lineRule="auto"/>
                      <w:rPr>
                        <w:rFonts w:ascii="Calibri" w:eastAsia="Calibri" w:hAnsi="Calibri" w:cs="Times New Roman"/>
                        <w:b w:val="0"/>
                        <w:noProof/>
                        <w:color w:val="auto"/>
                        <w:sz w:val="22"/>
                      </w:rPr>
                    </w:pPr>
                    <w:r w:rsidRPr="00482D78">
                      <w:rPr>
                        <w:rFonts w:ascii="Calibri" w:eastAsia="Calibri" w:hAnsi="Calibri" w:cs="Times New Roman"/>
                        <w:b w:val="0"/>
                        <w:noProof/>
                        <w:color w:val="auto"/>
                        <w:sz w:val="22"/>
                      </w:rPr>
                      <w:t xml:space="preserve">Home Office , May 2022. </w:t>
                    </w:r>
                    <w:r w:rsidRPr="00482D78">
                      <w:rPr>
                        <w:rFonts w:ascii="Calibri" w:eastAsia="Calibri" w:hAnsi="Calibri" w:cs="Times New Roman"/>
                        <w:b w:val="0"/>
                        <w:i/>
                        <w:iCs/>
                        <w:noProof/>
                        <w:color w:val="auto"/>
                        <w:sz w:val="22"/>
                      </w:rPr>
                      <w:t xml:space="preserve">Extraction of information from electronic devices: Draft Code of Practice, </w:t>
                    </w:r>
                    <w:r w:rsidRPr="00482D78">
                      <w:rPr>
                        <w:rFonts w:ascii="Calibri" w:eastAsia="Calibri" w:hAnsi="Calibri" w:cs="Times New Roman"/>
                        <w:b w:val="0"/>
                        <w:noProof/>
                        <w:color w:val="auto"/>
                        <w:sz w:val="22"/>
                      </w:rPr>
                      <w:t>s.l.: Crown Copyright .</w:t>
                    </w:r>
                  </w:p>
                  <w:p w14:paraId="07D720EB" w14:textId="77777777" w:rsidR="00482D78" w:rsidRPr="00482D78" w:rsidRDefault="00482D78" w:rsidP="00482D78">
                    <w:pPr>
                      <w:spacing w:after="160" w:line="259" w:lineRule="auto"/>
                      <w:rPr>
                        <w:rFonts w:ascii="Calibri" w:eastAsia="Calibri" w:hAnsi="Calibri" w:cs="Times New Roman"/>
                        <w:b w:val="0"/>
                        <w:noProof/>
                        <w:color w:val="auto"/>
                        <w:sz w:val="22"/>
                      </w:rPr>
                    </w:pPr>
                    <w:r w:rsidRPr="00482D78">
                      <w:rPr>
                        <w:rFonts w:ascii="Calibri" w:eastAsia="Calibri" w:hAnsi="Calibri" w:cs="Times New Roman"/>
                        <w:b w:val="0"/>
                        <w:noProof/>
                        <w:color w:val="auto"/>
                        <w:sz w:val="22"/>
                      </w:rPr>
                      <w:t xml:space="preserve">Home Office, 2019. </w:t>
                    </w:r>
                    <w:r w:rsidRPr="00482D78">
                      <w:rPr>
                        <w:rFonts w:ascii="Calibri" w:eastAsia="Calibri" w:hAnsi="Calibri" w:cs="Times New Roman"/>
                        <w:b w:val="0"/>
                        <w:i/>
                        <w:iCs/>
                        <w:noProof/>
                        <w:color w:val="auto"/>
                        <w:sz w:val="22"/>
                      </w:rPr>
                      <w:t xml:space="preserve">Policing for the Future , </w:t>
                    </w:r>
                    <w:r w:rsidRPr="00482D78">
                      <w:rPr>
                        <w:rFonts w:ascii="Calibri" w:eastAsia="Calibri" w:hAnsi="Calibri" w:cs="Times New Roman"/>
                        <w:b w:val="0"/>
                        <w:noProof/>
                        <w:color w:val="auto"/>
                        <w:sz w:val="22"/>
                      </w:rPr>
                      <w:t>s.l.: Cown Copyright .</w:t>
                    </w:r>
                  </w:p>
                  <w:p w14:paraId="63168AD8" w14:textId="77777777" w:rsidR="00482D78" w:rsidRPr="00482D78" w:rsidRDefault="00482D78" w:rsidP="00482D78">
                    <w:pPr>
                      <w:spacing w:after="160" w:line="259" w:lineRule="auto"/>
                      <w:rPr>
                        <w:rFonts w:ascii="Calibri" w:eastAsia="Calibri" w:hAnsi="Calibri" w:cs="Times New Roman"/>
                        <w:b w:val="0"/>
                        <w:noProof/>
                        <w:color w:val="auto"/>
                        <w:sz w:val="22"/>
                      </w:rPr>
                    </w:pPr>
                    <w:r w:rsidRPr="00482D78">
                      <w:rPr>
                        <w:rFonts w:ascii="Calibri" w:eastAsia="Calibri" w:hAnsi="Calibri" w:cs="Times New Roman"/>
                        <w:b w:val="0"/>
                        <w:noProof/>
                        <w:color w:val="auto"/>
                        <w:sz w:val="22"/>
                      </w:rPr>
                      <w:t xml:space="preserve">House of Commons Justice Committee, 2018. </w:t>
                    </w:r>
                    <w:r w:rsidRPr="00482D78">
                      <w:rPr>
                        <w:rFonts w:ascii="Calibri" w:eastAsia="Calibri" w:hAnsi="Calibri" w:cs="Times New Roman"/>
                        <w:b w:val="0"/>
                        <w:i/>
                        <w:iCs/>
                        <w:noProof/>
                        <w:color w:val="auto"/>
                        <w:sz w:val="22"/>
                      </w:rPr>
                      <w:t xml:space="preserve">Disclosure of Evidence in criminal cases , </w:t>
                    </w:r>
                    <w:r w:rsidRPr="00482D78">
                      <w:rPr>
                        <w:rFonts w:ascii="Calibri" w:eastAsia="Calibri" w:hAnsi="Calibri" w:cs="Times New Roman"/>
                        <w:b w:val="0"/>
                        <w:noProof/>
                        <w:color w:val="auto"/>
                        <w:sz w:val="22"/>
                      </w:rPr>
                      <w:t>s.l.: House of Commons.</w:t>
                    </w:r>
                  </w:p>
                  <w:p w14:paraId="72D97880" w14:textId="77777777" w:rsidR="00482D78" w:rsidRPr="00482D78" w:rsidRDefault="00482D78" w:rsidP="00482D78">
                    <w:pPr>
                      <w:spacing w:after="160" w:line="259" w:lineRule="auto"/>
                      <w:rPr>
                        <w:rFonts w:ascii="Calibri" w:eastAsia="Calibri" w:hAnsi="Calibri" w:cs="Times New Roman"/>
                        <w:b w:val="0"/>
                        <w:noProof/>
                        <w:color w:val="auto"/>
                        <w:sz w:val="22"/>
                      </w:rPr>
                    </w:pPr>
                    <w:r w:rsidRPr="00482D78">
                      <w:rPr>
                        <w:rFonts w:ascii="Calibri" w:eastAsia="Calibri" w:hAnsi="Calibri" w:cs="Times New Roman"/>
                        <w:b w:val="0"/>
                        <w:noProof/>
                        <w:color w:val="auto"/>
                        <w:sz w:val="22"/>
                      </w:rPr>
                      <w:t xml:space="preserve">Information Commisioners Office , 2020. </w:t>
                    </w:r>
                    <w:r w:rsidRPr="00482D78">
                      <w:rPr>
                        <w:rFonts w:ascii="Calibri" w:eastAsia="Calibri" w:hAnsi="Calibri" w:cs="Times New Roman"/>
                        <w:b w:val="0"/>
                        <w:i/>
                        <w:iCs/>
                        <w:noProof/>
                        <w:color w:val="auto"/>
                        <w:sz w:val="22"/>
                      </w:rPr>
                      <w:t xml:space="preserve">Mobile Phone Data Extraction by Police Forces in England and Wales , </w:t>
                    </w:r>
                    <w:r w:rsidRPr="00482D78">
                      <w:rPr>
                        <w:rFonts w:ascii="Calibri" w:eastAsia="Calibri" w:hAnsi="Calibri" w:cs="Times New Roman"/>
                        <w:b w:val="0"/>
                        <w:noProof/>
                        <w:color w:val="auto"/>
                        <w:sz w:val="22"/>
                      </w:rPr>
                      <w:t>s.l.: Informantion Commisioners Office .</w:t>
                    </w:r>
                  </w:p>
                  <w:p w14:paraId="1BF0C641" w14:textId="77777777" w:rsidR="00482D78" w:rsidRPr="00482D78" w:rsidRDefault="00482D78" w:rsidP="00482D78">
                    <w:pPr>
                      <w:spacing w:after="160" w:line="259" w:lineRule="auto"/>
                      <w:rPr>
                        <w:rFonts w:ascii="Calibri" w:eastAsia="Calibri" w:hAnsi="Calibri" w:cs="Times New Roman"/>
                        <w:b w:val="0"/>
                        <w:noProof/>
                        <w:color w:val="auto"/>
                        <w:sz w:val="22"/>
                      </w:rPr>
                    </w:pPr>
                    <w:r w:rsidRPr="00482D78">
                      <w:rPr>
                        <w:rFonts w:ascii="Calibri" w:eastAsia="Calibri" w:hAnsi="Calibri" w:cs="Times New Roman"/>
                        <w:b w:val="0"/>
                        <w:noProof/>
                        <w:color w:val="auto"/>
                        <w:sz w:val="22"/>
                      </w:rPr>
                      <w:t xml:space="preserve">Johnston E, S. T., March 2018. Fixing a hole? Potential solutions to the problem of dislcosure. </w:t>
                    </w:r>
                    <w:r w:rsidRPr="00482D78">
                      <w:rPr>
                        <w:rFonts w:ascii="Calibri" w:eastAsia="Calibri" w:hAnsi="Calibri" w:cs="Times New Roman"/>
                        <w:b w:val="0"/>
                        <w:i/>
                        <w:iCs/>
                        <w:noProof/>
                        <w:color w:val="auto"/>
                        <w:sz w:val="22"/>
                      </w:rPr>
                      <w:t>The Justice Gap.</w:t>
                    </w:r>
                  </w:p>
                  <w:p w14:paraId="7EF279E9" w14:textId="77777777" w:rsidR="00482D78" w:rsidRPr="00482D78" w:rsidRDefault="00482D78" w:rsidP="00482D78">
                    <w:pPr>
                      <w:spacing w:after="160" w:line="259" w:lineRule="auto"/>
                      <w:rPr>
                        <w:rFonts w:ascii="Calibri" w:eastAsia="Calibri" w:hAnsi="Calibri" w:cs="Times New Roman"/>
                        <w:b w:val="0"/>
                        <w:noProof/>
                        <w:color w:val="auto"/>
                        <w:sz w:val="22"/>
                      </w:rPr>
                    </w:pPr>
                    <w:r w:rsidRPr="00482D78">
                      <w:rPr>
                        <w:rFonts w:ascii="Calibri" w:eastAsia="Calibri" w:hAnsi="Calibri" w:cs="Times New Roman"/>
                        <w:b w:val="0"/>
                        <w:noProof/>
                        <w:color w:val="auto"/>
                        <w:sz w:val="22"/>
                      </w:rPr>
                      <w:t xml:space="preserve">Lord Chancellor and Secratary of State for Justice, 2021. </w:t>
                    </w:r>
                    <w:r w:rsidRPr="00482D78">
                      <w:rPr>
                        <w:rFonts w:ascii="Calibri" w:eastAsia="Calibri" w:hAnsi="Calibri" w:cs="Times New Roman"/>
                        <w:b w:val="0"/>
                        <w:i/>
                        <w:iCs/>
                        <w:noProof/>
                        <w:color w:val="auto"/>
                        <w:sz w:val="22"/>
                      </w:rPr>
                      <w:t xml:space="preserve">The end-to-end rape review report on fidndings and actions, </w:t>
                    </w:r>
                    <w:r w:rsidRPr="00482D78">
                      <w:rPr>
                        <w:rFonts w:ascii="Calibri" w:eastAsia="Calibri" w:hAnsi="Calibri" w:cs="Times New Roman"/>
                        <w:b w:val="0"/>
                        <w:noProof/>
                        <w:color w:val="auto"/>
                        <w:sz w:val="22"/>
                      </w:rPr>
                      <w:t>s.l.: Crown Copyright.</w:t>
                    </w:r>
                  </w:p>
                  <w:p w14:paraId="373BD8BB" w14:textId="77777777" w:rsidR="00482D78" w:rsidRPr="00482D78" w:rsidRDefault="00482D78" w:rsidP="00482D78">
                    <w:pPr>
                      <w:spacing w:after="160" w:line="259" w:lineRule="auto"/>
                      <w:rPr>
                        <w:rFonts w:ascii="Calibri" w:eastAsia="Calibri" w:hAnsi="Calibri" w:cs="Times New Roman"/>
                        <w:b w:val="0"/>
                        <w:noProof/>
                        <w:color w:val="auto"/>
                        <w:sz w:val="22"/>
                      </w:rPr>
                    </w:pPr>
                    <w:r w:rsidRPr="00482D78">
                      <w:rPr>
                        <w:rFonts w:ascii="Calibri" w:eastAsia="Calibri" w:hAnsi="Calibri" w:cs="Times New Roman"/>
                        <w:b w:val="0"/>
                        <w:noProof/>
                        <w:color w:val="auto"/>
                        <w:sz w:val="22"/>
                      </w:rPr>
                      <w:t xml:space="preserve">National Police Chiefs' Council, College of Policing, CPS , 2020. </w:t>
                    </w:r>
                    <w:r w:rsidRPr="00482D78">
                      <w:rPr>
                        <w:rFonts w:ascii="Calibri" w:eastAsia="Calibri" w:hAnsi="Calibri" w:cs="Times New Roman"/>
                        <w:b w:val="0"/>
                        <w:i/>
                        <w:iCs/>
                        <w:noProof/>
                        <w:color w:val="auto"/>
                        <w:sz w:val="22"/>
                      </w:rPr>
                      <w:t xml:space="preserve">National Disclosure Improvement Plan Version Three, </w:t>
                    </w:r>
                    <w:r w:rsidRPr="00482D78">
                      <w:rPr>
                        <w:rFonts w:ascii="Calibri" w:eastAsia="Calibri" w:hAnsi="Calibri" w:cs="Times New Roman"/>
                        <w:b w:val="0"/>
                        <w:noProof/>
                        <w:color w:val="auto"/>
                        <w:sz w:val="22"/>
                      </w:rPr>
                      <w:t>s.l.: National Police Chiefs' Council .</w:t>
                    </w:r>
                  </w:p>
                  <w:p w14:paraId="0DF645CB" w14:textId="77777777" w:rsidR="00482D78" w:rsidRPr="00482D78" w:rsidRDefault="00482D78" w:rsidP="00482D78">
                    <w:pPr>
                      <w:spacing w:after="160" w:line="259" w:lineRule="auto"/>
                      <w:rPr>
                        <w:rFonts w:ascii="Calibri" w:eastAsia="Calibri" w:hAnsi="Calibri" w:cs="Times New Roman"/>
                        <w:b w:val="0"/>
                        <w:noProof/>
                        <w:color w:val="auto"/>
                        <w:sz w:val="22"/>
                      </w:rPr>
                    </w:pPr>
                    <w:r w:rsidRPr="00482D78">
                      <w:rPr>
                        <w:rFonts w:ascii="Calibri" w:eastAsia="Calibri" w:hAnsi="Calibri" w:cs="Times New Roman"/>
                        <w:b w:val="0"/>
                        <w:noProof/>
                        <w:color w:val="auto"/>
                        <w:sz w:val="22"/>
                      </w:rPr>
                      <w:t xml:space="preserve">National Police Chiefs' Council, College of Policing, CPS, 2018. </w:t>
                    </w:r>
                    <w:r w:rsidRPr="00482D78">
                      <w:rPr>
                        <w:rFonts w:ascii="Calibri" w:eastAsia="Calibri" w:hAnsi="Calibri" w:cs="Times New Roman"/>
                        <w:b w:val="0"/>
                        <w:i/>
                        <w:iCs/>
                        <w:noProof/>
                        <w:color w:val="auto"/>
                        <w:sz w:val="22"/>
                      </w:rPr>
                      <w:t xml:space="preserve">National Disclosure Improvement Plan , </w:t>
                    </w:r>
                    <w:r w:rsidRPr="00482D78">
                      <w:rPr>
                        <w:rFonts w:ascii="Calibri" w:eastAsia="Calibri" w:hAnsi="Calibri" w:cs="Times New Roman"/>
                        <w:b w:val="0"/>
                        <w:noProof/>
                        <w:color w:val="auto"/>
                        <w:sz w:val="22"/>
                      </w:rPr>
                      <w:t>s.l.: s.n.</w:t>
                    </w:r>
                  </w:p>
                  <w:p w14:paraId="3BE037A4" w14:textId="77777777" w:rsidR="00482D78" w:rsidRPr="00482D78" w:rsidRDefault="00482D78" w:rsidP="00482D78">
                    <w:pPr>
                      <w:spacing w:after="160" w:line="259" w:lineRule="auto"/>
                      <w:rPr>
                        <w:rFonts w:ascii="Calibri" w:eastAsia="Calibri" w:hAnsi="Calibri" w:cs="Times New Roman"/>
                        <w:b w:val="0"/>
                        <w:noProof/>
                        <w:color w:val="auto"/>
                        <w:sz w:val="22"/>
                      </w:rPr>
                    </w:pPr>
                    <w:r w:rsidRPr="00482D78">
                      <w:rPr>
                        <w:rFonts w:ascii="Calibri" w:eastAsia="Calibri" w:hAnsi="Calibri" w:cs="Times New Roman"/>
                        <w:b w:val="0"/>
                        <w:noProof/>
                        <w:color w:val="auto"/>
                        <w:sz w:val="22"/>
                      </w:rPr>
                      <w:t xml:space="preserve">National Police Chief's Council, College of Policing, CPS, 2019. </w:t>
                    </w:r>
                    <w:r w:rsidRPr="00482D78">
                      <w:rPr>
                        <w:rFonts w:ascii="Calibri" w:eastAsia="Calibri" w:hAnsi="Calibri" w:cs="Times New Roman"/>
                        <w:b w:val="0"/>
                        <w:i/>
                        <w:iCs/>
                        <w:noProof/>
                        <w:color w:val="auto"/>
                        <w:sz w:val="22"/>
                      </w:rPr>
                      <w:t xml:space="preserve">National Disclosure Improvement Plan Phase Two, </w:t>
                    </w:r>
                    <w:r w:rsidRPr="00482D78">
                      <w:rPr>
                        <w:rFonts w:ascii="Calibri" w:eastAsia="Calibri" w:hAnsi="Calibri" w:cs="Times New Roman"/>
                        <w:b w:val="0"/>
                        <w:noProof/>
                        <w:color w:val="auto"/>
                        <w:sz w:val="22"/>
                      </w:rPr>
                      <w:t>s.l.: National Police Chiefs' Council.</w:t>
                    </w:r>
                  </w:p>
                  <w:p w14:paraId="23C35F94" w14:textId="77777777" w:rsidR="00482D78" w:rsidRPr="00482D78" w:rsidRDefault="00482D78" w:rsidP="00482D78">
                    <w:pPr>
                      <w:spacing w:after="160" w:line="259" w:lineRule="auto"/>
                      <w:rPr>
                        <w:rFonts w:ascii="Calibri" w:eastAsia="Calibri" w:hAnsi="Calibri" w:cs="Times New Roman"/>
                        <w:b w:val="0"/>
                        <w:noProof/>
                        <w:color w:val="auto"/>
                        <w:sz w:val="22"/>
                      </w:rPr>
                    </w:pPr>
                    <w:r w:rsidRPr="00482D78">
                      <w:rPr>
                        <w:rFonts w:ascii="Calibri" w:eastAsia="Calibri" w:hAnsi="Calibri" w:cs="Times New Roman"/>
                        <w:b w:val="0"/>
                        <w:noProof/>
                        <w:color w:val="auto"/>
                        <w:sz w:val="22"/>
                      </w:rPr>
                      <w:t xml:space="preserve">Polykarpou, M., 2022. </w:t>
                    </w:r>
                    <w:r w:rsidRPr="00482D78">
                      <w:rPr>
                        <w:rFonts w:ascii="Calibri" w:eastAsia="Calibri" w:hAnsi="Calibri" w:cs="Times New Roman"/>
                        <w:b w:val="0"/>
                        <w:i/>
                        <w:iCs/>
                        <w:noProof/>
                        <w:color w:val="auto"/>
                        <w:sz w:val="22"/>
                      </w:rPr>
                      <w:t xml:space="preserve">Prosecutorial and Police Disclosure Ethics in Criminal Evidence Review in the UK and US. A comparative account.. </w:t>
                    </w:r>
                    <w:r w:rsidRPr="00482D78">
                      <w:rPr>
                        <w:rFonts w:ascii="Calibri" w:eastAsia="Calibri" w:hAnsi="Calibri" w:cs="Times New Roman"/>
                        <w:b w:val="0"/>
                        <w:noProof/>
                        <w:color w:val="auto"/>
                        <w:sz w:val="22"/>
                      </w:rPr>
                      <w:t xml:space="preserve">[Online] </w:t>
                    </w:r>
                    <w:r w:rsidRPr="00482D78">
                      <w:rPr>
                        <w:rFonts w:ascii="Calibri" w:eastAsia="Calibri" w:hAnsi="Calibri" w:cs="Times New Roman"/>
                        <w:b w:val="0"/>
                        <w:noProof/>
                        <w:color w:val="auto"/>
                        <w:sz w:val="22"/>
                      </w:rPr>
                      <w:br/>
                      <w:t xml:space="preserve">Available at: </w:t>
                    </w:r>
                    <w:r w:rsidRPr="00482D78">
                      <w:rPr>
                        <w:rFonts w:ascii="Calibri" w:eastAsia="Calibri" w:hAnsi="Calibri" w:cs="Times New Roman"/>
                        <w:b w:val="0"/>
                        <w:noProof/>
                        <w:color w:val="auto"/>
                        <w:sz w:val="22"/>
                        <w:u w:val="single"/>
                      </w:rPr>
                      <w:t>https://www.tandfonline.com/doi/full/10.1080/0731129X.2022.2056352?scroll=top&amp;needAccess=true</w:t>
                    </w:r>
                    <w:r w:rsidRPr="00482D78">
                      <w:rPr>
                        <w:rFonts w:ascii="Calibri" w:eastAsia="Calibri" w:hAnsi="Calibri" w:cs="Times New Roman"/>
                        <w:b w:val="0"/>
                        <w:noProof/>
                        <w:color w:val="auto"/>
                        <w:sz w:val="22"/>
                      </w:rPr>
                      <w:br/>
                      <w:t>[Accessed 20 June 2022].</w:t>
                    </w:r>
                  </w:p>
                  <w:p w14:paraId="193671CE" w14:textId="77777777" w:rsidR="00482D78" w:rsidRPr="00482D78" w:rsidRDefault="00482D78" w:rsidP="00482D78">
                    <w:pPr>
                      <w:spacing w:after="160" w:line="259" w:lineRule="auto"/>
                      <w:rPr>
                        <w:rFonts w:ascii="Calibri" w:eastAsia="Calibri" w:hAnsi="Calibri" w:cs="Times New Roman"/>
                        <w:b w:val="0"/>
                        <w:noProof/>
                        <w:color w:val="auto"/>
                        <w:sz w:val="22"/>
                      </w:rPr>
                    </w:pPr>
                    <w:r w:rsidRPr="00482D78">
                      <w:rPr>
                        <w:rFonts w:ascii="Calibri" w:eastAsia="Calibri" w:hAnsi="Calibri" w:cs="Times New Roman"/>
                        <w:b w:val="0"/>
                        <w:noProof/>
                        <w:color w:val="auto"/>
                        <w:sz w:val="22"/>
                      </w:rPr>
                      <w:t xml:space="preserve">Quirk, H., 2006. The significance of culture in criminal procedure reform: Why the revised disclsoure scheme cannot work. </w:t>
                    </w:r>
                    <w:r w:rsidRPr="00482D78">
                      <w:rPr>
                        <w:rFonts w:ascii="Calibri" w:eastAsia="Calibri" w:hAnsi="Calibri" w:cs="Times New Roman"/>
                        <w:b w:val="0"/>
                        <w:i/>
                        <w:iCs/>
                        <w:noProof/>
                        <w:color w:val="auto"/>
                        <w:sz w:val="22"/>
                      </w:rPr>
                      <w:t xml:space="preserve">International Journal of Evidence &amp; Proof, </w:t>
                    </w:r>
                    <w:r w:rsidRPr="00482D78">
                      <w:rPr>
                        <w:rFonts w:ascii="Calibri" w:eastAsia="Calibri" w:hAnsi="Calibri" w:cs="Times New Roman"/>
                        <w:b w:val="0"/>
                        <w:noProof/>
                        <w:color w:val="auto"/>
                        <w:sz w:val="22"/>
                      </w:rPr>
                      <w:t>pp. 42-59.</w:t>
                    </w:r>
                  </w:p>
                  <w:p w14:paraId="58B8B8C9" w14:textId="77777777" w:rsidR="00482D78" w:rsidRPr="00482D78" w:rsidRDefault="00482D78" w:rsidP="00482D78">
                    <w:pPr>
                      <w:spacing w:after="160" w:line="259" w:lineRule="auto"/>
                      <w:rPr>
                        <w:rFonts w:ascii="Calibri" w:eastAsia="Calibri" w:hAnsi="Calibri" w:cs="Times New Roman"/>
                        <w:b w:val="0"/>
                        <w:noProof/>
                        <w:color w:val="auto"/>
                        <w:sz w:val="22"/>
                      </w:rPr>
                    </w:pPr>
                    <w:r w:rsidRPr="00482D78">
                      <w:rPr>
                        <w:rFonts w:ascii="Calibri" w:eastAsia="Calibri" w:hAnsi="Calibri" w:cs="Times New Roman"/>
                        <w:b w:val="0"/>
                        <w:noProof/>
                        <w:color w:val="auto"/>
                        <w:sz w:val="22"/>
                      </w:rPr>
                      <w:t xml:space="preserve">Richard Horwell, Q., 2017. </w:t>
                    </w:r>
                    <w:r w:rsidRPr="00482D78">
                      <w:rPr>
                        <w:rFonts w:ascii="Calibri" w:eastAsia="Calibri" w:hAnsi="Calibri" w:cs="Times New Roman"/>
                        <w:b w:val="0"/>
                        <w:i/>
                        <w:iCs/>
                        <w:noProof/>
                        <w:color w:val="auto"/>
                        <w:sz w:val="22"/>
                      </w:rPr>
                      <w:t xml:space="preserve">Mouncher Investigation Report, </w:t>
                    </w:r>
                    <w:r w:rsidRPr="00482D78">
                      <w:rPr>
                        <w:rFonts w:ascii="Calibri" w:eastAsia="Calibri" w:hAnsi="Calibri" w:cs="Times New Roman"/>
                        <w:b w:val="0"/>
                        <w:noProof/>
                        <w:color w:val="auto"/>
                        <w:sz w:val="22"/>
                      </w:rPr>
                      <w:t>s.l.: Crown Copyright.</w:t>
                    </w:r>
                  </w:p>
                  <w:p w14:paraId="4195E5C4" w14:textId="77777777" w:rsidR="00482D78" w:rsidRPr="00482D78" w:rsidRDefault="00482D78" w:rsidP="00482D78">
                    <w:pPr>
                      <w:spacing w:after="160" w:line="259" w:lineRule="auto"/>
                      <w:rPr>
                        <w:rFonts w:ascii="Calibri" w:eastAsia="Calibri" w:hAnsi="Calibri" w:cs="Times New Roman"/>
                        <w:b w:val="0"/>
                        <w:noProof/>
                        <w:color w:val="auto"/>
                        <w:sz w:val="22"/>
                      </w:rPr>
                    </w:pPr>
                    <w:r w:rsidRPr="00482D78">
                      <w:rPr>
                        <w:rFonts w:ascii="Calibri" w:eastAsia="Calibri" w:hAnsi="Calibri" w:cs="Times New Roman"/>
                        <w:b w:val="0"/>
                        <w:noProof/>
                        <w:color w:val="auto"/>
                        <w:sz w:val="22"/>
                      </w:rPr>
                      <w:t xml:space="preserve">Smith, E. J. a. T., 2020. </w:t>
                    </w:r>
                    <w:r w:rsidRPr="00482D78">
                      <w:rPr>
                        <w:rFonts w:ascii="Calibri" w:eastAsia="Calibri" w:hAnsi="Calibri" w:cs="Times New Roman"/>
                        <w:b w:val="0"/>
                        <w:i/>
                        <w:iCs/>
                        <w:noProof/>
                        <w:color w:val="auto"/>
                        <w:sz w:val="22"/>
                      </w:rPr>
                      <w:t xml:space="preserve">The Law of Disclosure A Perennial Problem in Criminal Justice. </w:t>
                    </w:r>
                    <w:r w:rsidRPr="00482D78">
                      <w:rPr>
                        <w:rFonts w:ascii="Calibri" w:eastAsia="Calibri" w:hAnsi="Calibri" w:cs="Times New Roman"/>
                        <w:b w:val="0"/>
                        <w:noProof/>
                        <w:color w:val="auto"/>
                        <w:sz w:val="22"/>
                      </w:rPr>
                      <w:t>1st ed. s.l.:Routlidge.</w:t>
                    </w:r>
                  </w:p>
                  <w:p w14:paraId="2E9C5583" w14:textId="77777777" w:rsidR="00482D78" w:rsidRPr="00482D78" w:rsidRDefault="00482D78" w:rsidP="00482D78">
                    <w:pPr>
                      <w:spacing w:after="160" w:line="259" w:lineRule="auto"/>
                      <w:rPr>
                        <w:rFonts w:ascii="Calibri" w:eastAsia="Calibri" w:hAnsi="Calibri" w:cs="Times New Roman"/>
                        <w:b w:val="0"/>
                        <w:noProof/>
                        <w:color w:val="auto"/>
                        <w:sz w:val="22"/>
                      </w:rPr>
                    </w:pPr>
                    <w:r w:rsidRPr="00482D78">
                      <w:rPr>
                        <w:rFonts w:ascii="Calibri" w:eastAsia="Calibri" w:hAnsi="Calibri" w:cs="Times New Roman"/>
                        <w:b w:val="0"/>
                        <w:noProof/>
                        <w:color w:val="auto"/>
                        <w:sz w:val="22"/>
                      </w:rPr>
                      <w:t xml:space="preserve">Taylor, C., 2001. Advance Disclosure: Reflections on the Criminal Procedure and Investigations Act 1996. </w:t>
                    </w:r>
                    <w:r w:rsidRPr="00482D78">
                      <w:rPr>
                        <w:rFonts w:ascii="Calibri" w:eastAsia="Calibri" w:hAnsi="Calibri" w:cs="Times New Roman"/>
                        <w:b w:val="0"/>
                        <w:i/>
                        <w:iCs/>
                        <w:noProof/>
                        <w:color w:val="auto"/>
                        <w:sz w:val="22"/>
                      </w:rPr>
                      <w:t xml:space="preserve">The Howard Journal , </w:t>
                    </w:r>
                    <w:r w:rsidRPr="00482D78">
                      <w:rPr>
                        <w:rFonts w:ascii="Calibri" w:eastAsia="Calibri" w:hAnsi="Calibri" w:cs="Times New Roman"/>
                        <w:b w:val="0"/>
                        <w:noProof/>
                        <w:color w:val="auto"/>
                        <w:sz w:val="22"/>
                      </w:rPr>
                      <w:t>Volume 40, pp. 114-125.</w:t>
                    </w:r>
                  </w:p>
                  <w:p w14:paraId="3E895D1B" w14:textId="77777777" w:rsidR="00482D78" w:rsidRPr="00482D78" w:rsidRDefault="00482D78" w:rsidP="00482D78">
                    <w:pPr>
                      <w:spacing w:after="160" w:line="259" w:lineRule="auto"/>
                      <w:rPr>
                        <w:rFonts w:ascii="Calibri" w:eastAsia="Calibri" w:hAnsi="Calibri" w:cs="Times New Roman"/>
                        <w:b w:val="0"/>
                        <w:noProof/>
                        <w:color w:val="auto"/>
                        <w:sz w:val="22"/>
                      </w:rPr>
                    </w:pPr>
                    <w:r w:rsidRPr="00482D78">
                      <w:rPr>
                        <w:rFonts w:ascii="Calibri" w:eastAsia="Calibri" w:hAnsi="Calibri" w:cs="Times New Roman"/>
                        <w:b w:val="0"/>
                        <w:noProof/>
                        <w:color w:val="auto"/>
                        <w:sz w:val="22"/>
                      </w:rPr>
                      <w:lastRenderedPageBreak/>
                      <w:t xml:space="preserve">Taylor, C. W. D., 2007. </w:t>
                    </w:r>
                    <w:r w:rsidRPr="00482D78">
                      <w:rPr>
                        <w:rFonts w:ascii="Calibri" w:eastAsia="Calibri" w:hAnsi="Calibri" w:cs="Times New Roman"/>
                        <w:b w:val="0"/>
                        <w:i/>
                        <w:iCs/>
                        <w:noProof/>
                        <w:color w:val="auto"/>
                        <w:sz w:val="22"/>
                      </w:rPr>
                      <w:t xml:space="preserve">Disclosure Strategies and Dilemmas within Routine Criminal Case Construction by UK Detectives, </w:t>
                    </w:r>
                    <w:r w:rsidRPr="00482D78">
                      <w:rPr>
                        <w:rFonts w:ascii="Calibri" w:eastAsia="Calibri" w:hAnsi="Calibri" w:cs="Times New Roman"/>
                        <w:b w:val="0"/>
                        <w:noProof/>
                        <w:color w:val="auto"/>
                        <w:sz w:val="22"/>
                      </w:rPr>
                      <w:t>Bradford : University of Bradford -School of Management .</w:t>
                    </w:r>
                  </w:p>
                  <w:p w14:paraId="36C59878" w14:textId="77777777" w:rsidR="00482D78" w:rsidRPr="00482D78" w:rsidRDefault="00482D78" w:rsidP="00482D78">
                    <w:pPr>
                      <w:spacing w:after="160" w:line="259" w:lineRule="auto"/>
                      <w:rPr>
                        <w:rFonts w:ascii="Calibri" w:eastAsia="Calibri" w:hAnsi="Calibri" w:cs="Times New Roman"/>
                        <w:b w:val="0"/>
                        <w:noProof/>
                        <w:color w:val="auto"/>
                        <w:sz w:val="22"/>
                      </w:rPr>
                    </w:pPr>
                    <w:r w:rsidRPr="00482D78">
                      <w:rPr>
                        <w:rFonts w:ascii="Calibri" w:eastAsia="Calibri" w:hAnsi="Calibri" w:cs="Times New Roman"/>
                        <w:b w:val="0"/>
                        <w:noProof/>
                        <w:color w:val="auto"/>
                        <w:sz w:val="22"/>
                      </w:rPr>
                      <w:t xml:space="preserve">Treacy, L. J. G. &amp;. L. J., 2012. </w:t>
                    </w:r>
                    <w:r w:rsidRPr="00482D78">
                      <w:rPr>
                        <w:rFonts w:ascii="Calibri" w:eastAsia="Calibri" w:hAnsi="Calibri" w:cs="Times New Roman"/>
                        <w:b w:val="0"/>
                        <w:i/>
                        <w:iCs/>
                        <w:noProof/>
                        <w:color w:val="auto"/>
                        <w:sz w:val="22"/>
                      </w:rPr>
                      <w:t xml:space="preserve">Further review of disclosure in criminal proceedings: sanctions for disclosure failure , </w:t>
                    </w:r>
                    <w:r w:rsidRPr="00482D78">
                      <w:rPr>
                        <w:rFonts w:ascii="Calibri" w:eastAsia="Calibri" w:hAnsi="Calibri" w:cs="Times New Roman"/>
                        <w:b w:val="0"/>
                        <w:noProof/>
                        <w:color w:val="auto"/>
                        <w:sz w:val="22"/>
                      </w:rPr>
                      <w:t>s.l.: Judiciary of England and Wales .</w:t>
                    </w:r>
                  </w:p>
                  <w:p w14:paraId="55770E42" w14:textId="77777777" w:rsidR="00482D78" w:rsidRPr="00482D78" w:rsidRDefault="00482D78" w:rsidP="00482D78">
                    <w:pPr>
                      <w:spacing w:after="160" w:line="259" w:lineRule="auto"/>
                      <w:rPr>
                        <w:rFonts w:ascii="Calibri" w:eastAsia="Calibri" w:hAnsi="Calibri" w:cs="Times New Roman"/>
                        <w:b w:val="0"/>
                        <w:color w:val="auto"/>
                        <w:sz w:val="22"/>
                        <w:lang w:val="en-GB"/>
                      </w:rPr>
                    </w:pPr>
                    <w:r w:rsidRPr="00482D78">
                      <w:rPr>
                        <w:rFonts w:ascii="Calibri" w:eastAsia="Calibri" w:hAnsi="Calibri" w:cs="Times New Roman"/>
                        <w:bCs/>
                        <w:noProof/>
                        <w:color w:val="auto"/>
                        <w:sz w:val="22"/>
                        <w:lang w:val="en-GB"/>
                      </w:rPr>
                      <w:fldChar w:fldCharType="end"/>
                    </w:r>
                  </w:p>
                </w:sdtContent>
              </w:sdt>
            </w:sdtContent>
          </w:sdt>
          <w:p w14:paraId="7695AD63" w14:textId="30696360" w:rsidR="00036F08" w:rsidRPr="004D70E0" w:rsidRDefault="00036F08" w:rsidP="00C21DB8">
            <w:pPr>
              <w:pStyle w:val="NormalWeb"/>
              <w:spacing w:before="0" w:beforeAutospacing="0" w:after="120" w:afterAutospacing="0" w:line="480" w:lineRule="auto"/>
              <w:rPr>
                <w:rFonts w:asciiTheme="majorHAnsi" w:hAnsiTheme="majorHAnsi" w:cstheme="majorHAnsi"/>
              </w:rPr>
            </w:pPr>
          </w:p>
          <w:p w14:paraId="56163A02" w14:textId="77777777" w:rsidR="00030F69" w:rsidRPr="004D70E0" w:rsidRDefault="00030F69" w:rsidP="00C21DB8">
            <w:pPr>
              <w:pStyle w:val="NormalWeb"/>
              <w:spacing w:before="0" w:beforeAutospacing="0" w:after="120" w:afterAutospacing="0" w:line="480" w:lineRule="auto"/>
              <w:rPr>
                <w:rFonts w:asciiTheme="majorHAnsi" w:hAnsiTheme="majorHAnsi" w:cstheme="majorHAnsi"/>
              </w:rPr>
            </w:pPr>
          </w:p>
          <w:p w14:paraId="0B254283" w14:textId="2F754A7F" w:rsidR="00B23DBD" w:rsidRPr="004D70E0" w:rsidRDefault="00B23DBD" w:rsidP="00C21DB8">
            <w:pPr>
              <w:pStyle w:val="NormalWeb"/>
              <w:spacing w:before="0" w:beforeAutospacing="0" w:after="120" w:afterAutospacing="0" w:line="480" w:lineRule="auto"/>
              <w:rPr>
                <w:rFonts w:asciiTheme="majorHAnsi" w:hAnsiTheme="majorHAnsi" w:cstheme="majorHAnsi"/>
              </w:rPr>
            </w:pPr>
          </w:p>
          <w:p w14:paraId="767AFE49" w14:textId="705C5B79" w:rsidR="00F33E5A" w:rsidRPr="004D70E0" w:rsidRDefault="00F33E5A">
            <w:pPr>
              <w:rPr>
                <w:rFonts w:asciiTheme="majorHAnsi" w:hAnsiTheme="majorHAnsi" w:cstheme="majorHAnsi"/>
                <w:sz w:val="24"/>
                <w:szCs w:val="24"/>
              </w:rPr>
            </w:pPr>
          </w:p>
          <w:p w14:paraId="0294A623" w14:textId="1340F80A" w:rsidR="00E3649C" w:rsidRPr="004D70E0" w:rsidRDefault="00E3649C" w:rsidP="00C21DB8">
            <w:pPr>
              <w:spacing w:line="480" w:lineRule="auto"/>
              <w:rPr>
                <w:rFonts w:asciiTheme="majorHAnsi" w:hAnsiTheme="majorHAnsi" w:cstheme="majorHAnsi"/>
                <w:color w:val="auto"/>
                <w:sz w:val="24"/>
                <w:szCs w:val="24"/>
              </w:rPr>
            </w:pPr>
          </w:p>
          <w:p w14:paraId="3E785A65" w14:textId="2A30A877" w:rsidR="00F33E5A" w:rsidRPr="004D70E0" w:rsidRDefault="00F33E5A" w:rsidP="00C21DB8">
            <w:pPr>
              <w:spacing w:line="480" w:lineRule="auto"/>
              <w:rPr>
                <w:rFonts w:asciiTheme="majorHAnsi" w:hAnsiTheme="majorHAnsi" w:cstheme="majorHAnsi"/>
                <w:color w:val="auto"/>
                <w:sz w:val="24"/>
                <w:szCs w:val="24"/>
              </w:rPr>
            </w:pPr>
          </w:p>
          <w:p w14:paraId="27BB938E" w14:textId="62187C82" w:rsidR="00F33E5A" w:rsidRPr="004D70E0" w:rsidRDefault="00F33E5A" w:rsidP="00C21DB8">
            <w:pPr>
              <w:spacing w:line="480" w:lineRule="auto"/>
              <w:rPr>
                <w:rFonts w:asciiTheme="majorHAnsi" w:hAnsiTheme="majorHAnsi" w:cstheme="majorHAnsi"/>
                <w:color w:val="auto"/>
                <w:sz w:val="24"/>
                <w:szCs w:val="24"/>
              </w:rPr>
            </w:pPr>
          </w:p>
          <w:p w14:paraId="606D83D5" w14:textId="64675ED7" w:rsidR="00F33E5A" w:rsidRPr="004D70E0" w:rsidRDefault="00F33E5A" w:rsidP="00C21DB8">
            <w:pPr>
              <w:spacing w:line="480" w:lineRule="auto"/>
              <w:rPr>
                <w:rFonts w:asciiTheme="majorHAnsi" w:hAnsiTheme="majorHAnsi" w:cstheme="majorHAnsi"/>
                <w:color w:val="auto"/>
                <w:sz w:val="24"/>
                <w:szCs w:val="24"/>
              </w:rPr>
            </w:pPr>
          </w:p>
          <w:p w14:paraId="6CAE3D7D" w14:textId="7379C703" w:rsidR="00F33E5A" w:rsidRPr="004D70E0" w:rsidRDefault="00F33E5A" w:rsidP="00C21DB8">
            <w:pPr>
              <w:spacing w:line="480" w:lineRule="auto"/>
              <w:rPr>
                <w:rFonts w:asciiTheme="majorHAnsi" w:hAnsiTheme="majorHAnsi" w:cstheme="majorHAnsi"/>
                <w:color w:val="auto"/>
                <w:sz w:val="24"/>
                <w:szCs w:val="24"/>
              </w:rPr>
            </w:pPr>
          </w:p>
          <w:p w14:paraId="21D4BFCB" w14:textId="79CE9267" w:rsidR="00F33E5A" w:rsidRPr="004D70E0" w:rsidRDefault="00F33E5A" w:rsidP="00C21DB8">
            <w:pPr>
              <w:spacing w:line="480" w:lineRule="auto"/>
              <w:rPr>
                <w:rFonts w:asciiTheme="majorHAnsi" w:hAnsiTheme="majorHAnsi" w:cstheme="majorHAnsi"/>
                <w:color w:val="auto"/>
                <w:sz w:val="24"/>
                <w:szCs w:val="24"/>
              </w:rPr>
            </w:pPr>
          </w:p>
          <w:p w14:paraId="04D37A73" w14:textId="400D3929" w:rsidR="00F33E5A" w:rsidRPr="004D70E0" w:rsidRDefault="00F33E5A" w:rsidP="00C21DB8">
            <w:pPr>
              <w:spacing w:line="480" w:lineRule="auto"/>
              <w:rPr>
                <w:rFonts w:asciiTheme="majorHAnsi" w:hAnsiTheme="majorHAnsi" w:cstheme="majorHAnsi"/>
                <w:color w:val="auto"/>
                <w:sz w:val="24"/>
                <w:szCs w:val="24"/>
              </w:rPr>
            </w:pPr>
          </w:p>
          <w:p w14:paraId="5656BA40" w14:textId="77777777" w:rsidR="00F33E5A" w:rsidRPr="004D70E0" w:rsidRDefault="00F33E5A" w:rsidP="00C21DB8">
            <w:pPr>
              <w:spacing w:line="480" w:lineRule="auto"/>
              <w:rPr>
                <w:rFonts w:asciiTheme="majorHAnsi" w:hAnsiTheme="majorHAnsi" w:cstheme="majorHAnsi"/>
                <w:color w:val="auto"/>
                <w:sz w:val="24"/>
                <w:szCs w:val="24"/>
              </w:rPr>
            </w:pPr>
          </w:p>
          <w:p w14:paraId="4C555F47" w14:textId="77777777" w:rsidR="00E3649C" w:rsidRPr="004D70E0" w:rsidRDefault="00E3649C" w:rsidP="00C21DB8">
            <w:pPr>
              <w:spacing w:line="480" w:lineRule="auto"/>
              <w:ind w:left="360"/>
              <w:rPr>
                <w:rFonts w:asciiTheme="majorHAnsi" w:hAnsiTheme="majorHAnsi" w:cstheme="majorHAnsi"/>
                <w:color w:val="auto"/>
                <w:sz w:val="24"/>
                <w:szCs w:val="24"/>
              </w:rPr>
            </w:pPr>
          </w:p>
          <w:p w14:paraId="1B30F7BA" w14:textId="77777777" w:rsidR="00D53459" w:rsidRPr="004D70E0" w:rsidRDefault="00D53459" w:rsidP="00C21DB8">
            <w:pPr>
              <w:spacing w:line="480" w:lineRule="auto"/>
              <w:ind w:left="360"/>
              <w:rPr>
                <w:rFonts w:asciiTheme="majorHAnsi" w:hAnsiTheme="majorHAnsi" w:cstheme="majorHAnsi"/>
                <w:bCs/>
                <w:color w:val="auto"/>
                <w:sz w:val="24"/>
                <w:szCs w:val="24"/>
              </w:rPr>
            </w:pPr>
          </w:p>
          <w:p w14:paraId="7BB9268A" w14:textId="77777777" w:rsidR="00E3649C" w:rsidRPr="004D70E0" w:rsidRDefault="00E3649C" w:rsidP="00C21DB8">
            <w:pPr>
              <w:spacing w:line="480" w:lineRule="auto"/>
              <w:ind w:left="360"/>
              <w:rPr>
                <w:rFonts w:asciiTheme="majorHAnsi" w:hAnsiTheme="majorHAnsi" w:cstheme="majorHAnsi"/>
                <w:bCs/>
                <w:color w:val="auto"/>
                <w:sz w:val="24"/>
                <w:szCs w:val="24"/>
              </w:rPr>
            </w:pPr>
          </w:p>
          <w:p w14:paraId="17EE0696" w14:textId="77777777" w:rsidR="00CD26A7" w:rsidRPr="004D70E0" w:rsidRDefault="00CD26A7" w:rsidP="00C21DB8">
            <w:pPr>
              <w:spacing w:line="480" w:lineRule="auto"/>
              <w:ind w:left="360"/>
              <w:rPr>
                <w:rFonts w:asciiTheme="majorHAnsi" w:hAnsiTheme="majorHAnsi" w:cstheme="majorHAnsi"/>
                <w:bCs/>
                <w:color w:val="auto"/>
                <w:sz w:val="24"/>
                <w:szCs w:val="24"/>
              </w:rPr>
            </w:pPr>
          </w:p>
          <w:p w14:paraId="6AE40AAD" w14:textId="77777777" w:rsidR="00E3649C" w:rsidRPr="004D70E0" w:rsidRDefault="00E3649C" w:rsidP="00C21DB8">
            <w:pPr>
              <w:spacing w:line="480" w:lineRule="auto"/>
              <w:ind w:left="360"/>
              <w:rPr>
                <w:rFonts w:asciiTheme="majorHAnsi" w:eastAsia="Times New Roman" w:hAnsiTheme="majorHAnsi" w:cstheme="majorHAnsi"/>
                <w:bCs/>
                <w:color w:val="auto"/>
                <w:sz w:val="24"/>
                <w:szCs w:val="24"/>
                <w:lang w:val="en-GB" w:eastAsia="en-GB"/>
              </w:rPr>
            </w:pPr>
          </w:p>
          <w:p w14:paraId="2BB8CE92" w14:textId="77777777" w:rsidR="00E3649C" w:rsidRPr="004D70E0" w:rsidRDefault="00E3649C" w:rsidP="00C21DB8">
            <w:pPr>
              <w:spacing w:line="480" w:lineRule="auto"/>
              <w:rPr>
                <w:rFonts w:asciiTheme="majorHAnsi" w:hAnsiTheme="majorHAnsi" w:cstheme="majorHAnsi"/>
                <w:bCs/>
                <w:color w:val="auto"/>
                <w:sz w:val="24"/>
                <w:szCs w:val="24"/>
              </w:rPr>
            </w:pPr>
          </w:p>
          <w:p w14:paraId="23B0F6EC" w14:textId="77777777" w:rsidR="00E3649C" w:rsidRPr="004D70E0" w:rsidRDefault="00E3649C" w:rsidP="00C21DB8">
            <w:pPr>
              <w:spacing w:line="480" w:lineRule="auto"/>
              <w:ind w:left="360"/>
              <w:rPr>
                <w:rFonts w:asciiTheme="majorHAnsi" w:hAnsiTheme="majorHAnsi" w:cstheme="majorHAnsi"/>
                <w:bCs/>
                <w:color w:val="auto"/>
                <w:sz w:val="24"/>
                <w:szCs w:val="24"/>
              </w:rPr>
            </w:pPr>
          </w:p>
          <w:p w14:paraId="71752AA6" w14:textId="36F21CBD" w:rsidR="00737031" w:rsidRPr="004D70E0" w:rsidRDefault="00737031" w:rsidP="00C21DB8">
            <w:pPr>
              <w:spacing w:line="480" w:lineRule="auto"/>
              <w:ind w:left="360"/>
              <w:rPr>
                <w:rFonts w:asciiTheme="majorHAnsi" w:hAnsiTheme="majorHAnsi" w:cstheme="majorHAnsi"/>
                <w:bCs/>
                <w:color w:val="auto"/>
                <w:sz w:val="24"/>
                <w:szCs w:val="24"/>
                <w:u w:val="single"/>
              </w:rPr>
            </w:pPr>
          </w:p>
          <w:p w14:paraId="18C21803" w14:textId="77777777" w:rsidR="00CD26A7" w:rsidRPr="004D70E0" w:rsidRDefault="00CD26A7" w:rsidP="00C21DB8">
            <w:pPr>
              <w:spacing w:line="480" w:lineRule="auto"/>
              <w:ind w:left="360"/>
              <w:rPr>
                <w:rFonts w:asciiTheme="majorHAnsi" w:hAnsiTheme="majorHAnsi" w:cstheme="majorHAnsi"/>
                <w:bCs/>
                <w:color w:val="auto"/>
                <w:sz w:val="24"/>
                <w:szCs w:val="24"/>
              </w:rPr>
            </w:pPr>
          </w:p>
          <w:p w14:paraId="4DFCDC68" w14:textId="77777777" w:rsidR="00E3649C" w:rsidRPr="004D70E0" w:rsidRDefault="00E3649C" w:rsidP="00C21DB8">
            <w:pPr>
              <w:spacing w:line="480" w:lineRule="auto"/>
              <w:ind w:left="360"/>
              <w:rPr>
                <w:rFonts w:asciiTheme="majorHAnsi" w:eastAsia="Times New Roman" w:hAnsiTheme="majorHAnsi" w:cstheme="majorHAnsi"/>
                <w:bCs/>
                <w:color w:val="auto"/>
                <w:kern w:val="36"/>
                <w:sz w:val="24"/>
                <w:szCs w:val="24"/>
                <w:shd w:val="clear" w:color="auto" w:fill="E7E5DA"/>
                <w:lang w:val="en-GB" w:eastAsia="en-GB"/>
              </w:rPr>
            </w:pPr>
          </w:p>
          <w:p w14:paraId="30524548" w14:textId="5BEADFE4" w:rsidR="00CD26A7" w:rsidRPr="004D70E0" w:rsidRDefault="00CD26A7" w:rsidP="00C21DB8">
            <w:pPr>
              <w:spacing w:line="480" w:lineRule="auto"/>
              <w:rPr>
                <w:rFonts w:asciiTheme="majorHAnsi" w:hAnsiTheme="majorHAnsi" w:cstheme="majorHAnsi"/>
                <w:bCs/>
                <w:color w:val="auto"/>
                <w:sz w:val="24"/>
                <w:szCs w:val="24"/>
              </w:rPr>
            </w:pPr>
          </w:p>
          <w:p w14:paraId="609BA396" w14:textId="4DDF8FAD" w:rsidR="00D53459" w:rsidRPr="004D70E0" w:rsidRDefault="00D53459" w:rsidP="00C21DB8">
            <w:pPr>
              <w:spacing w:line="480" w:lineRule="auto"/>
              <w:ind w:left="360"/>
              <w:rPr>
                <w:rFonts w:asciiTheme="majorHAnsi" w:hAnsiTheme="majorHAnsi" w:cstheme="majorHAnsi"/>
                <w:bCs/>
                <w:color w:val="auto"/>
                <w:sz w:val="24"/>
                <w:szCs w:val="24"/>
              </w:rPr>
            </w:pPr>
          </w:p>
          <w:p w14:paraId="2E69ACE3" w14:textId="77777777" w:rsidR="00D53459" w:rsidRPr="004D70E0" w:rsidRDefault="00D53459" w:rsidP="00C21DB8">
            <w:pPr>
              <w:spacing w:line="480" w:lineRule="auto"/>
              <w:ind w:left="360"/>
              <w:rPr>
                <w:rFonts w:asciiTheme="majorHAnsi" w:hAnsiTheme="majorHAnsi" w:cstheme="majorHAnsi"/>
                <w:bCs/>
                <w:color w:val="auto"/>
                <w:sz w:val="24"/>
                <w:szCs w:val="24"/>
              </w:rPr>
            </w:pPr>
          </w:p>
          <w:p w14:paraId="466A0FC1" w14:textId="77777777" w:rsidR="00E3649C" w:rsidRPr="004D70E0" w:rsidRDefault="00E3649C" w:rsidP="00C21DB8">
            <w:pPr>
              <w:spacing w:line="480" w:lineRule="auto"/>
              <w:ind w:left="360"/>
              <w:rPr>
                <w:rFonts w:asciiTheme="majorHAnsi" w:eastAsia="Times New Roman" w:hAnsiTheme="majorHAnsi" w:cstheme="majorHAnsi"/>
                <w:bCs/>
                <w:color w:val="auto"/>
                <w:kern w:val="36"/>
                <w:sz w:val="24"/>
                <w:szCs w:val="24"/>
                <w:shd w:val="clear" w:color="auto" w:fill="E7E5DA"/>
                <w:lang w:val="en-GB" w:eastAsia="en-GB"/>
              </w:rPr>
            </w:pPr>
          </w:p>
          <w:p w14:paraId="27352D2C" w14:textId="77777777" w:rsidR="00CD26A7" w:rsidRPr="004D70E0" w:rsidRDefault="00CD26A7" w:rsidP="00C21DB8">
            <w:pPr>
              <w:spacing w:line="480" w:lineRule="auto"/>
              <w:ind w:left="360"/>
              <w:rPr>
                <w:rStyle w:val="Hyperlink"/>
                <w:rFonts w:asciiTheme="majorHAnsi" w:hAnsiTheme="majorHAnsi" w:cstheme="majorHAnsi"/>
                <w:bCs/>
                <w:color w:val="auto"/>
                <w:sz w:val="24"/>
                <w:szCs w:val="24"/>
              </w:rPr>
            </w:pPr>
          </w:p>
          <w:p w14:paraId="1305BC2D" w14:textId="77777777" w:rsidR="00E20492" w:rsidRPr="004D70E0" w:rsidRDefault="00E20492" w:rsidP="00C21DB8">
            <w:pPr>
              <w:spacing w:line="480" w:lineRule="auto"/>
              <w:ind w:left="360"/>
              <w:rPr>
                <w:rFonts w:asciiTheme="majorHAnsi" w:hAnsiTheme="majorHAnsi" w:cstheme="majorHAnsi"/>
                <w:bCs/>
                <w:color w:val="auto"/>
                <w:sz w:val="24"/>
                <w:szCs w:val="24"/>
              </w:rPr>
            </w:pPr>
          </w:p>
          <w:p w14:paraId="4AAC16F6" w14:textId="77777777" w:rsidR="00E20492" w:rsidRPr="004D70E0" w:rsidRDefault="00E20492" w:rsidP="00C21DB8">
            <w:pPr>
              <w:spacing w:line="480" w:lineRule="auto"/>
              <w:ind w:left="360"/>
              <w:rPr>
                <w:rFonts w:asciiTheme="majorHAnsi" w:hAnsiTheme="majorHAnsi" w:cstheme="majorHAnsi"/>
                <w:bCs/>
                <w:color w:val="auto"/>
                <w:sz w:val="24"/>
                <w:szCs w:val="24"/>
              </w:rPr>
            </w:pPr>
          </w:p>
          <w:p w14:paraId="1AB69B5A" w14:textId="77777777" w:rsidR="00E3649C" w:rsidRPr="004D70E0" w:rsidRDefault="00E3649C" w:rsidP="00C21DB8">
            <w:pPr>
              <w:spacing w:line="480" w:lineRule="auto"/>
              <w:ind w:left="360"/>
              <w:rPr>
                <w:rFonts w:asciiTheme="majorHAnsi" w:eastAsia="Times New Roman" w:hAnsiTheme="majorHAnsi" w:cstheme="majorHAnsi"/>
                <w:bCs/>
                <w:color w:val="auto"/>
                <w:sz w:val="24"/>
                <w:szCs w:val="24"/>
                <w:lang w:val="en-GB" w:eastAsia="en-GB"/>
              </w:rPr>
            </w:pPr>
          </w:p>
          <w:p w14:paraId="374A613E" w14:textId="77777777" w:rsidR="00CD26A7" w:rsidRPr="004D70E0" w:rsidRDefault="00CD26A7" w:rsidP="00C21DB8">
            <w:pPr>
              <w:spacing w:after="75" w:line="480" w:lineRule="auto"/>
              <w:outlineLvl w:val="0"/>
              <w:rPr>
                <w:rFonts w:asciiTheme="majorHAnsi" w:eastAsia="Times New Roman" w:hAnsiTheme="majorHAnsi" w:cstheme="majorHAnsi"/>
                <w:bCs/>
                <w:color w:val="auto"/>
                <w:kern w:val="36"/>
                <w:sz w:val="24"/>
                <w:szCs w:val="24"/>
                <w:shd w:val="clear" w:color="auto" w:fill="E7E5DA"/>
                <w:lang w:val="en-GB" w:eastAsia="en-GB"/>
              </w:rPr>
            </w:pPr>
          </w:p>
          <w:p w14:paraId="4FDF7AB5" w14:textId="77777777" w:rsidR="00E72162" w:rsidRPr="004D70E0" w:rsidRDefault="00E72162" w:rsidP="00E72162">
            <w:pPr>
              <w:spacing w:line="480" w:lineRule="auto"/>
              <w:ind w:left="360"/>
              <w:rPr>
                <w:rFonts w:asciiTheme="majorHAnsi" w:hAnsiTheme="majorHAnsi" w:cstheme="majorHAnsi"/>
                <w:bCs/>
                <w:color w:val="auto"/>
                <w:sz w:val="24"/>
                <w:szCs w:val="24"/>
              </w:rPr>
            </w:pPr>
          </w:p>
          <w:p w14:paraId="72DE137C" w14:textId="77777777" w:rsidR="009174E1" w:rsidRPr="004D70E0" w:rsidRDefault="009174E1" w:rsidP="00C21DB8">
            <w:pPr>
              <w:spacing w:line="480" w:lineRule="auto"/>
              <w:ind w:left="360"/>
              <w:rPr>
                <w:rFonts w:asciiTheme="majorHAnsi" w:hAnsiTheme="majorHAnsi" w:cstheme="majorHAnsi"/>
                <w:bCs/>
                <w:color w:val="auto"/>
                <w:sz w:val="24"/>
                <w:szCs w:val="24"/>
              </w:rPr>
            </w:pPr>
          </w:p>
          <w:p w14:paraId="6E80D2F2" w14:textId="27EC974F" w:rsidR="00CD26A7" w:rsidRPr="004D70E0" w:rsidRDefault="00CD26A7" w:rsidP="00C21DB8">
            <w:pPr>
              <w:spacing w:line="480" w:lineRule="auto"/>
              <w:ind w:left="360"/>
              <w:rPr>
                <w:rFonts w:asciiTheme="majorHAnsi" w:hAnsiTheme="majorHAnsi" w:cstheme="majorHAnsi"/>
                <w:bCs/>
                <w:color w:val="auto"/>
                <w:sz w:val="24"/>
                <w:szCs w:val="24"/>
              </w:rPr>
            </w:pPr>
          </w:p>
          <w:p w14:paraId="06D217BE" w14:textId="77777777" w:rsidR="00CD26A7" w:rsidRPr="004D70E0" w:rsidRDefault="00CD26A7" w:rsidP="00C21DB8">
            <w:pPr>
              <w:spacing w:line="480" w:lineRule="auto"/>
              <w:ind w:left="360"/>
              <w:rPr>
                <w:rFonts w:asciiTheme="majorHAnsi" w:hAnsiTheme="majorHAnsi" w:cstheme="majorHAnsi"/>
                <w:bCs/>
                <w:color w:val="auto"/>
                <w:sz w:val="24"/>
                <w:szCs w:val="24"/>
                <w:u w:val="single"/>
              </w:rPr>
            </w:pPr>
          </w:p>
          <w:p w14:paraId="35FEDA7D" w14:textId="77777777" w:rsidR="00CD26A7" w:rsidRPr="004D70E0" w:rsidRDefault="00CD26A7" w:rsidP="00C21DB8">
            <w:pPr>
              <w:spacing w:line="480" w:lineRule="auto"/>
              <w:ind w:left="360"/>
              <w:rPr>
                <w:rFonts w:asciiTheme="majorHAnsi" w:hAnsiTheme="majorHAnsi" w:cstheme="majorHAnsi"/>
                <w:color w:val="auto"/>
                <w:sz w:val="24"/>
                <w:szCs w:val="24"/>
              </w:rPr>
            </w:pPr>
          </w:p>
          <w:p w14:paraId="26DDB1A1" w14:textId="77777777" w:rsidR="00631A0C" w:rsidRPr="004D70E0" w:rsidRDefault="00631A0C" w:rsidP="00C21DB8">
            <w:pPr>
              <w:spacing w:line="480" w:lineRule="auto"/>
              <w:ind w:left="360"/>
              <w:rPr>
                <w:rFonts w:asciiTheme="majorHAnsi" w:hAnsiTheme="majorHAnsi" w:cstheme="majorHAnsi"/>
                <w:color w:val="auto"/>
                <w:sz w:val="24"/>
                <w:szCs w:val="24"/>
              </w:rPr>
            </w:pPr>
          </w:p>
          <w:p w14:paraId="1995E223" w14:textId="46ABB843" w:rsidR="00DF027C" w:rsidRPr="004D70E0" w:rsidRDefault="00DF027C" w:rsidP="00C21DB8">
            <w:pPr>
              <w:pStyle w:val="Content"/>
              <w:spacing w:after="120" w:line="480" w:lineRule="auto"/>
              <w:rPr>
                <w:rFonts w:asciiTheme="majorHAnsi" w:hAnsiTheme="majorHAnsi" w:cstheme="majorHAnsi"/>
                <w:i/>
                <w:color w:val="auto"/>
                <w:sz w:val="24"/>
                <w:szCs w:val="24"/>
              </w:rPr>
            </w:pPr>
          </w:p>
        </w:tc>
      </w:tr>
      <w:tr w:rsidR="00CD26A7" w:rsidRPr="00C21DB8" w14:paraId="0259C5D9" w14:textId="77777777" w:rsidTr="006A3516">
        <w:trPr>
          <w:trHeight w:val="5931"/>
        </w:trPr>
        <w:tc>
          <w:tcPr>
            <w:tcW w:w="10503" w:type="dxa"/>
          </w:tcPr>
          <w:p w14:paraId="2736F4CB" w14:textId="77777777" w:rsidR="00CD26A7" w:rsidRPr="004D70E0" w:rsidRDefault="00CD26A7" w:rsidP="00C21DB8">
            <w:pPr>
              <w:pStyle w:val="EmphasisText"/>
              <w:spacing w:after="120" w:line="480" w:lineRule="auto"/>
              <w:rPr>
                <w:rFonts w:asciiTheme="majorHAnsi" w:hAnsiTheme="majorHAnsi" w:cstheme="majorHAnsi"/>
                <w:i/>
                <w:sz w:val="24"/>
                <w:szCs w:val="24"/>
              </w:rPr>
            </w:pPr>
          </w:p>
        </w:tc>
      </w:tr>
    </w:tbl>
    <w:p w14:paraId="79D66566" w14:textId="77777777" w:rsidR="0087605E" w:rsidRPr="00C21DB8" w:rsidRDefault="0087605E" w:rsidP="00C21DB8">
      <w:pPr>
        <w:spacing w:after="120" w:line="480" w:lineRule="auto"/>
        <w:rPr>
          <w:rFonts w:ascii="Arial" w:hAnsi="Arial" w:cs="Arial"/>
          <w:sz w:val="24"/>
          <w:szCs w:val="24"/>
        </w:rPr>
      </w:pPr>
    </w:p>
    <w:sectPr w:rsidR="0087605E" w:rsidRPr="00C21DB8" w:rsidSect="00DF027C">
      <w:headerReference w:type="default" r:id="rId9"/>
      <w:footerReference w:type="default" r:id="rId10"/>
      <w:pgSz w:w="12240" w:h="15840"/>
      <w:pgMar w:top="720" w:right="1152" w:bottom="720" w:left="1152" w:header="0" w:footer="288"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30D517" w14:textId="77777777" w:rsidR="00BD5446" w:rsidRDefault="00BD5446">
      <w:r>
        <w:separator/>
      </w:r>
    </w:p>
    <w:p w14:paraId="5F6B8EFF" w14:textId="77777777" w:rsidR="00BD5446" w:rsidRDefault="00BD5446"/>
  </w:endnote>
  <w:endnote w:type="continuationSeparator" w:id="0">
    <w:p w14:paraId="59B2C131" w14:textId="77777777" w:rsidR="00BD5446" w:rsidRDefault="00BD5446">
      <w:r>
        <w:continuationSeparator/>
      </w:r>
    </w:p>
    <w:p w14:paraId="39AA6BDD" w14:textId="77777777" w:rsidR="00BD5446" w:rsidRDefault="00BD544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8748919"/>
      <w:docPartObj>
        <w:docPartGallery w:val="Page Numbers (Bottom of Page)"/>
        <w:docPartUnique/>
      </w:docPartObj>
    </w:sdtPr>
    <w:sdtEndPr>
      <w:rPr>
        <w:noProof/>
      </w:rPr>
    </w:sdtEndPr>
    <w:sdtContent>
      <w:p w14:paraId="3A2AB280" w14:textId="77777777" w:rsidR="00BD5446" w:rsidRDefault="00BD5446">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130EACDF" w14:textId="77777777" w:rsidR="00BD5446" w:rsidRDefault="00BD54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A29AD3" w14:textId="77777777" w:rsidR="00BD5446" w:rsidRDefault="00BD5446">
      <w:r>
        <w:separator/>
      </w:r>
    </w:p>
    <w:p w14:paraId="761A62D9" w14:textId="77777777" w:rsidR="00BD5446" w:rsidRDefault="00BD5446"/>
  </w:footnote>
  <w:footnote w:type="continuationSeparator" w:id="0">
    <w:p w14:paraId="0B24FEF6" w14:textId="77777777" w:rsidR="00BD5446" w:rsidRDefault="00BD5446">
      <w:r>
        <w:continuationSeparator/>
      </w:r>
    </w:p>
    <w:p w14:paraId="2555CB75" w14:textId="77777777" w:rsidR="00BD5446" w:rsidRDefault="00BD544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9990"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firstRow="0" w:lastRow="0" w:firstColumn="0" w:lastColumn="0" w:noHBand="0" w:noVBand="0"/>
    </w:tblPr>
    <w:tblGrid>
      <w:gridCol w:w="9990"/>
    </w:tblGrid>
    <w:tr w:rsidR="00BD5446" w14:paraId="0B5F13E3" w14:textId="77777777" w:rsidTr="00D077E9">
      <w:trPr>
        <w:trHeight w:val="978"/>
      </w:trPr>
      <w:tc>
        <w:tcPr>
          <w:tcW w:w="9990" w:type="dxa"/>
          <w:tcBorders>
            <w:top w:val="nil"/>
            <w:left w:val="nil"/>
            <w:bottom w:val="single" w:sz="36" w:space="0" w:color="34ABA2" w:themeColor="accent3"/>
            <w:right w:val="nil"/>
          </w:tcBorders>
        </w:tcPr>
        <w:p w14:paraId="383CB100" w14:textId="77777777" w:rsidR="00BD5446" w:rsidRDefault="00BD5446">
          <w:pPr>
            <w:pStyle w:val="Header"/>
          </w:pPr>
        </w:p>
      </w:tc>
    </w:tr>
  </w:tbl>
  <w:p w14:paraId="598A987F" w14:textId="77777777" w:rsidR="00BD5446" w:rsidRDefault="00BD5446" w:rsidP="00D077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B340E8"/>
    <w:multiLevelType w:val="multilevel"/>
    <w:tmpl w:val="A8101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37C4100"/>
    <w:multiLevelType w:val="hybridMultilevel"/>
    <w:tmpl w:val="1D4C71D8"/>
    <w:lvl w:ilvl="0" w:tplc="27123A08">
      <w:start w:val="1"/>
      <w:numFmt w:val="decimal"/>
      <w:lvlText w:val="%1."/>
      <w:lvlJc w:val="left"/>
      <w:pPr>
        <w:tabs>
          <w:tab w:val="num" w:pos="720"/>
        </w:tabs>
        <w:ind w:left="720" w:hanging="360"/>
      </w:pPr>
    </w:lvl>
    <w:lvl w:ilvl="1" w:tplc="CD90A098" w:tentative="1">
      <w:start w:val="1"/>
      <w:numFmt w:val="decimal"/>
      <w:lvlText w:val="%2."/>
      <w:lvlJc w:val="left"/>
      <w:pPr>
        <w:tabs>
          <w:tab w:val="num" w:pos="1440"/>
        </w:tabs>
        <w:ind w:left="1440" w:hanging="360"/>
      </w:pPr>
    </w:lvl>
    <w:lvl w:ilvl="2" w:tplc="942A7E60" w:tentative="1">
      <w:start w:val="1"/>
      <w:numFmt w:val="decimal"/>
      <w:lvlText w:val="%3."/>
      <w:lvlJc w:val="left"/>
      <w:pPr>
        <w:tabs>
          <w:tab w:val="num" w:pos="2160"/>
        </w:tabs>
        <w:ind w:left="2160" w:hanging="360"/>
      </w:pPr>
    </w:lvl>
    <w:lvl w:ilvl="3" w:tplc="A14A2E46" w:tentative="1">
      <w:start w:val="1"/>
      <w:numFmt w:val="decimal"/>
      <w:lvlText w:val="%4."/>
      <w:lvlJc w:val="left"/>
      <w:pPr>
        <w:tabs>
          <w:tab w:val="num" w:pos="2880"/>
        </w:tabs>
        <w:ind w:left="2880" w:hanging="360"/>
      </w:pPr>
    </w:lvl>
    <w:lvl w:ilvl="4" w:tplc="7B723C56" w:tentative="1">
      <w:start w:val="1"/>
      <w:numFmt w:val="decimal"/>
      <w:lvlText w:val="%5."/>
      <w:lvlJc w:val="left"/>
      <w:pPr>
        <w:tabs>
          <w:tab w:val="num" w:pos="3600"/>
        </w:tabs>
        <w:ind w:left="3600" w:hanging="360"/>
      </w:pPr>
    </w:lvl>
    <w:lvl w:ilvl="5" w:tplc="FC586BA6" w:tentative="1">
      <w:start w:val="1"/>
      <w:numFmt w:val="decimal"/>
      <w:lvlText w:val="%6."/>
      <w:lvlJc w:val="left"/>
      <w:pPr>
        <w:tabs>
          <w:tab w:val="num" w:pos="4320"/>
        </w:tabs>
        <w:ind w:left="4320" w:hanging="360"/>
      </w:pPr>
    </w:lvl>
    <w:lvl w:ilvl="6" w:tplc="4F5E1DF6" w:tentative="1">
      <w:start w:val="1"/>
      <w:numFmt w:val="decimal"/>
      <w:lvlText w:val="%7."/>
      <w:lvlJc w:val="left"/>
      <w:pPr>
        <w:tabs>
          <w:tab w:val="num" w:pos="5040"/>
        </w:tabs>
        <w:ind w:left="5040" w:hanging="360"/>
      </w:pPr>
    </w:lvl>
    <w:lvl w:ilvl="7" w:tplc="B63CA030" w:tentative="1">
      <w:start w:val="1"/>
      <w:numFmt w:val="decimal"/>
      <w:lvlText w:val="%8."/>
      <w:lvlJc w:val="left"/>
      <w:pPr>
        <w:tabs>
          <w:tab w:val="num" w:pos="5760"/>
        </w:tabs>
        <w:ind w:left="5760" w:hanging="360"/>
      </w:pPr>
    </w:lvl>
    <w:lvl w:ilvl="8" w:tplc="FC12E15E" w:tentative="1">
      <w:start w:val="1"/>
      <w:numFmt w:val="decimal"/>
      <w:lvlText w:val="%9."/>
      <w:lvlJc w:val="left"/>
      <w:pPr>
        <w:tabs>
          <w:tab w:val="num" w:pos="6480"/>
        </w:tabs>
        <w:ind w:left="6480" w:hanging="360"/>
      </w:pPr>
    </w:lvl>
  </w:abstractNum>
  <w:abstractNum w:abstractNumId="2" w15:restartNumberingAfterBreak="0">
    <w:nsid w:val="24273564"/>
    <w:multiLevelType w:val="hybridMultilevel"/>
    <w:tmpl w:val="8C925CB8"/>
    <w:lvl w:ilvl="0" w:tplc="27123A08">
      <w:start w:val="1"/>
      <w:numFmt w:val="decimal"/>
      <w:lvlText w:val="%1."/>
      <w:lvlJc w:val="left"/>
      <w:pPr>
        <w:tabs>
          <w:tab w:val="num" w:pos="720"/>
        </w:tabs>
        <w:ind w:left="720" w:hanging="360"/>
      </w:pPr>
    </w:lvl>
    <w:lvl w:ilvl="1" w:tplc="CD90A098" w:tentative="1">
      <w:start w:val="1"/>
      <w:numFmt w:val="decimal"/>
      <w:lvlText w:val="%2."/>
      <w:lvlJc w:val="left"/>
      <w:pPr>
        <w:tabs>
          <w:tab w:val="num" w:pos="1440"/>
        </w:tabs>
        <w:ind w:left="1440" w:hanging="360"/>
      </w:pPr>
    </w:lvl>
    <w:lvl w:ilvl="2" w:tplc="942A7E60" w:tentative="1">
      <w:start w:val="1"/>
      <w:numFmt w:val="decimal"/>
      <w:lvlText w:val="%3."/>
      <w:lvlJc w:val="left"/>
      <w:pPr>
        <w:tabs>
          <w:tab w:val="num" w:pos="2160"/>
        </w:tabs>
        <w:ind w:left="2160" w:hanging="360"/>
      </w:pPr>
    </w:lvl>
    <w:lvl w:ilvl="3" w:tplc="A14A2E46" w:tentative="1">
      <w:start w:val="1"/>
      <w:numFmt w:val="decimal"/>
      <w:lvlText w:val="%4."/>
      <w:lvlJc w:val="left"/>
      <w:pPr>
        <w:tabs>
          <w:tab w:val="num" w:pos="2880"/>
        </w:tabs>
        <w:ind w:left="2880" w:hanging="360"/>
      </w:pPr>
    </w:lvl>
    <w:lvl w:ilvl="4" w:tplc="7B723C56" w:tentative="1">
      <w:start w:val="1"/>
      <w:numFmt w:val="decimal"/>
      <w:lvlText w:val="%5."/>
      <w:lvlJc w:val="left"/>
      <w:pPr>
        <w:tabs>
          <w:tab w:val="num" w:pos="3600"/>
        </w:tabs>
        <w:ind w:left="3600" w:hanging="360"/>
      </w:pPr>
    </w:lvl>
    <w:lvl w:ilvl="5" w:tplc="FC586BA6" w:tentative="1">
      <w:start w:val="1"/>
      <w:numFmt w:val="decimal"/>
      <w:lvlText w:val="%6."/>
      <w:lvlJc w:val="left"/>
      <w:pPr>
        <w:tabs>
          <w:tab w:val="num" w:pos="4320"/>
        </w:tabs>
        <w:ind w:left="4320" w:hanging="360"/>
      </w:pPr>
    </w:lvl>
    <w:lvl w:ilvl="6" w:tplc="4F5E1DF6" w:tentative="1">
      <w:start w:val="1"/>
      <w:numFmt w:val="decimal"/>
      <w:lvlText w:val="%7."/>
      <w:lvlJc w:val="left"/>
      <w:pPr>
        <w:tabs>
          <w:tab w:val="num" w:pos="5040"/>
        </w:tabs>
        <w:ind w:left="5040" w:hanging="360"/>
      </w:pPr>
    </w:lvl>
    <w:lvl w:ilvl="7" w:tplc="B63CA030" w:tentative="1">
      <w:start w:val="1"/>
      <w:numFmt w:val="decimal"/>
      <w:lvlText w:val="%8."/>
      <w:lvlJc w:val="left"/>
      <w:pPr>
        <w:tabs>
          <w:tab w:val="num" w:pos="5760"/>
        </w:tabs>
        <w:ind w:left="5760" w:hanging="360"/>
      </w:pPr>
    </w:lvl>
    <w:lvl w:ilvl="8" w:tplc="FC12E15E" w:tentative="1">
      <w:start w:val="1"/>
      <w:numFmt w:val="decimal"/>
      <w:lvlText w:val="%9."/>
      <w:lvlJc w:val="left"/>
      <w:pPr>
        <w:tabs>
          <w:tab w:val="num" w:pos="6480"/>
        </w:tabs>
        <w:ind w:left="6480" w:hanging="360"/>
      </w:pPr>
    </w:lvl>
  </w:abstractNum>
  <w:abstractNum w:abstractNumId="3" w15:restartNumberingAfterBreak="0">
    <w:nsid w:val="32494B9F"/>
    <w:multiLevelType w:val="hybridMultilevel"/>
    <w:tmpl w:val="E3446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2310385"/>
    <w:multiLevelType w:val="multilevel"/>
    <w:tmpl w:val="735E3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9743BA5"/>
    <w:multiLevelType w:val="hybridMultilevel"/>
    <w:tmpl w:val="ADA646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4070DB"/>
    <w:multiLevelType w:val="multilevel"/>
    <w:tmpl w:val="A7DC1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96B03BB"/>
    <w:multiLevelType w:val="multilevel"/>
    <w:tmpl w:val="B476B9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8E402E5"/>
    <w:multiLevelType w:val="hybridMultilevel"/>
    <w:tmpl w:val="94F633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7A026B72"/>
    <w:multiLevelType w:val="multilevel"/>
    <w:tmpl w:val="9C2CB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EBA0007"/>
    <w:multiLevelType w:val="hybridMultilevel"/>
    <w:tmpl w:val="AC6E7B14"/>
    <w:lvl w:ilvl="0" w:tplc="27123A08">
      <w:start w:val="1"/>
      <w:numFmt w:val="decimal"/>
      <w:lvlText w:val="%1."/>
      <w:lvlJc w:val="left"/>
      <w:pPr>
        <w:tabs>
          <w:tab w:val="num" w:pos="720"/>
        </w:tabs>
        <w:ind w:left="720" w:hanging="360"/>
      </w:pPr>
    </w:lvl>
    <w:lvl w:ilvl="1" w:tplc="CD90A098" w:tentative="1">
      <w:start w:val="1"/>
      <w:numFmt w:val="decimal"/>
      <w:lvlText w:val="%2."/>
      <w:lvlJc w:val="left"/>
      <w:pPr>
        <w:tabs>
          <w:tab w:val="num" w:pos="1440"/>
        </w:tabs>
        <w:ind w:left="1440" w:hanging="360"/>
      </w:pPr>
    </w:lvl>
    <w:lvl w:ilvl="2" w:tplc="942A7E60" w:tentative="1">
      <w:start w:val="1"/>
      <w:numFmt w:val="decimal"/>
      <w:lvlText w:val="%3."/>
      <w:lvlJc w:val="left"/>
      <w:pPr>
        <w:tabs>
          <w:tab w:val="num" w:pos="2160"/>
        </w:tabs>
        <w:ind w:left="2160" w:hanging="360"/>
      </w:pPr>
    </w:lvl>
    <w:lvl w:ilvl="3" w:tplc="A14A2E46" w:tentative="1">
      <w:start w:val="1"/>
      <w:numFmt w:val="decimal"/>
      <w:lvlText w:val="%4."/>
      <w:lvlJc w:val="left"/>
      <w:pPr>
        <w:tabs>
          <w:tab w:val="num" w:pos="2880"/>
        </w:tabs>
        <w:ind w:left="2880" w:hanging="360"/>
      </w:pPr>
    </w:lvl>
    <w:lvl w:ilvl="4" w:tplc="7B723C56" w:tentative="1">
      <w:start w:val="1"/>
      <w:numFmt w:val="decimal"/>
      <w:lvlText w:val="%5."/>
      <w:lvlJc w:val="left"/>
      <w:pPr>
        <w:tabs>
          <w:tab w:val="num" w:pos="3600"/>
        </w:tabs>
        <w:ind w:left="3600" w:hanging="360"/>
      </w:pPr>
    </w:lvl>
    <w:lvl w:ilvl="5" w:tplc="FC586BA6" w:tentative="1">
      <w:start w:val="1"/>
      <w:numFmt w:val="decimal"/>
      <w:lvlText w:val="%6."/>
      <w:lvlJc w:val="left"/>
      <w:pPr>
        <w:tabs>
          <w:tab w:val="num" w:pos="4320"/>
        </w:tabs>
        <w:ind w:left="4320" w:hanging="360"/>
      </w:pPr>
    </w:lvl>
    <w:lvl w:ilvl="6" w:tplc="4F5E1DF6" w:tentative="1">
      <w:start w:val="1"/>
      <w:numFmt w:val="decimal"/>
      <w:lvlText w:val="%7."/>
      <w:lvlJc w:val="left"/>
      <w:pPr>
        <w:tabs>
          <w:tab w:val="num" w:pos="5040"/>
        </w:tabs>
        <w:ind w:left="5040" w:hanging="360"/>
      </w:pPr>
    </w:lvl>
    <w:lvl w:ilvl="7" w:tplc="B63CA030" w:tentative="1">
      <w:start w:val="1"/>
      <w:numFmt w:val="decimal"/>
      <w:lvlText w:val="%8."/>
      <w:lvlJc w:val="left"/>
      <w:pPr>
        <w:tabs>
          <w:tab w:val="num" w:pos="5760"/>
        </w:tabs>
        <w:ind w:left="5760" w:hanging="360"/>
      </w:pPr>
    </w:lvl>
    <w:lvl w:ilvl="8" w:tplc="FC12E15E" w:tentative="1">
      <w:start w:val="1"/>
      <w:numFmt w:val="decimal"/>
      <w:lvlText w:val="%9."/>
      <w:lvlJc w:val="left"/>
      <w:pPr>
        <w:tabs>
          <w:tab w:val="num" w:pos="6480"/>
        </w:tabs>
        <w:ind w:left="6480" w:hanging="360"/>
      </w:pPr>
    </w:lvl>
  </w:abstractNum>
  <w:num w:numId="1">
    <w:abstractNumId w:val="1"/>
  </w:num>
  <w:num w:numId="2">
    <w:abstractNumId w:val="10"/>
  </w:num>
  <w:num w:numId="3">
    <w:abstractNumId w:val="2"/>
  </w:num>
  <w:num w:numId="4">
    <w:abstractNumId w:val="3"/>
  </w:num>
  <w:num w:numId="5">
    <w:abstractNumId w:val="9"/>
  </w:num>
  <w:num w:numId="6">
    <w:abstractNumId w:val="0"/>
  </w:num>
  <w:num w:numId="7">
    <w:abstractNumId w:val="6"/>
  </w:num>
  <w:num w:numId="8">
    <w:abstractNumId w:val="8"/>
  </w:num>
  <w:num w:numId="9">
    <w:abstractNumId w:val="7"/>
  </w:num>
  <w:num w:numId="10">
    <w:abstractNumId w:val="4"/>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attachedTemplate r:id="rId1"/>
  <w:defaultTabStop w:val="720"/>
  <w:drawingGridHorizontalSpacing w:val="120"/>
  <w:displayHorizontalDrawingGridEvery w:val="2"/>
  <w:characterSpacingControl w:val="doNotCompress"/>
  <w:hdrShapeDefaults>
    <o:shapedefaults v:ext="edit" spidmax="2662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782D"/>
    <w:rsid w:val="00000797"/>
    <w:rsid w:val="000151F9"/>
    <w:rsid w:val="00021180"/>
    <w:rsid w:val="0002482E"/>
    <w:rsid w:val="00030F69"/>
    <w:rsid w:val="00036F08"/>
    <w:rsid w:val="00050324"/>
    <w:rsid w:val="00064B37"/>
    <w:rsid w:val="00092079"/>
    <w:rsid w:val="000A0150"/>
    <w:rsid w:val="000A29FF"/>
    <w:rsid w:val="000C0EE9"/>
    <w:rsid w:val="000E63C9"/>
    <w:rsid w:val="000F0071"/>
    <w:rsid w:val="00113688"/>
    <w:rsid w:val="00124FE1"/>
    <w:rsid w:val="00130E9D"/>
    <w:rsid w:val="00143CD0"/>
    <w:rsid w:val="00150A6D"/>
    <w:rsid w:val="00162873"/>
    <w:rsid w:val="0017319E"/>
    <w:rsid w:val="00176673"/>
    <w:rsid w:val="00185B35"/>
    <w:rsid w:val="001940D3"/>
    <w:rsid w:val="001964DF"/>
    <w:rsid w:val="00197E6F"/>
    <w:rsid w:val="001B46FF"/>
    <w:rsid w:val="001C0180"/>
    <w:rsid w:val="001F2BC8"/>
    <w:rsid w:val="001F5F6B"/>
    <w:rsid w:val="002162E1"/>
    <w:rsid w:val="00222BA8"/>
    <w:rsid w:val="00231549"/>
    <w:rsid w:val="00243EBC"/>
    <w:rsid w:val="00246A35"/>
    <w:rsid w:val="002519AE"/>
    <w:rsid w:val="00280062"/>
    <w:rsid w:val="00281A6C"/>
    <w:rsid w:val="00284348"/>
    <w:rsid w:val="0029545F"/>
    <w:rsid w:val="002970CE"/>
    <w:rsid w:val="002A5127"/>
    <w:rsid w:val="002A691F"/>
    <w:rsid w:val="002B7036"/>
    <w:rsid w:val="002D11E1"/>
    <w:rsid w:val="002D504E"/>
    <w:rsid w:val="002D5D8D"/>
    <w:rsid w:val="002E40EC"/>
    <w:rsid w:val="002E7769"/>
    <w:rsid w:val="002F51F5"/>
    <w:rsid w:val="00310C0A"/>
    <w:rsid w:val="00312137"/>
    <w:rsid w:val="0031368B"/>
    <w:rsid w:val="0031433D"/>
    <w:rsid w:val="00330359"/>
    <w:rsid w:val="003325CF"/>
    <w:rsid w:val="0033762F"/>
    <w:rsid w:val="003462F5"/>
    <w:rsid w:val="00365F1E"/>
    <w:rsid w:val="00366C7E"/>
    <w:rsid w:val="00373E22"/>
    <w:rsid w:val="00377F22"/>
    <w:rsid w:val="00384EA3"/>
    <w:rsid w:val="003952E0"/>
    <w:rsid w:val="003A39A1"/>
    <w:rsid w:val="003B067B"/>
    <w:rsid w:val="003C2191"/>
    <w:rsid w:val="003D283E"/>
    <w:rsid w:val="003D3863"/>
    <w:rsid w:val="003F47FA"/>
    <w:rsid w:val="003F7AD0"/>
    <w:rsid w:val="004110DE"/>
    <w:rsid w:val="0042505C"/>
    <w:rsid w:val="0044085A"/>
    <w:rsid w:val="004477A8"/>
    <w:rsid w:val="00452343"/>
    <w:rsid w:val="00482D78"/>
    <w:rsid w:val="00485BBB"/>
    <w:rsid w:val="00493A54"/>
    <w:rsid w:val="004968C1"/>
    <w:rsid w:val="004B21A5"/>
    <w:rsid w:val="004C7290"/>
    <w:rsid w:val="004D70E0"/>
    <w:rsid w:val="004F316C"/>
    <w:rsid w:val="005037F0"/>
    <w:rsid w:val="00504CC4"/>
    <w:rsid w:val="00516A86"/>
    <w:rsid w:val="00520AD5"/>
    <w:rsid w:val="005275F6"/>
    <w:rsid w:val="00541BD0"/>
    <w:rsid w:val="005629CE"/>
    <w:rsid w:val="005679DD"/>
    <w:rsid w:val="00572102"/>
    <w:rsid w:val="00583577"/>
    <w:rsid w:val="005A7BE0"/>
    <w:rsid w:val="005B028C"/>
    <w:rsid w:val="005B224D"/>
    <w:rsid w:val="005C45B5"/>
    <w:rsid w:val="005C4751"/>
    <w:rsid w:val="005E21F3"/>
    <w:rsid w:val="005F1BB0"/>
    <w:rsid w:val="005F3D42"/>
    <w:rsid w:val="005F4A12"/>
    <w:rsid w:val="005F7681"/>
    <w:rsid w:val="00603668"/>
    <w:rsid w:val="00631A0C"/>
    <w:rsid w:val="0063307A"/>
    <w:rsid w:val="00635E0B"/>
    <w:rsid w:val="00640145"/>
    <w:rsid w:val="00656C4D"/>
    <w:rsid w:val="006628FC"/>
    <w:rsid w:val="0068329A"/>
    <w:rsid w:val="00691867"/>
    <w:rsid w:val="00691D55"/>
    <w:rsid w:val="00694C4D"/>
    <w:rsid w:val="0069777E"/>
    <w:rsid w:val="006A3516"/>
    <w:rsid w:val="006B233C"/>
    <w:rsid w:val="006E0484"/>
    <w:rsid w:val="006E5716"/>
    <w:rsid w:val="006F1B0A"/>
    <w:rsid w:val="006F2432"/>
    <w:rsid w:val="006F260A"/>
    <w:rsid w:val="006F6673"/>
    <w:rsid w:val="0071410A"/>
    <w:rsid w:val="007302B3"/>
    <w:rsid w:val="00730733"/>
    <w:rsid w:val="00730E3A"/>
    <w:rsid w:val="007353A3"/>
    <w:rsid w:val="00736AAF"/>
    <w:rsid w:val="00737031"/>
    <w:rsid w:val="007429E1"/>
    <w:rsid w:val="00746D15"/>
    <w:rsid w:val="00765B2A"/>
    <w:rsid w:val="00782CAA"/>
    <w:rsid w:val="00783A34"/>
    <w:rsid w:val="007C02A1"/>
    <w:rsid w:val="007C6B52"/>
    <w:rsid w:val="007C6D37"/>
    <w:rsid w:val="007D16C5"/>
    <w:rsid w:val="007E5E83"/>
    <w:rsid w:val="007F6024"/>
    <w:rsid w:val="008041D5"/>
    <w:rsid w:val="00810503"/>
    <w:rsid w:val="0081506F"/>
    <w:rsid w:val="008258B7"/>
    <w:rsid w:val="008264A7"/>
    <w:rsid w:val="00835CEE"/>
    <w:rsid w:val="00862FE4"/>
    <w:rsid w:val="0086389A"/>
    <w:rsid w:val="0087605E"/>
    <w:rsid w:val="008816EC"/>
    <w:rsid w:val="008B1A34"/>
    <w:rsid w:val="008B1FEE"/>
    <w:rsid w:val="008C0537"/>
    <w:rsid w:val="008E4EC7"/>
    <w:rsid w:val="008F6B7A"/>
    <w:rsid w:val="00903C32"/>
    <w:rsid w:val="00905102"/>
    <w:rsid w:val="00916B16"/>
    <w:rsid w:val="009173B9"/>
    <w:rsid w:val="009174E1"/>
    <w:rsid w:val="00930DBA"/>
    <w:rsid w:val="00932F1A"/>
    <w:rsid w:val="0093335D"/>
    <w:rsid w:val="0093613E"/>
    <w:rsid w:val="00943026"/>
    <w:rsid w:val="00954D44"/>
    <w:rsid w:val="00960BD0"/>
    <w:rsid w:val="00965D65"/>
    <w:rsid w:val="00966B81"/>
    <w:rsid w:val="0099158D"/>
    <w:rsid w:val="009A1E93"/>
    <w:rsid w:val="009B73CE"/>
    <w:rsid w:val="009C1513"/>
    <w:rsid w:val="009C7720"/>
    <w:rsid w:val="009D5243"/>
    <w:rsid w:val="00A22106"/>
    <w:rsid w:val="00A23AFA"/>
    <w:rsid w:val="00A31B3E"/>
    <w:rsid w:val="00A341B0"/>
    <w:rsid w:val="00A44B6A"/>
    <w:rsid w:val="00A532F3"/>
    <w:rsid w:val="00A70CF7"/>
    <w:rsid w:val="00A80A38"/>
    <w:rsid w:val="00A8489E"/>
    <w:rsid w:val="00AA5B96"/>
    <w:rsid w:val="00AA7177"/>
    <w:rsid w:val="00AB512F"/>
    <w:rsid w:val="00AC29F3"/>
    <w:rsid w:val="00AE2458"/>
    <w:rsid w:val="00AE7EA8"/>
    <w:rsid w:val="00B063BA"/>
    <w:rsid w:val="00B231E5"/>
    <w:rsid w:val="00B23DBD"/>
    <w:rsid w:val="00B33116"/>
    <w:rsid w:val="00B42C92"/>
    <w:rsid w:val="00B5640F"/>
    <w:rsid w:val="00B974C1"/>
    <w:rsid w:val="00BA3F48"/>
    <w:rsid w:val="00BD5446"/>
    <w:rsid w:val="00BE7120"/>
    <w:rsid w:val="00BF1159"/>
    <w:rsid w:val="00BF61DE"/>
    <w:rsid w:val="00BF7E5D"/>
    <w:rsid w:val="00C02B87"/>
    <w:rsid w:val="00C0386B"/>
    <w:rsid w:val="00C05DA0"/>
    <w:rsid w:val="00C066C1"/>
    <w:rsid w:val="00C06CB0"/>
    <w:rsid w:val="00C06EC5"/>
    <w:rsid w:val="00C17682"/>
    <w:rsid w:val="00C21180"/>
    <w:rsid w:val="00C21DB8"/>
    <w:rsid w:val="00C4086D"/>
    <w:rsid w:val="00C65E6A"/>
    <w:rsid w:val="00C70B17"/>
    <w:rsid w:val="00C93E7F"/>
    <w:rsid w:val="00C954B3"/>
    <w:rsid w:val="00CA1896"/>
    <w:rsid w:val="00CB2A2C"/>
    <w:rsid w:val="00CB5B28"/>
    <w:rsid w:val="00CC2128"/>
    <w:rsid w:val="00CC39C0"/>
    <w:rsid w:val="00CD26A7"/>
    <w:rsid w:val="00CE134A"/>
    <w:rsid w:val="00CE419E"/>
    <w:rsid w:val="00CF175B"/>
    <w:rsid w:val="00CF4358"/>
    <w:rsid w:val="00CF5371"/>
    <w:rsid w:val="00D027F1"/>
    <w:rsid w:val="00D0323A"/>
    <w:rsid w:val="00D0559F"/>
    <w:rsid w:val="00D077E9"/>
    <w:rsid w:val="00D42CB7"/>
    <w:rsid w:val="00D529FB"/>
    <w:rsid w:val="00D53459"/>
    <w:rsid w:val="00D53B73"/>
    <w:rsid w:val="00D5413D"/>
    <w:rsid w:val="00D570A9"/>
    <w:rsid w:val="00D66487"/>
    <w:rsid w:val="00D70D02"/>
    <w:rsid w:val="00D73C6F"/>
    <w:rsid w:val="00D770C7"/>
    <w:rsid w:val="00D85684"/>
    <w:rsid w:val="00D86945"/>
    <w:rsid w:val="00D90290"/>
    <w:rsid w:val="00D93602"/>
    <w:rsid w:val="00DA3156"/>
    <w:rsid w:val="00DD152F"/>
    <w:rsid w:val="00DD4377"/>
    <w:rsid w:val="00DE213F"/>
    <w:rsid w:val="00DE38B8"/>
    <w:rsid w:val="00DF027C"/>
    <w:rsid w:val="00DF4B67"/>
    <w:rsid w:val="00DF7D42"/>
    <w:rsid w:val="00E00A32"/>
    <w:rsid w:val="00E153DF"/>
    <w:rsid w:val="00E1707E"/>
    <w:rsid w:val="00E20492"/>
    <w:rsid w:val="00E22ACD"/>
    <w:rsid w:val="00E30382"/>
    <w:rsid w:val="00E3649C"/>
    <w:rsid w:val="00E407F2"/>
    <w:rsid w:val="00E4782D"/>
    <w:rsid w:val="00E620B0"/>
    <w:rsid w:val="00E72162"/>
    <w:rsid w:val="00E81B40"/>
    <w:rsid w:val="00EA17A9"/>
    <w:rsid w:val="00EC30EB"/>
    <w:rsid w:val="00EF555B"/>
    <w:rsid w:val="00F027BB"/>
    <w:rsid w:val="00F11DCF"/>
    <w:rsid w:val="00F162EA"/>
    <w:rsid w:val="00F20CB3"/>
    <w:rsid w:val="00F33E5A"/>
    <w:rsid w:val="00F52D27"/>
    <w:rsid w:val="00F57421"/>
    <w:rsid w:val="00F6585A"/>
    <w:rsid w:val="00F83527"/>
    <w:rsid w:val="00F94F13"/>
    <w:rsid w:val="00F9702E"/>
    <w:rsid w:val="00FC497A"/>
    <w:rsid w:val="00FC6F55"/>
    <w:rsid w:val="00FD583F"/>
    <w:rsid w:val="00FD7488"/>
    <w:rsid w:val="00FF16B4"/>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6625"/>
    <o:shapelayout v:ext="edit">
      <o:idmap v:ext="edit" data="1"/>
    </o:shapelayout>
  </w:shapeDefaults>
  <w:decimalSymbol w:val="."/>
  <w:listSeparator w:val=","/>
  <w14:docId w14:val="0657B482"/>
  <w15:docId w15:val="{DD2C38A6-EA32-4B70-8150-36AF2411B6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2458"/>
    <w:pPr>
      <w:spacing w:after="0"/>
    </w:pPr>
    <w:rPr>
      <w:rFonts w:eastAsiaTheme="minorEastAsia"/>
      <w:b/>
      <w:color w:val="082A75" w:themeColor="text2"/>
      <w:sz w:val="28"/>
      <w:szCs w:val="22"/>
    </w:rPr>
  </w:style>
  <w:style w:type="paragraph" w:styleId="Heading1">
    <w:name w:val="heading 1"/>
    <w:basedOn w:val="Normal"/>
    <w:link w:val="Heading1Char"/>
    <w:uiPriority w:val="9"/>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paragraph" w:styleId="Heading5">
    <w:name w:val="heading 5"/>
    <w:basedOn w:val="Normal"/>
    <w:next w:val="Normal"/>
    <w:link w:val="Heading5Char"/>
    <w:uiPriority w:val="1"/>
    <w:semiHidden/>
    <w:unhideWhenUsed/>
    <w:qFormat/>
    <w:rsid w:val="00D85684"/>
    <w:pPr>
      <w:keepNext/>
      <w:keepLines/>
      <w:spacing w:before="40"/>
      <w:outlineLvl w:val="4"/>
    </w:pPr>
    <w:rPr>
      <w:rFonts w:asciiTheme="majorHAnsi" w:eastAsiaTheme="majorEastAsia" w:hAnsiTheme="majorHAnsi" w:cstheme="majorBidi"/>
      <w:color w:val="013A57"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9"/>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paragraph" w:styleId="NormalWeb">
    <w:name w:val="Normal (Web)"/>
    <w:basedOn w:val="Normal"/>
    <w:uiPriority w:val="99"/>
    <w:unhideWhenUsed/>
    <w:rsid w:val="00E4782D"/>
    <w:pPr>
      <w:spacing w:before="100" w:beforeAutospacing="1" w:after="100" w:afterAutospacing="1" w:line="240" w:lineRule="auto"/>
    </w:pPr>
    <w:rPr>
      <w:rFonts w:ascii="Times New Roman" w:eastAsia="Times New Roman" w:hAnsi="Times New Roman" w:cs="Times New Roman"/>
      <w:b w:val="0"/>
      <w:color w:val="auto"/>
      <w:sz w:val="24"/>
      <w:szCs w:val="24"/>
      <w:lang w:val="en-GB" w:eastAsia="en-GB"/>
    </w:rPr>
  </w:style>
  <w:style w:type="character" w:styleId="Hyperlink">
    <w:name w:val="Hyperlink"/>
    <w:basedOn w:val="DefaultParagraphFont"/>
    <w:uiPriority w:val="99"/>
    <w:unhideWhenUsed/>
    <w:rsid w:val="00C954B3"/>
    <w:rPr>
      <w:color w:val="0000FF"/>
      <w:u w:val="single"/>
    </w:rPr>
  </w:style>
  <w:style w:type="character" w:customStyle="1" w:styleId="Heading5Char">
    <w:name w:val="Heading 5 Char"/>
    <w:basedOn w:val="DefaultParagraphFont"/>
    <w:link w:val="Heading5"/>
    <w:uiPriority w:val="1"/>
    <w:semiHidden/>
    <w:rsid w:val="00D85684"/>
    <w:rPr>
      <w:rFonts w:asciiTheme="majorHAnsi" w:eastAsiaTheme="majorEastAsia" w:hAnsiTheme="majorHAnsi" w:cstheme="majorBidi"/>
      <w:b/>
      <w:color w:val="013A57" w:themeColor="accent1" w:themeShade="BF"/>
      <w:sz w:val="28"/>
      <w:szCs w:val="22"/>
    </w:rPr>
  </w:style>
  <w:style w:type="character" w:styleId="UnresolvedMention">
    <w:name w:val="Unresolved Mention"/>
    <w:basedOn w:val="DefaultParagraphFont"/>
    <w:uiPriority w:val="99"/>
    <w:semiHidden/>
    <w:unhideWhenUsed/>
    <w:rsid w:val="00960BD0"/>
    <w:rPr>
      <w:color w:val="605E5C"/>
      <w:shd w:val="clear" w:color="auto" w:fill="E1DFDD"/>
    </w:rPr>
  </w:style>
  <w:style w:type="paragraph" w:styleId="ListParagraph">
    <w:name w:val="List Paragraph"/>
    <w:basedOn w:val="Normal"/>
    <w:uiPriority w:val="34"/>
    <w:unhideWhenUsed/>
    <w:qFormat/>
    <w:rsid w:val="002162E1"/>
    <w:pPr>
      <w:ind w:left="720"/>
      <w:contextualSpacing/>
    </w:pPr>
  </w:style>
  <w:style w:type="character" w:styleId="FollowedHyperlink">
    <w:name w:val="FollowedHyperlink"/>
    <w:basedOn w:val="DefaultParagraphFont"/>
    <w:uiPriority w:val="99"/>
    <w:semiHidden/>
    <w:unhideWhenUsed/>
    <w:rsid w:val="00AA5B96"/>
    <w:rPr>
      <w:color w:val="3592CF"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679285">
      <w:bodyDiv w:val="1"/>
      <w:marLeft w:val="0"/>
      <w:marRight w:val="0"/>
      <w:marTop w:val="0"/>
      <w:marBottom w:val="0"/>
      <w:divBdr>
        <w:top w:val="none" w:sz="0" w:space="0" w:color="auto"/>
        <w:left w:val="none" w:sz="0" w:space="0" w:color="auto"/>
        <w:bottom w:val="none" w:sz="0" w:space="0" w:color="auto"/>
        <w:right w:val="none" w:sz="0" w:space="0" w:color="auto"/>
      </w:divBdr>
    </w:div>
    <w:div w:id="169639328">
      <w:bodyDiv w:val="1"/>
      <w:marLeft w:val="0"/>
      <w:marRight w:val="0"/>
      <w:marTop w:val="0"/>
      <w:marBottom w:val="0"/>
      <w:divBdr>
        <w:top w:val="none" w:sz="0" w:space="0" w:color="auto"/>
        <w:left w:val="none" w:sz="0" w:space="0" w:color="auto"/>
        <w:bottom w:val="none" w:sz="0" w:space="0" w:color="auto"/>
        <w:right w:val="none" w:sz="0" w:space="0" w:color="auto"/>
      </w:divBdr>
    </w:div>
    <w:div w:id="222179881">
      <w:bodyDiv w:val="1"/>
      <w:marLeft w:val="0"/>
      <w:marRight w:val="0"/>
      <w:marTop w:val="0"/>
      <w:marBottom w:val="0"/>
      <w:divBdr>
        <w:top w:val="none" w:sz="0" w:space="0" w:color="auto"/>
        <w:left w:val="none" w:sz="0" w:space="0" w:color="auto"/>
        <w:bottom w:val="none" w:sz="0" w:space="0" w:color="auto"/>
        <w:right w:val="none" w:sz="0" w:space="0" w:color="auto"/>
      </w:divBdr>
    </w:div>
    <w:div w:id="229312646">
      <w:bodyDiv w:val="1"/>
      <w:marLeft w:val="0"/>
      <w:marRight w:val="0"/>
      <w:marTop w:val="0"/>
      <w:marBottom w:val="0"/>
      <w:divBdr>
        <w:top w:val="none" w:sz="0" w:space="0" w:color="auto"/>
        <w:left w:val="none" w:sz="0" w:space="0" w:color="auto"/>
        <w:bottom w:val="none" w:sz="0" w:space="0" w:color="auto"/>
        <w:right w:val="none" w:sz="0" w:space="0" w:color="auto"/>
      </w:divBdr>
    </w:div>
    <w:div w:id="310981318">
      <w:bodyDiv w:val="1"/>
      <w:marLeft w:val="0"/>
      <w:marRight w:val="0"/>
      <w:marTop w:val="0"/>
      <w:marBottom w:val="0"/>
      <w:divBdr>
        <w:top w:val="none" w:sz="0" w:space="0" w:color="auto"/>
        <w:left w:val="none" w:sz="0" w:space="0" w:color="auto"/>
        <w:bottom w:val="none" w:sz="0" w:space="0" w:color="auto"/>
        <w:right w:val="none" w:sz="0" w:space="0" w:color="auto"/>
      </w:divBdr>
    </w:div>
    <w:div w:id="476385271">
      <w:bodyDiv w:val="1"/>
      <w:marLeft w:val="0"/>
      <w:marRight w:val="0"/>
      <w:marTop w:val="0"/>
      <w:marBottom w:val="0"/>
      <w:divBdr>
        <w:top w:val="none" w:sz="0" w:space="0" w:color="auto"/>
        <w:left w:val="none" w:sz="0" w:space="0" w:color="auto"/>
        <w:bottom w:val="none" w:sz="0" w:space="0" w:color="auto"/>
        <w:right w:val="none" w:sz="0" w:space="0" w:color="auto"/>
      </w:divBdr>
    </w:div>
    <w:div w:id="628898301">
      <w:bodyDiv w:val="1"/>
      <w:marLeft w:val="0"/>
      <w:marRight w:val="0"/>
      <w:marTop w:val="0"/>
      <w:marBottom w:val="0"/>
      <w:divBdr>
        <w:top w:val="none" w:sz="0" w:space="0" w:color="auto"/>
        <w:left w:val="none" w:sz="0" w:space="0" w:color="auto"/>
        <w:bottom w:val="none" w:sz="0" w:space="0" w:color="auto"/>
        <w:right w:val="none" w:sz="0" w:space="0" w:color="auto"/>
      </w:divBdr>
    </w:div>
    <w:div w:id="1117528300">
      <w:bodyDiv w:val="1"/>
      <w:marLeft w:val="0"/>
      <w:marRight w:val="0"/>
      <w:marTop w:val="0"/>
      <w:marBottom w:val="0"/>
      <w:divBdr>
        <w:top w:val="none" w:sz="0" w:space="0" w:color="auto"/>
        <w:left w:val="none" w:sz="0" w:space="0" w:color="auto"/>
        <w:bottom w:val="none" w:sz="0" w:space="0" w:color="auto"/>
        <w:right w:val="none" w:sz="0" w:space="0" w:color="auto"/>
      </w:divBdr>
    </w:div>
    <w:div w:id="1327133058">
      <w:bodyDiv w:val="1"/>
      <w:marLeft w:val="0"/>
      <w:marRight w:val="0"/>
      <w:marTop w:val="0"/>
      <w:marBottom w:val="0"/>
      <w:divBdr>
        <w:top w:val="none" w:sz="0" w:space="0" w:color="auto"/>
        <w:left w:val="none" w:sz="0" w:space="0" w:color="auto"/>
        <w:bottom w:val="none" w:sz="0" w:space="0" w:color="auto"/>
        <w:right w:val="none" w:sz="0" w:space="0" w:color="auto"/>
      </w:divBdr>
    </w:div>
    <w:div w:id="1951817536">
      <w:bodyDiv w:val="1"/>
      <w:marLeft w:val="0"/>
      <w:marRight w:val="0"/>
      <w:marTop w:val="0"/>
      <w:marBottom w:val="0"/>
      <w:divBdr>
        <w:top w:val="none" w:sz="0" w:space="0" w:color="auto"/>
        <w:left w:val="none" w:sz="0" w:space="0" w:color="auto"/>
        <w:bottom w:val="none" w:sz="0" w:space="0" w:color="auto"/>
        <w:right w:val="none" w:sz="0" w:space="0" w:color="auto"/>
      </w:divBdr>
    </w:div>
    <w:div w:id="2052268944">
      <w:bodyDiv w:val="1"/>
      <w:marLeft w:val="0"/>
      <w:marRight w:val="0"/>
      <w:marTop w:val="0"/>
      <w:marBottom w:val="0"/>
      <w:divBdr>
        <w:top w:val="none" w:sz="0" w:space="0" w:color="auto"/>
        <w:left w:val="none" w:sz="0" w:space="0" w:color="auto"/>
        <w:bottom w:val="none" w:sz="0" w:space="0" w:color="auto"/>
        <w:right w:val="none" w:sz="0" w:space="0" w:color="auto"/>
      </w:divBdr>
    </w:div>
    <w:div w:id="2066831429">
      <w:bodyDiv w:val="1"/>
      <w:marLeft w:val="0"/>
      <w:marRight w:val="0"/>
      <w:marTop w:val="0"/>
      <w:marBottom w:val="0"/>
      <w:divBdr>
        <w:top w:val="none" w:sz="0" w:space="0" w:color="auto"/>
        <w:left w:val="none" w:sz="0" w:space="0" w:color="auto"/>
        <w:bottom w:val="none" w:sz="0" w:space="0" w:color="auto"/>
        <w:right w:val="none" w:sz="0" w:space="0" w:color="auto"/>
      </w:divBdr>
    </w:div>
    <w:div w:id="20874129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wp3825\AppData\Local\Microsoft\Office\16.0\DTS\en-US%7bFCD28FD8-D48A-40A3-843D-AFB4DB621206%7d\%7b42D711CD-B005-4C70-B3A0-328FC93FA6D2%7dtf16392850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6EB82F0EC4D4F5F8B3335BC8C97E134"/>
        <w:category>
          <w:name w:val="General"/>
          <w:gallery w:val="placeholder"/>
        </w:category>
        <w:types>
          <w:type w:val="bbPlcHdr"/>
        </w:types>
        <w:behaviors>
          <w:behavior w:val="content"/>
        </w:behaviors>
        <w:guid w:val="{99584CF3-E1E4-4139-9857-339FC51EB253}"/>
      </w:docPartPr>
      <w:docPartBody>
        <w:p w:rsidR="000A040B" w:rsidRDefault="000A040B">
          <w:pPr>
            <w:pStyle w:val="B6EB82F0EC4D4F5F8B3335BC8C97E134"/>
          </w:pPr>
          <w:r w:rsidRPr="00D86945">
            <w:rPr>
              <w:rStyle w:val="SubtitleChar"/>
              <w:b/>
            </w:rPr>
            <w:fldChar w:fldCharType="begin"/>
          </w:r>
          <w:r w:rsidRPr="00D86945">
            <w:rPr>
              <w:rStyle w:val="SubtitleChar"/>
            </w:rPr>
            <w:instrText xml:space="preserve"> DATE  \@ "MMMM d"  \* MERGEFORMAT </w:instrText>
          </w:r>
          <w:r w:rsidRPr="00D86945">
            <w:rPr>
              <w:rStyle w:val="SubtitleChar"/>
              <w:b/>
            </w:rPr>
            <w:fldChar w:fldCharType="separate"/>
          </w:r>
          <w:r>
            <w:rPr>
              <w:rStyle w:val="SubtitleChar"/>
            </w:rPr>
            <w:t>November 25</w:t>
          </w:r>
          <w:r w:rsidRPr="00D86945">
            <w:rPr>
              <w:rStyle w:val="SubtitleChar"/>
              <w:b/>
            </w:rPr>
            <w:fldChar w:fldCharType="end"/>
          </w:r>
        </w:p>
      </w:docPartBody>
    </w:docPart>
    <w:docPart>
      <w:docPartPr>
        <w:name w:val="1F7305811B904BE39DFBC300AB51A14F"/>
        <w:category>
          <w:name w:val="General"/>
          <w:gallery w:val="placeholder"/>
        </w:category>
        <w:types>
          <w:type w:val="bbPlcHdr"/>
        </w:types>
        <w:behaviors>
          <w:behavior w:val="content"/>
        </w:behaviors>
        <w:guid w:val="{3153C2D0-D633-451B-A739-AF30A9454A78}"/>
      </w:docPartPr>
      <w:docPartBody>
        <w:p w:rsidR="000A040B" w:rsidRDefault="000A040B">
          <w:pPr>
            <w:pStyle w:val="1F7305811B904BE39DFBC300AB51A14F"/>
          </w:pPr>
          <w:r w:rsidRPr="00DF027C">
            <w:t>Subtitle Text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40B"/>
    <w:rsid w:val="000A040B"/>
    <w:rsid w:val="005B0F3D"/>
    <w:rsid w:val="006B41A8"/>
    <w:rsid w:val="008A5F15"/>
    <w:rsid w:val="00E300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pPr>
      <w:framePr w:hSpace="180" w:wrap="around" w:vAnchor="text" w:hAnchor="margin" w:y="1167"/>
      <w:spacing w:after="0" w:line="276" w:lineRule="auto"/>
    </w:pPr>
    <w:rPr>
      <w:caps/>
      <w:color w:val="44546A" w:themeColor="text2"/>
      <w:spacing w:val="20"/>
      <w:sz w:val="32"/>
      <w:lang w:val="en-US" w:eastAsia="en-US"/>
    </w:rPr>
  </w:style>
  <w:style w:type="character" w:customStyle="1" w:styleId="SubtitleChar">
    <w:name w:val="Subtitle Char"/>
    <w:basedOn w:val="DefaultParagraphFont"/>
    <w:link w:val="Subtitle"/>
    <w:uiPriority w:val="2"/>
    <w:rPr>
      <w:caps/>
      <w:color w:val="44546A" w:themeColor="text2"/>
      <w:spacing w:val="20"/>
      <w:sz w:val="32"/>
      <w:lang w:val="en-US" w:eastAsia="en-US"/>
    </w:rPr>
  </w:style>
  <w:style w:type="paragraph" w:customStyle="1" w:styleId="B6EB82F0EC4D4F5F8B3335BC8C97E134">
    <w:name w:val="B6EB82F0EC4D4F5F8B3335BC8C97E134"/>
  </w:style>
  <w:style w:type="paragraph" w:customStyle="1" w:styleId="1F7305811B904BE39DFBC300AB51A14F">
    <w:name w:val="1F7305811B904BE39DFBC300AB51A14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CECB6CB-4775-4571-B257-A5D5B3F601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{42D711CD-B005-4C70-B3A0-328FC93FA6D2}tf16392850_win32</Template>
  <TotalTime>26</TotalTime>
  <Pages>16</Pages>
  <Words>3444</Words>
  <Characters>19633</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Oshea,Mark swp3825</dc:creator>
  <cp:keywords/>
  <cp:lastModifiedBy>Oshea,Mark swp3825</cp:lastModifiedBy>
  <cp:revision>4</cp:revision>
  <cp:lastPrinted>2006-08-01T17:47:00Z</cp:lastPrinted>
  <dcterms:created xsi:type="dcterms:W3CDTF">2022-07-22T11:22:00Z</dcterms:created>
  <dcterms:modified xsi:type="dcterms:W3CDTF">2022-07-22T11:58:00Z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y fmtid="{D5CDD505-2E9C-101B-9397-08002B2CF9AE}" pid="3" name="MSIP_Label_66cf8fe5-b7b7-4df7-b38d-1c61ac2f6639_Enabled">
    <vt:lpwstr>true</vt:lpwstr>
  </property>
  <property fmtid="{D5CDD505-2E9C-101B-9397-08002B2CF9AE}" pid="4" name="MSIP_Label_66cf8fe5-b7b7-4df7-b38d-1c61ac2f6639_SetDate">
    <vt:lpwstr>2021-11-25T12:42:37Z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ba44be11-a2a3-466b-a368-353b1c8857dc</vt:lpwstr>
  </property>
  <property fmtid="{D5CDD505-2E9C-101B-9397-08002B2CF9AE}" pid="9" name="MSIP_Label_66cf8fe5-b7b7-4df7-b38d-1c61ac2f6639_ContentBits">
    <vt:lpwstr>0</vt:lpwstr>
  </property>
</Properties>
</file>