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2AC3A6" w14:textId="77777777" w:rsidR="00F827E3" w:rsidRDefault="00F827E3" w:rsidP="00535F85">
      <w:pPr>
        <w:jc w:val="both"/>
      </w:pPr>
    </w:p>
    <w:p w14:paraId="1308239F" w14:textId="2CDB7EBD" w:rsidR="0009408A" w:rsidRDefault="00F827E3" w:rsidP="00535F85">
      <w:pPr>
        <w:jc w:val="both"/>
      </w:pPr>
      <w:r>
        <w:t>Booker T. Washington’s Atlanta Exposition Speech, September 18, 1895</w:t>
      </w:r>
    </w:p>
    <w:p w14:paraId="7B99D56C" w14:textId="579D9C59" w:rsidR="00F827E3" w:rsidRDefault="00F827E3" w:rsidP="00F827E3">
      <w:pPr>
        <w:jc w:val="center"/>
      </w:pPr>
    </w:p>
    <w:p w14:paraId="71DA01D5" w14:textId="0F14C146" w:rsidR="00F27DAB" w:rsidRDefault="00F27DAB" w:rsidP="00085C1E">
      <w:pPr>
        <w:jc w:val="both"/>
      </w:pPr>
      <w:r>
        <w:t xml:space="preserve">Booker T. Washington’s speech at the 1895 Cotton States and International Exposition in Atlanta was an address directed to the President and board of directors </w:t>
      </w:r>
      <w:r w:rsidR="00FA1E48">
        <w:t xml:space="preserve">of the exposition. This speech dealt with the race relations in the south and addresses the ways in which black people can start their advancement to equality. This speech is controversial in the area of the civil rights movements, as it led to the Atlanta Compromise </w:t>
      </w:r>
      <w:r w:rsidR="00DD5342">
        <w:t xml:space="preserve">which was opposed by many intellectuals and activists and was said to be complicit </w:t>
      </w:r>
      <w:r w:rsidR="00082AA3">
        <w:t xml:space="preserve">in impeding the advancement of black people. </w:t>
      </w:r>
    </w:p>
    <w:p w14:paraId="3C2163BC" w14:textId="77777777" w:rsidR="00F27DAB" w:rsidRDefault="00F27DAB" w:rsidP="00085C1E">
      <w:pPr>
        <w:jc w:val="both"/>
      </w:pPr>
    </w:p>
    <w:p w14:paraId="0605DCE5" w14:textId="7EB175A8" w:rsidR="00AF64B8" w:rsidRDefault="00F27DAB" w:rsidP="00085C1E">
      <w:pPr>
        <w:jc w:val="both"/>
      </w:pPr>
      <w:r>
        <w:t>D</w:t>
      </w:r>
      <w:r w:rsidR="00AF64B8">
        <w:t xml:space="preserve">uring this speech, Washington displays his vision for the betterment of the black race, as working from the bottom and finding dignity in manual labour, once this foundation is built is when political advancement should be made. It is here that Washington somewhat criticises other advancement tactics such as changes to state legislature or seats in Congress for being implemented too early. </w:t>
      </w:r>
      <w:r w:rsidR="00AF64B8">
        <w:t xml:space="preserve">Washington urges the black population of the south </w:t>
      </w:r>
      <w:r w:rsidR="008C185E">
        <w:t>to remain there, and in turn, use their skills and labour force to better themselves and the south as “it is in the South that the Negro is given a man’s chance in the commercial world”</w:t>
      </w:r>
      <w:r w:rsidR="00874745">
        <w:rPr>
          <w:rStyle w:val="FootnoteReference"/>
        </w:rPr>
        <w:footnoteReference w:id="1"/>
      </w:r>
      <w:r w:rsidR="008C185E">
        <w:t xml:space="preserve">. </w:t>
      </w:r>
      <w:r w:rsidR="00934DED">
        <w:t xml:space="preserve">Washington also urges the white population of the southern states to instead of hiring foreigners, hire the black population already there, who have worked their fields </w:t>
      </w:r>
      <w:r w:rsidR="00085C1E">
        <w:t>for years. It is this notion of remaining in the south that Washington believes will bring about prosperity for all in the south and “make the interests of both races one”</w:t>
      </w:r>
      <w:r w:rsidR="00874745">
        <w:rPr>
          <w:rStyle w:val="FootnoteReference"/>
        </w:rPr>
        <w:footnoteReference w:id="2"/>
      </w:r>
      <w:r w:rsidR="00085C1E">
        <w:t>.</w:t>
      </w:r>
    </w:p>
    <w:p w14:paraId="65E0563E" w14:textId="6A598341" w:rsidR="00EE11A0" w:rsidRDefault="00EE11A0" w:rsidP="00085C1E">
      <w:pPr>
        <w:jc w:val="both"/>
      </w:pPr>
    </w:p>
    <w:p w14:paraId="070D42B0" w14:textId="4193638C" w:rsidR="00EE11A0" w:rsidRDefault="00EE11A0" w:rsidP="00085C1E">
      <w:pPr>
        <w:jc w:val="both"/>
      </w:pPr>
      <w:r>
        <w:t xml:space="preserve">After this speech, Washington along with both </w:t>
      </w:r>
      <w:r w:rsidR="00F27DAB">
        <w:t>African American</w:t>
      </w:r>
      <w:r>
        <w:t xml:space="preserve"> and white leaders of the south agreed to a set of terms, the ‘Atlanta Compromise’ which would force the acceptance of segregation, disenfranchisement in return for the right to basic education. This compromise was opposed and rejected by many </w:t>
      </w:r>
      <w:r w:rsidR="00F27DAB">
        <w:t>African American</w:t>
      </w:r>
      <w:r>
        <w:t xml:space="preserve"> intellectuals such as W.E.B Du Bois and the NAACP</w:t>
      </w:r>
      <w:r w:rsidR="00F27DAB">
        <w:rPr>
          <w:rStyle w:val="FootnoteReference"/>
        </w:rPr>
        <w:footnoteReference w:id="3"/>
      </w:r>
      <w:r>
        <w:t xml:space="preserve">. </w:t>
      </w:r>
      <w:r w:rsidR="00082AA3">
        <w:t>Washington was notably criticised in Du Bois’ ‘The Souls of Black Folk’ where he dedicates a chapter to critiquing Washington and others</w:t>
      </w:r>
      <w:r w:rsidR="00082AA3">
        <w:rPr>
          <w:rStyle w:val="FootnoteReference"/>
        </w:rPr>
        <w:footnoteReference w:id="4"/>
      </w:r>
      <w:r w:rsidR="00082AA3">
        <w:t>. This opposition shown to Washington g</w:t>
      </w:r>
      <w:r w:rsidR="00480CD9">
        <w:t>i</w:t>
      </w:r>
      <w:r w:rsidR="00082AA3">
        <w:t xml:space="preserve">ves insight into </w:t>
      </w:r>
      <w:r w:rsidR="00480CD9">
        <w:t xml:space="preserve">the civil rights movement and the </w:t>
      </w:r>
      <w:r w:rsidR="00EF5FF8">
        <w:t xml:space="preserve">ongoing struggles, even defining the forward momentum of the movement and the internalised struggles that made the march to progress even harder. </w:t>
      </w:r>
    </w:p>
    <w:p w14:paraId="04ED9A6D" w14:textId="77777777" w:rsidR="00772553" w:rsidRDefault="00772553" w:rsidP="00085C1E">
      <w:pPr>
        <w:jc w:val="both"/>
      </w:pPr>
    </w:p>
    <w:p w14:paraId="18A5A9C7" w14:textId="1A8C419F" w:rsidR="00AF64B8" w:rsidRDefault="000A71F4" w:rsidP="00085C1E">
      <w:pPr>
        <w:jc w:val="both"/>
      </w:pPr>
      <w:r>
        <w:t>Washington, in his Atlanta address, praises the work of the President and Board of Directors of the Exposition for their work in representing the “value and manhood of the American Negro</w:t>
      </w:r>
      <w:r w:rsidR="00874745">
        <w:t>”</w:t>
      </w:r>
      <w:r>
        <w:t>.</w:t>
      </w:r>
      <w:r w:rsidR="00874745">
        <w:rPr>
          <w:rStyle w:val="FootnoteReference"/>
        </w:rPr>
        <w:footnoteReference w:id="5"/>
      </w:r>
      <w:r>
        <w:t xml:space="preserve"> Washington comments that it is this </w:t>
      </w:r>
      <w:r w:rsidR="00CF2C00">
        <w:t>representation that will advance the relationship between the white and black population of the southern states.</w:t>
      </w:r>
      <w:r w:rsidR="00AF64B8">
        <w:t xml:space="preserve"> </w:t>
      </w:r>
      <w:r w:rsidR="00AF64B8">
        <w:t>It should be noted here that this relationship in the southern states did not improve,</w:t>
      </w:r>
      <w:r w:rsidR="00772553">
        <w:t xml:space="preserve"> despite the terms of the Atlanta Compromise</w:t>
      </w:r>
      <w:r w:rsidR="00AF64B8">
        <w:t xml:space="preserve"> as amidst the ‘Jim Crow’, the following year would give way to the case of ‘Plessy vs. Ferguson’, cementing segregation constitutional in law</w:t>
      </w:r>
      <w:r w:rsidR="00AF64B8">
        <w:rPr>
          <w:rStyle w:val="FootnoteReference"/>
        </w:rPr>
        <w:footnoteReference w:id="6"/>
      </w:r>
      <w:r w:rsidR="00AF64B8">
        <w:t xml:space="preserve">. This may be due to the tact which is employed by Washington in his contribution to the civil rights movements, when in comparison to other contemporary intellectuals such as W.E.B. Du Bois, whose </w:t>
      </w:r>
      <w:r w:rsidR="00AF64B8">
        <w:lastRenderedPageBreak/>
        <w:t xml:space="preserve">ideas for advancement included the bettering of one’s self through education and as a supporter of Pan-Africanism. </w:t>
      </w:r>
    </w:p>
    <w:p w14:paraId="233E5B2B" w14:textId="77777777" w:rsidR="004519F5" w:rsidRDefault="004519F5" w:rsidP="00085C1E">
      <w:pPr>
        <w:jc w:val="both"/>
      </w:pPr>
    </w:p>
    <w:p w14:paraId="19C221FE" w14:textId="6B9CB2D8" w:rsidR="00E10B08" w:rsidRDefault="00EB37B1" w:rsidP="00085C1E">
      <w:pPr>
        <w:jc w:val="both"/>
      </w:pPr>
      <w:r>
        <w:t>The tone of Washington’s speech is much like the reason for the opposition to Washington’s Compromise, it is pandering to the white people of the south. When Washington is speaking of the exhibit</w:t>
      </w:r>
      <w:r w:rsidR="00874745">
        <w:t>s</w:t>
      </w:r>
      <w:r w:rsidR="004A6A1F">
        <w:t>,</w:t>
      </w:r>
      <w:r w:rsidR="00874745">
        <w:t xml:space="preserve"> he comments how it will not be up to the standards of the visitors and thanks the south for their “constant help that has come to our educational life”</w:t>
      </w:r>
      <w:r w:rsidR="00535F85">
        <w:rPr>
          <w:rStyle w:val="FootnoteReference"/>
        </w:rPr>
        <w:footnoteReference w:id="7"/>
      </w:r>
      <w:r w:rsidR="00874745">
        <w:t>.</w:t>
      </w:r>
      <w:r>
        <w:t xml:space="preserve"> </w:t>
      </w:r>
      <w:r w:rsidR="004519F5">
        <w:t xml:space="preserve">8 years after the end of the reconstruction era in 1877, the south had segregation laws and commercial implementations such as sharecroppers, making the south at the time not as ideal as Washington perhaps infers, especially when considering the violent attacks against black people in this time in the form of lynch mobs. It is curious that Washington takes this route and with the Atlanta Compromise being ill-received and De Bois critiquing Washington for his outdated tact, it seems this was not the route that other black </w:t>
      </w:r>
      <w:r w:rsidR="00535F85">
        <w:t>intellectuals’</w:t>
      </w:r>
      <w:r w:rsidR="004519F5">
        <w:t xml:space="preserve"> thought would bring them greater </w:t>
      </w:r>
      <w:r w:rsidR="00535F85">
        <w:t xml:space="preserve">movement.  </w:t>
      </w:r>
    </w:p>
    <w:p w14:paraId="61F492ED" w14:textId="7EB57545" w:rsidR="004519F5" w:rsidRDefault="004519F5" w:rsidP="00085C1E">
      <w:pPr>
        <w:jc w:val="both"/>
      </w:pPr>
    </w:p>
    <w:p w14:paraId="0B2C67DC" w14:textId="6C5C4FEF" w:rsidR="00046CBC" w:rsidRDefault="00535F85" w:rsidP="00F827E3">
      <w:r>
        <w:t xml:space="preserve">In conclusion, this address by Washington at the Cotton States Exposition gives great insight into the complex nature and internal debate felt in the civil rights movement of the post-reconstruction era.  The speech gives insight onto Washington’s visions for the future of the black race, his want to focus more on industrial action and working up from the bottom. The difference in theories and values between contemporary intellectuals and civil right activists is critical in any understanding of the black diaspora and is an example of the struggle and arduous journey the black American population had to reach equality. </w:t>
      </w:r>
    </w:p>
    <w:p w14:paraId="28845E29" w14:textId="0EFE3602" w:rsidR="00046CBC" w:rsidRDefault="00046CBC" w:rsidP="00F827E3"/>
    <w:p w14:paraId="6B373313" w14:textId="77777777" w:rsidR="00046CBC" w:rsidRDefault="00046CBC" w:rsidP="00F827E3"/>
    <w:p w14:paraId="513070AB" w14:textId="4A5F1ECC" w:rsidR="00E261E6" w:rsidRDefault="00E261E6" w:rsidP="00F827E3">
      <w:pPr>
        <w:rPr>
          <w:i/>
          <w:iCs/>
        </w:rPr>
      </w:pPr>
    </w:p>
    <w:p w14:paraId="1245D169" w14:textId="15C11654" w:rsidR="00812387" w:rsidRDefault="00812387" w:rsidP="00F827E3"/>
    <w:p w14:paraId="2B8241A0" w14:textId="3F1C57F0" w:rsidR="004519F5" w:rsidRDefault="004519F5" w:rsidP="00F827E3"/>
    <w:p w14:paraId="3D667099" w14:textId="1DFA7254" w:rsidR="004519F5" w:rsidRDefault="004519F5" w:rsidP="00F827E3"/>
    <w:p w14:paraId="2C00C4B4" w14:textId="3486EC1B" w:rsidR="004519F5" w:rsidRDefault="004519F5" w:rsidP="00F827E3"/>
    <w:p w14:paraId="371CA2EC" w14:textId="60A30CC7" w:rsidR="004519F5" w:rsidRDefault="004519F5" w:rsidP="00F827E3"/>
    <w:p w14:paraId="6A2E0E59" w14:textId="03E9674B" w:rsidR="004519F5" w:rsidRDefault="004519F5" w:rsidP="00F827E3"/>
    <w:p w14:paraId="2C2C5E7F" w14:textId="3D31F518" w:rsidR="004519F5" w:rsidRDefault="004519F5" w:rsidP="00F827E3"/>
    <w:p w14:paraId="40947415" w14:textId="1A3625B8" w:rsidR="004519F5" w:rsidRDefault="004519F5" w:rsidP="00F827E3"/>
    <w:p w14:paraId="2A51C063" w14:textId="1D4E66D1" w:rsidR="004519F5" w:rsidRDefault="004519F5" w:rsidP="00F827E3"/>
    <w:p w14:paraId="63CB1306" w14:textId="00A5C8BE" w:rsidR="004519F5" w:rsidRDefault="004519F5" w:rsidP="00F827E3"/>
    <w:p w14:paraId="7312C24A" w14:textId="31B4839A" w:rsidR="004519F5" w:rsidRDefault="004519F5" w:rsidP="00F827E3"/>
    <w:p w14:paraId="75296D8E" w14:textId="515CCCC8" w:rsidR="004519F5" w:rsidRDefault="004519F5" w:rsidP="00F827E3"/>
    <w:p w14:paraId="387B76BD" w14:textId="77777777" w:rsidR="00085C1E" w:rsidRDefault="00085C1E" w:rsidP="00F827E3">
      <w:bookmarkStart w:id="0" w:name="_GoBack"/>
      <w:bookmarkEnd w:id="0"/>
    </w:p>
    <w:sdt>
      <w:sdtPr>
        <w:id w:val="1777202917"/>
        <w:docPartObj>
          <w:docPartGallery w:val="Bibliographies"/>
          <w:docPartUnique/>
        </w:docPartObj>
      </w:sdtPr>
      <w:sdtEndPr>
        <w:rPr>
          <w:rFonts w:ascii="Speak Pro" w:eastAsiaTheme="minorHAnsi" w:hAnsi="Speak Pro" w:cs="Arial"/>
          <w:color w:val="000000"/>
          <w:sz w:val="22"/>
          <w:szCs w:val="22"/>
          <w:lang w:val="en-GB"/>
        </w:rPr>
      </w:sdtEndPr>
      <w:sdtContent>
        <w:p w14:paraId="25474B6C" w14:textId="64167537" w:rsidR="00812387" w:rsidRPr="004519F5" w:rsidRDefault="00812387">
          <w:pPr>
            <w:pStyle w:val="Heading1"/>
            <w:rPr>
              <w:rFonts w:ascii="Speak Pro" w:hAnsi="Speak Pro"/>
            </w:rPr>
          </w:pPr>
          <w:r w:rsidRPr="004519F5">
            <w:rPr>
              <w:rFonts w:ascii="Speak Pro" w:hAnsi="Speak Pro"/>
            </w:rPr>
            <w:t>Bibliography</w:t>
          </w:r>
        </w:p>
        <w:sdt>
          <w:sdtPr>
            <w:id w:val="111145805"/>
            <w:bibliography/>
          </w:sdtPr>
          <w:sdtContent>
            <w:p w14:paraId="213DEC70" w14:textId="49BC9021" w:rsidR="00480CD9" w:rsidRPr="004519F5" w:rsidRDefault="00480CD9" w:rsidP="00812387"/>
            <w:p w14:paraId="5FA45B87" w14:textId="77777777" w:rsidR="00480CD9" w:rsidRPr="00480CD9" w:rsidRDefault="00480CD9" w:rsidP="00812387">
              <w:pPr>
                <w:rPr>
                  <w:sz w:val="24"/>
                  <w:szCs w:val="24"/>
                </w:rPr>
              </w:pPr>
              <w:r w:rsidRPr="00480CD9">
                <w:rPr>
                  <w:sz w:val="24"/>
                  <w:szCs w:val="24"/>
                  <w:shd w:val="clear" w:color="auto" w:fill="FFFFFF"/>
                </w:rPr>
                <w:t>Du Bois, W. E. B, </w:t>
              </w:r>
              <w:r w:rsidRPr="00480CD9">
                <w:rPr>
                  <w:i/>
                  <w:iCs/>
                  <w:sz w:val="24"/>
                  <w:szCs w:val="24"/>
                  <w:shd w:val="clear" w:color="auto" w:fill="FFFFFF"/>
                </w:rPr>
                <w:t>The Souls Of Black Folk</w:t>
              </w:r>
              <w:r w:rsidRPr="00480CD9">
                <w:rPr>
                  <w:sz w:val="24"/>
                  <w:szCs w:val="24"/>
                  <w:shd w:val="clear" w:color="auto" w:fill="FFFFFF"/>
                </w:rPr>
                <w:t> (Chicago: A. C. McClurg &amp; Co., 1903)</w:t>
              </w:r>
            </w:p>
            <w:p w14:paraId="3F5837E3" w14:textId="77777777" w:rsidR="00480CD9" w:rsidRPr="00480CD9" w:rsidRDefault="00480CD9" w:rsidP="00812387">
              <w:pPr>
                <w:rPr>
                  <w:sz w:val="24"/>
                  <w:szCs w:val="24"/>
                </w:rPr>
              </w:pPr>
              <w:r w:rsidRPr="00480CD9">
                <w:rPr>
                  <w:sz w:val="24"/>
                  <w:szCs w:val="24"/>
                  <w:shd w:val="clear" w:color="auto" w:fill="FFFFFF"/>
                </w:rPr>
                <w:t>Plank, David, and Marcia Turner, "Changing Patterns In Black School Politics: Atlanta, 1872-1973", </w:t>
              </w:r>
              <w:r w:rsidRPr="00480CD9">
                <w:rPr>
                  <w:i/>
                  <w:iCs/>
                  <w:sz w:val="24"/>
                  <w:szCs w:val="24"/>
                  <w:shd w:val="clear" w:color="auto" w:fill="FFFFFF"/>
                </w:rPr>
                <w:t>American Journal Of Edu</w:t>
              </w:r>
              <w:r w:rsidRPr="00480CD9">
                <w:rPr>
                  <w:i/>
                  <w:iCs/>
                  <w:sz w:val="24"/>
                  <w:szCs w:val="24"/>
                  <w:shd w:val="clear" w:color="auto" w:fill="FFFFFF"/>
                </w:rPr>
                <w:t>c</w:t>
              </w:r>
              <w:r w:rsidRPr="00480CD9">
                <w:rPr>
                  <w:i/>
                  <w:iCs/>
                  <w:sz w:val="24"/>
                  <w:szCs w:val="24"/>
                  <w:shd w:val="clear" w:color="auto" w:fill="FFFFFF"/>
                </w:rPr>
                <w:t>ation</w:t>
              </w:r>
              <w:r w:rsidRPr="00480CD9">
                <w:rPr>
                  <w:sz w:val="24"/>
                  <w:szCs w:val="24"/>
                  <w:shd w:val="clear" w:color="auto" w:fill="FFFFFF"/>
                </w:rPr>
                <w:t>, 95 (1987)</w:t>
              </w:r>
            </w:p>
            <w:p w14:paraId="3664E43F" w14:textId="77777777" w:rsidR="00480CD9" w:rsidRPr="00480CD9" w:rsidRDefault="00480CD9" w:rsidP="00812387">
              <w:pPr>
                <w:rPr>
                  <w:sz w:val="24"/>
                  <w:szCs w:val="24"/>
                </w:rPr>
              </w:pPr>
              <w:r w:rsidRPr="00480CD9">
                <w:rPr>
                  <w:sz w:val="24"/>
                  <w:szCs w:val="24"/>
                  <w:shd w:val="clear" w:color="auto" w:fill="FFFFFF"/>
                </w:rPr>
                <w:t>Plessy v. Ferguson, </w:t>
              </w:r>
              <w:r w:rsidRPr="00480CD9">
                <w:rPr>
                  <w:i/>
                  <w:iCs/>
                  <w:sz w:val="24"/>
                  <w:szCs w:val="24"/>
                  <w:shd w:val="clear" w:color="auto" w:fill="FFFFFF"/>
                </w:rPr>
                <w:t>163 U.S. 537</w:t>
              </w:r>
              <w:r w:rsidRPr="00480CD9">
                <w:rPr>
                  <w:sz w:val="24"/>
                  <w:szCs w:val="24"/>
                  <w:shd w:val="clear" w:color="auto" w:fill="FFFFFF"/>
                </w:rPr>
                <w:t>, 1896</w:t>
              </w:r>
            </w:p>
            <w:p w14:paraId="57950420" w14:textId="77777777" w:rsidR="00480CD9" w:rsidRPr="00480CD9" w:rsidRDefault="00480CD9" w:rsidP="00812387">
              <w:pPr>
                <w:rPr>
                  <w:sz w:val="24"/>
                  <w:szCs w:val="24"/>
                </w:rPr>
              </w:pPr>
              <w:r w:rsidRPr="00480CD9">
                <w:rPr>
                  <w:sz w:val="24"/>
                  <w:szCs w:val="24"/>
                </w:rPr>
                <w:t xml:space="preserve">Washington, Booker T. ‘Address By Booker T Washington’, 18 September 1895, Atlanta Exposition </w:t>
              </w:r>
              <w:hyperlink r:id="rId8" w:history="1">
                <w:r w:rsidRPr="00480CD9">
                  <w:rPr>
                    <w:rStyle w:val="Hyperlink"/>
                    <w:sz w:val="24"/>
                    <w:szCs w:val="24"/>
                  </w:rPr>
                  <w:t>https://iowaculture.gov/sites/default/files/history-education-pss-areconstruction-atlanta-transcription.pdf</w:t>
                </w:r>
              </w:hyperlink>
              <w:r w:rsidRPr="00480CD9">
                <w:rPr>
                  <w:sz w:val="24"/>
                  <w:szCs w:val="24"/>
                </w:rPr>
                <w:t xml:space="preserve"> [Accessed 24 January 2020] </w:t>
              </w:r>
            </w:p>
            <w:p w14:paraId="3B253B7C" w14:textId="70B9C513" w:rsidR="00812387" w:rsidRDefault="00812387"/>
          </w:sdtContent>
        </w:sdt>
      </w:sdtContent>
    </w:sdt>
    <w:p w14:paraId="22438941" w14:textId="77777777" w:rsidR="00812387" w:rsidRDefault="00812387" w:rsidP="00F827E3"/>
    <w:sectPr w:rsidR="008123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596D3" w14:textId="77777777" w:rsidR="00742111" w:rsidRDefault="00742111" w:rsidP="00E85435">
      <w:pPr>
        <w:spacing w:after="0" w:line="240" w:lineRule="auto"/>
      </w:pPr>
      <w:r>
        <w:separator/>
      </w:r>
    </w:p>
  </w:endnote>
  <w:endnote w:type="continuationSeparator" w:id="0">
    <w:p w14:paraId="2AE800F8" w14:textId="77777777" w:rsidR="00742111" w:rsidRDefault="00742111" w:rsidP="00E85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peak Pro">
    <w:altName w:val="Speak Pro"/>
    <w:charset w:val="00"/>
    <w:family w:val="swiss"/>
    <w:pitch w:val="variable"/>
    <w:sig w:usb0="8000002F" w:usb1="0000000A"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7F7543" w14:textId="77777777" w:rsidR="00742111" w:rsidRDefault="00742111" w:rsidP="00E85435">
      <w:pPr>
        <w:spacing w:after="0" w:line="240" w:lineRule="auto"/>
      </w:pPr>
      <w:r>
        <w:separator/>
      </w:r>
    </w:p>
  </w:footnote>
  <w:footnote w:type="continuationSeparator" w:id="0">
    <w:p w14:paraId="27551990" w14:textId="77777777" w:rsidR="00742111" w:rsidRDefault="00742111" w:rsidP="00E85435">
      <w:pPr>
        <w:spacing w:after="0" w:line="240" w:lineRule="auto"/>
      </w:pPr>
      <w:r>
        <w:continuationSeparator/>
      </w:r>
    </w:p>
  </w:footnote>
  <w:footnote w:id="1">
    <w:p w14:paraId="0CB28EC8" w14:textId="3BEBB6E7" w:rsidR="00874745" w:rsidRPr="004519F5" w:rsidRDefault="00874745">
      <w:pPr>
        <w:pStyle w:val="FootnoteText"/>
      </w:pPr>
      <w:r w:rsidRPr="004519F5">
        <w:rPr>
          <w:rStyle w:val="FootnoteReference"/>
        </w:rPr>
        <w:footnoteRef/>
      </w:r>
      <w:r w:rsidRPr="004519F5">
        <w:t xml:space="preserve"> Booker T. Washington, “</w:t>
      </w:r>
      <w:r w:rsidRPr="004519F5">
        <w:rPr>
          <w:i/>
          <w:iCs/>
        </w:rPr>
        <w:t>Atlanta Exposition Address</w:t>
      </w:r>
      <w:r w:rsidRPr="004519F5">
        <w:t>”, Atlanta, 1895</w:t>
      </w:r>
    </w:p>
  </w:footnote>
  <w:footnote w:id="2">
    <w:p w14:paraId="78FBB4AD" w14:textId="00D339B8" w:rsidR="00874745" w:rsidRPr="004519F5" w:rsidRDefault="00874745">
      <w:pPr>
        <w:pStyle w:val="FootnoteText"/>
      </w:pPr>
      <w:r w:rsidRPr="004519F5">
        <w:rPr>
          <w:rStyle w:val="FootnoteReference"/>
        </w:rPr>
        <w:footnoteRef/>
      </w:r>
      <w:r w:rsidRPr="004519F5">
        <w:t xml:space="preserve"> Washington, 1895</w:t>
      </w:r>
    </w:p>
  </w:footnote>
  <w:footnote w:id="3">
    <w:p w14:paraId="574E2C18" w14:textId="4089EDC4" w:rsidR="00F27DAB" w:rsidRPr="004519F5" w:rsidRDefault="00F27DAB">
      <w:pPr>
        <w:pStyle w:val="FootnoteText"/>
      </w:pPr>
      <w:r w:rsidRPr="004519F5">
        <w:rPr>
          <w:rStyle w:val="FootnoteReference"/>
        </w:rPr>
        <w:footnoteRef/>
      </w:r>
      <w:r w:rsidRPr="004519F5">
        <w:t xml:space="preserve"> </w:t>
      </w:r>
      <w:r w:rsidRPr="004519F5">
        <w:rPr>
          <w:shd w:val="clear" w:color="auto" w:fill="FFFFFF"/>
        </w:rPr>
        <w:t>David Plank and Marcia Turner, "Changing Patterns In Black School Politics: Atlanta, 1872-1973", </w:t>
      </w:r>
      <w:r w:rsidRPr="004519F5">
        <w:rPr>
          <w:i/>
          <w:iCs/>
          <w:shd w:val="clear" w:color="auto" w:fill="FFFFFF"/>
        </w:rPr>
        <w:t>American Journal Of Edu</w:t>
      </w:r>
      <w:r w:rsidRPr="004519F5">
        <w:rPr>
          <w:i/>
          <w:iCs/>
          <w:shd w:val="clear" w:color="auto" w:fill="FFFFFF"/>
        </w:rPr>
        <w:t>c</w:t>
      </w:r>
      <w:r w:rsidRPr="004519F5">
        <w:rPr>
          <w:i/>
          <w:iCs/>
          <w:shd w:val="clear" w:color="auto" w:fill="FFFFFF"/>
        </w:rPr>
        <w:t>ation</w:t>
      </w:r>
      <w:r w:rsidRPr="004519F5">
        <w:rPr>
          <w:shd w:val="clear" w:color="auto" w:fill="FFFFFF"/>
        </w:rPr>
        <w:t>, 95.4 (1987).</w:t>
      </w:r>
    </w:p>
  </w:footnote>
  <w:footnote w:id="4">
    <w:p w14:paraId="691DD718" w14:textId="2DAF9969" w:rsidR="00082AA3" w:rsidRPr="004519F5" w:rsidRDefault="00082AA3">
      <w:pPr>
        <w:pStyle w:val="FootnoteText"/>
      </w:pPr>
      <w:r w:rsidRPr="004519F5">
        <w:rPr>
          <w:rStyle w:val="FootnoteReference"/>
        </w:rPr>
        <w:footnoteRef/>
      </w:r>
      <w:r w:rsidRPr="004519F5">
        <w:t xml:space="preserve"> </w:t>
      </w:r>
      <w:r w:rsidRPr="004519F5">
        <w:rPr>
          <w:shd w:val="clear" w:color="auto" w:fill="FFFFFF"/>
        </w:rPr>
        <w:t>W. E. B Du Bois, </w:t>
      </w:r>
      <w:r w:rsidRPr="004519F5">
        <w:rPr>
          <w:i/>
          <w:iCs/>
          <w:shd w:val="clear" w:color="auto" w:fill="FFFFFF"/>
        </w:rPr>
        <w:t>The Souls Of Black Folk</w:t>
      </w:r>
      <w:r w:rsidRPr="004519F5">
        <w:rPr>
          <w:shd w:val="clear" w:color="auto" w:fill="FFFFFF"/>
        </w:rPr>
        <w:t> (Chicago: A. C. McClurg &amp; Co., 1903).</w:t>
      </w:r>
    </w:p>
  </w:footnote>
  <w:footnote w:id="5">
    <w:p w14:paraId="11BE29A3" w14:textId="4991F003" w:rsidR="00874745" w:rsidRPr="004519F5" w:rsidRDefault="00874745">
      <w:pPr>
        <w:pStyle w:val="FootnoteText"/>
      </w:pPr>
      <w:r w:rsidRPr="004519F5">
        <w:rPr>
          <w:rStyle w:val="FootnoteReference"/>
        </w:rPr>
        <w:footnoteRef/>
      </w:r>
      <w:r w:rsidRPr="004519F5">
        <w:t xml:space="preserve"> Washington, 1895</w:t>
      </w:r>
    </w:p>
  </w:footnote>
  <w:footnote w:id="6">
    <w:p w14:paraId="080BFAEC" w14:textId="77777777" w:rsidR="00AF64B8" w:rsidRDefault="00AF64B8" w:rsidP="00AF64B8">
      <w:pPr>
        <w:pStyle w:val="FootnoteText"/>
      </w:pPr>
      <w:r w:rsidRPr="004519F5">
        <w:rPr>
          <w:rStyle w:val="FootnoteReference"/>
        </w:rPr>
        <w:footnoteRef/>
      </w:r>
      <w:r w:rsidRPr="004519F5">
        <w:t xml:space="preserve"> </w:t>
      </w:r>
      <w:r w:rsidRPr="004519F5">
        <w:rPr>
          <w:shd w:val="clear" w:color="auto" w:fill="FFFFFF"/>
        </w:rPr>
        <w:t>Plessy v. Ferguson, </w:t>
      </w:r>
      <w:r w:rsidRPr="004519F5">
        <w:rPr>
          <w:i/>
          <w:iCs/>
          <w:shd w:val="clear" w:color="auto" w:fill="FFFFFF"/>
        </w:rPr>
        <w:t>163 U.S. 537</w:t>
      </w:r>
      <w:r w:rsidRPr="004519F5">
        <w:rPr>
          <w:shd w:val="clear" w:color="auto" w:fill="FFFFFF"/>
        </w:rPr>
        <w:t>, 1896.</w:t>
      </w:r>
    </w:p>
  </w:footnote>
  <w:footnote w:id="7">
    <w:p w14:paraId="29D43D85" w14:textId="7285CDF3" w:rsidR="00535F85" w:rsidRDefault="00535F85">
      <w:pPr>
        <w:pStyle w:val="FootnoteText"/>
      </w:pPr>
      <w:r>
        <w:rPr>
          <w:rStyle w:val="FootnoteReference"/>
        </w:rPr>
        <w:footnoteRef/>
      </w:r>
      <w:r>
        <w:t xml:space="preserve"> Washington, 1895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423647"/>
    <w:multiLevelType w:val="hybridMultilevel"/>
    <w:tmpl w:val="FFE6E9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7E3"/>
    <w:rsid w:val="00022295"/>
    <w:rsid w:val="00046CBC"/>
    <w:rsid w:val="00082AA3"/>
    <w:rsid w:val="00085C1E"/>
    <w:rsid w:val="000A71F4"/>
    <w:rsid w:val="0042419C"/>
    <w:rsid w:val="004519F5"/>
    <w:rsid w:val="00480CD9"/>
    <w:rsid w:val="004A6A1F"/>
    <w:rsid w:val="00535F85"/>
    <w:rsid w:val="005618E7"/>
    <w:rsid w:val="00580BA0"/>
    <w:rsid w:val="0060739D"/>
    <w:rsid w:val="00696A2F"/>
    <w:rsid w:val="00704760"/>
    <w:rsid w:val="00742111"/>
    <w:rsid w:val="00772553"/>
    <w:rsid w:val="00796EA0"/>
    <w:rsid w:val="00812387"/>
    <w:rsid w:val="00874745"/>
    <w:rsid w:val="008C185E"/>
    <w:rsid w:val="00934DED"/>
    <w:rsid w:val="00AE5248"/>
    <w:rsid w:val="00AF64B8"/>
    <w:rsid w:val="00B20F69"/>
    <w:rsid w:val="00C56337"/>
    <w:rsid w:val="00CF2C00"/>
    <w:rsid w:val="00DD5342"/>
    <w:rsid w:val="00E10B08"/>
    <w:rsid w:val="00E261E6"/>
    <w:rsid w:val="00E85435"/>
    <w:rsid w:val="00EB37B1"/>
    <w:rsid w:val="00EE11A0"/>
    <w:rsid w:val="00EF5FF8"/>
    <w:rsid w:val="00F27DAB"/>
    <w:rsid w:val="00F827E3"/>
    <w:rsid w:val="00FA1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B6EA"/>
  <w15:chartTrackingRefBased/>
  <w15:docId w15:val="{D8BF5405-9853-4C66-B85B-133F2430C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peak Pro" w:eastAsiaTheme="minorHAnsi" w:hAnsi="Speak Pro" w:cs="Arial"/>
        <w:color w:val="000000"/>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238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827E3"/>
    <w:pPr>
      <w:spacing w:after="0" w:line="240" w:lineRule="auto"/>
      <w:ind w:left="720"/>
      <w:contextualSpacing/>
    </w:pPr>
    <w:rPr>
      <w:rFonts w:ascii="Times New Roman" w:eastAsia="Times New Roman" w:hAnsi="Times New Roman" w:cs="Times New Roman"/>
      <w:color w:val="auto"/>
      <w:sz w:val="20"/>
      <w:szCs w:val="20"/>
      <w:lang w:eastAsia="en-GB"/>
    </w:rPr>
  </w:style>
  <w:style w:type="character" w:customStyle="1" w:styleId="ListParagraphChar">
    <w:name w:val="List Paragraph Char"/>
    <w:link w:val="ListParagraph"/>
    <w:uiPriority w:val="34"/>
    <w:qFormat/>
    <w:locked/>
    <w:rsid w:val="00F827E3"/>
    <w:rPr>
      <w:rFonts w:ascii="Times New Roman" w:eastAsia="Times New Roman" w:hAnsi="Times New Roman" w:cs="Times New Roman"/>
      <w:color w:val="auto"/>
      <w:sz w:val="20"/>
      <w:szCs w:val="20"/>
      <w:lang w:eastAsia="en-GB"/>
    </w:rPr>
  </w:style>
  <w:style w:type="character" w:styleId="Hyperlink">
    <w:name w:val="Hyperlink"/>
    <w:basedOn w:val="DefaultParagraphFont"/>
    <w:uiPriority w:val="99"/>
    <w:semiHidden/>
    <w:unhideWhenUsed/>
    <w:rsid w:val="00812387"/>
    <w:rPr>
      <w:color w:val="0000FF"/>
      <w:u w:val="single"/>
    </w:rPr>
  </w:style>
  <w:style w:type="character" w:customStyle="1" w:styleId="Heading1Char">
    <w:name w:val="Heading 1 Char"/>
    <w:basedOn w:val="DefaultParagraphFont"/>
    <w:link w:val="Heading1"/>
    <w:uiPriority w:val="9"/>
    <w:rsid w:val="00812387"/>
    <w:rPr>
      <w:rFonts w:asciiTheme="majorHAnsi" w:eastAsiaTheme="majorEastAsia" w:hAnsiTheme="majorHAnsi" w:cstheme="majorBidi"/>
      <w:color w:val="2F5496" w:themeColor="accent1" w:themeShade="BF"/>
      <w:sz w:val="32"/>
      <w:szCs w:val="32"/>
      <w:lang w:val="en-US"/>
    </w:rPr>
  </w:style>
  <w:style w:type="paragraph" w:styleId="FootnoteText">
    <w:name w:val="footnote text"/>
    <w:basedOn w:val="Normal"/>
    <w:link w:val="FootnoteTextChar"/>
    <w:uiPriority w:val="99"/>
    <w:semiHidden/>
    <w:unhideWhenUsed/>
    <w:rsid w:val="00E854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5435"/>
    <w:rPr>
      <w:sz w:val="20"/>
      <w:szCs w:val="20"/>
    </w:rPr>
  </w:style>
  <w:style w:type="character" w:styleId="FootnoteReference">
    <w:name w:val="footnote reference"/>
    <w:basedOn w:val="DefaultParagraphFont"/>
    <w:uiPriority w:val="99"/>
    <w:semiHidden/>
    <w:unhideWhenUsed/>
    <w:rsid w:val="00E854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828001">
      <w:bodyDiv w:val="1"/>
      <w:marLeft w:val="0"/>
      <w:marRight w:val="0"/>
      <w:marTop w:val="0"/>
      <w:marBottom w:val="0"/>
      <w:divBdr>
        <w:top w:val="none" w:sz="0" w:space="0" w:color="auto"/>
        <w:left w:val="none" w:sz="0" w:space="0" w:color="auto"/>
        <w:bottom w:val="none" w:sz="0" w:space="0" w:color="auto"/>
        <w:right w:val="none" w:sz="0" w:space="0" w:color="auto"/>
      </w:divBdr>
    </w:div>
    <w:div w:id="621498233">
      <w:bodyDiv w:val="1"/>
      <w:marLeft w:val="0"/>
      <w:marRight w:val="0"/>
      <w:marTop w:val="0"/>
      <w:marBottom w:val="0"/>
      <w:divBdr>
        <w:top w:val="none" w:sz="0" w:space="0" w:color="auto"/>
        <w:left w:val="none" w:sz="0" w:space="0" w:color="auto"/>
        <w:bottom w:val="none" w:sz="0" w:space="0" w:color="auto"/>
        <w:right w:val="none" w:sz="0" w:space="0" w:color="auto"/>
      </w:divBdr>
    </w:div>
    <w:div w:id="675424560">
      <w:bodyDiv w:val="1"/>
      <w:marLeft w:val="0"/>
      <w:marRight w:val="0"/>
      <w:marTop w:val="0"/>
      <w:marBottom w:val="0"/>
      <w:divBdr>
        <w:top w:val="none" w:sz="0" w:space="0" w:color="auto"/>
        <w:left w:val="none" w:sz="0" w:space="0" w:color="auto"/>
        <w:bottom w:val="none" w:sz="0" w:space="0" w:color="auto"/>
        <w:right w:val="none" w:sz="0" w:space="0" w:color="auto"/>
      </w:divBdr>
    </w:div>
    <w:div w:id="839127816">
      <w:bodyDiv w:val="1"/>
      <w:marLeft w:val="0"/>
      <w:marRight w:val="0"/>
      <w:marTop w:val="0"/>
      <w:marBottom w:val="0"/>
      <w:divBdr>
        <w:top w:val="none" w:sz="0" w:space="0" w:color="auto"/>
        <w:left w:val="none" w:sz="0" w:space="0" w:color="auto"/>
        <w:bottom w:val="none" w:sz="0" w:space="0" w:color="auto"/>
        <w:right w:val="none" w:sz="0" w:space="0" w:color="auto"/>
      </w:divBdr>
    </w:div>
    <w:div w:id="1748265946">
      <w:bodyDiv w:val="1"/>
      <w:marLeft w:val="0"/>
      <w:marRight w:val="0"/>
      <w:marTop w:val="0"/>
      <w:marBottom w:val="0"/>
      <w:divBdr>
        <w:top w:val="none" w:sz="0" w:space="0" w:color="auto"/>
        <w:left w:val="none" w:sz="0" w:space="0" w:color="auto"/>
        <w:bottom w:val="none" w:sz="0" w:space="0" w:color="auto"/>
        <w:right w:val="none" w:sz="0" w:space="0" w:color="auto"/>
      </w:divBdr>
    </w:div>
    <w:div w:id="210896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owaculture.gov/sites/default/files/history-education-pss-areconstruction-atlanta-transcription.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Was95</b:Tag>
    <b:SourceType>Misc</b:SourceType>
    <b:Guid>{7839A3C0-607D-4BA2-96CA-217C8573E720}</b:Guid>
    <b:Title>Atlanta Exposition Speech</b:Title>
    <b:Year>1895</b:Year>
    <b:City>Atlanta</b:City>
    <b:Author>
      <b:Author>
        <b:NameList>
          <b:Person>
            <b:Last>Washington</b:Last>
            <b:Middle>T</b:Middle>
            <b:First>Booker</b:First>
          </b:Person>
        </b:NameList>
      </b:Author>
    </b:Author>
    <b:RefOrder>1</b:RefOrder>
  </b:Source>
</b:Sources>
</file>

<file path=customXml/itemProps1.xml><?xml version="1.0" encoding="utf-8"?>
<ds:datastoreItem xmlns:ds="http://schemas.openxmlformats.org/officeDocument/2006/customXml" ds:itemID="{BD2B2DB7-242A-427C-B6AF-D4DE2B5AA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3</Pages>
  <Words>820</Words>
  <Characters>4680</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Smith</dc:creator>
  <cp:keywords/>
  <dc:description/>
  <cp:lastModifiedBy>Scott Smith</cp:lastModifiedBy>
  <cp:revision>7</cp:revision>
  <dcterms:created xsi:type="dcterms:W3CDTF">2020-01-26T16:57:00Z</dcterms:created>
  <dcterms:modified xsi:type="dcterms:W3CDTF">2020-01-26T23:00:00Z</dcterms:modified>
</cp:coreProperties>
</file>