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BD0E75" w14:textId="77777777" w:rsidR="00E37CCE" w:rsidRPr="00E37CCE" w:rsidRDefault="00E37CCE" w:rsidP="00E37CCE">
      <w:pPr>
        <w:jc w:val="center"/>
        <w:rPr>
          <w:rFonts w:ascii="Georgia" w:hAnsi="Georgia"/>
        </w:rPr>
      </w:pPr>
      <w:r w:rsidRPr="00E37CCE">
        <w:rPr>
          <w:rFonts w:ascii="Georgia" w:hAnsi="Georgia"/>
          <w:sz w:val="32"/>
          <w:szCs w:val="32"/>
          <w:u w:val="single"/>
        </w:rPr>
        <w:t>The Political Effects Archaeology has on Identity, Culture and Heritage</w:t>
      </w:r>
    </w:p>
    <w:p w14:paraId="24E07AAB" w14:textId="77777777" w:rsidR="00E37CCE" w:rsidRPr="00E37CCE" w:rsidRDefault="00E37CCE" w:rsidP="00E37CCE">
      <w:pPr>
        <w:rPr>
          <w:rFonts w:ascii="Georgia" w:hAnsi="Georgia"/>
        </w:rPr>
      </w:pPr>
    </w:p>
    <w:p w14:paraId="52CEB5A1" w14:textId="77777777" w:rsidR="00E37CCE" w:rsidRPr="00E37CCE" w:rsidRDefault="00E37CCE" w:rsidP="00E37CCE">
      <w:pPr>
        <w:rPr>
          <w:rFonts w:ascii="Georgia" w:hAnsi="Georgia"/>
        </w:rPr>
      </w:pPr>
      <w:r w:rsidRPr="00E37CCE">
        <w:rPr>
          <w:rFonts w:ascii="Georgia" w:hAnsi="Georgia"/>
        </w:rPr>
        <w:t>When discussing archaeology it is almost impossible to bypass the impression politics has formed from its very creation. Rooted in colonialism and still tentatively walking the line of cultural sensitivity, it is harder to suggest that archaeology is not inherently political. But what is the meaning of politics? Conventionally it is seen as the Acts and Laws made in parliament, however, it also includes all aspects of society such as “education, information, sciences [and] technology” (Ferns, 1985, p.10). In conjunction, what can be represented as archaeology? For many it is the study and excavation of ancient artefacts, however, lineage and heritage are also linked to the subject. The roots of human identity, culture and understanding are as much of an archaeological concern as they are a political concern (Lennex and Richardson, 2016). This essay will revolve around the ways in which Natives have been able to utilise politics to reclaim their stolen culture and the effect Native opinion has had on archaeological legislation. </w:t>
      </w:r>
    </w:p>
    <w:p w14:paraId="5F1AD494" w14:textId="77777777" w:rsidR="00E37CCE" w:rsidRPr="00E37CCE" w:rsidRDefault="00E37CCE" w:rsidP="00E37CCE">
      <w:pPr>
        <w:rPr>
          <w:rFonts w:ascii="Georgia" w:hAnsi="Georgia"/>
        </w:rPr>
      </w:pPr>
    </w:p>
    <w:p w14:paraId="235A0B9B" w14:textId="77777777" w:rsidR="00E37CCE" w:rsidRPr="00E37CCE" w:rsidRDefault="00E37CCE" w:rsidP="00E37CCE">
      <w:pPr>
        <w:rPr>
          <w:rFonts w:ascii="Georgia" w:hAnsi="Georgia"/>
        </w:rPr>
      </w:pPr>
      <w:r w:rsidRPr="00E37CCE">
        <w:rPr>
          <w:rFonts w:ascii="Georgia" w:hAnsi="Georgia"/>
        </w:rPr>
        <w:t xml:space="preserve">The first archaeological hammer to hit the Native Americans cultural traditions was the work of Thomas Jefferson during the early 1780’s (Zechmeister, 2010). Famous for his legislation during the American Enlightenment and named the ‘Father of American Archaeology’, he found his beginnings by excavating a mound found on a friend's estate in Virginia. Through the (possible) use of his slaves from his Monticello plantation, Jefferson dug several areas of the mound, finding bones of children and adults in each- specifically he notes how the bones are not in a skeletal shape and rather like they had been thrown in from a basket (Hantman, 2020 (Zechmeister, 2010)). No consultation was held with the Natives of the area, rather Jefferson and other archaeologists working on the site believed that the Natives were not the ones who built the mounds. Instead they predicted that a ‘Scandinavian, Welsh, Mexican, Siberian or South Asian’ (Trigger, 1989, pp.21) culture developed in the Americas and the current Natives were the ones to dispel them or make them extinct. This ideology comes from an idea that many American organisations upheld, specifically the ‘American federal government agencies such as the Smithsonian Institute and the Bureau of American Ethnology’ (Trigger, 1989, pp.20), the idea that the Natives were not culturally developed enough to establish such sophisticated landmarks (Trigger, 1989, pp.20). This political push for ostracisation of the Natives led to them being left out of a majority of American history or when mentioned being stated as inferior to the European Colonists due to their supposed unevolved nature (Trigger, 1989, pp.21 (Adams, 2024)). The excavation shows how the action of destroying a heritage site for the Natives was politically justified by the idea that they were not the original owners and therefore did not hold responsibility over the mound. It has been proven that the mounds were from the Monacan tribe (Hantman, 2020), however, the mounds excavation still stands as a politically charged notion to not only showed the lack of understanding of the Native culture but also expresses how archaeology can be used to as a propaganda tool . Evidence from this excavation was used to show that the European people were the only ones ‘progressive enough to be suitable for historical study’ (Trigger, 1989, pp.20) implying that the Natives did not have a history. This kind of evidence was used as an excuse to push back Native Americans into smaller and smaller reservations in order for European settlers to supposedly modernise America through Manifest Destiny (Norton, 2017). Legislation was created and implemented from the evidence the organisations collected, specifically the most notable being the Removal Act of 1830 which restricted Native Americans to the West of the Mississippi river (Drexler, 2019). </w:t>
      </w:r>
      <w:r w:rsidRPr="00E37CCE">
        <w:rPr>
          <w:rFonts w:ascii="Georgia" w:hAnsi="Georgia"/>
        </w:rPr>
        <w:lastRenderedPageBreak/>
        <w:t>Archaeology here has been used to spread misinformation on a grand enough scale that it has negatively affected the lives of others and forced them to change their ways to accommodate for an invading power (the European settlers). </w:t>
      </w:r>
    </w:p>
    <w:p w14:paraId="507C0AFB" w14:textId="77777777" w:rsidR="00E37CCE" w:rsidRPr="00E37CCE" w:rsidRDefault="00E37CCE" w:rsidP="00E37CCE">
      <w:pPr>
        <w:rPr>
          <w:rFonts w:ascii="Georgia" w:hAnsi="Georgia"/>
        </w:rPr>
      </w:pPr>
    </w:p>
    <w:p w14:paraId="41BE1893" w14:textId="77777777" w:rsidR="00E37CCE" w:rsidRPr="00E37CCE" w:rsidRDefault="00E37CCE" w:rsidP="00E37CCE">
      <w:pPr>
        <w:rPr>
          <w:rFonts w:ascii="Georgia" w:hAnsi="Georgia"/>
        </w:rPr>
      </w:pPr>
      <w:r w:rsidRPr="00E37CCE">
        <w:rPr>
          <w:rFonts w:ascii="Georgia" w:hAnsi="Georgia"/>
        </w:rPr>
        <w:t xml:space="preserve">This forceful extermination of Native voices from American history and the use of archaeology to excuse such behaviours has attempted to be corrected in the present. The formation of NAGPRA (Native American Graves Protection and Repatriation Act) in 1990 was one of the first national steps towards ethically conscious American archaeology. The organisation aimed to give a voice to disgruntled tribes that wanted their ancestors' remains back from other federal organisations and universities (National Park Service, 2019), however, this was not easy due to the reluctance of some Institutes to hand over their stolen artefacts. It has taken decades for some universities such as the University of California to comply with the policies of the  1990 Act, having returned only 6% of the approximate 700,000 artefacts and remains they currently hold (Hall, 2023). This is found again with the prestigious Harvard University, which was found to have one of the largest collections of Native memorabilia, yet it has only repatriated 38% of their collection. Additionally, a study done by </w:t>
      </w:r>
      <w:proofErr w:type="spellStart"/>
      <w:r w:rsidRPr="00E37CCE">
        <w:rPr>
          <w:rFonts w:ascii="Georgia" w:hAnsi="Georgia"/>
        </w:rPr>
        <w:t>ProPublic</w:t>
      </w:r>
      <w:proofErr w:type="spellEnd"/>
      <w:r w:rsidRPr="00E37CCE">
        <w:rPr>
          <w:rFonts w:ascii="Georgia" w:hAnsi="Georgia"/>
        </w:rPr>
        <w:t xml:space="preserve"> found that 600 federally funded institutes had not yet complied with NAGPRA (Suozzo, 2023). This not only shows that legislation towards the use of archaeological items is not as strong as it should be but also the lack of ethical concern some Institutes have towards the living descendants of the remains. Furthermore, the Smithsonian is exempt from the policies and instead it follows the 1989 National Museum of the American Indian Act (Ward, 2024). This is marginally due to the fact that the Institute holds onto one of the largest displays of Native artefacts in the country. However, due to its exemption the Smithsonian is legally allowed to display artefacts and remains without the consent of the tribes themselves (Ward, 2024). Moreover, the 1989 Act has not been updated to more modern standards meaning archaeological legislation has not been looked at as deeply as it should be. </w:t>
      </w:r>
    </w:p>
    <w:p w14:paraId="34C18DA1" w14:textId="77777777" w:rsidR="00E37CCE" w:rsidRPr="00E37CCE" w:rsidRDefault="00E37CCE" w:rsidP="00E37CCE">
      <w:pPr>
        <w:rPr>
          <w:rFonts w:ascii="Georgia" w:hAnsi="Georgia"/>
        </w:rPr>
      </w:pPr>
    </w:p>
    <w:p w14:paraId="0063253F" w14:textId="77777777" w:rsidR="00E37CCE" w:rsidRPr="00E37CCE" w:rsidRDefault="00E37CCE" w:rsidP="00E37CCE">
      <w:pPr>
        <w:rPr>
          <w:rFonts w:ascii="Georgia" w:hAnsi="Georgia"/>
        </w:rPr>
      </w:pPr>
      <w:r w:rsidRPr="00E37CCE">
        <w:rPr>
          <w:rFonts w:ascii="Georgia" w:hAnsi="Georgia"/>
        </w:rPr>
        <w:t>Politics can now be used by the tribes to make their voices heard and to push back against the grave desecration that was disguised as archaeology in the past, there have been successes from the Native American Graves Protection and Repatriation Act in conjunction with the Archaeological Resources Protection Act (ARPA) of 1979. The use of permits through the ARPA have allowed many establishments to keep their Native artefacts through an agreed contract with the tribe themselves (</w:t>
      </w:r>
      <w:proofErr w:type="spellStart"/>
      <w:r w:rsidRPr="00E37CCE">
        <w:rPr>
          <w:rFonts w:ascii="Georgia" w:hAnsi="Georgia"/>
        </w:rPr>
        <w:t>centerforartlaw</w:t>
      </w:r>
      <w:proofErr w:type="spellEnd"/>
      <w:r w:rsidRPr="00E37CCE">
        <w:rPr>
          <w:rFonts w:ascii="Georgia" w:hAnsi="Georgia"/>
        </w:rPr>
        <w:t>, 2021), meaning that the culture has a say in what happens to their ancestors. The ARPA replaced the outdated anti-excavation policies of the Antiquities Act of 1906, and authorised that before all excavations the organisation running the dig needed a permit (Gibbon, 2018). Further proving archaeology as a political practice as the legislation outlines the steps in which it needs to adhere and the effects its findings can have on a certain culture if the proper regulations are not met. However, it is not only American archaeology that has taken into account the voices of its Natives. </w:t>
      </w:r>
    </w:p>
    <w:p w14:paraId="7698877F" w14:textId="77777777" w:rsidR="00E37CCE" w:rsidRPr="00E37CCE" w:rsidRDefault="00E37CCE" w:rsidP="00E37CCE">
      <w:pPr>
        <w:rPr>
          <w:rFonts w:ascii="Georgia" w:hAnsi="Georgia"/>
        </w:rPr>
      </w:pPr>
    </w:p>
    <w:p w14:paraId="54931A62" w14:textId="77777777" w:rsidR="00E37CCE" w:rsidRPr="00E37CCE" w:rsidRDefault="00E37CCE" w:rsidP="00E37CCE">
      <w:pPr>
        <w:rPr>
          <w:rFonts w:ascii="Georgia" w:hAnsi="Georgia"/>
        </w:rPr>
      </w:pPr>
      <w:r w:rsidRPr="00E37CCE">
        <w:rPr>
          <w:rFonts w:ascii="Georgia" w:hAnsi="Georgia"/>
        </w:rPr>
        <w:t xml:space="preserve">The Aboriginals are a native tribe in Australia that are one of the oldest cultures in the world, having started approximately 65,000 to 80,000 years ago (Davidson and Wahlquist, 2018). Colonisation of the continent started in the late 18th century, around 1770 when an expedition led by James Cook docked at the shore and met the indigenous population with violence and misunderstandings (Moore, 2023 (MacGregor, 2010)). Cook deemed the land that of the British Empire and began the end of the longstanding Aboriginal and Torres </w:t>
      </w:r>
      <w:r w:rsidRPr="00E37CCE">
        <w:rPr>
          <w:rFonts w:ascii="Georgia" w:hAnsi="Georgia"/>
        </w:rPr>
        <w:lastRenderedPageBreak/>
        <w:t>Strait Islander peoples (Moore, 2023 pp. 6-8). The beginnings of archaeology is often attributed to the new archaeology of the 1960’s, an attempt to get away from the ‘</w:t>
      </w:r>
      <w:proofErr w:type="spellStart"/>
      <w:r w:rsidRPr="00E37CCE">
        <w:rPr>
          <w:rFonts w:ascii="Georgia" w:hAnsi="Georgia"/>
        </w:rPr>
        <w:t>amature</w:t>
      </w:r>
      <w:proofErr w:type="spellEnd"/>
      <w:r w:rsidRPr="00E37CCE">
        <w:rPr>
          <w:rFonts w:ascii="Georgia" w:hAnsi="Georgia"/>
        </w:rPr>
        <w:t xml:space="preserve">’ antiquarians that were employed by museums (Spriggs, 2020). However, the collection of archaeological items started before that, at the very first meeting of European and Aboriginal men. The </w:t>
      </w:r>
      <w:proofErr w:type="spellStart"/>
      <w:r w:rsidRPr="00E37CCE">
        <w:rPr>
          <w:rFonts w:ascii="Georgia" w:hAnsi="Georgia"/>
        </w:rPr>
        <w:t>Gweagal</w:t>
      </w:r>
      <w:proofErr w:type="spellEnd"/>
      <w:r w:rsidRPr="00E37CCE">
        <w:rPr>
          <w:rFonts w:ascii="Georgia" w:hAnsi="Georgia"/>
        </w:rPr>
        <w:t xml:space="preserve"> Shield, dated to the 1700’s (Moore, 2023, pp. 15-19) is a controversial piece of a vast amount of archaeological artefacts still housed in the British museum. It was made by the </w:t>
      </w:r>
      <w:proofErr w:type="spellStart"/>
      <w:r w:rsidRPr="00E37CCE">
        <w:rPr>
          <w:rFonts w:ascii="Georgia" w:hAnsi="Georgia"/>
        </w:rPr>
        <w:t>Gweagal</w:t>
      </w:r>
      <w:proofErr w:type="spellEnd"/>
      <w:r w:rsidRPr="00E37CCE">
        <w:rPr>
          <w:rFonts w:ascii="Georgia" w:hAnsi="Georgia"/>
        </w:rPr>
        <w:t xml:space="preserve"> people, the people that the settlers met on the first day of their arrival, and has been widely requested by thousands of Natives to be returned to Australian soil . A, supposed, direct relation (Rodney Kelly) to the very crafter of the shield approached the British Museum in 2016 and requested for the shield to be brought back (Nugent and Sculthorpe, 2018), however they were denied due to legislation that relinquished the powers of the original owners and enhanced the thieves. Specifically, the British Museum Act of 1963 limited the ability for original owners of the colonised artefacts to request repatriation (Moore, 2023, pp. 29-31). This Act also specifies that the artefacts must be kept in as best condition they can be, they cannot alter the artefact (British Government, 2011). This act not only shows how archaeology is lagging behind in the world of legislation and many question the relevancy of Acts passed more almost 60 years prior without revision. Arguments have been targeting the almost unfair rule the museum has over the artefacts that aren’t originally there and were taken during the colonial era (Moore, 2023, pp. 29-31). However, this hindrance in the United Kingdom's approach to archaeological legislation in terms of repatriations has not stopped Australia from introducing policies and acts to increase the influence of Natives in their decision making. The Heritage Laws have built up the power of the Natives that were once only mentioned twice in the original constitution, with both times being derogatory and excluding them from colonised Australia (Williams, 2023), with this only being fixed in the 1967 referendum. Heritage Laws include the Aboriginal and Torres Strait Islander Heritage Protection Act of 1984, made to hold the government responsible for culturally important sites and any damage that may be done to them (Australian Government, 2021). This shows that archaeology is a political practice as it is the action of the government in relation to the protection of ancient sites, modifying the study by creating a barrier around the site and needing permissions to touch it. Permissions given by the Aboriginal Heritage Regulations 1974 in which different  permissions are given on a level of how much damage the excavation would cause to the site, for example a Section 18 consent would be in relation to harming the site whereas a Regulation 10 consent would be minimal impacts (Western Australia, 2004). This inclusion of indigenous voices has been exemplified by the Australian Heritage Council Act 2003, in which they replaced the Heritage Commission with a more diverse Council (Parliamentary Counsel, 2003). It included at least 2 indigenous members that were chosen to represent the interest of the culture, additionally, all members must be fully educated and informed in heritage (Parliamentary Counsel, 2003). This new age of archaeological legislation in relation to Native opinion has expanded the subject into a more ethically sensitive art. </w:t>
      </w:r>
    </w:p>
    <w:p w14:paraId="2A680495" w14:textId="77777777" w:rsidR="00E37CCE" w:rsidRPr="00E37CCE" w:rsidRDefault="00E37CCE" w:rsidP="00E37CCE">
      <w:pPr>
        <w:rPr>
          <w:rFonts w:ascii="Georgia" w:hAnsi="Georgia"/>
        </w:rPr>
      </w:pPr>
    </w:p>
    <w:p w14:paraId="73849FF1" w14:textId="77777777" w:rsidR="00E37CCE" w:rsidRPr="00E37CCE" w:rsidRDefault="00E37CCE" w:rsidP="00E37CCE">
      <w:pPr>
        <w:rPr>
          <w:rFonts w:ascii="Georgia" w:hAnsi="Georgia"/>
        </w:rPr>
      </w:pPr>
      <w:r w:rsidRPr="00E37CCE">
        <w:rPr>
          <w:rFonts w:ascii="Georgia" w:hAnsi="Georgia"/>
        </w:rPr>
        <w:t xml:space="preserve">Conclusively, archaeology is, in itself, a political practice. Its impact on different cultures through the enforcement of propaganda and stereotypes shows the power the study has and how it needs to be handled with cultural sensitivity. The very bones of the discipline are also subjected to the same rigorous questioning, the funding of a dig holds political questions and oppositions, how much money is needed? Why should it be spent on archaeology? What impact would this information have on the greater community and would it affect their cultural identity? In conjunction with that, there is the show of power that is evident in archaeologies history. It was used to excuse colonial behaviour, taken from cultures that were not viewed as people but merely animals. Such political notions were also carried into </w:t>
      </w:r>
      <w:r w:rsidRPr="00E37CCE">
        <w:rPr>
          <w:rFonts w:ascii="Georgia" w:hAnsi="Georgia"/>
        </w:rPr>
        <w:lastRenderedPageBreak/>
        <w:t xml:space="preserve">the 20th century with the Nazi justification for Lebensraum through pseudoarchaeology (Bouchard, 2011). It is impossible to say that archaeology as a whole does not hold weight in the world of politics, the discipline often finds itself in situations where a governing body’s opinion and sometimes new enforced legislation are needed. The examples used of colonial America and the Aboriginal groups only show how slow progress for archaeology is and how those in higher society are still able to control and manipulate their power to keep cultural heritage and identity away from these groups. </w:t>
      </w:r>
    </w:p>
    <w:p w14:paraId="22857899" w14:textId="77777777" w:rsidR="006E52E6" w:rsidRDefault="006E52E6">
      <w:pPr>
        <w:rPr>
          <w:rFonts w:ascii="Georgia" w:hAnsi="Georgia"/>
        </w:rPr>
      </w:pPr>
    </w:p>
    <w:p w14:paraId="50F85A1C" w14:textId="77777777" w:rsidR="00E37CCE" w:rsidRDefault="00E37CCE">
      <w:pPr>
        <w:rPr>
          <w:rFonts w:ascii="Georgia" w:hAnsi="Georgia"/>
        </w:rPr>
      </w:pPr>
    </w:p>
    <w:p w14:paraId="0F375F92" w14:textId="77777777" w:rsidR="00E37CCE" w:rsidRDefault="00E37CCE">
      <w:pPr>
        <w:rPr>
          <w:rFonts w:ascii="Georgia" w:hAnsi="Georgia"/>
        </w:rPr>
      </w:pPr>
    </w:p>
    <w:p w14:paraId="4DE5ED62" w14:textId="77777777" w:rsidR="00E37CCE" w:rsidRDefault="00E37CCE">
      <w:pPr>
        <w:rPr>
          <w:rFonts w:ascii="Georgia" w:hAnsi="Georgia"/>
        </w:rPr>
      </w:pPr>
    </w:p>
    <w:p w14:paraId="46CC5C88" w14:textId="77777777" w:rsidR="00E37CCE" w:rsidRDefault="00E37CCE">
      <w:pPr>
        <w:rPr>
          <w:rFonts w:ascii="Georgia" w:hAnsi="Georgia"/>
        </w:rPr>
      </w:pPr>
    </w:p>
    <w:p w14:paraId="021F4CF9" w14:textId="77777777" w:rsidR="00E37CCE" w:rsidRDefault="00E37CCE">
      <w:pPr>
        <w:rPr>
          <w:rFonts w:ascii="Georgia" w:hAnsi="Georgia"/>
        </w:rPr>
      </w:pPr>
    </w:p>
    <w:p w14:paraId="6203AAEE" w14:textId="77777777" w:rsidR="00E37CCE" w:rsidRDefault="00E37CCE">
      <w:pPr>
        <w:rPr>
          <w:rFonts w:ascii="Georgia" w:hAnsi="Georgia"/>
        </w:rPr>
      </w:pPr>
    </w:p>
    <w:p w14:paraId="2F45070A" w14:textId="77777777" w:rsidR="00E37CCE" w:rsidRDefault="00E37CCE">
      <w:pPr>
        <w:rPr>
          <w:rFonts w:ascii="Georgia" w:hAnsi="Georgia"/>
        </w:rPr>
      </w:pPr>
    </w:p>
    <w:p w14:paraId="59C6CBB6" w14:textId="77777777" w:rsidR="00E37CCE" w:rsidRDefault="00E37CCE">
      <w:pPr>
        <w:rPr>
          <w:rFonts w:ascii="Georgia" w:hAnsi="Georgia"/>
        </w:rPr>
      </w:pPr>
    </w:p>
    <w:p w14:paraId="2316D165" w14:textId="77777777" w:rsidR="00E37CCE" w:rsidRDefault="00E37CCE">
      <w:pPr>
        <w:rPr>
          <w:rFonts w:ascii="Georgia" w:hAnsi="Georgia"/>
        </w:rPr>
      </w:pPr>
    </w:p>
    <w:p w14:paraId="6B926A20" w14:textId="77777777" w:rsidR="00E37CCE" w:rsidRDefault="00E37CCE">
      <w:pPr>
        <w:rPr>
          <w:rFonts w:ascii="Georgia" w:hAnsi="Georgia"/>
        </w:rPr>
      </w:pPr>
    </w:p>
    <w:p w14:paraId="3675CCF0" w14:textId="77777777" w:rsidR="00E37CCE" w:rsidRDefault="00E37CCE">
      <w:pPr>
        <w:rPr>
          <w:rFonts w:ascii="Georgia" w:hAnsi="Georgia"/>
        </w:rPr>
      </w:pPr>
    </w:p>
    <w:p w14:paraId="262B96C6" w14:textId="77777777" w:rsidR="00E37CCE" w:rsidRDefault="00E37CCE">
      <w:pPr>
        <w:rPr>
          <w:rFonts w:ascii="Georgia" w:hAnsi="Georgia"/>
        </w:rPr>
      </w:pPr>
    </w:p>
    <w:p w14:paraId="54B6E343" w14:textId="77777777" w:rsidR="00E37CCE" w:rsidRDefault="00E37CCE">
      <w:pPr>
        <w:rPr>
          <w:rFonts w:ascii="Georgia" w:hAnsi="Georgia"/>
        </w:rPr>
      </w:pPr>
    </w:p>
    <w:p w14:paraId="3E99C350" w14:textId="77777777" w:rsidR="00E37CCE" w:rsidRDefault="00E37CCE">
      <w:pPr>
        <w:rPr>
          <w:rFonts w:ascii="Georgia" w:hAnsi="Georgia"/>
        </w:rPr>
      </w:pPr>
    </w:p>
    <w:p w14:paraId="4D36F6BE" w14:textId="77777777" w:rsidR="00E37CCE" w:rsidRDefault="00E37CCE">
      <w:pPr>
        <w:rPr>
          <w:rFonts w:ascii="Georgia" w:hAnsi="Georgia"/>
        </w:rPr>
      </w:pPr>
    </w:p>
    <w:p w14:paraId="5A135518" w14:textId="77777777" w:rsidR="00E37CCE" w:rsidRDefault="00E37CCE">
      <w:pPr>
        <w:rPr>
          <w:rFonts w:ascii="Georgia" w:hAnsi="Georgia"/>
        </w:rPr>
      </w:pPr>
    </w:p>
    <w:p w14:paraId="4AC2A8F3" w14:textId="77777777" w:rsidR="00E37CCE" w:rsidRDefault="00E37CCE">
      <w:pPr>
        <w:rPr>
          <w:rFonts w:ascii="Georgia" w:hAnsi="Georgia"/>
        </w:rPr>
      </w:pPr>
    </w:p>
    <w:p w14:paraId="0C79F1BF" w14:textId="77777777" w:rsidR="00E37CCE" w:rsidRDefault="00E37CCE">
      <w:pPr>
        <w:rPr>
          <w:rFonts w:ascii="Georgia" w:hAnsi="Georgia"/>
        </w:rPr>
      </w:pPr>
    </w:p>
    <w:p w14:paraId="3EABA013" w14:textId="77777777" w:rsidR="00E37CCE" w:rsidRDefault="00E37CCE">
      <w:pPr>
        <w:rPr>
          <w:rFonts w:ascii="Georgia" w:hAnsi="Georgia"/>
        </w:rPr>
      </w:pPr>
    </w:p>
    <w:p w14:paraId="0FEA0086" w14:textId="77777777" w:rsidR="00E37CCE" w:rsidRDefault="00E37CCE">
      <w:pPr>
        <w:rPr>
          <w:rFonts w:ascii="Georgia" w:hAnsi="Georgia"/>
        </w:rPr>
      </w:pPr>
    </w:p>
    <w:p w14:paraId="15B8A8F2" w14:textId="77777777" w:rsidR="00E37CCE" w:rsidRDefault="00E37CCE">
      <w:pPr>
        <w:rPr>
          <w:rFonts w:ascii="Georgia" w:hAnsi="Georgia"/>
        </w:rPr>
      </w:pPr>
    </w:p>
    <w:p w14:paraId="7C5F5C4E" w14:textId="77777777" w:rsidR="00E37CCE" w:rsidRDefault="00E37CCE">
      <w:pPr>
        <w:rPr>
          <w:rFonts w:ascii="Georgia" w:hAnsi="Georgia"/>
        </w:rPr>
      </w:pPr>
    </w:p>
    <w:p w14:paraId="4DDF7912" w14:textId="77777777" w:rsidR="00E37CCE" w:rsidRDefault="00E37CCE">
      <w:pPr>
        <w:rPr>
          <w:rFonts w:ascii="Georgia" w:hAnsi="Georgia"/>
        </w:rPr>
      </w:pPr>
    </w:p>
    <w:p w14:paraId="2711EF60" w14:textId="77777777" w:rsidR="00E37CCE" w:rsidRDefault="00E37CCE">
      <w:pPr>
        <w:rPr>
          <w:rFonts w:ascii="Georgia" w:hAnsi="Georgia"/>
        </w:rPr>
      </w:pPr>
    </w:p>
    <w:p w14:paraId="39E737E1" w14:textId="77777777" w:rsidR="00E37CCE" w:rsidRDefault="00E37CCE">
      <w:pPr>
        <w:rPr>
          <w:rFonts w:ascii="Georgia" w:hAnsi="Georgia"/>
        </w:rPr>
      </w:pPr>
    </w:p>
    <w:p w14:paraId="154BF760" w14:textId="77777777" w:rsidR="00E37CCE" w:rsidRDefault="00E37CCE">
      <w:pPr>
        <w:rPr>
          <w:rFonts w:ascii="Georgia" w:hAnsi="Georgia"/>
        </w:rPr>
      </w:pPr>
    </w:p>
    <w:p w14:paraId="1154AE70" w14:textId="77777777" w:rsidR="00E37CCE" w:rsidRDefault="00E37CCE">
      <w:pPr>
        <w:rPr>
          <w:rFonts w:ascii="Georgia" w:hAnsi="Georgia"/>
        </w:rPr>
      </w:pPr>
    </w:p>
    <w:p w14:paraId="1D221BC7" w14:textId="77777777" w:rsidR="00E37CCE" w:rsidRPr="00E37CCE" w:rsidRDefault="00E37CCE" w:rsidP="00E37CCE">
      <w:pPr>
        <w:rPr>
          <w:rFonts w:ascii="Georgia" w:hAnsi="Georgia"/>
        </w:rPr>
      </w:pPr>
      <w:r w:rsidRPr="00E37CCE">
        <w:rPr>
          <w:rFonts w:ascii="Georgia" w:hAnsi="Georgia"/>
        </w:rPr>
        <w:lastRenderedPageBreak/>
        <w:t>Bibliography: </w:t>
      </w:r>
    </w:p>
    <w:p w14:paraId="40906B8D" w14:textId="77777777" w:rsidR="00E37CCE" w:rsidRPr="00E37CCE" w:rsidRDefault="00E37CCE" w:rsidP="00E37CCE">
      <w:pPr>
        <w:rPr>
          <w:rFonts w:ascii="Georgia" w:hAnsi="Georgia"/>
        </w:rPr>
      </w:pPr>
    </w:p>
    <w:p w14:paraId="7F7ACAEC" w14:textId="77777777" w:rsidR="00E37CCE" w:rsidRPr="00E37CCE" w:rsidRDefault="00E37CCE" w:rsidP="00E37CCE">
      <w:pPr>
        <w:rPr>
          <w:rFonts w:ascii="Georgia" w:hAnsi="Georgia"/>
        </w:rPr>
      </w:pPr>
      <w:r w:rsidRPr="00E37CCE">
        <w:rPr>
          <w:rFonts w:ascii="Georgia" w:hAnsi="Georgia"/>
        </w:rPr>
        <w:t xml:space="preserve">Ferns, H.S. (1985). </w:t>
      </w:r>
      <w:r w:rsidRPr="00E37CCE">
        <w:rPr>
          <w:rFonts w:ascii="Georgia" w:hAnsi="Georgia"/>
          <w:i/>
          <w:iCs/>
        </w:rPr>
        <w:t>What Politics Is About</w:t>
      </w:r>
      <w:r w:rsidRPr="00E37CCE">
        <w:rPr>
          <w:rFonts w:ascii="Georgia" w:hAnsi="Georgia"/>
        </w:rPr>
        <w:t>. 1st ed. Shepheard-Walwyn (Publishers) Ltd, p.10.</w:t>
      </w:r>
    </w:p>
    <w:p w14:paraId="1EA80586" w14:textId="637FC5AE" w:rsidR="00E37CCE" w:rsidRPr="00E37CCE" w:rsidRDefault="00E37CCE" w:rsidP="00E37CCE">
      <w:pPr>
        <w:rPr>
          <w:rFonts w:ascii="Georgia" w:hAnsi="Georgia"/>
        </w:rPr>
      </w:pPr>
      <w:r w:rsidRPr="00E37CCE">
        <w:rPr>
          <w:rFonts w:ascii="Georgia" w:hAnsi="Georgia"/>
        </w:rPr>
        <w:t xml:space="preserve">Lennex, R. and Richardson, L. - J. (2016). </w:t>
      </w:r>
      <w:r w:rsidRPr="00E37CCE">
        <w:rPr>
          <w:rFonts w:ascii="Georgia" w:hAnsi="Georgia"/>
          <w:i/>
          <w:iCs/>
        </w:rPr>
        <w:t>S1. Archaeology Is a Political Matter | TAG 2016 Southampton | University of Southampton</w:t>
      </w:r>
      <w:r w:rsidRPr="00E37CCE">
        <w:rPr>
          <w:rFonts w:ascii="Georgia" w:hAnsi="Georgia"/>
        </w:rPr>
        <w:t xml:space="preserve">. [online] www.southampton.ac.uk. Available at: </w:t>
      </w:r>
      <w:hyperlink r:id="rId4" w:history="1">
        <w:r w:rsidRPr="00E37CCE">
          <w:rPr>
            <w:rStyle w:val="Hyperlink"/>
            <w:rFonts w:ascii="Georgia" w:hAnsi="Georgia"/>
          </w:rPr>
          <w:t>https://www.southampton.ac.uk/tag2016/sessionsabstracts/session1.page</w:t>
        </w:r>
      </w:hyperlink>
      <w:r w:rsidRPr="00E37CCE">
        <w:rPr>
          <w:rFonts w:ascii="Georgia" w:hAnsi="Georgia"/>
        </w:rPr>
        <w:t>.</w:t>
      </w:r>
      <w:r>
        <w:rPr>
          <w:rFonts w:ascii="Georgia" w:hAnsi="Georgia"/>
        </w:rPr>
        <w:t xml:space="preserve"> </w:t>
      </w:r>
    </w:p>
    <w:p w14:paraId="2EE8B4F5" w14:textId="77777777" w:rsidR="00E37CCE" w:rsidRPr="00E37CCE" w:rsidRDefault="00E37CCE" w:rsidP="00E37CCE">
      <w:pPr>
        <w:rPr>
          <w:rFonts w:ascii="Georgia" w:hAnsi="Georgia"/>
        </w:rPr>
      </w:pPr>
      <w:r w:rsidRPr="00E37CCE">
        <w:rPr>
          <w:rFonts w:ascii="Georgia" w:hAnsi="Georgia"/>
        </w:rPr>
        <w:t xml:space="preserve">Zechmeister, G. (2010). </w:t>
      </w:r>
      <w:r w:rsidRPr="00E37CCE">
        <w:rPr>
          <w:rFonts w:ascii="Georgia" w:hAnsi="Georgia"/>
          <w:i/>
          <w:iCs/>
        </w:rPr>
        <w:t>Jefferson’s Excavation of a Native American Burial Mound</w:t>
      </w:r>
      <w:r w:rsidRPr="00E37CCE">
        <w:rPr>
          <w:rFonts w:ascii="Georgia" w:hAnsi="Georgia"/>
        </w:rPr>
        <w:t xml:space="preserve">. [online] Monticello. Available at: </w:t>
      </w:r>
      <w:hyperlink r:id="rId5" w:history="1">
        <w:r w:rsidRPr="00E37CCE">
          <w:rPr>
            <w:rStyle w:val="Hyperlink"/>
            <w:rFonts w:ascii="Georgia" w:hAnsi="Georgia"/>
          </w:rPr>
          <w:t>https://www.monticello.org/research-education/thomas-jefferson-encyclopedia/jeffersons-excavation-native-american-burial-mound/</w:t>
        </w:r>
      </w:hyperlink>
      <w:r w:rsidRPr="00E37CCE">
        <w:rPr>
          <w:rFonts w:ascii="Georgia" w:hAnsi="Georgia"/>
        </w:rPr>
        <w:t>. </w:t>
      </w:r>
    </w:p>
    <w:p w14:paraId="3072D539" w14:textId="77777777" w:rsidR="00E37CCE" w:rsidRPr="00E37CCE" w:rsidRDefault="00E37CCE" w:rsidP="00E37CCE">
      <w:pPr>
        <w:rPr>
          <w:rFonts w:ascii="Georgia" w:hAnsi="Georgia"/>
        </w:rPr>
      </w:pPr>
      <w:r w:rsidRPr="00E37CCE">
        <w:rPr>
          <w:rFonts w:ascii="Georgia" w:hAnsi="Georgia"/>
        </w:rPr>
        <w:t xml:space="preserve">Hantman, J. (2020). </w:t>
      </w:r>
      <w:r w:rsidRPr="00E37CCE">
        <w:rPr>
          <w:rFonts w:ascii="Georgia" w:hAnsi="Georgia"/>
          <w:i/>
          <w:iCs/>
        </w:rPr>
        <w:t xml:space="preserve">Jefferson’s Mound Archaeological Site – </w:t>
      </w:r>
      <w:proofErr w:type="spellStart"/>
      <w:r w:rsidRPr="00E37CCE">
        <w:rPr>
          <w:rFonts w:ascii="Georgia" w:hAnsi="Georgia"/>
          <w:i/>
          <w:iCs/>
        </w:rPr>
        <w:t>Encyclopedia</w:t>
      </w:r>
      <w:proofErr w:type="spellEnd"/>
      <w:r w:rsidRPr="00E37CCE">
        <w:rPr>
          <w:rFonts w:ascii="Georgia" w:hAnsi="Georgia"/>
          <w:i/>
          <w:iCs/>
        </w:rPr>
        <w:t xml:space="preserve"> Virginia</w:t>
      </w:r>
      <w:r w:rsidRPr="00E37CCE">
        <w:rPr>
          <w:rFonts w:ascii="Georgia" w:hAnsi="Georgia"/>
        </w:rPr>
        <w:t xml:space="preserve">. [online] </w:t>
      </w:r>
      <w:proofErr w:type="spellStart"/>
      <w:r w:rsidRPr="00E37CCE">
        <w:rPr>
          <w:rFonts w:ascii="Georgia" w:hAnsi="Georgia"/>
        </w:rPr>
        <w:t>Encyclopedia</w:t>
      </w:r>
      <w:proofErr w:type="spellEnd"/>
      <w:r w:rsidRPr="00E37CCE">
        <w:rPr>
          <w:rFonts w:ascii="Georgia" w:hAnsi="Georgia"/>
        </w:rPr>
        <w:t xml:space="preserve"> Virginia. Available at: </w:t>
      </w:r>
      <w:hyperlink r:id="rId6" w:history="1">
        <w:r w:rsidRPr="00E37CCE">
          <w:rPr>
            <w:rStyle w:val="Hyperlink"/>
            <w:rFonts w:ascii="Georgia" w:hAnsi="Georgia"/>
          </w:rPr>
          <w:t>https://encyclopediavirginia.org/entries/jeffersons-mound-archaeological-site/</w:t>
        </w:r>
      </w:hyperlink>
      <w:r w:rsidRPr="00E37CCE">
        <w:rPr>
          <w:rFonts w:ascii="Georgia" w:hAnsi="Georgia"/>
        </w:rPr>
        <w:t>. </w:t>
      </w:r>
    </w:p>
    <w:p w14:paraId="406ACAB7" w14:textId="77777777" w:rsidR="00E37CCE" w:rsidRPr="00E37CCE" w:rsidRDefault="00E37CCE" w:rsidP="00E37CCE">
      <w:pPr>
        <w:rPr>
          <w:rFonts w:ascii="Georgia" w:hAnsi="Georgia"/>
        </w:rPr>
      </w:pPr>
      <w:r w:rsidRPr="00E37CCE">
        <w:rPr>
          <w:rFonts w:ascii="Georgia" w:hAnsi="Georgia"/>
        </w:rPr>
        <w:t xml:space="preserve">Trigger, B.G. (1989). </w:t>
      </w:r>
      <w:r w:rsidRPr="00E37CCE">
        <w:rPr>
          <w:rFonts w:ascii="Georgia" w:hAnsi="Georgia"/>
          <w:i/>
          <w:iCs/>
        </w:rPr>
        <w:t>Archaeological Thought in America</w:t>
      </w:r>
      <w:r w:rsidRPr="00E37CCE">
        <w:rPr>
          <w:rFonts w:ascii="Georgia" w:hAnsi="Georgia"/>
        </w:rPr>
        <w:t>. New York: Press Syndicate of the University of Cambridge, pp.20–21.</w:t>
      </w:r>
    </w:p>
    <w:p w14:paraId="5BEFB49B" w14:textId="77777777" w:rsidR="00E37CCE" w:rsidRPr="00E37CCE" w:rsidRDefault="00E37CCE" w:rsidP="00E37CCE">
      <w:pPr>
        <w:rPr>
          <w:rFonts w:ascii="Georgia" w:hAnsi="Georgia"/>
        </w:rPr>
      </w:pPr>
      <w:r w:rsidRPr="00E37CCE">
        <w:rPr>
          <w:rFonts w:ascii="Georgia" w:hAnsi="Georgia"/>
        </w:rPr>
        <w:t xml:space="preserve">Adams, G.K. (2024). </w:t>
      </w:r>
      <w:r w:rsidRPr="00E37CCE">
        <w:rPr>
          <w:rFonts w:ascii="Georgia" w:hAnsi="Georgia"/>
          <w:i/>
          <w:iCs/>
        </w:rPr>
        <w:t>Smithsonian moves towards ‘informed consent’ principle for human remains - Museums Association</w:t>
      </w:r>
      <w:r w:rsidRPr="00E37CCE">
        <w:rPr>
          <w:rFonts w:ascii="Georgia" w:hAnsi="Georgia"/>
        </w:rPr>
        <w:t xml:space="preserve">. [online] Museums Association. Available at: </w:t>
      </w:r>
      <w:hyperlink r:id="rId7" w:history="1">
        <w:r w:rsidRPr="00E37CCE">
          <w:rPr>
            <w:rStyle w:val="Hyperlink"/>
            <w:rFonts w:ascii="Georgia" w:hAnsi="Georgia"/>
          </w:rPr>
          <w:t>https://www.museumsassociation.org/museums-journal/news/2024/03/smithsonian-moves-towards-informed-consent-principle-for-human-remains/#</w:t>
        </w:r>
      </w:hyperlink>
      <w:r w:rsidRPr="00E37CCE">
        <w:rPr>
          <w:rFonts w:ascii="Georgia" w:hAnsi="Georgia"/>
        </w:rPr>
        <w:t>. </w:t>
      </w:r>
    </w:p>
    <w:p w14:paraId="15F08E41" w14:textId="77777777" w:rsidR="00E37CCE" w:rsidRPr="00E37CCE" w:rsidRDefault="00E37CCE" w:rsidP="00E37CCE">
      <w:pPr>
        <w:rPr>
          <w:rFonts w:ascii="Georgia" w:hAnsi="Georgia"/>
        </w:rPr>
      </w:pPr>
      <w:r w:rsidRPr="00E37CCE">
        <w:rPr>
          <w:rFonts w:ascii="Georgia" w:hAnsi="Georgia"/>
        </w:rPr>
        <w:t xml:space="preserve">Norton, H. (2017). </w:t>
      </w:r>
      <w:r w:rsidRPr="00E37CCE">
        <w:rPr>
          <w:rFonts w:ascii="Georgia" w:hAnsi="Georgia"/>
          <w:i/>
          <w:iCs/>
        </w:rPr>
        <w:t>The politics and power of American archaeology</w:t>
      </w:r>
      <w:r w:rsidRPr="00E37CCE">
        <w:rPr>
          <w:rFonts w:ascii="Georgia" w:hAnsi="Georgia"/>
        </w:rPr>
        <w:t xml:space="preserve">. [online] the Guardian. Available at: </w:t>
      </w:r>
      <w:hyperlink r:id="rId8" w:history="1">
        <w:r w:rsidRPr="00E37CCE">
          <w:rPr>
            <w:rStyle w:val="Hyperlink"/>
            <w:rFonts w:ascii="Georgia" w:hAnsi="Georgia"/>
          </w:rPr>
          <w:t>https://www.theguardian.com/science/2017/apr/10/the-politics-and-power-of-american-archaeology</w:t>
        </w:r>
      </w:hyperlink>
      <w:r w:rsidRPr="00E37CCE">
        <w:rPr>
          <w:rFonts w:ascii="Georgia" w:hAnsi="Georgia"/>
        </w:rPr>
        <w:t>. </w:t>
      </w:r>
    </w:p>
    <w:p w14:paraId="488E1553" w14:textId="77777777" w:rsidR="00E37CCE" w:rsidRPr="00E37CCE" w:rsidRDefault="00E37CCE" w:rsidP="00E37CCE">
      <w:pPr>
        <w:rPr>
          <w:rFonts w:ascii="Georgia" w:hAnsi="Georgia"/>
        </w:rPr>
      </w:pPr>
      <w:r w:rsidRPr="00E37CCE">
        <w:rPr>
          <w:rFonts w:ascii="Georgia" w:hAnsi="Georgia"/>
        </w:rPr>
        <w:t xml:space="preserve">Drexler, K. (2019). </w:t>
      </w:r>
      <w:r w:rsidRPr="00E37CCE">
        <w:rPr>
          <w:rFonts w:ascii="Georgia" w:hAnsi="Georgia"/>
          <w:i/>
          <w:iCs/>
        </w:rPr>
        <w:t>Research Guides: Indian Removal Act: Primary Documents in American History: Introduction</w:t>
      </w:r>
      <w:r w:rsidRPr="00E37CCE">
        <w:rPr>
          <w:rFonts w:ascii="Georgia" w:hAnsi="Georgia"/>
        </w:rPr>
        <w:t xml:space="preserve">. [online] Loc.gov. Available at: </w:t>
      </w:r>
      <w:hyperlink r:id="rId9" w:history="1">
        <w:r w:rsidRPr="00E37CCE">
          <w:rPr>
            <w:rStyle w:val="Hyperlink"/>
            <w:rFonts w:ascii="Georgia" w:hAnsi="Georgia"/>
          </w:rPr>
          <w:t>https://guides.loc.gov/indian-removal-act</w:t>
        </w:r>
      </w:hyperlink>
      <w:r w:rsidRPr="00E37CCE">
        <w:rPr>
          <w:rFonts w:ascii="Georgia" w:hAnsi="Georgia"/>
        </w:rPr>
        <w:t>. </w:t>
      </w:r>
    </w:p>
    <w:p w14:paraId="3DFFB029" w14:textId="17A8D5F4" w:rsidR="00E37CCE" w:rsidRPr="00E37CCE" w:rsidRDefault="00E37CCE" w:rsidP="00E37CCE">
      <w:pPr>
        <w:rPr>
          <w:rFonts w:ascii="Georgia" w:hAnsi="Georgia"/>
        </w:rPr>
      </w:pPr>
      <w:r w:rsidRPr="00E37CCE">
        <w:rPr>
          <w:rFonts w:ascii="Georgia" w:hAnsi="Georgia"/>
        </w:rPr>
        <w:t xml:space="preserve">National Park Service (2019). </w:t>
      </w:r>
      <w:r w:rsidRPr="00E37CCE">
        <w:rPr>
          <w:rFonts w:ascii="Georgia" w:hAnsi="Georgia"/>
          <w:i/>
          <w:iCs/>
        </w:rPr>
        <w:t>Native American Graves Protection and Repatriation Act (U.S. National Park Service)</w:t>
      </w:r>
      <w:r w:rsidRPr="00E37CCE">
        <w:rPr>
          <w:rFonts w:ascii="Georgia" w:hAnsi="Georgia"/>
        </w:rPr>
        <w:t xml:space="preserve">. [online] Nps.gov. Available at: </w:t>
      </w:r>
      <w:hyperlink r:id="rId10" w:history="1">
        <w:r w:rsidRPr="00E37CCE">
          <w:rPr>
            <w:rStyle w:val="Hyperlink"/>
            <w:rFonts w:ascii="Georgia" w:hAnsi="Georgia"/>
          </w:rPr>
          <w:t>https://www.nps.gov/subjects/nagpra/index.htm</w:t>
        </w:r>
      </w:hyperlink>
      <w:r w:rsidRPr="00E37CCE">
        <w:rPr>
          <w:rFonts w:ascii="Georgia" w:hAnsi="Georgia"/>
        </w:rPr>
        <w:t>. </w:t>
      </w:r>
    </w:p>
    <w:p w14:paraId="1515DD94" w14:textId="77777777" w:rsidR="00E37CCE" w:rsidRPr="00E37CCE" w:rsidRDefault="00E37CCE" w:rsidP="00E37CCE">
      <w:pPr>
        <w:rPr>
          <w:rFonts w:ascii="Georgia" w:hAnsi="Georgia"/>
        </w:rPr>
      </w:pPr>
      <w:r w:rsidRPr="00E37CCE">
        <w:rPr>
          <w:rFonts w:ascii="Georgia" w:hAnsi="Georgia"/>
        </w:rPr>
        <w:t xml:space="preserve">Hall, E. (2023). </w:t>
      </w:r>
      <w:r w:rsidRPr="00E37CCE">
        <w:rPr>
          <w:rFonts w:ascii="Georgia" w:hAnsi="Georgia"/>
          <w:i/>
          <w:iCs/>
        </w:rPr>
        <w:t>3 Universities Hold Vast Collections of Native American Remains. Returning Them Is Taking Decades.</w:t>
      </w:r>
      <w:r w:rsidRPr="00E37CCE">
        <w:rPr>
          <w:rFonts w:ascii="Georgia" w:hAnsi="Georgia"/>
        </w:rPr>
        <w:t xml:space="preserve"> [online] The Chronicle of Higher Education. Available at: </w:t>
      </w:r>
      <w:hyperlink r:id="rId11" w:history="1">
        <w:r w:rsidRPr="00E37CCE">
          <w:rPr>
            <w:rStyle w:val="Hyperlink"/>
            <w:rFonts w:ascii="Georgia" w:hAnsi="Georgia"/>
          </w:rPr>
          <w:t>https://www.chronicle.com/article/3-universities-hold-vast-collections-of-native-american-remains-returning-them-is-taking-decades</w:t>
        </w:r>
      </w:hyperlink>
      <w:r w:rsidRPr="00E37CCE">
        <w:rPr>
          <w:rFonts w:ascii="Georgia" w:hAnsi="Georgia"/>
        </w:rPr>
        <w:t xml:space="preserve"> [Accessed 16 Nov. 2024]. </w:t>
      </w:r>
    </w:p>
    <w:p w14:paraId="02E23197" w14:textId="77777777" w:rsidR="00E37CCE" w:rsidRPr="00E37CCE" w:rsidRDefault="00E37CCE" w:rsidP="00E37CCE">
      <w:pPr>
        <w:rPr>
          <w:rFonts w:ascii="Georgia" w:hAnsi="Georgia"/>
        </w:rPr>
      </w:pPr>
      <w:r w:rsidRPr="00E37CCE">
        <w:rPr>
          <w:rFonts w:ascii="Georgia" w:hAnsi="Georgia"/>
        </w:rPr>
        <w:t xml:space="preserve">Suozzo, A.N., Andrea (2023). </w:t>
      </w:r>
      <w:r w:rsidRPr="00E37CCE">
        <w:rPr>
          <w:rFonts w:ascii="Georgia" w:hAnsi="Georgia"/>
          <w:i/>
          <w:iCs/>
        </w:rPr>
        <w:t>Does Your Local Museum or University Still Have Native American Remains?</w:t>
      </w:r>
      <w:r w:rsidRPr="00E37CCE">
        <w:rPr>
          <w:rFonts w:ascii="Georgia" w:hAnsi="Georgia"/>
        </w:rPr>
        <w:t xml:space="preserve"> [online] ProPublica. Available at: </w:t>
      </w:r>
      <w:hyperlink r:id="rId12" w:history="1">
        <w:r w:rsidRPr="00E37CCE">
          <w:rPr>
            <w:rStyle w:val="Hyperlink"/>
            <w:rFonts w:ascii="Georgia" w:hAnsi="Georgia"/>
          </w:rPr>
          <w:t>https://projects.propublica.org/repatriation-nagpra-database/</w:t>
        </w:r>
      </w:hyperlink>
      <w:r w:rsidRPr="00E37CCE">
        <w:rPr>
          <w:rFonts w:ascii="Georgia" w:hAnsi="Georgia"/>
        </w:rPr>
        <w:t>. </w:t>
      </w:r>
    </w:p>
    <w:p w14:paraId="3A951186" w14:textId="77777777" w:rsidR="00E37CCE" w:rsidRPr="00E37CCE" w:rsidRDefault="00E37CCE" w:rsidP="00E37CCE">
      <w:pPr>
        <w:rPr>
          <w:rFonts w:ascii="Georgia" w:hAnsi="Georgia"/>
        </w:rPr>
      </w:pPr>
      <w:proofErr w:type="spellStart"/>
      <w:r w:rsidRPr="00E37CCE">
        <w:rPr>
          <w:rFonts w:ascii="Georgia" w:hAnsi="Georgia"/>
        </w:rPr>
        <w:t>centerforartlaw</w:t>
      </w:r>
      <w:proofErr w:type="spellEnd"/>
      <w:r w:rsidRPr="00E37CCE">
        <w:rPr>
          <w:rFonts w:ascii="Georgia" w:hAnsi="Georgia"/>
        </w:rPr>
        <w:t xml:space="preserve"> (2021). </w:t>
      </w:r>
      <w:r w:rsidRPr="00E37CCE">
        <w:rPr>
          <w:rFonts w:ascii="Georgia" w:hAnsi="Georgia"/>
          <w:i/>
          <w:iCs/>
        </w:rPr>
        <w:t>31 Years of NAGPRA: Evaluating the Restitution of Native American Ancestral Remains and Belongings</w:t>
      </w:r>
      <w:r w:rsidRPr="00E37CCE">
        <w:rPr>
          <w:rFonts w:ascii="Georgia" w:hAnsi="Georgia"/>
        </w:rPr>
        <w:t xml:space="preserve">. [online] </w:t>
      </w:r>
      <w:proofErr w:type="spellStart"/>
      <w:r w:rsidRPr="00E37CCE">
        <w:rPr>
          <w:rFonts w:ascii="Georgia" w:hAnsi="Georgia"/>
        </w:rPr>
        <w:t>Center</w:t>
      </w:r>
      <w:proofErr w:type="spellEnd"/>
      <w:r w:rsidRPr="00E37CCE">
        <w:rPr>
          <w:rFonts w:ascii="Georgia" w:hAnsi="Georgia"/>
        </w:rPr>
        <w:t xml:space="preserve"> for Art Law. Available at: </w:t>
      </w:r>
      <w:hyperlink r:id="rId13" w:history="1">
        <w:r w:rsidRPr="00E37CCE">
          <w:rPr>
            <w:rStyle w:val="Hyperlink"/>
            <w:rFonts w:ascii="Georgia" w:hAnsi="Georgia"/>
          </w:rPr>
          <w:t>https://itsartlaw.org/2021/05/18/31-years-of-nagpra-evaluating-the-restitution-of-native-american-ancestral-remains-and-belongings/</w:t>
        </w:r>
      </w:hyperlink>
      <w:r w:rsidRPr="00E37CCE">
        <w:rPr>
          <w:rFonts w:ascii="Georgia" w:hAnsi="Georgia"/>
        </w:rPr>
        <w:t>. </w:t>
      </w:r>
    </w:p>
    <w:p w14:paraId="03CE06D8" w14:textId="77777777" w:rsidR="00E37CCE" w:rsidRPr="00E37CCE" w:rsidRDefault="00E37CCE" w:rsidP="00E37CCE">
      <w:pPr>
        <w:rPr>
          <w:rFonts w:ascii="Georgia" w:hAnsi="Georgia"/>
        </w:rPr>
      </w:pPr>
      <w:r w:rsidRPr="00E37CCE">
        <w:rPr>
          <w:rFonts w:ascii="Georgia" w:hAnsi="Georgia"/>
        </w:rPr>
        <w:t xml:space="preserve">Ward, E. (2024). </w:t>
      </w:r>
      <w:r w:rsidRPr="00E37CCE">
        <w:rPr>
          <w:rFonts w:ascii="Georgia" w:hAnsi="Georgia"/>
          <w:i/>
          <w:iCs/>
        </w:rPr>
        <w:t>Why New Federal Regulations on Native Displays Don’t Apply to Smithsonian - Washingtonian</w:t>
      </w:r>
      <w:r w:rsidRPr="00E37CCE">
        <w:rPr>
          <w:rFonts w:ascii="Georgia" w:hAnsi="Georgia"/>
        </w:rPr>
        <w:t xml:space="preserve">. [online] Washingtonian. Available at: </w:t>
      </w:r>
      <w:hyperlink r:id="rId14" w:history="1">
        <w:r w:rsidRPr="00E37CCE">
          <w:rPr>
            <w:rStyle w:val="Hyperlink"/>
            <w:rFonts w:ascii="Georgia" w:hAnsi="Georgia"/>
          </w:rPr>
          <w:t>https://www.washingtonian.com/2024/02/01/why-new-federal-regulations-on-native-displays-dont-apply-to-smithsonian/</w:t>
        </w:r>
      </w:hyperlink>
      <w:r w:rsidRPr="00E37CCE">
        <w:rPr>
          <w:rFonts w:ascii="Georgia" w:hAnsi="Georgia"/>
        </w:rPr>
        <w:t>. </w:t>
      </w:r>
    </w:p>
    <w:p w14:paraId="11E949B0" w14:textId="77777777" w:rsidR="00E37CCE" w:rsidRPr="00E37CCE" w:rsidRDefault="00E37CCE" w:rsidP="00E37CCE">
      <w:pPr>
        <w:rPr>
          <w:rFonts w:ascii="Georgia" w:hAnsi="Georgia"/>
        </w:rPr>
      </w:pPr>
      <w:r w:rsidRPr="00E37CCE">
        <w:rPr>
          <w:rFonts w:ascii="Georgia" w:hAnsi="Georgia"/>
        </w:rPr>
        <w:lastRenderedPageBreak/>
        <w:t xml:space="preserve">Gibbon, K.F. (2018). </w:t>
      </w:r>
      <w:r w:rsidRPr="00E37CCE">
        <w:rPr>
          <w:rFonts w:ascii="Georgia" w:hAnsi="Georgia"/>
          <w:i/>
          <w:iCs/>
        </w:rPr>
        <w:t>A Primer: NAGPRA, ARPA, and the Antiquities Act</w:t>
      </w:r>
      <w:r w:rsidRPr="00E37CCE">
        <w:rPr>
          <w:rFonts w:ascii="Georgia" w:hAnsi="Georgia"/>
        </w:rPr>
        <w:t xml:space="preserve">. [online] Cultural Property News. Available at: </w:t>
      </w:r>
      <w:hyperlink r:id="rId15" w:history="1">
        <w:r w:rsidRPr="00E37CCE">
          <w:rPr>
            <w:rStyle w:val="Hyperlink"/>
            <w:rFonts w:ascii="Georgia" w:hAnsi="Georgia"/>
          </w:rPr>
          <w:t>https://culturalpropertynews.org/a-primer-nagpra-arpa-and-the-antiquities-act/</w:t>
        </w:r>
      </w:hyperlink>
      <w:r w:rsidRPr="00E37CCE">
        <w:rPr>
          <w:rFonts w:ascii="Georgia" w:hAnsi="Georgia"/>
        </w:rPr>
        <w:t>. </w:t>
      </w:r>
    </w:p>
    <w:p w14:paraId="097D31AC" w14:textId="6E7E5779" w:rsidR="00E37CCE" w:rsidRPr="00E37CCE" w:rsidRDefault="00E37CCE" w:rsidP="00E37CCE">
      <w:pPr>
        <w:rPr>
          <w:rFonts w:ascii="Georgia" w:hAnsi="Georgia"/>
        </w:rPr>
      </w:pPr>
      <w:r w:rsidRPr="00E37CCE">
        <w:rPr>
          <w:rFonts w:ascii="Georgia" w:hAnsi="Georgia"/>
        </w:rPr>
        <w:t xml:space="preserve">Davidson, H. and Wahlquist, C. (2018). </w:t>
      </w:r>
      <w:r w:rsidRPr="00E37CCE">
        <w:rPr>
          <w:rFonts w:ascii="Georgia" w:hAnsi="Georgia"/>
          <w:i/>
          <w:iCs/>
        </w:rPr>
        <w:t>Australian dig finds evidence of Aboriginal habitation up to 80,000 years ago</w:t>
      </w:r>
      <w:r w:rsidRPr="00E37CCE">
        <w:rPr>
          <w:rFonts w:ascii="Georgia" w:hAnsi="Georgia"/>
        </w:rPr>
        <w:t xml:space="preserve">. [online] the Guardian. Available at: </w:t>
      </w:r>
      <w:hyperlink r:id="rId16" w:history="1">
        <w:r w:rsidRPr="00E37CCE">
          <w:rPr>
            <w:rStyle w:val="Hyperlink"/>
            <w:rFonts w:ascii="Georgia" w:hAnsi="Georgia"/>
          </w:rPr>
          <w:t>https://www.theguardian.com/australia-news/2017/jul/19/dig-finds-evidence-of-aboriginal-habitation-up-to-80000-years-ago</w:t>
        </w:r>
      </w:hyperlink>
      <w:r w:rsidRPr="00E37CCE">
        <w:rPr>
          <w:rFonts w:ascii="Georgia" w:hAnsi="Georgia"/>
        </w:rPr>
        <w:t>. </w:t>
      </w:r>
    </w:p>
    <w:p w14:paraId="22E745B0" w14:textId="77777777" w:rsidR="00E37CCE" w:rsidRPr="00E37CCE" w:rsidRDefault="00E37CCE" w:rsidP="00E37CCE">
      <w:pPr>
        <w:rPr>
          <w:rFonts w:ascii="Georgia" w:hAnsi="Georgia"/>
        </w:rPr>
      </w:pPr>
      <w:r w:rsidRPr="00E37CCE">
        <w:rPr>
          <w:rFonts w:ascii="Georgia" w:hAnsi="Georgia"/>
        </w:rPr>
        <w:t xml:space="preserve">Moore, K. (2023). </w:t>
      </w:r>
      <w:r w:rsidRPr="00E37CCE">
        <w:rPr>
          <w:rFonts w:ascii="Georgia" w:hAnsi="Georgia"/>
          <w:i/>
          <w:iCs/>
        </w:rPr>
        <w:t>Digital Commons @ SIA Digital Commons @ SIA MA Theses Student Scholarship and Creative Work 2023 Collecting an Empire: Stolen Heritage of Indigenous Australians Collecting an Empire: Stolen Heritage of Indigenous Australians</w:t>
      </w:r>
      <w:r w:rsidRPr="00E37CCE">
        <w:rPr>
          <w:rFonts w:ascii="Georgia" w:hAnsi="Georgia"/>
        </w:rPr>
        <w:t xml:space="preserve">. [online] London, England: Sotheby’s Institute of Art, pp.6–31. Available at: </w:t>
      </w:r>
      <w:hyperlink r:id="rId17" w:history="1">
        <w:r w:rsidRPr="00E37CCE">
          <w:rPr>
            <w:rStyle w:val="Hyperlink"/>
            <w:rFonts w:ascii="Georgia" w:hAnsi="Georgia"/>
          </w:rPr>
          <w:t>https://digitalcommons.sia.edu/cgi/viewcontent.cgi?article=1160&amp;context=stu_theses</w:t>
        </w:r>
      </w:hyperlink>
      <w:r w:rsidRPr="00E37CCE">
        <w:rPr>
          <w:rFonts w:ascii="Georgia" w:hAnsi="Georgia"/>
        </w:rPr>
        <w:t>. </w:t>
      </w:r>
    </w:p>
    <w:p w14:paraId="1D693F3D" w14:textId="77777777" w:rsidR="00E37CCE" w:rsidRPr="00E37CCE" w:rsidRDefault="00E37CCE" w:rsidP="00E37CCE">
      <w:pPr>
        <w:rPr>
          <w:rFonts w:ascii="Georgia" w:hAnsi="Georgia"/>
        </w:rPr>
      </w:pPr>
      <w:r w:rsidRPr="00E37CCE">
        <w:rPr>
          <w:rFonts w:ascii="Georgia" w:hAnsi="Georgia"/>
        </w:rPr>
        <w:t xml:space="preserve">MacGregor, N. (2010). </w:t>
      </w:r>
      <w:r w:rsidRPr="00E37CCE">
        <w:rPr>
          <w:rFonts w:ascii="Georgia" w:hAnsi="Georgia"/>
          <w:i/>
          <w:iCs/>
        </w:rPr>
        <w:t>Australian Bark Shield</w:t>
      </w:r>
      <w:r w:rsidRPr="00E37CCE">
        <w:rPr>
          <w:rFonts w:ascii="Georgia" w:hAnsi="Georgia"/>
        </w:rPr>
        <w:t xml:space="preserve">. [online] BBC. Available at: </w:t>
      </w:r>
      <w:hyperlink r:id="rId18" w:history="1">
        <w:r w:rsidRPr="00E37CCE">
          <w:rPr>
            <w:rStyle w:val="Hyperlink"/>
            <w:rFonts w:ascii="Georgia" w:hAnsi="Georgia"/>
          </w:rPr>
          <w:t>https://www.bbc.co.uk/programmes/b00v3x6v</w:t>
        </w:r>
      </w:hyperlink>
      <w:r w:rsidRPr="00E37CCE">
        <w:rPr>
          <w:rFonts w:ascii="Georgia" w:hAnsi="Georgia"/>
        </w:rPr>
        <w:t xml:space="preserve"> [Accessed 16 Nov. 2024]. </w:t>
      </w:r>
    </w:p>
    <w:p w14:paraId="69ABD9E1" w14:textId="77777777" w:rsidR="00E37CCE" w:rsidRPr="00E37CCE" w:rsidRDefault="00E37CCE" w:rsidP="00E37CCE">
      <w:pPr>
        <w:rPr>
          <w:rFonts w:ascii="Georgia" w:hAnsi="Georgia"/>
        </w:rPr>
      </w:pPr>
      <w:r w:rsidRPr="00E37CCE">
        <w:rPr>
          <w:rFonts w:ascii="Georgia" w:hAnsi="Georgia"/>
        </w:rPr>
        <w:t xml:space="preserve">Spriggs, M. (2020). Everything You’ve Been Told About the History of Australian Archaeology is Wrong! </w:t>
      </w:r>
      <w:r w:rsidRPr="00E37CCE">
        <w:rPr>
          <w:rFonts w:ascii="Georgia" w:hAnsi="Georgia"/>
          <w:i/>
          <w:iCs/>
        </w:rPr>
        <w:t>Bulletin of the History of Archaeology</w:t>
      </w:r>
      <w:r w:rsidRPr="00E37CCE">
        <w:rPr>
          <w:rFonts w:ascii="Georgia" w:hAnsi="Georgia"/>
        </w:rPr>
        <w:t xml:space="preserve">, 30(1). </w:t>
      </w:r>
      <w:proofErr w:type="spellStart"/>
      <w:r w:rsidRPr="00E37CCE">
        <w:rPr>
          <w:rFonts w:ascii="Georgia" w:hAnsi="Georgia"/>
        </w:rPr>
        <w:t>doi:</w:t>
      </w:r>
      <w:hyperlink r:id="rId19" w:history="1">
        <w:r w:rsidRPr="00E37CCE">
          <w:rPr>
            <w:rStyle w:val="Hyperlink"/>
            <w:rFonts w:ascii="Georgia" w:hAnsi="Georgia"/>
          </w:rPr>
          <w:t>https</w:t>
        </w:r>
        <w:proofErr w:type="spellEnd"/>
        <w:r w:rsidRPr="00E37CCE">
          <w:rPr>
            <w:rStyle w:val="Hyperlink"/>
            <w:rFonts w:ascii="Georgia" w:hAnsi="Georgia"/>
          </w:rPr>
          <w:t>://doi.org/10.5334/bha-626</w:t>
        </w:r>
      </w:hyperlink>
      <w:r w:rsidRPr="00E37CCE">
        <w:rPr>
          <w:rFonts w:ascii="Georgia" w:hAnsi="Georgia"/>
        </w:rPr>
        <w:t>. </w:t>
      </w:r>
    </w:p>
    <w:p w14:paraId="00D27AF6" w14:textId="77777777" w:rsidR="00E37CCE" w:rsidRPr="00E37CCE" w:rsidRDefault="00E37CCE" w:rsidP="00E37CCE">
      <w:pPr>
        <w:rPr>
          <w:rFonts w:ascii="Georgia" w:hAnsi="Georgia"/>
        </w:rPr>
      </w:pPr>
      <w:r w:rsidRPr="00E37CCE">
        <w:rPr>
          <w:rFonts w:ascii="Georgia" w:hAnsi="Georgia"/>
        </w:rPr>
        <w:t xml:space="preserve">Nugent, M. and Sculthorpe, G. (2018). A Shield Loaded with History: Encounters, Objects and Exhibitions. </w:t>
      </w:r>
      <w:r w:rsidRPr="00E37CCE">
        <w:rPr>
          <w:rFonts w:ascii="Georgia" w:hAnsi="Georgia"/>
          <w:i/>
          <w:iCs/>
        </w:rPr>
        <w:t>Australian Historical Studies</w:t>
      </w:r>
      <w:r w:rsidRPr="00E37CCE">
        <w:rPr>
          <w:rFonts w:ascii="Georgia" w:hAnsi="Georgia"/>
        </w:rPr>
        <w:t xml:space="preserve">, 49(1), pp.28–43. </w:t>
      </w:r>
      <w:proofErr w:type="spellStart"/>
      <w:r w:rsidRPr="00E37CCE">
        <w:rPr>
          <w:rFonts w:ascii="Georgia" w:hAnsi="Georgia"/>
        </w:rPr>
        <w:t>doi:</w:t>
      </w:r>
      <w:hyperlink r:id="rId20" w:history="1">
        <w:r w:rsidRPr="00E37CCE">
          <w:rPr>
            <w:rStyle w:val="Hyperlink"/>
            <w:rFonts w:ascii="Georgia" w:hAnsi="Georgia"/>
          </w:rPr>
          <w:t>https</w:t>
        </w:r>
        <w:proofErr w:type="spellEnd"/>
        <w:r w:rsidRPr="00E37CCE">
          <w:rPr>
            <w:rStyle w:val="Hyperlink"/>
            <w:rFonts w:ascii="Georgia" w:hAnsi="Georgia"/>
          </w:rPr>
          <w:t>://doi.org/10.1080/1031461x.2017.1408663</w:t>
        </w:r>
      </w:hyperlink>
      <w:r w:rsidRPr="00E37CCE">
        <w:rPr>
          <w:rFonts w:ascii="Georgia" w:hAnsi="Georgia"/>
        </w:rPr>
        <w:t>. </w:t>
      </w:r>
    </w:p>
    <w:p w14:paraId="25C3EA43" w14:textId="77777777" w:rsidR="00E37CCE" w:rsidRPr="00E37CCE" w:rsidRDefault="00E37CCE" w:rsidP="00E37CCE">
      <w:pPr>
        <w:rPr>
          <w:rFonts w:ascii="Georgia" w:hAnsi="Georgia"/>
        </w:rPr>
      </w:pPr>
      <w:r w:rsidRPr="00E37CCE">
        <w:rPr>
          <w:rFonts w:ascii="Georgia" w:hAnsi="Georgia"/>
        </w:rPr>
        <w:t xml:space="preserve">British Government (2011). </w:t>
      </w:r>
      <w:r w:rsidRPr="00E37CCE">
        <w:rPr>
          <w:rFonts w:ascii="Georgia" w:hAnsi="Georgia"/>
          <w:i/>
          <w:iCs/>
        </w:rPr>
        <w:t>British Museum Act 1963</w:t>
      </w:r>
      <w:r w:rsidRPr="00E37CCE">
        <w:rPr>
          <w:rFonts w:ascii="Georgia" w:hAnsi="Georgia"/>
        </w:rPr>
        <w:t xml:space="preserve">. [online] Legislation.gov.uk. Available at: </w:t>
      </w:r>
      <w:hyperlink r:id="rId21" w:history="1">
        <w:r w:rsidRPr="00E37CCE">
          <w:rPr>
            <w:rStyle w:val="Hyperlink"/>
            <w:rFonts w:ascii="Georgia" w:hAnsi="Georgia"/>
          </w:rPr>
          <w:t>https://www.legislation.gov.uk/ukpga/1963/24/contents</w:t>
        </w:r>
      </w:hyperlink>
      <w:r w:rsidRPr="00E37CCE">
        <w:rPr>
          <w:rFonts w:ascii="Georgia" w:hAnsi="Georgia"/>
        </w:rPr>
        <w:t>.</w:t>
      </w:r>
    </w:p>
    <w:p w14:paraId="67FEDD56" w14:textId="77777777" w:rsidR="00E37CCE" w:rsidRPr="00E37CCE" w:rsidRDefault="00E37CCE" w:rsidP="00E37CCE">
      <w:pPr>
        <w:rPr>
          <w:rFonts w:ascii="Georgia" w:hAnsi="Georgia"/>
        </w:rPr>
      </w:pPr>
      <w:r w:rsidRPr="00E37CCE">
        <w:rPr>
          <w:rFonts w:ascii="Georgia" w:hAnsi="Georgia"/>
        </w:rPr>
        <w:t xml:space="preserve">Williams, G. (2023). </w:t>
      </w:r>
      <w:r w:rsidRPr="00E37CCE">
        <w:rPr>
          <w:rFonts w:ascii="Georgia" w:hAnsi="Georgia"/>
          <w:i/>
          <w:iCs/>
        </w:rPr>
        <w:t>Australian Dictionary of Biography</w:t>
      </w:r>
      <w:r w:rsidRPr="00E37CCE">
        <w:rPr>
          <w:rFonts w:ascii="Georgia" w:hAnsi="Georgia"/>
        </w:rPr>
        <w:t xml:space="preserve">. [online] adb.anu.edu.au. Available at: </w:t>
      </w:r>
      <w:hyperlink r:id="rId22" w:history="1">
        <w:r w:rsidRPr="00E37CCE">
          <w:rPr>
            <w:rStyle w:val="Hyperlink"/>
            <w:rFonts w:ascii="Georgia" w:hAnsi="Georgia"/>
          </w:rPr>
          <w:t>https://adb.anu.edu.au/the-quest-for-indigenous-recognition/indigenous-australians-and-the-australian-constitution</w:t>
        </w:r>
      </w:hyperlink>
      <w:r w:rsidRPr="00E37CCE">
        <w:rPr>
          <w:rFonts w:ascii="Georgia" w:hAnsi="Georgia"/>
        </w:rPr>
        <w:t>. </w:t>
      </w:r>
    </w:p>
    <w:p w14:paraId="377E1F25" w14:textId="77777777" w:rsidR="00E37CCE" w:rsidRPr="00E37CCE" w:rsidRDefault="00E37CCE" w:rsidP="00E37CCE">
      <w:pPr>
        <w:rPr>
          <w:rFonts w:ascii="Georgia" w:hAnsi="Georgia"/>
        </w:rPr>
      </w:pPr>
      <w:r w:rsidRPr="00E37CCE">
        <w:rPr>
          <w:rFonts w:ascii="Georgia" w:hAnsi="Georgia"/>
        </w:rPr>
        <w:t xml:space="preserve">Australian Government (2021). </w:t>
      </w:r>
      <w:r w:rsidRPr="00E37CCE">
        <w:rPr>
          <w:rFonts w:ascii="Georgia" w:hAnsi="Georgia"/>
          <w:i/>
          <w:iCs/>
        </w:rPr>
        <w:t>The Aboriginal and Torres Strait Islander Heritage Protection Act 1984: General guide</w:t>
      </w:r>
      <w:r w:rsidRPr="00E37CCE">
        <w:rPr>
          <w:rFonts w:ascii="Georgia" w:hAnsi="Georgia"/>
        </w:rPr>
        <w:t xml:space="preserve">. [online] Available at: </w:t>
      </w:r>
      <w:hyperlink r:id="rId23" w:history="1">
        <w:r w:rsidRPr="00E37CCE">
          <w:rPr>
            <w:rStyle w:val="Hyperlink"/>
            <w:rFonts w:ascii="Georgia" w:hAnsi="Georgia"/>
          </w:rPr>
          <w:t>https://www.agriculture.gov.au/sites/default/files/documents/atsihp-act-general-guide.pdf</w:t>
        </w:r>
      </w:hyperlink>
      <w:r w:rsidRPr="00E37CCE">
        <w:rPr>
          <w:rFonts w:ascii="Georgia" w:hAnsi="Georgia"/>
        </w:rPr>
        <w:t>. </w:t>
      </w:r>
    </w:p>
    <w:p w14:paraId="7C7DAA00" w14:textId="77777777" w:rsidR="00E37CCE" w:rsidRPr="00E37CCE" w:rsidRDefault="00E37CCE" w:rsidP="00E37CCE">
      <w:pPr>
        <w:rPr>
          <w:rFonts w:ascii="Georgia" w:hAnsi="Georgia"/>
        </w:rPr>
      </w:pPr>
      <w:r w:rsidRPr="00E37CCE">
        <w:rPr>
          <w:rFonts w:ascii="Georgia" w:hAnsi="Georgia"/>
        </w:rPr>
        <w:t xml:space="preserve">Western Australia (2004). </w:t>
      </w:r>
      <w:r w:rsidRPr="00E37CCE">
        <w:rPr>
          <w:rFonts w:ascii="Georgia" w:hAnsi="Georgia"/>
          <w:i/>
          <w:iCs/>
        </w:rPr>
        <w:t>Aboriginal Heritage Regulations 1974</w:t>
      </w:r>
      <w:r w:rsidRPr="00E37CCE">
        <w:rPr>
          <w:rFonts w:ascii="Georgia" w:hAnsi="Georgia"/>
        </w:rPr>
        <w:t xml:space="preserve">. [online] Australia : Western Australia. Available at: </w:t>
      </w:r>
      <w:hyperlink r:id="rId24" w:history="1">
        <w:r w:rsidRPr="00E37CCE">
          <w:rPr>
            <w:rStyle w:val="Hyperlink"/>
            <w:rFonts w:ascii="Georgia" w:hAnsi="Georgia"/>
          </w:rPr>
          <w:t>https://faolex.fao.org/docs/pdf/wa106185.pdf</w:t>
        </w:r>
      </w:hyperlink>
      <w:r w:rsidRPr="00E37CCE">
        <w:rPr>
          <w:rFonts w:ascii="Georgia" w:hAnsi="Georgia"/>
        </w:rPr>
        <w:t xml:space="preserve"> [Accessed 17 Nov. 2024].</w:t>
      </w:r>
    </w:p>
    <w:p w14:paraId="7BEFC0DA" w14:textId="77777777" w:rsidR="00E37CCE" w:rsidRPr="00E37CCE" w:rsidRDefault="00E37CCE" w:rsidP="00E37CCE">
      <w:pPr>
        <w:rPr>
          <w:rFonts w:ascii="Georgia" w:hAnsi="Georgia"/>
        </w:rPr>
      </w:pPr>
      <w:r w:rsidRPr="00E37CCE">
        <w:rPr>
          <w:rFonts w:ascii="Georgia" w:hAnsi="Georgia"/>
        </w:rPr>
        <w:t xml:space="preserve">Parliamentary Counsel (2003). </w:t>
      </w:r>
      <w:r w:rsidRPr="00E37CCE">
        <w:rPr>
          <w:rFonts w:ascii="Georgia" w:hAnsi="Georgia"/>
          <w:i/>
          <w:iCs/>
        </w:rPr>
        <w:t>Prepared by the Office of Parliamentary Counsel, Canberra</w:t>
      </w:r>
      <w:r w:rsidRPr="00E37CCE">
        <w:rPr>
          <w:rFonts w:ascii="Georgia" w:hAnsi="Georgia"/>
        </w:rPr>
        <w:t xml:space="preserve">. [online] Canberra, Australia: Office of Parliamentary Counsel. Available at: </w:t>
      </w:r>
      <w:hyperlink r:id="rId25" w:history="1">
        <w:r w:rsidRPr="00E37CCE">
          <w:rPr>
            <w:rStyle w:val="Hyperlink"/>
            <w:rFonts w:ascii="Georgia" w:hAnsi="Georgia"/>
          </w:rPr>
          <w:t>https://faolex.fao.org/docs/pdf/aus44283.pdf</w:t>
        </w:r>
      </w:hyperlink>
      <w:r w:rsidRPr="00E37CCE">
        <w:rPr>
          <w:rFonts w:ascii="Georgia" w:hAnsi="Georgia"/>
        </w:rPr>
        <w:t>. </w:t>
      </w:r>
    </w:p>
    <w:p w14:paraId="37C658F7" w14:textId="77777777" w:rsidR="00E37CCE" w:rsidRPr="00E37CCE" w:rsidRDefault="00E37CCE" w:rsidP="00E37CCE">
      <w:pPr>
        <w:rPr>
          <w:rFonts w:ascii="Georgia" w:hAnsi="Georgia"/>
        </w:rPr>
      </w:pPr>
      <w:r w:rsidRPr="00E37CCE">
        <w:rPr>
          <w:rFonts w:ascii="Georgia" w:hAnsi="Georgia"/>
        </w:rPr>
        <w:t xml:space="preserve">Bouchard, M. (2011). The Use and Abuse of Archaeology to Promote Nazi Nationalist Goals. </w:t>
      </w:r>
      <w:r w:rsidRPr="00E37CCE">
        <w:rPr>
          <w:rFonts w:ascii="Georgia" w:hAnsi="Georgia"/>
          <w:i/>
          <w:iCs/>
        </w:rPr>
        <w:t>Student Journals</w:t>
      </w:r>
      <w:r w:rsidRPr="00E37CCE">
        <w:rPr>
          <w:rFonts w:ascii="Georgia" w:hAnsi="Georgia"/>
        </w:rPr>
        <w:t xml:space="preserve">, [online] 1(1). Available at: </w:t>
      </w:r>
      <w:hyperlink r:id="rId26" w:history="1">
        <w:r w:rsidRPr="00E37CCE">
          <w:rPr>
            <w:rStyle w:val="Hyperlink"/>
            <w:rFonts w:ascii="Georgia" w:hAnsi="Georgia"/>
          </w:rPr>
          <w:t>https://scholars.unh.edu/cgi/viewcontent.cgi?article=1001&amp;context=spectrum</w:t>
        </w:r>
      </w:hyperlink>
      <w:r w:rsidRPr="00E37CCE">
        <w:rPr>
          <w:rFonts w:ascii="Georgia" w:hAnsi="Georgia"/>
        </w:rPr>
        <w:t>. </w:t>
      </w:r>
    </w:p>
    <w:p w14:paraId="488DF6A2" w14:textId="77777777" w:rsidR="00E37CCE" w:rsidRPr="00E37CCE" w:rsidRDefault="00E37CCE">
      <w:pPr>
        <w:rPr>
          <w:rFonts w:ascii="Georgia" w:hAnsi="Georgia"/>
        </w:rPr>
      </w:pPr>
    </w:p>
    <w:sectPr w:rsidR="00E37CCE" w:rsidRPr="00E37C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CCE"/>
    <w:rsid w:val="001D1819"/>
    <w:rsid w:val="006E52E6"/>
    <w:rsid w:val="00893028"/>
    <w:rsid w:val="00E37CCE"/>
    <w:rsid w:val="00E63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0C08F"/>
  <w15:chartTrackingRefBased/>
  <w15:docId w15:val="{E2E56C38-51B0-499E-ABDE-547DBA45E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7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7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7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7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7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7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7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7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7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7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7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7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7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7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7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7CCE"/>
    <w:rPr>
      <w:rFonts w:eastAsiaTheme="majorEastAsia" w:cstheme="majorBidi"/>
      <w:color w:val="272727" w:themeColor="text1" w:themeTint="D8"/>
    </w:rPr>
  </w:style>
  <w:style w:type="paragraph" w:styleId="Title">
    <w:name w:val="Title"/>
    <w:basedOn w:val="Normal"/>
    <w:next w:val="Normal"/>
    <w:link w:val="TitleChar"/>
    <w:uiPriority w:val="10"/>
    <w:qFormat/>
    <w:rsid w:val="00E37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7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7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7CCE"/>
    <w:pPr>
      <w:spacing w:before="160"/>
      <w:jc w:val="center"/>
    </w:pPr>
    <w:rPr>
      <w:i/>
      <w:iCs/>
      <w:color w:val="404040" w:themeColor="text1" w:themeTint="BF"/>
    </w:rPr>
  </w:style>
  <w:style w:type="character" w:customStyle="1" w:styleId="QuoteChar">
    <w:name w:val="Quote Char"/>
    <w:basedOn w:val="DefaultParagraphFont"/>
    <w:link w:val="Quote"/>
    <w:uiPriority w:val="29"/>
    <w:rsid w:val="00E37CCE"/>
    <w:rPr>
      <w:i/>
      <w:iCs/>
      <w:color w:val="404040" w:themeColor="text1" w:themeTint="BF"/>
    </w:rPr>
  </w:style>
  <w:style w:type="paragraph" w:styleId="ListParagraph">
    <w:name w:val="List Paragraph"/>
    <w:basedOn w:val="Normal"/>
    <w:uiPriority w:val="34"/>
    <w:qFormat/>
    <w:rsid w:val="00E37CCE"/>
    <w:pPr>
      <w:ind w:left="720"/>
      <w:contextualSpacing/>
    </w:pPr>
  </w:style>
  <w:style w:type="character" w:styleId="IntenseEmphasis">
    <w:name w:val="Intense Emphasis"/>
    <w:basedOn w:val="DefaultParagraphFont"/>
    <w:uiPriority w:val="21"/>
    <w:qFormat/>
    <w:rsid w:val="00E37CCE"/>
    <w:rPr>
      <w:i/>
      <w:iCs/>
      <w:color w:val="0F4761" w:themeColor="accent1" w:themeShade="BF"/>
    </w:rPr>
  </w:style>
  <w:style w:type="paragraph" w:styleId="IntenseQuote">
    <w:name w:val="Intense Quote"/>
    <w:basedOn w:val="Normal"/>
    <w:next w:val="Normal"/>
    <w:link w:val="IntenseQuoteChar"/>
    <w:uiPriority w:val="30"/>
    <w:qFormat/>
    <w:rsid w:val="00E37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7CCE"/>
    <w:rPr>
      <w:i/>
      <w:iCs/>
      <w:color w:val="0F4761" w:themeColor="accent1" w:themeShade="BF"/>
    </w:rPr>
  </w:style>
  <w:style w:type="character" w:styleId="IntenseReference">
    <w:name w:val="Intense Reference"/>
    <w:basedOn w:val="DefaultParagraphFont"/>
    <w:uiPriority w:val="32"/>
    <w:qFormat/>
    <w:rsid w:val="00E37CCE"/>
    <w:rPr>
      <w:b/>
      <w:bCs/>
      <w:smallCaps/>
      <w:color w:val="0F4761" w:themeColor="accent1" w:themeShade="BF"/>
      <w:spacing w:val="5"/>
    </w:rPr>
  </w:style>
  <w:style w:type="character" w:styleId="Hyperlink">
    <w:name w:val="Hyperlink"/>
    <w:basedOn w:val="DefaultParagraphFont"/>
    <w:uiPriority w:val="99"/>
    <w:unhideWhenUsed/>
    <w:rsid w:val="00E37CCE"/>
    <w:rPr>
      <w:color w:val="467886" w:themeColor="hyperlink"/>
      <w:u w:val="single"/>
    </w:rPr>
  </w:style>
  <w:style w:type="character" w:styleId="UnresolvedMention">
    <w:name w:val="Unresolved Mention"/>
    <w:basedOn w:val="DefaultParagraphFont"/>
    <w:uiPriority w:val="99"/>
    <w:semiHidden/>
    <w:unhideWhenUsed/>
    <w:rsid w:val="00E37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636850">
      <w:bodyDiv w:val="1"/>
      <w:marLeft w:val="0"/>
      <w:marRight w:val="0"/>
      <w:marTop w:val="0"/>
      <w:marBottom w:val="0"/>
      <w:divBdr>
        <w:top w:val="none" w:sz="0" w:space="0" w:color="auto"/>
        <w:left w:val="none" w:sz="0" w:space="0" w:color="auto"/>
        <w:bottom w:val="none" w:sz="0" w:space="0" w:color="auto"/>
        <w:right w:val="none" w:sz="0" w:space="0" w:color="auto"/>
      </w:divBdr>
    </w:div>
    <w:div w:id="1357345373">
      <w:bodyDiv w:val="1"/>
      <w:marLeft w:val="0"/>
      <w:marRight w:val="0"/>
      <w:marTop w:val="0"/>
      <w:marBottom w:val="0"/>
      <w:divBdr>
        <w:top w:val="none" w:sz="0" w:space="0" w:color="auto"/>
        <w:left w:val="none" w:sz="0" w:space="0" w:color="auto"/>
        <w:bottom w:val="none" w:sz="0" w:space="0" w:color="auto"/>
        <w:right w:val="none" w:sz="0" w:space="0" w:color="auto"/>
      </w:divBdr>
    </w:div>
    <w:div w:id="1759399433">
      <w:bodyDiv w:val="1"/>
      <w:marLeft w:val="0"/>
      <w:marRight w:val="0"/>
      <w:marTop w:val="0"/>
      <w:marBottom w:val="0"/>
      <w:divBdr>
        <w:top w:val="none" w:sz="0" w:space="0" w:color="auto"/>
        <w:left w:val="none" w:sz="0" w:space="0" w:color="auto"/>
        <w:bottom w:val="none" w:sz="0" w:space="0" w:color="auto"/>
        <w:right w:val="none" w:sz="0" w:space="0" w:color="auto"/>
      </w:divBdr>
    </w:div>
    <w:div w:id="182774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cience/2017/apr/10/the-politics-and-power-of-american-archaeology" TargetMode="External"/><Relationship Id="rId13" Type="http://schemas.openxmlformats.org/officeDocument/2006/relationships/hyperlink" Target="https://itsartlaw.org/2021/05/18/31-years-of-nagpra-evaluating-the-restitution-of-native-american-ancestral-remains-and-belongings/" TargetMode="External"/><Relationship Id="rId18" Type="http://schemas.openxmlformats.org/officeDocument/2006/relationships/hyperlink" Target="https://www.bbc.co.uk/programmes/b00v3x6v" TargetMode="External"/><Relationship Id="rId26" Type="http://schemas.openxmlformats.org/officeDocument/2006/relationships/hyperlink" Target="https://scholars.unh.edu/cgi/viewcontent.cgi?article=1001&amp;context=spectrum" TargetMode="External"/><Relationship Id="rId3" Type="http://schemas.openxmlformats.org/officeDocument/2006/relationships/webSettings" Target="webSettings.xml"/><Relationship Id="rId21" Type="http://schemas.openxmlformats.org/officeDocument/2006/relationships/hyperlink" Target="https://www.legislation.gov.uk/ukpga/1963/24/contents" TargetMode="External"/><Relationship Id="rId7" Type="http://schemas.openxmlformats.org/officeDocument/2006/relationships/hyperlink" Target="https://www.museumsassociation.org/museums-journal/news/2024/03/smithsonian-moves-towards-informed-consent-principle-for-human-remains/" TargetMode="External"/><Relationship Id="rId12" Type="http://schemas.openxmlformats.org/officeDocument/2006/relationships/hyperlink" Target="https://projects.propublica.org/repatriation-nagpra-database/" TargetMode="External"/><Relationship Id="rId17" Type="http://schemas.openxmlformats.org/officeDocument/2006/relationships/hyperlink" Target="https://digitalcommons.sia.edu/cgi/viewcontent.cgi?article=1160&amp;context=stu_theses" TargetMode="External"/><Relationship Id="rId25" Type="http://schemas.openxmlformats.org/officeDocument/2006/relationships/hyperlink" Target="https://faolex.fao.org/docs/pdf/aus44283.pdf" TargetMode="External"/><Relationship Id="rId2" Type="http://schemas.openxmlformats.org/officeDocument/2006/relationships/settings" Target="settings.xml"/><Relationship Id="rId16" Type="http://schemas.openxmlformats.org/officeDocument/2006/relationships/hyperlink" Target="https://www.theguardian.com/australia-news/2017/jul/19/dig-finds-evidence-of-aboriginal-habitation-up-to-80000-years-ago" TargetMode="External"/><Relationship Id="rId20" Type="http://schemas.openxmlformats.org/officeDocument/2006/relationships/hyperlink" Target="https://doi.org/10.1080/1031461x.2017.1408663" TargetMode="External"/><Relationship Id="rId1" Type="http://schemas.openxmlformats.org/officeDocument/2006/relationships/styles" Target="styles.xml"/><Relationship Id="rId6" Type="http://schemas.openxmlformats.org/officeDocument/2006/relationships/hyperlink" Target="https://encyclopediavirginia.org/entries/jeffersons-mound-archaeological-site/" TargetMode="External"/><Relationship Id="rId11" Type="http://schemas.openxmlformats.org/officeDocument/2006/relationships/hyperlink" Target="https://www.chronicle.com/article/3-universities-hold-vast-collections-of-native-american-remains-returning-them-is-taking-decades" TargetMode="External"/><Relationship Id="rId24" Type="http://schemas.openxmlformats.org/officeDocument/2006/relationships/hyperlink" Target="https://faolex.fao.org/docs/pdf/wa106185.pdf" TargetMode="External"/><Relationship Id="rId5" Type="http://schemas.openxmlformats.org/officeDocument/2006/relationships/hyperlink" Target="https://www.monticello.org/research-education/thomas-jefferson-encyclopedia/jeffersons-excavation-native-american-burial-mound/" TargetMode="External"/><Relationship Id="rId15" Type="http://schemas.openxmlformats.org/officeDocument/2006/relationships/hyperlink" Target="https://culturalpropertynews.org/a-primer-nagpra-arpa-and-the-antiquities-act/" TargetMode="External"/><Relationship Id="rId23" Type="http://schemas.openxmlformats.org/officeDocument/2006/relationships/hyperlink" Target="https://www.agriculture.gov.au/sites/default/files/documents/atsihp-act-general-guide.pdf" TargetMode="External"/><Relationship Id="rId28" Type="http://schemas.openxmlformats.org/officeDocument/2006/relationships/theme" Target="theme/theme1.xml"/><Relationship Id="rId10" Type="http://schemas.openxmlformats.org/officeDocument/2006/relationships/hyperlink" Target="https://www.nps.gov/subjects/nagpra/index.htm" TargetMode="External"/><Relationship Id="rId19" Type="http://schemas.openxmlformats.org/officeDocument/2006/relationships/hyperlink" Target="https://doi.org/10.5334/bha-626" TargetMode="External"/><Relationship Id="rId4" Type="http://schemas.openxmlformats.org/officeDocument/2006/relationships/hyperlink" Target="https://www.southampton.ac.uk/tag2016/sessionsabstracts/session1.page" TargetMode="External"/><Relationship Id="rId9" Type="http://schemas.openxmlformats.org/officeDocument/2006/relationships/hyperlink" Target="https://guides.loc.gov/indian-removal-act" TargetMode="External"/><Relationship Id="rId14" Type="http://schemas.openxmlformats.org/officeDocument/2006/relationships/hyperlink" Target="https://www.washingtonian.com/2024/02/01/why-new-federal-regulations-on-native-displays-dont-apply-to-smithsonian/" TargetMode="External"/><Relationship Id="rId22" Type="http://schemas.openxmlformats.org/officeDocument/2006/relationships/hyperlink" Target="https://adb.anu.edu.au/the-quest-for-indigenous-recognition/indigenous-australians-and-the-australian-constitu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3074</Words>
  <Characters>17527</Characters>
  <Application>Microsoft Office Word</Application>
  <DocSecurity>0</DocSecurity>
  <Lines>146</Lines>
  <Paragraphs>41</Paragraphs>
  <ScaleCrop>false</ScaleCrop>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Jasper (Student)</dc:creator>
  <cp:keywords/>
  <dc:description/>
  <cp:lastModifiedBy>Elisabeth Jasper (Student)</cp:lastModifiedBy>
  <cp:revision>1</cp:revision>
  <dcterms:created xsi:type="dcterms:W3CDTF">2024-11-17T08:59:00Z</dcterms:created>
  <dcterms:modified xsi:type="dcterms:W3CDTF">2024-11-17T09:01:00Z</dcterms:modified>
</cp:coreProperties>
</file>