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DBC9C7" w14:textId="77777777" w:rsidR="00157ED1" w:rsidRDefault="00157ED1" w:rsidP="00B04208">
      <w:pPr>
        <w:spacing w:line="360" w:lineRule="auto"/>
        <w:jc w:val="center"/>
      </w:pPr>
      <w:r>
        <w:rPr>
          <w:noProof/>
        </w:rPr>
        <w:drawing>
          <wp:inline distT="0" distB="0" distL="0" distR="0" wp14:anchorId="30665AE5" wp14:editId="61B9D011">
            <wp:extent cx="2489200" cy="1040358"/>
            <wp:effectExtent l="0" t="0" r="6350" b="7620"/>
            <wp:docPr id="125727846" name="Picture 3"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27846" name="Picture 1" descr="University of Wales Trinity Saint David launches new digital ..."/>
                    <pic:cNvPicPr>
                      <a:picLocks noChangeAspect="1" noChangeArrowheads="1"/>
                    </pic:cNvPicPr>
                  </pic:nvPicPr>
                  <pic:blipFill>
                    <a:blip r:embed="rId6" cstate="print">
                      <a:extLst>
                        <a:ext uri="{28A0092B-C50C-407E-A947-70E740481C1C}">
                          <a14:useLocalDpi xmlns:a14="http://schemas.microsoft.com/office/drawing/2010/main" val="0"/>
                        </a:ext>
                      </a:extLst>
                    </a:blip>
                    <a:stretch>
                      <a:fillRect/>
                    </a:stretch>
                  </pic:blipFill>
                  <pic:spPr bwMode="auto">
                    <a:xfrm>
                      <a:off x="0" y="0"/>
                      <a:ext cx="2547502" cy="1064725"/>
                    </a:xfrm>
                    <a:prstGeom prst="rect">
                      <a:avLst/>
                    </a:prstGeom>
                    <a:noFill/>
                    <a:ln>
                      <a:noFill/>
                    </a:ln>
                  </pic:spPr>
                </pic:pic>
              </a:graphicData>
            </a:graphic>
          </wp:inline>
        </w:drawing>
      </w:r>
    </w:p>
    <w:p w14:paraId="2A578208" w14:textId="77777777" w:rsidR="00B04208" w:rsidRPr="00B04208" w:rsidRDefault="00B04208" w:rsidP="00B04208">
      <w:pPr>
        <w:jc w:val="center"/>
        <w:rPr>
          <w:rFonts w:cs="Arial"/>
          <w:b/>
          <w:bCs/>
        </w:rPr>
      </w:pPr>
      <w:r w:rsidRPr="00B04208">
        <w:rPr>
          <w:rFonts w:cs="Arial"/>
          <w:b/>
          <w:bCs/>
        </w:rPr>
        <w:t xml:space="preserve">Report Outline: Type 1 Diabetes </w:t>
      </w:r>
      <w:r w:rsidRPr="00B04208">
        <w:rPr>
          <w:rFonts w:cs="Arial"/>
          <w:b/>
          <w:bCs/>
          <w:i/>
          <w:iCs/>
        </w:rPr>
        <w:t>(LCHS4008 Component 2 – Written Report, 1,500 words ±10%)</w:t>
      </w:r>
    </w:p>
    <w:p w14:paraId="7A24373B" w14:textId="77777777" w:rsidR="00B04208" w:rsidRPr="00B04208" w:rsidRDefault="00B04208" w:rsidP="00B04208">
      <w:pPr>
        <w:jc w:val="center"/>
        <w:rPr>
          <w:rFonts w:cs="Arial"/>
          <w:b/>
          <w:bCs/>
        </w:rPr>
      </w:pPr>
      <w:r w:rsidRPr="00B04208">
        <w:rPr>
          <w:rFonts w:cs="Arial"/>
          <w:b/>
          <w:bCs/>
        </w:rPr>
        <w:t xml:space="preserve">Title page (outside word count) </w:t>
      </w:r>
    </w:p>
    <w:p w14:paraId="5A67D9D4" w14:textId="77777777" w:rsidR="00B04208" w:rsidRPr="00B04208" w:rsidRDefault="00B04208" w:rsidP="00B04208">
      <w:pPr>
        <w:jc w:val="center"/>
        <w:rPr>
          <w:rFonts w:cs="Arial"/>
          <w:b/>
          <w:bCs/>
        </w:rPr>
      </w:pPr>
      <w:r w:rsidRPr="00B04208">
        <w:rPr>
          <w:rFonts w:cs="Arial"/>
          <w:b/>
          <w:bCs/>
        </w:rPr>
        <w:t>Student name</w:t>
      </w:r>
    </w:p>
    <w:p w14:paraId="5D1C7C8B" w14:textId="77777777" w:rsidR="00B04208" w:rsidRPr="00B04208" w:rsidRDefault="00B04208" w:rsidP="00B04208">
      <w:pPr>
        <w:jc w:val="center"/>
        <w:rPr>
          <w:rFonts w:cs="Arial"/>
          <w:b/>
          <w:bCs/>
        </w:rPr>
      </w:pPr>
      <w:r w:rsidRPr="00B04208">
        <w:rPr>
          <w:rFonts w:cs="Arial"/>
          <w:b/>
          <w:bCs/>
        </w:rPr>
        <w:t>Student Number</w:t>
      </w:r>
    </w:p>
    <w:p w14:paraId="28E2DB3B" w14:textId="77777777" w:rsidR="00B04208" w:rsidRPr="00B04208" w:rsidRDefault="00B04208" w:rsidP="00B04208">
      <w:pPr>
        <w:jc w:val="center"/>
        <w:rPr>
          <w:rFonts w:cs="Arial"/>
          <w:b/>
          <w:bCs/>
        </w:rPr>
      </w:pPr>
      <w:r w:rsidRPr="00B04208">
        <w:rPr>
          <w:rFonts w:cs="Arial"/>
          <w:b/>
          <w:bCs/>
        </w:rPr>
        <w:t>Module Code &amp; Title (LCHS4008 Introduction to Public Health)</w:t>
      </w:r>
    </w:p>
    <w:p w14:paraId="22012E24" w14:textId="4C9DD1C3" w:rsidR="00B04208" w:rsidRPr="00B04208" w:rsidRDefault="00472424" w:rsidP="00B04208">
      <w:pPr>
        <w:jc w:val="center"/>
        <w:rPr>
          <w:rFonts w:cs="Arial"/>
          <w:b/>
          <w:bCs/>
        </w:rPr>
      </w:pPr>
      <w:r>
        <w:rPr>
          <w:rFonts w:cs="Arial"/>
          <w:b/>
          <w:bCs/>
        </w:rPr>
        <w:t>Lecturer's</w:t>
      </w:r>
      <w:r w:rsidR="00B04208" w:rsidRPr="00B04208">
        <w:rPr>
          <w:rFonts w:cs="Arial"/>
          <w:b/>
          <w:bCs/>
        </w:rPr>
        <w:t xml:space="preserve"> Name</w:t>
      </w:r>
    </w:p>
    <w:p w14:paraId="2253EE67" w14:textId="77777777" w:rsidR="00B04208" w:rsidRPr="00B04208" w:rsidRDefault="00B04208" w:rsidP="00B04208">
      <w:pPr>
        <w:jc w:val="center"/>
        <w:rPr>
          <w:rFonts w:cs="Arial"/>
          <w:b/>
          <w:bCs/>
        </w:rPr>
      </w:pPr>
      <w:r w:rsidRPr="00B04208">
        <w:rPr>
          <w:rFonts w:cs="Arial"/>
          <w:b/>
          <w:bCs/>
        </w:rPr>
        <w:t>Assignment Title: Report on a Health Issue: Type 1 Diabetes</w:t>
      </w:r>
    </w:p>
    <w:p w14:paraId="1A2F30CA" w14:textId="55A80869" w:rsidR="00157ED1" w:rsidRDefault="00157ED1" w:rsidP="00B04208">
      <w:pPr>
        <w:spacing w:line="360" w:lineRule="auto"/>
        <w:ind w:left="720"/>
        <w:jc w:val="center"/>
        <w:rPr>
          <w:rFonts w:cs="Arial"/>
        </w:rPr>
      </w:pPr>
    </w:p>
    <w:p w14:paraId="1F6F809D" w14:textId="77777777" w:rsidR="00157ED1" w:rsidRDefault="00157ED1" w:rsidP="00B04208">
      <w:pPr>
        <w:spacing w:line="360" w:lineRule="auto"/>
        <w:rPr>
          <w:rFonts w:cs="Arial"/>
        </w:rPr>
      </w:pPr>
      <w:r>
        <w:rPr>
          <w:rFonts w:cs="Arial"/>
        </w:rPr>
        <w:br w:type="page"/>
      </w:r>
    </w:p>
    <w:sdt>
      <w:sdtPr>
        <w:rPr>
          <w:rFonts w:eastAsiaTheme="minorHAnsi" w:cs="Arial"/>
          <w:b w:val="0"/>
          <w:bCs/>
          <w:kern w:val="2"/>
          <w:sz w:val="28"/>
          <w:szCs w:val="28"/>
          <w:lang w:val="en-GB"/>
          <w14:ligatures w14:val="standardContextual"/>
        </w:rPr>
        <w:id w:val="646097257"/>
        <w:docPartObj>
          <w:docPartGallery w:val="Table of Contents"/>
          <w:docPartUnique/>
        </w:docPartObj>
      </w:sdtPr>
      <w:sdtEndPr>
        <w:rPr>
          <w:rFonts w:cstheme="minorBidi"/>
          <w:b/>
          <w:noProof/>
          <w:sz w:val="22"/>
          <w:szCs w:val="22"/>
        </w:rPr>
      </w:sdtEndPr>
      <w:sdtContent>
        <w:p w14:paraId="13A5C89A" w14:textId="77777777" w:rsidR="00157ED1" w:rsidRPr="00E45FD4" w:rsidRDefault="00157ED1" w:rsidP="00B04208">
          <w:pPr>
            <w:pStyle w:val="TOCHeading"/>
            <w:spacing w:after="160" w:line="360" w:lineRule="auto"/>
            <w:jc w:val="center"/>
            <w:rPr>
              <w:rFonts w:cs="Arial"/>
              <w:b w:val="0"/>
              <w:bCs/>
              <w:sz w:val="28"/>
              <w:szCs w:val="28"/>
            </w:rPr>
          </w:pPr>
          <w:r w:rsidRPr="00E45FD4">
            <w:rPr>
              <w:rFonts w:cs="Arial"/>
              <w:bCs/>
              <w:sz w:val="28"/>
              <w:szCs w:val="28"/>
            </w:rPr>
            <w:t>Table of Contents</w:t>
          </w:r>
        </w:p>
        <w:p w14:paraId="1357208C" w14:textId="2C413D18" w:rsidR="00B41CCD" w:rsidRDefault="00157ED1" w:rsidP="00B04208">
          <w:pPr>
            <w:pStyle w:val="TOC1"/>
            <w:tabs>
              <w:tab w:val="left" w:pos="480"/>
              <w:tab w:val="right" w:leader="dot" w:pos="9350"/>
            </w:tabs>
            <w:spacing w:after="160" w:line="360" w:lineRule="auto"/>
            <w:rPr>
              <w:rFonts w:asciiTheme="minorHAnsi" w:eastAsiaTheme="minorEastAsia" w:hAnsiTheme="minorHAnsi"/>
              <w:noProof/>
              <w:color w:val="auto"/>
              <w:sz w:val="24"/>
              <w:szCs w:val="24"/>
              <w:lang w:eastAsia="en-GB"/>
            </w:rPr>
          </w:pPr>
          <w:r>
            <w:fldChar w:fldCharType="begin"/>
          </w:r>
          <w:r>
            <w:instrText xml:space="preserve"> TOC \o "1-3" \h \z \u </w:instrText>
          </w:r>
          <w:r>
            <w:fldChar w:fldCharType="separate"/>
          </w:r>
          <w:hyperlink w:anchor="_Toc235802892" w:history="1">
            <w:r w:rsidR="00B41CCD" w:rsidRPr="00743D81">
              <w:rPr>
                <w:rStyle w:val="Hyperlink"/>
                <w:noProof/>
              </w:rPr>
              <w:t>1.</w:t>
            </w:r>
            <w:r w:rsidR="00B41CCD">
              <w:rPr>
                <w:rFonts w:asciiTheme="minorHAnsi" w:eastAsiaTheme="minorEastAsia" w:hAnsiTheme="minorHAnsi"/>
                <w:noProof/>
                <w:color w:val="auto"/>
                <w:sz w:val="24"/>
                <w:szCs w:val="24"/>
                <w:lang w:eastAsia="en-GB"/>
              </w:rPr>
              <w:tab/>
            </w:r>
            <w:r w:rsidR="00B41CCD" w:rsidRPr="00743D81">
              <w:rPr>
                <w:rStyle w:val="Hyperlink"/>
                <w:noProof/>
              </w:rPr>
              <w:t>Introduction</w:t>
            </w:r>
            <w:r w:rsidR="00B41CCD">
              <w:rPr>
                <w:noProof/>
                <w:webHidden/>
              </w:rPr>
              <w:tab/>
            </w:r>
            <w:r w:rsidR="00B41CCD">
              <w:rPr>
                <w:noProof/>
                <w:webHidden/>
              </w:rPr>
              <w:fldChar w:fldCharType="begin"/>
            </w:r>
            <w:r w:rsidR="00B41CCD">
              <w:rPr>
                <w:noProof/>
                <w:webHidden/>
              </w:rPr>
              <w:instrText xml:space="preserve"> PAGEREF _Toc235802892 \h </w:instrText>
            </w:r>
            <w:r w:rsidR="00B41CCD">
              <w:rPr>
                <w:noProof/>
                <w:webHidden/>
              </w:rPr>
            </w:r>
            <w:r w:rsidR="00B41CCD">
              <w:rPr>
                <w:noProof/>
                <w:webHidden/>
              </w:rPr>
              <w:fldChar w:fldCharType="separate"/>
            </w:r>
            <w:r w:rsidR="00B41CCD">
              <w:rPr>
                <w:noProof/>
                <w:webHidden/>
              </w:rPr>
              <w:t>3</w:t>
            </w:r>
            <w:r w:rsidR="00B41CCD">
              <w:rPr>
                <w:noProof/>
                <w:webHidden/>
              </w:rPr>
              <w:fldChar w:fldCharType="end"/>
            </w:r>
          </w:hyperlink>
        </w:p>
        <w:p w14:paraId="108843D9" w14:textId="4A8F0E0C" w:rsidR="00B41CCD" w:rsidRDefault="00B41CCD" w:rsidP="00B04208">
          <w:pPr>
            <w:pStyle w:val="TOC1"/>
            <w:tabs>
              <w:tab w:val="left" w:pos="480"/>
              <w:tab w:val="right" w:leader="dot" w:pos="9350"/>
            </w:tabs>
            <w:spacing w:after="160" w:line="360" w:lineRule="auto"/>
            <w:rPr>
              <w:rFonts w:asciiTheme="minorHAnsi" w:eastAsiaTheme="minorEastAsia" w:hAnsiTheme="minorHAnsi"/>
              <w:noProof/>
              <w:color w:val="auto"/>
              <w:sz w:val="24"/>
              <w:szCs w:val="24"/>
              <w:lang w:eastAsia="en-GB"/>
            </w:rPr>
          </w:pPr>
          <w:hyperlink w:anchor="_Toc235802893" w:history="1">
            <w:r w:rsidRPr="00743D81">
              <w:rPr>
                <w:rStyle w:val="Hyperlink"/>
                <w:noProof/>
              </w:rPr>
              <w:t>2.</w:t>
            </w:r>
            <w:r>
              <w:rPr>
                <w:rFonts w:asciiTheme="minorHAnsi" w:eastAsiaTheme="minorEastAsia" w:hAnsiTheme="minorHAnsi"/>
                <w:noProof/>
                <w:color w:val="auto"/>
                <w:sz w:val="24"/>
                <w:szCs w:val="24"/>
                <w:lang w:eastAsia="en-GB"/>
              </w:rPr>
              <w:tab/>
            </w:r>
            <w:r w:rsidRPr="00743D81">
              <w:rPr>
                <w:rStyle w:val="Hyperlink"/>
                <w:noProof/>
              </w:rPr>
              <w:t>Approaches used to measure and monitor Type 1</w:t>
            </w:r>
            <w:r>
              <w:rPr>
                <w:noProof/>
                <w:webHidden/>
              </w:rPr>
              <w:tab/>
            </w:r>
            <w:r>
              <w:rPr>
                <w:noProof/>
                <w:webHidden/>
              </w:rPr>
              <w:fldChar w:fldCharType="begin"/>
            </w:r>
            <w:r>
              <w:rPr>
                <w:noProof/>
                <w:webHidden/>
              </w:rPr>
              <w:instrText xml:space="preserve"> PAGEREF _Toc235802893 \h </w:instrText>
            </w:r>
            <w:r>
              <w:rPr>
                <w:noProof/>
                <w:webHidden/>
              </w:rPr>
            </w:r>
            <w:r>
              <w:rPr>
                <w:noProof/>
                <w:webHidden/>
              </w:rPr>
              <w:fldChar w:fldCharType="separate"/>
            </w:r>
            <w:r>
              <w:rPr>
                <w:noProof/>
                <w:webHidden/>
              </w:rPr>
              <w:t>3</w:t>
            </w:r>
            <w:r>
              <w:rPr>
                <w:noProof/>
                <w:webHidden/>
              </w:rPr>
              <w:fldChar w:fldCharType="end"/>
            </w:r>
          </w:hyperlink>
        </w:p>
        <w:p w14:paraId="569F9D05" w14:textId="3639DC1F" w:rsidR="00B41CCD" w:rsidRDefault="00B41CCD" w:rsidP="00B04208">
          <w:pPr>
            <w:pStyle w:val="TOC1"/>
            <w:tabs>
              <w:tab w:val="left" w:pos="480"/>
              <w:tab w:val="right" w:leader="dot" w:pos="9350"/>
            </w:tabs>
            <w:spacing w:after="160" w:line="360" w:lineRule="auto"/>
            <w:rPr>
              <w:rFonts w:asciiTheme="minorHAnsi" w:eastAsiaTheme="minorEastAsia" w:hAnsiTheme="minorHAnsi"/>
              <w:noProof/>
              <w:color w:val="auto"/>
              <w:sz w:val="24"/>
              <w:szCs w:val="24"/>
              <w:lang w:eastAsia="en-GB"/>
            </w:rPr>
          </w:pPr>
          <w:hyperlink w:anchor="_Toc235802894" w:history="1">
            <w:r w:rsidRPr="00743D81">
              <w:rPr>
                <w:rStyle w:val="Hyperlink"/>
                <w:noProof/>
              </w:rPr>
              <w:t>3.</w:t>
            </w:r>
            <w:r>
              <w:rPr>
                <w:rFonts w:asciiTheme="minorHAnsi" w:eastAsiaTheme="minorEastAsia" w:hAnsiTheme="minorHAnsi"/>
                <w:noProof/>
                <w:color w:val="auto"/>
                <w:sz w:val="24"/>
                <w:szCs w:val="24"/>
                <w:lang w:eastAsia="en-GB"/>
              </w:rPr>
              <w:tab/>
            </w:r>
            <w:r w:rsidRPr="00743D81">
              <w:rPr>
                <w:rStyle w:val="Hyperlink"/>
                <w:noProof/>
              </w:rPr>
              <w:t>How Type 1 Diabetes is Controlled</w:t>
            </w:r>
            <w:r>
              <w:rPr>
                <w:noProof/>
                <w:webHidden/>
              </w:rPr>
              <w:tab/>
            </w:r>
            <w:r>
              <w:rPr>
                <w:noProof/>
                <w:webHidden/>
              </w:rPr>
              <w:fldChar w:fldCharType="begin"/>
            </w:r>
            <w:r>
              <w:rPr>
                <w:noProof/>
                <w:webHidden/>
              </w:rPr>
              <w:instrText xml:space="preserve"> PAGEREF _Toc235802894 \h </w:instrText>
            </w:r>
            <w:r>
              <w:rPr>
                <w:noProof/>
                <w:webHidden/>
              </w:rPr>
            </w:r>
            <w:r>
              <w:rPr>
                <w:noProof/>
                <w:webHidden/>
              </w:rPr>
              <w:fldChar w:fldCharType="separate"/>
            </w:r>
            <w:r>
              <w:rPr>
                <w:noProof/>
                <w:webHidden/>
              </w:rPr>
              <w:t>4</w:t>
            </w:r>
            <w:r>
              <w:rPr>
                <w:noProof/>
                <w:webHidden/>
              </w:rPr>
              <w:fldChar w:fldCharType="end"/>
            </w:r>
          </w:hyperlink>
        </w:p>
        <w:p w14:paraId="4457A3B4" w14:textId="77C959FE" w:rsidR="00B41CCD" w:rsidRDefault="00B41CCD" w:rsidP="00B04208">
          <w:pPr>
            <w:pStyle w:val="TOC1"/>
            <w:tabs>
              <w:tab w:val="left" w:pos="480"/>
              <w:tab w:val="right" w:leader="dot" w:pos="9350"/>
            </w:tabs>
            <w:spacing w:after="160" w:line="360" w:lineRule="auto"/>
            <w:rPr>
              <w:rFonts w:asciiTheme="minorHAnsi" w:eastAsiaTheme="minorEastAsia" w:hAnsiTheme="minorHAnsi"/>
              <w:noProof/>
              <w:color w:val="auto"/>
              <w:sz w:val="24"/>
              <w:szCs w:val="24"/>
              <w:lang w:eastAsia="en-GB"/>
            </w:rPr>
          </w:pPr>
          <w:hyperlink w:anchor="_Toc235802895" w:history="1">
            <w:r w:rsidRPr="00743D81">
              <w:rPr>
                <w:rStyle w:val="Hyperlink"/>
                <w:noProof/>
              </w:rPr>
              <w:t>4.</w:t>
            </w:r>
            <w:r>
              <w:rPr>
                <w:rFonts w:asciiTheme="minorHAnsi" w:eastAsiaTheme="minorEastAsia" w:hAnsiTheme="minorHAnsi"/>
                <w:noProof/>
                <w:color w:val="auto"/>
                <w:sz w:val="24"/>
                <w:szCs w:val="24"/>
                <w:lang w:eastAsia="en-GB"/>
              </w:rPr>
              <w:tab/>
            </w:r>
            <w:r w:rsidRPr="00743D81">
              <w:rPr>
                <w:rStyle w:val="Hyperlink"/>
                <w:noProof/>
              </w:rPr>
              <w:t>Consequences of the Illness on People in the Community</w:t>
            </w:r>
            <w:r>
              <w:rPr>
                <w:noProof/>
                <w:webHidden/>
              </w:rPr>
              <w:tab/>
            </w:r>
            <w:r>
              <w:rPr>
                <w:noProof/>
                <w:webHidden/>
              </w:rPr>
              <w:fldChar w:fldCharType="begin"/>
            </w:r>
            <w:r>
              <w:rPr>
                <w:noProof/>
                <w:webHidden/>
              </w:rPr>
              <w:instrText xml:space="preserve"> PAGEREF _Toc235802895 \h </w:instrText>
            </w:r>
            <w:r>
              <w:rPr>
                <w:noProof/>
                <w:webHidden/>
              </w:rPr>
            </w:r>
            <w:r>
              <w:rPr>
                <w:noProof/>
                <w:webHidden/>
              </w:rPr>
              <w:fldChar w:fldCharType="separate"/>
            </w:r>
            <w:r>
              <w:rPr>
                <w:noProof/>
                <w:webHidden/>
              </w:rPr>
              <w:t>5</w:t>
            </w:r>
            <w:r>
              <w:rPr>
                <w:noProof/>
                <w:webHidden/>
              </w:rPr>
              <w:fldChar w:fldCharType="end"/>
            </w:r>
          </w:hyperlink>
        </w:p>
        <w:p w14:paraId="713016E4" w14:textId="2D0E3D1A" w:rsidR="00B41CCD" w:rsidRDefault="00B41CCD" w:rsidP="00B04208">
          <w:pPr>
            <w:pStyle w:val="TOC1"/>
            <w:tabs>
              <w:tab w:val="left" w:pos="480"/>
              <w:tab w:val="right" w:leader="dot" w:pos="9350"/>
            </w:tabs>
            <w:spacing w:after="160" w:line="360" w:lineRule="auto"/>
            <w:rPr>
              <w:rFonts w:asciiTheme="minorHAnsi" w:eastAsiaTheme="minorEastAsia" w:hAnsiTheme="minorHAnsi"/>
              <w:noProof/>
              <w:color w:val="auto"/>
              <w:sz w:val="24"/>
              <w:szCs w:val="24"/>
              <w:lang w:eastAsia="en-GB"/>
            </w:rPr>
          </w:pPr>
          <w:hyperlink w:anchor="_Toc235802896" w:history="1">
            <w:r w:rsidRPr="00743D81">
              <w:rPr>
                <w:rStyle w:val="Hyperlink"/>
                <w:noProof/>
              </w:rPr>
              <w:t>5.</w:t>
            </w:r>
            <w:r>
              <w:rPr>
                <w:rFonts w:asciiTheme="minorHAnsi" w:eastAsiaTheme="minorEastAsia" w:hAnsiTheme="minorHAnsi"/>
                <w:noProof/>
                <w:color w:val="auto"/>
                <w:sz w:val="24"/>
                <w:szCs w:val="24"/>
                <w:lang w:eastAsia="en-GB"/>
              </w:rPr>
              <w:tab/>
            </w:r>
            <w:r w:rsidRPr="00743D81">
              <w:rPr>
                <w:rStyle w:val="Hyperlink"/>
                <w:noProof/>
              </w:rPr>
              <w:t>Health and Social Care Support Services</w:t>
            </w:r>
            <w:r>
              <w:rPr>
                <w:noProof/>
                <w:webHidden/>
              </w:rPr>
              <w:tab/>
            </w:r>
            <w:r>
              <w:rPr>
                <w:noProof/>
                <w:webHidden/>
              </w:rPr>
              <w:fldChar w:fldCharType="begin"/>
            </w:r>
            <w:r>
              <w:rPr>
                <w:noProof/>
                <w:webHidden/>
              </w:rPr>
              <w:instrText xml:space="preserve"> PAGEREF _Toc235802896 \h </w:instrText>
            </w:r>
            <w:r>
              <w:rPr>
                <w:noProof/>
                <w:webHidden/>
              </w:rPr>
            </w:r>
            <w:r>
              <w:rPr>
                <w:noProof/>
                <w:webHidden/>
              </w:rPr>
              <w:fldChar w:fldCharType="separate"/>
            </w:r>
            <w:r>
              <w:rPr>
                <w:noProof/>
                <w:webHidden/>
              </w:rPr>
              <w:t>6</w:t>
            </w:r>
            <w:r>
              <w:rPr>
                <w:noProof/>
                <w:webHidden/>
              </w:rPr>
              <w:fldChar w:fldCharType="end"/>
            </w:r>
          </w:hyperlink>
        </w:p>
        <w:p w14:paraId="5CEB153F" w14:textId="5042DDC6" w:rsidR="00B41CCD" w:rsidRDefault="00B41CCD" w:rsidP="00B04208">
          <w:pPr>
            <w:pStyle w:val="TOC1"/>
            <w:tabs>
              <w:tab w:val="left" w:pos="480"/>
              <w:tab w:val="right" w:leader="dot" w:pos="9350"/>
            </w:tabs>
            <w:spacing w:after="160" w:line="360" w:lineRule="auto"/>
            <w:rPr>
              <w:rFonts w:asciiTheme="minorHAnsi" w:eastAsiaTheme="minorEastAsia" w:hAnsiTheme="minorHAnsi"/>
              <w:noProof/>
              <w:color w:val="auto"/>
              <w:sz w:val="24"/>
              <w:szCs w:val="24"/>
              <w:lang w:eastAsia="en-GB"/>
            </w:rPr>
          </w:pPr>
          <w:hyperlink w:anchor="_Toc235802897" w:history="1">
            <w:r w:rsidRPr="00743D81">
              <w:rPr>
                <w:rStyle w:val="Hyperlink"/>
                <w:noProof/>
              </w:rPr>
              <w:t>6.</w:t>
            </w:r>
            <w:r>
              <w:rPr>
                <w:rFonts w:asciiTheme="minorHAnsi" w:eastAsiaTheme="minorEastAsia" w:hAnsiTheme="minorHAnsi"/>
                <w:noProof/>
                <w:color w:val="auto"/>
                <w:sz w:val="24"/>
                <w:szCs w:val="24"/>
                <w:lang w:eastAsia="en-GB"/>
              </w:rPr>
              <w:tab/>
            </w:r>
            <w:r w:rsidRPr="00743D81">
              <w:rPr>
                <w:rStyle w:val="Hyperlink"/>
                <w:noProof/>
              </w:rPr>
              <w:t>Conclusion</w:t>
            </w:r>
            <w:r>
              <w:rPr>
                <w:noProof/>
                <w:webHidden/>
              </w:rPr>
              <w:tab/>
            </w:r>
            <w:r>
              <w:rPr>
                <w:noProof/>
                <w:webHidden/>
              </w:rPr>
              <w:fldChar w:fldCharType="begin"/>
            </w:r>
            <w:r>
              <w:rPr>
                <w:noProof/>
                <w:webHidden/>
              </w:rPr>
              <w:instrText xml:space="preserve"> PAGEREF _Toc235802897 \h </w:instrText>
            </w:r>
            <w:r>
              <w:rPr>
                <w:noProof/>
                <w:webHidden/>
              </w:rPr>
            </w:r>
            <w:r>
              <w:rPr>
                <w:noProof/>
                <w:webHidden/>
              </w:rPr>
              <w:fldChar w:fldCharType="separate"/>
            </w:r>
            <w:r>
              <w:rPr>
                <w:noProof/>
                <w:webHidden/>
              </w:rPr>
              <w:t>7</w:t>
            </w:r>
            <w:r>
              <w:rPr>
                <w:noProof/>
                <w:webHidden/>
              </w:rPr>
              <w:fldChar w:fldCharType="end"/>
            </w:r>
          </w:hyperlink>
        </w:p>
        <w:p w14:paraId="419B0BCC" w14:textId="10D78CA7" w:rsidR="00B41CCD" w:rsidRDefault="00B41CCD" w:rsidP="00B04208">
          <w:pPr>
            <w:pStyle w:val="TOC1"/>
            <w:tabs>
              <w:tab w:val="right" w:leader="dot" w:pos="9350"/>
            </w:tabs>
            <w:spacing w:after="160" w:line="360" w:lineRule="auto"/>
            <w:rPr>
              <w:rFonts w:asciiTheme="minorHAnsi" w:eastAsiaTheme="minorEastAsia" w:hAnsiTheme="minorHAnsi"/>
              <w:noProof/>
              <w:color w:val="auto"/>
              <w:sz w:val="24"/>
              <w:szCs w:val="24"/>
              <w:lang w:eastAsia="en-GB"/>
            </w:rPr>
          </w:pPr>
          <w:hyperlink w:anchor="_Toc235802898" w:history="1">
            <w:r w:rsidRPr="00743D81">
              <w:rPr>
                <w:rStyle w:val="Hyperlink"/>
                <w:noProof/>
              </w:rPr>
              <w:t>References</w:t>
            </w:r>
            <w:r>
              <w:rPr>
                <w:noProof/>
                <w:webHidden/>
              </w:rPr>
              <w:tab/>
            </w:r>
            <w:r>
              <w:rPr>
                <w:noProof/>
                <w:webHidden/>
              </w:rPr>
              <w:fldChar w:fldCharType="begin"/>
            </w:r>
            <w:r>
              <w:rPr>
                <w:noProof/>
                <w:webHidden/>
              </w:rPr>
              <w:instrText xml:space="preserve"> PAGEREF _Toc235802898 \h </w:instrText>
            </w:r>
            <w:r>
              <w:rPr>
                <w:noProof/>
                <w:webHidden/>
              </w:rPr>
            </w:r>
            <w:r>
              <w:rPr>
                <w:noProof/>
                <w:webHidden/>
              </w:rPr>
              <w:fldChar w:fldCharType="separate"/>
            </w:r>
            <w:r>
              <w:rPr>
                <w:noProof/>
                <w:webHidden/>
              </w:rPr>
              <w:t>8</w:t>
            </w:r>
            <w:r>
              <w:rPr>
                <w:noProof/>
                <w:webHidden/>
              </w:rPr>
              <w:fldChar w:fldCharType="end"/>
            </w:r>
          </w:hyperlink>
        </w:p>
        <w:p w14:paraId="65604EBC" w14:textId="742058E3" w:rsidR="00157ED1" w:rsidRDefault="00157ED1" w:rsidP="00B04208">
          <w:pPr>
            <w:spacing w:line="360" w:lineRule="auto"/>
          </w:pPr>
          <w:r>
            <w:rPr>
              <w:b/>
              <w:bCs/>
              <w:noProof/>
            </w:rPr>
            <w:fldChar w:fldCharType="end"/>
          </w:r>
        </w:p>
      </w:sdtContent>
    </w:sdt>
    <w:p w14:paraId="3AB96AD3" w14:textId="77777777" w:rsidR="00157ED1" w:rsidRPr="00893041" w:rsidRDefault="00157ED1" w:rsidP="00B04208">
      <w:pPr>
        <w:spacing w:line="360" w:lineRule="auto"/>
      </w:pPr>
    </w:p>
    <w:p w14:paraId="7643E309" w14:textId="77777777" w:rsidR="00157ED1" w:rsidRPr="00893041" w:rsidRDefault="00157ED1" w:rsidP="00B04208">
      <w:pPr>
        <w:spacing w:line="360" w:lineRule="auto"/>
        <w:jc w:val="both"/>
        <w:rPr>
          <w:rFonts w:cs="Arial"/>
        </w:rPr>
      </w:pPr>
    </w:p>
    <w:p w14:paraId="2569CDED" w14:textId="77777777" w:rsidR="00157ED1" w:rsidRDefault="00157ED1" w:rsidP="00B04208">
      <w:pPr>
        <w:spacing w:line="360" w:lineRule="auto"/>
        <w:rPr>
          <w:rFonts w:eastAsiaTheme="majorEastAsia" w:cstheme="majorBidi"/>
          <w:b/>
          <w:sz w:val="24"/>
          <w:szCs w:val="40"/>
        </w:rPr>
      </w:pPr>
      <w:r>
        <w:br w:type="page"/>
      </w:r>
    </w:p>
    <w:p w14:paraId="670DC819" w14:textId="77777777" w:rsidR="00157ED1" w:rsidRDefault="00157ED1" w:rsidP="00B04208">
      <w:pPr>
        <w:pStyle w:val="Heading1"/>
        <w:spacing w:after="160" w:line="360" w:lineRule="auto"/>
        <w:jc w:val="both"/>
      </w:pPr>
      <w:bookmarkStart w:id="0" w:name="_Toc235802892"/>
      <w:r>
        <w:t>1.</w:t>
      </w:r>
      <w:r>
        <w:tab/>
      </w:r>
      <w:r w:rsidRPr="00157ED1">
        <w:t>Introduction</w:t>
      </w:r>
      <w:bookmarkEnd w:id="0"/>
    </w:p>
    <w:p w14:paraId="702E99E4" w14:textId="3CE45214" w:rsidR="00472424" w:rsidRDefault="00472424" w:rsidP="00472424">
      <w:pPr>
        <w:spacing w:line="360" w:lineRule="auto"/>
        <w:ind w:firstLine="720"/>
        <w:jc w:val="both"/>
      </w:pPr>
      <w:r>
        <w:t>Type 1 diabetes is a condition where cells in the pancreas that make insulin are destroyed. This implies no insulin and failure to use the insulin chronically. Unlike Type 2 diabetes, insulin resistance is not the main component of Type 1 diabetes, but insulin therapy is required from the start of diagnosis (World Health Organi</w:t>
      </w:r>
      <w:r w:rsidR="00824990">
        <w:t>s</w:t>
      </w:r>
      <w:r>
        <w:t>ation</w:t>
      </w:r>
      <w:r w:rsidR="00824990">
        <w:t xml:space="preserve">, </w:t>
      </w:r>
      <w:r>
        <w:t>2024). Common signs and symptoms include feeling thirsty, urinating a lot, eating a lot, losing weight, fatigue, and blurred vision. Many have an acute presentation that is life-threatening, called diabetic ketoacidosis (DKA).</w:t>
      </w:r>
    </w:p>
    <w:p w14:paraId="39FB98F6" w14:textId="5C321B6E" w:rsidR="00157ED1" w:rsidRDefault="00472424" w:rsidP="00472424">
      <w:pPr>
        <w:spacing w:line="360" w:lineRule="auto"/>
        <w:ind w:firstLine="720"/>
        <w:jc w:val="both"/>
      </w:pPr>
      <w:r>
        <w:t>In 2025, there will be 513,000 new cases of Type 1 diabetes worldwide per year, and 9.5 million people will be living with the disease. A significant percentage of these are young children and youth below the age of 20 years (Ogle et al., 2025). The 1% of the UK's 1 million children and young people who are diagnosed with diabetes is about 370,000 to 400,000, or 10,000-20,000. The number of people continues to grow, putting a strain on health and social care services (Diabetes UK, 2025). This report explores how to measure and monitor Type 1 diabetes, how to manage and control it, the impact of having Type 1 diabetes on individuals and communities, and the health and social care support services needed.</w:t>
      </w:r>
    </w:p>
    <w:p w14:paraId="0427E625" w14:textId="5B82C3D3" w:rsidR="00157ED1" w:rsidRDefault="00157ED1" w:rsidP="00B04208">
      <w:pPr>
        <w:pStyle w:val="Heading1"/>
        <w:spacing w:after="160" w:line="360" w:lineRule="auto"/>
        <w:jc w:val="both"/>
      </w:pPr>
      <w:bookmarkStart w:id="1" w:name="_Toc235802893"/>
      <w:r>
        <w:t>2.</w:t>
      </w:r>
      <w:r>
        <w:tab/>
      </w:r>
      <w:r w:rsidRPr="00157ED1">
        <w:t>Approaches used to measure and monitor Type 1</w:t>
      </w:r>
      <w:bookmarkEnd w:id="1"/>
      <w:r w:rsidRPr="00157ED1">
        <w:t xml:space="preserve"> </w:t>
      </w:r>
    </w:p>
    <w:p w14:paraId="02E807B5" w14:textId="77777777" w:rsidR="00472424" w:rsidRDefault="00472424" w:rsidP="00472424">
      <w:pPr>
        <w:spacing w:line="360" w:lineRule="auto"/>
        <w:ind w:firstLine="720"/>
        <w:jc w:val="both"/>
      </w:pPr>
      <w:r>
        <w:t>Individual and public health policy level measures and monitoring can be undertaken using epidemiological indicators and/or clinical tools. The incidence (new cases per year, age-standardised per 100 000 population), prevalence (number of people with the condition at any given time), morbidity rates and mortality rates due to acute and chronic complications (e.g. DKA, retinopathy, nephropathy, neuropathy, cardiovascular disease) are all types of epidemiological data (Diabetes UK, n.d.; IDF, 2025).</w:t>
      </w:r>
    </w:p>
    <w:p w14:paraId="1A7C6F77" w14:textId="5D3A2FC4" w:rsidR="00472424" w:rsidRDefault="00472424" w:rsidP="00472424">
      <w:pPr>
        <w:spacing w:line="360" w:lineRule="auto"/>
        <w:ind w:firstLine="720"/>
        <w:jc w:val="both"/>
      </w:pPr>
      <w:r>
        <w:t>It is estimated that in the world there are 9.5 million people with Type 1 diabetes and approximately 500,000 new cases of Type 1 diabetes are recorded annually, many people with diabetes being children and young people under 20 years of age (IDF, 2025). There are about 370,000 - 400,000 people with type 1 diabetes in the UK, about 1 in 10 of whom are children and young people. The prevalence is still on the increase, which is causing significant economic and health service costs (Diabetes UK, n.d.).</w:t>
      </w:r>
    </w:p>
    <w:p w14:paraId="32CCF15D" w14:textId="345232F6" w:rsidR="00472424" w:rsidRDefault="00472424" w:rsidP="00472424">
      <w:pPr>
        <w:spacing w:line="360" w:lineRule="auto"/>
        <w:ind w:firstLine="720"/>
        <w:jc w:val="both"/>
      </w:pPr>
      <w:r>
        <w:t>Data collection and surveillance are from a variety of sources, such as the National Diabetes Audit (NDA) and primary care registers, Hospital Episode Statistics (HES), specialist diabetes registers, Office for National Statistics (ONS) mortality data and international sources including IDF Diabetes Atlas and WHO reports (NHS Digital, 2023). These systems can be used to monitor trends, highlight health inequalities (by ethnicity, socioeconomic status, geographical location, etc.), assess the performance of services, and develop policy actions.</w:t>
      </w:r>
    </w:p>
    <w:p w14:paraId="7B54520D" w14:textId="530FF170" w:rsidR="00472424" w:rsidRDefault="00472424" w:rsidP="00472424">
      <w:pPr>
        <w:spacing w:line="360" w:lineRule="auto"/>
        <w:ind w:firstLine="720"/>
        <w:jc w:val="both"/>
      </w:pPr>
      <w:r>
        <w:t>Well-established clinical monitoring with biomarkers and technologies. Self-monitoring of blood glucose (SMBG) is gaining in significance and usefulness, or is being replaced by continuous glucose monitoring (CGM) or flash monitoring systems, and HbA1C is one of the most useful and valuable measures of long-term glycaemic control. These technologies give information on TTR, hypoglycaemia events, and glucose variability. Screening for complications (including screening for retinopathy – using photography, screening for nephropathy – using estimated glomerular filtration rate [eGFR] and albumin: creatinine ratio [ACR], and screening for neuropathy – tests – and screening for cardiovascular risk assessment [CRA] as advised by NICE (2022)) is carried out annually.</w:t>
      </w:r>
    </w:p>
    <w:p w14:paraId="5CB29543" w14:textId="3D244001" w:rsidR="00157ED1" w:rsidRDefault="00472424" w:rsidP="00472424">
      <w:pPr>
        <w:spacing w:line="360" w:lineRule="auto"/>
        <w:ind w:firstLine="720"/>
        <w:jc w:val="both"/>
      </w:pPr>
      <w:r>
        <w:t>One of the public health benefits of these strategies is that they can be implemented to give population information on what action to take. Appropriate measurement can assist in identifying gaps in care, ensure assessment of interventions</w:t>
      </w:r>
      <w:r w:rsidR="00824990">
        <w:t>, including structured education programmes and diabetes technologies, and help reduce</w:t>
      </w:r>
      <w:r>
        <w:t xml:space="preserve"> inequalities and complications (NHS Digital, 2023). But there is a need to tackle these issues to ensure equal access to the more advanced monitoring products and guarantee data quality from region to region.</w:t>
      </w:r>
    </w:p>
    <w:p w14:paraId="4A150BC6" w14:textId="06AEEA57" w:rsidR="00157ED1" w:rsidRDefault="00157ED1" w:rsidP="00B04208">
      <w:pPr>
        <w:pStyle w:val="Heading1"/>
        <w:pBdr>
          <w:bottom w:val="inset" w:sz="6" w:space="1" w:color="auto"/>
        </w:pBdr>
        <w:spacing w:after="160" w:line="360" w:lineRule="auto"/>
        <w:jc w:val="both"/>
      </w:pPr>
      <w:bookmarkStart w:id="2" w:name="_Toc235802894"/>
      <w:r w:rsidRPr="00CD33A8">
        <w:t>3.</w:t>
      </w:r>
      <w:r>
        <w:tab/>
      </w:r>
      <w:r w:rsidRPr="00157ED1">
        <w:t xml:space="preserve">How Type 1 </w:t>
      </w:r>
      <w:r>
        <w:t>D</w:t>
      </w:r>
      <w:r w:rsidRPr="00157ED1">
        <w:t xml:space="preserve">iabetes is </w:t>
      </w:r>
      <w:r>
        <w:t>C</w:t>
      </w:r>
      <w:r w:rsidRPr="00157ED1">
        <w:t>ontrolled</w:t>
      </w:r>
      <w:bookmarkEnd w:id="2"/>
    </w:p>
    <w:p w14:paraId="41C459AE" w14:textId="325BFB6F" w:rsidR="00472424" w:rsidRDefault="00472424" w:rsidP="00472424">
      <w:pPr>
        <w:spacing w:line="360" w:lineRule="auto"/>
        <w:ind w:firstLine="720"/>
        <w:jc w:val="both"/>
      </w:pPr>
      <w:r>
        <w:t>There are no preventive measures known for Type 1 diabetes. This is because there is a combination of the genetic and environmental factors that trigger the autoimmune destruction of the pancreatic beta cells. Research on immunomodulatory treatments is ongoing, and these treatments are not yet used in the routine clinical care management of ankylosing spondylitis (NICE, 2022; Atkinson et al., 2019).</w:t>
      </w:r>
    </w:p>
    <w:p w14:paraId="24B12E32" w14:textId="59380021" w:rsidR="00472424" w:rsidRDefault="00472424" w:rsidP="00472424">
      <w:pPr>
        <w:spacing w:line="360" w:lineRule="auto"/>
        <w:ind w:firstLine="720"/>
        <w:jc w:val="both"/>
      </w:pPr>
      <w:r>
        <w:t>Thus, diabetes is treated through a lifelong insulin replacement therapy. This is usually administered through several injections a day or an insulin pump, which is inserted under the skin. The patients are trained in the proper use of insulin, called carb counting and dose adjustment for varying blood sugars. Education programmes are important, and knowledge and skills taught include good self-management, including the Dose Adjustment For Normal Eating (DAFNE) course (DAFNE Collaborative 2023).</w:t>
      </w:r>
    </w:p>
    <w:p w14:paraId="6494650E" w14:textId="0E9A7DDE" w:rsidR="00472424" w:rsidRDefault="00472424" w:rsidP="00472424">
      <w:pPr>
        <w:spacing w:line="360" w:lineRule="auto"/>
        <w:ind w:firstLine="720"/>
        <w:jc w:val="both"/>
      </w:pPr>
      <w:r>
        <w:t xml:space="preserve">The management options have made a great improvement with the advancement of technology. However, new technologies are being developed that can monitor glucose levels continuously and automatically deliver insulin (including time in target range (TIR) systems and hybrid closed-loop (HCL) systems), helping to minimize frequent decision-making (NICE, 2022). These tools are welcome but are not widely available, particularly at the socioeconomic levels. Secondary prevention of complications </w:t>
      </w:r>
      <w:r w:rsidR="00824990">
        <w:t>is also</w:t>
      </w:r>
      <w:r>
        <w:t xml:space="preserve"> important. Multidisciplinary reviews are routine for treatment of blood pressure and lipids, smoking cessation, foot care, and annual retinal screening. All of these are consistent with NICE (NICE NG17, 2022) guidance that is aimed at minimising microvascular and macrovascular damage.</w:t>
      </w:r>
    </w:p>
    <w:p w14:paraId="43C7D758" w14:textId="70FC8665" w:rsidR="00157ED1" w:rsidRDefault="00472424" w:rsidP="00472424">
      <w:pPr>
        <w:spacing w:line="360" w:lineRule="auto"/>
        <w:ind w:firstLine="720"/>
        <w:jc w:val="both"/>
      </w:pPr>
      <w:r>
        <w:t>An acute event (such as severe hypoglycaemia, DKA) and a secondary complication (such as infection, heart disease, or stroke) are the two types of complications that are acute events and therefore are addressed in public health control strategies in terms of the three P's of protection, promotion and prevention. System-level strategies include implementing NICE guidelines, delivering NHS Long Term Plan diabetes priorities, increasing access to technology/education, and integrating diabetes care pathways. There is some improvement; however, inequalities in outcomes still exist, and further work is required to address health inequalities and ensure consistent, person-centred support (NHS England, 2024; Diabetes UK, n.d.).</w:t>
      </w:r>
    </w:p>
    <w:p w14:paraId="732A281E" w14:textId="54687BCC" w:rsidR="00472424" w:rsidRDefault="00472424" w:rsidP="00472424">
      <w:pPr>
        <w:spacing w:line="360" w:lineRule="auto"/>
        <w:ind w:firstLine="720"/>
        <w:jc w:val="both"/>
      </w:pPr>
      <w:r>
        <w:t>Type 1 diabetes has a lot of implications which affect the person, their family, community and society. There are acute and chronic risks on an individual basis. Acute complications of diabetes are potentially serious and can include hypoglycaemia, diabetic ketoacidosis and severe hyperglycaemia – all of which can only be managed promptly. These microvascular complications cause chronic conditions that develop over time and can result in loss of vision, kidney failure and a high risk of amputation. Morbidity and mortality are also increased by macrovascular complications such as cardiovascular disease and stroke (NICE, 2022; Diabetes UK, n.d.).</w:t>
      </w:r>
    </w:p>
    <w:p w14:paraId="335206BA" w14:textId="5185064A" w:rsidR="00472424" w:rsidRDefault="00472424" w:rsidP="00472424">
      <w:pPr>
        <w:spacing w:line="360" w:lineRule="auto"/>
        <w:ind w:firstLine="720"/>
        <w:jc w:val="both"/>
      </w:pPr>
      <w:r>
        <w:t xml:space="preserve">There is a great mental effect. Frequently, many people suffer from diabetes distress, a greater incidence of depression and anxiety, and, in some instances, disordered eating or Type 1 diabetes eating disorders (T1DE). If diagnosed in childhood and adolescence, these may have a significant impact on a person's learning capacity, </w:t>
      </w:r>
      <w:r w:rsidR="00824990">
        <w:t>ability to work, independence, and enjoyment of</w:t>
      </w:r>
      <w:r>
        <w:t xml:space="preserve"> life. The burden on families/communities is also very high. Emotional stress, disruption to schedules, and additional expenses for technology, diet, and lost work days are all potential costs to the caregiver. The impacts of the condition are felt by broader social networks, in addition to the effect on the individual.</w:t>
      </w:r>
    </w:p>
    <w:p w14:paraId="0091B470" w14:textId="63DACB7C" w:rsidR="00157ED1" w:rsidRDefault="00472424" w:rsidP="00472424">
      <w:pPr>
        <w:spacing w:line="360" w:lineRule="auto"/>
        <w:ind w:firstLine="720"/>
        <w:jc w:val="both"/>
      </w:pPr>
      <w:r>
        <w:t>This is important at the societal and health system level. Diabetes is a huge drain on the NHS, and complications make up a large percentage of the cost of the NHS in terms of hospital admission, specialist and long-term care, and other costs. Type 1 diabetes is associated with inequalities in health outcomes, with poorer outcomes being consistently associated with socioeconomic disadvantage, ethnicity</w:t>
      </w:r>
      <w:r w:rsidR="00824990">
        <w:t>, and other social determinants of health, including access to education, housing,</w:t>
      </w:r>
      <w:r>
        <w:t xml:space="preserve"> and healthy environments (Marmot, 2010; NHS Digital, 2023). This continues to strain specialist diabetes services, social care, and the transition from paediatric to adult services. The consequences of these effects highlight the importance of medical–social care and not only glycaemic control.</w:t>
      </w:r>
    </w:p>
    <w:p w14:paraId="70C3DFDC" w14:textId="651E13C4" w:rsidR="00157ED1" w:rsidRDefault="00157ED1" w:rsidP="00472424">
      <w:pPr>
        <w:pStyle w:val="Heading1"/>
        <w:spacing w:after="160" w:line="360" w:lineRule="auto"/>
        <w:jc w:val="both"/>
      </w:pPr>
      <w:bookmarkStart w:id="3" w:name="_Toc235802896"/>
      <w:r>
        <w:t>5.</w:t>
      </w:r>
      <w:r>
        <w:tab/>
      </w:r>
      <w:r w:rsidRPr="00157ED1">
        <w:t xml:space="preserve">Health and </w:t>
      </w:r>
      <w:r>
        <w:t>S</w:t>
      </w:r>
      <w:r w:rsidRPr="00157ED1">
        <w:t xml:space="preserve">ocial </w:t>
      </w:r>
      <w:r>
        <w:t>C</w:t>
      </w:r>
      <w:r w:rsidRPr="00157ED1">
        <w:t xml:space="preserve">are </w:t>
      </w:r>
      <w:r>
        <w:t>S</w:t>
      </w:r>
      <w:r w:rsidRPr="00157ED1">
        <w:t xml:space="preserve">upport </w:t>
      </w:r>
      <w:r>
        <w:t>S</w:t>
      </w:r>
      <w:r w:rsidRPr="00157ED1">
        <w:t>ervices</w:t>
      </w:r>
      <w:bookmarkEnd w:id="3"/>
      <w:r w:rsidRPr="00157ED1">
        <w:t xml:space="preserve"> </w:t>
      </w:r>
    </w:p>
    <w:p w14:paraId="41737368" w14:textId="6A2736FE" w:rsidR="00472424" w:rsidRDefault="00472424" w:rsidP="00472424">
      <w:pPr>
        <w:spacing w:line="360" w:lineRule="auto"/>
        <w:ind w:firstLine="720"/>
        <w:jc w:val="both"/>
      </w:pPr>
      <w:r>
        <w:t>This support will need to be realised using a multi-level approach to supporting people with Type 1 diabetes. In Primary Care, however, GPs and Practice Nurses carry out 'routine monitoring', the annual review, and 'individualised care planning'. They are first contact and help co-ordinate community-based, ongoing management (NICE, 2022). Good quality care is based on specialist multidisciplinary teams. These teams are usually composed of consultant endocrinologists, diabetes specialist nurses, dietitians, podiatrists, a psychologist</w:t>
      </w:r>
      <w:r w:rsidR="00824990">
        <w:t>,</w:t>
      </w:r>
      <w:r>
        <w:t xml:space="preserve"> and an ophthalmologist. They provide a thorough assessment, develop tailored care plans, and deal with complications quickly (NHS England 2024).</w:t>
      </w:r>
    </w:p>
    <w:p w14:paraId="051F2BC2" w14:textId="3A4F4586" w:rsidR="00472424" w:rsidRDefault="00472424" w:rsidP="00472424">
      <w:pPr>
        <w:spacing w:line="360" w:lineRule="auto"/>
        <w:ind w:firstLine="720"/>
        <w:jc w:val="both"/>
      </w:pPr>
      <w:r>
        <w:t>Some type of support, such as education, technology, or self-management, is required. Education programmes for people with the condition, delivered by DAFNE, can help them to live with the condition with confidence. Many people have diabetes and wear a glucose monitor, insulin pumps, or hybrid closed-loop systems, and improving the way they live their lives, but this isn't necessarily even across geographies and socioeconomic groups. Peer-support networks (Diabetes UK, n.d.) are also seen to promote individuals' self-efficacy and reduce feelings of isolation. There needs to be integration of mental health/psychological services with diabetes services. Diabetes distress, depression, anxiety and eating disorders are all associated with diabetes and are common mental health disorders that may affect people with diabetes and hurt glycaemic control. This is supported by psychological input to assist people in building coping mechanisms and maintaining their emotional wellbeing.</w:t>
      </w:r>
    </w:p>
    <w:p w14:paraId="764914C2" w14:textId="1C69FF60" w:rsidR="00B41CCD" w:rsidRDefault="00472424" w:rsidP="00472424">
      <w:pPr>
        <w:spacing w:line="360" w:lineRule="auto"/>
        <w:ind w:firstLine="720"/>
        <w:jc w:val="both"/>
      </w:pPr>
      <w:r>
        <w:t>The wider needs will be met by social care and community resources. Personal care support, disability adaptations, and benefits advice may be provided as part of complex services. There are also some voluntary organisations, such as Diabetes UK and Juvenile Diabetes Research Foundation (JDRF), which provide information, campaigning and local support groups as well as statutory services. There must be a good system-level transition from paediatric services to adult services to prevent disengagement at transition age. To close inequalities, culturally appropriate care and access to technology and education are required. Combining both medical and social interventions to deliver improved outcomes in the longer term is likely to happen through an integrated care pathway (</w:t>
      </w:r>
      <w:r w:rsidR="00824990">
        <w:t>ICP</w:t>
      </w:r>
      <w:r>
        <w:t>) (NHS England, 2024).</w:t>
      </w:r>
    </w:p>
    <w:p w14:paraId="6CAE4704" w14:textId="7E08A56B" w:rsidR="00B41CCD" w:rsidRDefault="00B41CCD" w:rsidP="00B04208">
      <w:pPr>
        <w:pStyle w:val="Heading1"/>
        <w:spacing w:after="160" w:line="360" w:lineRule="auto"/>
      </w:pPr>
      <w:bookmarkStart w:id="4" w:name="_Toc235802897"/>
      <w:r>
        <w:t>6.</w:t>
      </w:r>
      <w:r>
        <w:tab/>
        <w:t>Conclusion</w:t>
      </w:r>
      <w:bookmarkEnd w:id="4"/>
    </w:p>
    <w:p w14:paraId="1E638926" w14:textId="12BC9F53" w:rsidR="00472424" w:rsidRDefault="00472424" w:rsidP="00472424">
      <w:pPr>
        <w:spacing w:line="360" w:lineRule="auto"/>
        <w:ind w:firstLine="720"/>
        <w:jc w:val="both"/>
      </w:pPr>
      <w:r>
        <w:t>People with type 1 diabetes have to live with insulin forever as an autoimmune disease destroys the beta cells. It affects hundreds of thousands of people in the UK and millions worldwide, including children and young adults. Measurement and monitoring occur via epidemiological data from the National Diabetes Audit and clinical measurement (HbA1c and continuous glucose monitoring), and control is via insulin therapy, structured education and technology. The effects on the condition are not only individual, family and societal but also the psychological, the cost of health services and complications, which can be significant.</w:t>
      </w:r>
    </w:p>
    <w:p w14:paraId="256FFD73" w14:textId="66744672" w:rsidR="00157ED1" w:rsidRPr="00940765" w:rsidRDefault="00472424" w:rsidP="00472424">
      <w:pPr>
        <w:spacing w:line="360" w:lineRule="auto"/>
        <w:ind w:firstLine="720"/>
        <w:jc w:val="both"/>
      </w:pPr>
      <w:r>
        <w:t>Support for all these specialist teams, mental health, social care and primary care services, and all these educational services are very important. Increased national monitoring and data quality; increased technology and provision of psychological support for psychopathology; tighter integration of care and transitions; more research into mental health issues prevention and treatment; social determinants of mental health. For the future of Type 1, a holistic, person-centred public health approach will be crucial to alleviate the burden of Type 1 diabetes and help people affected by the disease live healthy and full lives.</w:t>
      </w:r>
    </w:p>
    <w:p w14:paraId="545AF3D3" w14:textId="77777777" w:rsidR="00157ED1" w:rsidRPr="00A97687" w:rsidRDefault="00157ED1" w:rsidP="00B04208">
      <w:pPr>
        <w:pStyle w:val="Heading1"/>
        <w:pBdr>
          <w:bottom w:val="inset" w:sz="6" w:space="1" w:color="auto"/>
        </w:pBdr>
        <w:spacing w:after="160" w:line="360" w:lineRule="auto"/>
        <w:jc w:val="center"/>
        <w:rPr>
          <w:bCs/>
        </w:rPr>
      </w:pPr>
      <w:r>
        <w:rPr>
          <w:bCs/>
        </w:rPr>
        <w:br w:type="page"/>
      </w:r>
      <w:bookmarkStart w:id="5" w:name="_Toc235802898"/>
      <w:r w:rsidRPr="00940765">
        <w:t>References</w:t>
      </w:r>
      <w:bookmarkEnd w:id="5"/>
    </w:p>
    <w:p w14:paraId="13A31279" w14:textId="77777777" w:rsidR="00824990" w:rsidRPr="00824990" w:rsidRDefault="00824990" w:rsidP="00B04208">
      <w:pPr>
        <w:spacing w:line="360" w:lineRule="auto"/>
        <w:ind w:left="720" w:hanging="720"/>
        <w:jc w:val="both"/>
      </w:pPr>
      <w:r w:rsidRPr="00824990">
        <w:t xml:space="preserve">Atkinson, M.A., Eisenbarth, G.S. and Michels, A.W. (2019). Type 1 diabetes, </w:t>
      </w:r>
      <w:r w:rsidRPr="00824990">
        <w:rPr>
          <w:i/>
          <w:iCs/>
        </w:rPr>
        <w:t>The Lancet</w:t>
      </w:r>
      <w:r w:rsidRPr="00824990">
        <w:t>, 383(9911), pp. 69–82.</w:t>
      </w:r>
    </w:p>
    <w:p w14:paraId="720872E9" w14:textId="77777777" w:rsidR="00824990" w:rsidRPr="00824990" w:rsidRDefault="00824990" w:rsidP="00472424">
      <w:pPr>
        <w:spacing w:line="360" w:lineRule="auto"/>
        <w:ind w:left="720" w:hanging="720"/>
        <w:jc w:val="both"/>
      </w:pPr>
      <w:r w:rsidRPr="00824990">
        <w:t xml:space="preserve">DAFNE Collaborative (2023) </w:t>
      </w:r>
      <w:r w:rsidRPr="00824990">
        <w:rPr>
          <w:i/>
          <w:iCs/>
        </w:rPr>
        <w:t>DAFNE: Dose Adjustment For Normal Eating</w:t>
      </w:r>
      <w:r w:rsidRPr="00824990">
        <w:t xml:space="preserve">. [Online] Available at: </w:t>
      </w:r>
      <w:hyperlink r:id="rId7" w:tgtFrame="_blank" w:history="1">
        <w:r w:rsidRPr="00824990">
          <w:rPr>
            <w:rStyle w:val="Hyperlink"/>
            <w:u w:val="none"/>
          </w:rPr>
          <w:t>https://www.dafne.uk.com/</w:t>
        </w:r>
      </w:hyperlink>
      <w:r w:rsidRPr="00824990">
        <w:t>. [Accessed on 24</w:t>
      </w:r>
      <w:r w:rsidRPr="00824990">
        <w:rPr>
          <w:vertAlign w:val="superscript"/>
        </w:rPr>
        <w:t>th</w:t>
      </w:r>
      <w:r w:rsidRPr="00824990">
        <w:t xml:space="preserve"> July 2026]. </w:t>
      </w:r>
    </w:p>
    <w:p w14:paraId="492D555F" w14:textId="77777777" w:rsidR="00824990" w:rsidRPr="00824990" w:rsidRDefault="00824990" w:rsidP="00472424">
      <w:pPr>
        <w:spacing w:line="360" w:lineRule="auto"/>
        <w:ind w:left="720" w:hanging="720"/>
        <w:jc w:val="both"/>
      </w:pPr>
      <w:r w:rsidRPr="00824990">
        <w:t xml:space="preserve">Diabetes UK (n.d.) </w:t>
      </w:r>
      <w:r w:rsidRPr="00824990">
        <w:rPr>
          <w:i/>
          <w:iCs/>
        </w:rPr>
        <w:t>How many people in the UK have diabetes?</w:t>
      </w:r>
      <w:r w:rsidRPr="00824990">
        <w:t xml:space="preserve"> [Online] Available at: </w:t>
      </w:r>
      <w:hyperlink r:id="rId8" w:tgtFrame="_blank" w:history="1">
        <w:r w:rsidRPr="00824990">
          <w:rPr>
            <w:rStyle w:val="Hyperlink"/>
            <w:u w:val="none"/>
          </w:rPr>
          <w:t>https://www.diabetes.org.uk/about-us/about-the-charity/our-strategy/statistics</w:t>
        </w:r>
      </w:hyperlink>
      <w:r w:rsidRPr="00824990">
        <w:t>. [Accessed on 24</w:t>
      </w:r>
      <w:r w:rsidRPr="00824990">
        <w:rPr>
          <w:vertAlign w:val="superscript"/>
        </w:rPr>
        <w:t>th</w:t>
      </w:r>
      <w:r w:rsidRPr="00824990">
        <w:t xml:space="preserve"> July 2026]. </w:t>
      </w:r>
    </w:p>
    <w:p w14:paraId="6B30F9BF" w14:textId="77777777" w:rsidR="00824990" w:rsidRPr="00824990" w:rsidRDefault="00824990" w:rsidP="00942894">
      <w:pPr>
        <w:spacing w:line="360" w:lineRule="auto"/>
        <w:ind w:left="720" w:hanging="720"/>
        <w:jc w:val="both"/>
      </w:pPr>
      <w:r w:rsidRPr="00824990">
        <w:t xml:space="preserve">IDF (2025). </w:t>
      </w:r>
      <w:r w:rsidRPr="00824990">
        <w:rPr>
          <w:i/>
          <w:iCs/>
        </w:rPr>
        <w:t>IDF Diabetes Atlas</w:t>
      </w:r>
      <w:r w:rsidRPr="00824990">
        <w:t xml:space="preserve"> (11th </w:t>
      </w:r>
      <w:proofErr w:type="spellStart"/>
      <w:r w:rsidRPr="00824990">
        <w:t>edn</w:t>
      </w:r>
      <w:proofErr w:type="spellEnd"/>
      <w:r w:rsidRPr="00824990">
        <w:t xml:space="preserve">). Brussels: International Diabetes Federation. [Online] Available at: </w:t>
      </w:r>
      <w:hyperlink r:id="rId9" w:history="1">
        <w:r w:rsidRPr="00824990">
          <w:rPr>
            <w:rStyle w:val="Hyperlink"/>
            <w:u w:val="none"/>
          </w:rPr>
          <w:t>https://international-diabetes-federation.s3.eu-west-1.amazonaws.com/media/uploads/sites/3/2025/10/IDF_Diabetes_Atlas_11th_Edition_2025_WEB.pdf</w:t>
        </w:r>
      </w:hyperlink>
      <w:r w:rsidRPr="00824990">
        <w:t>. [Accessed on 24</w:t>
      </w:r>
      <w:r w:rsidRPr="00824990">
        <w:rPr>
          <w:vertAlign w:val="superscript"/>
        </w:rPr>
        <w:t>th</w:t>
      </w:r>
      <w:r w:rsidRPr="00824990">
        <w:t xml:space="preserve"> July 2026]. </w:t>
      </w:r>
    </w:p>
    <w:p w14:paraId="50EA053A" w14:textId="6E044836" w:rsidR="00824990" w:rsidRPr="00824990" w:rsidRDefault="00824990" w:rsidP="00942894">
      <w:pPr>
        <w:spacing w:line="360" w:lineRule="auto"/>
        <w:ind w:left="720" w:hanging="720"/>
        <w:jc w:val="both"/>
      </w:pPr>
      <w:r w:rsidRPr="00824990">
        <w:t xml:space="preserve">Marmot, M. (2013). Fair society, healthy lives. [Online] Available at: </w:t>
      </w:r>
      <w:hyperlink r:id="rId10" w:history="1">
        <w:r w:rsidRPr="00824990">
          <w:rPr>
            <w:rStyle w:val="Hyperlink"/>
            <w:u w:val="none"/>
          </w:rPr>
          <w:t>https://pdfs.semanticscholar.org/7b27/e2d28439148f0b0a14ae01dd10db605549f0.pdf</w:t>
        </w:r>
      </w:hyperlink>
      <w:r w:rsidRPr="00824990">
        <w:t>. [Accessed on 24</w:t>
      </w:r>
      <w:r w:rsidRPr="00824990">
        <w:rPr>
          <w:vertAlign w:val="superscript"/>
        </w:rPr>
        <w:t>th</w:t>
      </w:r>
      <w:r w:rsidRPr="00824990">
        <w:t xml:space="preserve"> July 2026].  </w:t>
      </w:r>
    </w:p>
    <w:p w14:paraId="3CD77131" w14:textId="77777777" w:rsidR="00824990" w:rsidRPr="00824990" w:rsidRDefault="00824990" w:rsidP="00942894">
      <w:pPr>
        <w:spacing w:line="360" w:lineRule="auto"/>
        <w:ind w:left="720" w:hanging="720"/>
        <w:jc w:val="both"/>
      </w:pPr>
      <w:r w:rsidRPr="00824990">
        <w:t xml:space="preserve">NHS Digital (2023). </w:t>
      </w:r>
      <w:r w:rsidRPr="00824990">
        <w:rPr>
          <w:i/>
          <w:iCs/>
        </w:rPr>
        <w:t>National Diabetes Audit, 2021-22, Type 1 Diabetes</w:t>
      </w:r>
      <w:r w:rsidRPr="00824990">
        <w:t xml:space="preserve">. [Online] Available at: </w:t>
      </w:r>
      <w:hyperlink r:id="rId11" w:tgtFrame="_blank" w:history="1">
        <w:r w:rsidRPr="00824990">
          <w:rPr>
            <w:rStyle w:val="Hyperlink"/>
            <w:u w:val="none"/>
          </w:rPr>
          <w:t>https://digital.nhs.uk/data-and-information/publications/statistical/national-diabetes-audit-type-1-diabetes/nda-type-1-2021-22-overview</w:t>
        </w:r>
      </w:hyperlink>
      <w:r w:rsidRPr="00824990">
        <w:t>. [Accessed on 24</w:t>
      </w:r>
      <w:r w:rsidRPr="00824990">
        <w:rPr>
          <w:vertAlign w:val="superscript"/>
        </w:rPr>
        <w:t>th</w:t>
      </w:r>
      <w:r w:rsidRPr="00824990">
        <w:t xml:space="preserve"> July 2026].  </w:t>
      </w:r>
    </w:p>
    <w:p w14:paraId="301E2697" w14:textId="77777777" w:rsidR="00824990" w:rsidRPr="00824990" w:rsidRDefault="00824990" w:rsidP="00942894">
      <w:pPr>
        <w:spacing w:line="360" w:lineRule="auto"/>
        <w:ind w:left="720" w:hanging="720"/>
        <w:jc w:val="both"/>
      </w:pPr>
      <w:r w:rsidRPr="00824990">
        <w:t xml:space="preserve">NHS England (2024). </w:t>
      </w:r>
      <w:r w:rsidRPr="00824990">
        <w:rPr>
          <w:i/>
          <w:iCs/>
        </w:rPr>
        <w:t>NHS Long Term Plan</w:t>
      </w:r>
      <w:r w:rsidRPr="00824990">
        <w:t xml:space="preserve">. [Online] Available at: </w:t>
      </w:r>
      <w:hyperlink r:id="rId12" w:tgtFrame="_blank" w:history="1">
        <w:r w:rsidRPr="00824990">
          <w:rPr>
            <w:rStyle w:val="Hyperlink"/>
            <w:u w:val="none"/>
          </w:rPr>
          <w:t>https://www.england.nhs.uk/long-term-plan/</w:t>
        </w:r>
      </w:hyperlink>
      <w:r w:rsidRPr="00824990">
        <w:t>. [Accessed on 24</w:t>
      </w:r>
      <w:r w:rsidRPr="00824990">
        <w:rPr>
          <w:vertAlign w:val="superscript"/>
        </w:rPr>
        <w:t>th</w:t>
      </w:r>
      <w:r w:rsidRPr="00824990">
        <w:t xml:space="preserve"> July 2026].  </w:t>
      </w:r>
    </w:p>
    <w:p w14:paraId="0FBB34C4" w14:textId="77777777" w:rsidR="00824990" w:rsidRPr="00824990" w:rsidRDefault="00824990" w:rsidP="00942894">
      <w:pPr>
        <w:spacing w:line="360" w:lineRule="auto"/>
        <w:ind w:left="720" w:hanging="720"/>
        <w:jc w:val="both"/>
      </w:pPr>
      <w:r w:rsidRPr="00824990">
        <w:t xml:space="preserve">NICE (2022) </w:t>
      </w:r>
      <w:r w:rsidRPr="00824990">
        <w:rPr>
          <w:i/>
          <w:iCs/>
        </w:rPr>
        <w:t>Type 1 diabetes in adults: diagnosis and management</w:t>
      </w:r>
      <w:r w:rsidRPr="00824990">
        <w:t xml:space="preserve"> (NG17). London: National Institute for Health and Care Excellence. [Online] Available at: </w:t>
      </w:r>
      <w:hyperlink r:id="rId13" w:tgtFrame="_blank" w:history="1">
        <w:r w:rsidRPr="00824990">
          <w:rPr>
            <w:rStyle w:val="Hyperlink"/>
            <w:u w:val="none"/>
          </w:rPr>
          <w:t>https://www.nice.org.uk/guidance/ng17</w:t>
        </w:r>
      </w:hyperlink>
      <w:r w:rsidRPr="00824990">
        <w:t>. [Accessed on 24</w:t>
      </w:r>
      <w:r w:rsidRPr="00824990">
        <w:rPr>
          <w:vertAlign w:val="superscript"/>
        </w:rPr>
        <w:t>th</w:t>
      </w:r>
      <w:r w:rsidRPr="00824990">
        <w:t xml:space="preserve"> July 2026].  </w:t>
      </w:r>
    </w:p>
    <w:p w14:paraId="1BE408BD" w14:textId="6B3D7C5D" w:rsidR="00824990" w:rsidRPr="00824990" w:rsidRDefault="00824990" w:rsidP="00B04208">
      <w:pPr>
        <w:spacing w:line="360" w:lineRule="auto"/>
        <w:ind w:left="720" w:hanging="720"/>
        <w:jc w:val="both"/>
      </w:pPr>
      <w:r w:rsidRPr="00824990">
        <w:t xml:space="preserve">Ogle, G.D., Wang, F., Haynes, A., Gregory, G.A., King, T.W., Deng, K., </w:t>
      </w:r>
      <w:proofErr w:type="spellStart"/>
      <w:r w:rsidRPr="00824990">
        <w:t>Dabelea</w:t>
      </w:r>
      <w:proofErr w:type="spellEnd"/>
      <w:r w:rsidRPr="00824990">
        <w:t>, D., James, S., Jenkins, A.J., Li, X. and Ma, R.C., (2025). Global type 1 diabetes prevalence, incidence, and mortality estimates 2025: Results from the International diabetes Federation Atlas and the T1D Index Version 3.0. </w:t>
      </w:r>
      <w:r w:rsidRPr="00824990">
        <w:rPr>
          <w:i/>
          <w:iCs/>
        </w:rPr>
        <w:t>Diabetes Research and Clinical Practice</w:t>
      </w:r>
      <w:r w:rsidRPr="00824990">
        <w:t>, </w:t>
      </w:r>
      <w:r w:rsidRPr="00824990">
        <w:rPr>
          <w:i/>
          <w:iCs/>
        </w:rPr>
        <w:t>225</w:t>
      </w:r>
      <w:r w:rsidRPr="00824990">
        <w:t>, p.112277.</w:t>
      </w:r>
    </w:p>
    <w:p w14:paraId="163003B8" w14:textId="77777777" w:rsidR="00824990" w:rsidRPr="00824990" w:rsidRDefault="00824990" w:rsidP="00942894">
      <w:pPr>
        <w:spacing w:line="360" w:lineRule="auto"/>
        <w:ind w:left="720" w:hanging="720"/>
        <w:jc w:val="both"/>
      </w:pPr>
      <w:r w:rsidRPr="00824990">
        <w:t xml:space="preserve">World Health Organisation (2024) Diabetes. [Online] Available at: </w:t>
      </w:r>
      <w:hyperlink r:id="rId14" w:history="1">
        <w:r w:rsidRPr="00824990">
          <w:rPr>
            <w:rStyle w:val="Hyperlink"/>
            <w:u w:val="none"/>
          </w:rPr>
          <w:t>https://www.who.int/news-room/fact-sheets/detail/diabetes</w:t>
        </w:r>
      </w:hyperlink>
      <w:r w:rsidRPr="00824990">
        <w:t>. [Accessed on 24</w:t>
      </w:r>
      <w:r w:rsidRPr="00824990">
        <w:rPr>
          <w:vertAlign w:val="superscript"/>
        </w:rPr>
        <w:t>th</w:t>
      </w:r>
      <w:r w:rsidRPr="00824990">
        <w:t xml:space="preserve"> July 2026].  </w:t>
      </w:r>
    </w:p>
    <w:sectPr w:rsidR="00824990" w:rsidRPr="00824990" w:rsidSect="00157ED1">
      <w:footerReference w:type="default" r:id="rId15"/>
      <w:pgSz w:w="12240" w:h="15840"/>
      <w:pgMar w:top="1440" w:right="1440" w:bottom="1440" w:left="1440" w:header="720" w:footer="720" w:gutter="0"/>
      <w:pgBorders w:offsetFrom="page">
        <w:top w:val="inset" w:sz="6" w:space="24" w:color="auto"/>
        <w:left w:val="inset" w:sz="6" w:space="24" w:color="auto"/>
        <w:bottom w:val="outset" w:sz="6" w:space="24" w:color="auto"/>
        <w:right w:val="outset" w:sz="6"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7AD360" w14:textId="77777777" w:rsidR="0025576B" w:rsidRDefault="0025576B">
      <w:pPr>
        <w:spacing w:after="0" w:line="240" w:lineRule="auto"/>
      </w:pPr>
      <w:r>
        <w:separator/>
      </w:r>
    </w:p>
  </w:endnote>
  <w:endnote w:type="continuationSeparator" w:id="0">
    <w:p w14:paraId="356D646B" w14:textId="77777777" w:rsidR="0025576B" w:rsidRDefault="002557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5575693"/>
      <w:docPartObj>
        <w:docPartGallery w:val="Page Numbers (Bottom of Page)"/>
        <w:docPartUnique/>
      </w:docPartObj>
    </w:sdtPr>
    <w:sdtEndPr/>
    <w:sdtContent>
      <w:p w14:paraId="468299AD" w14:textId="77777777" w:rsidR="00157ED1" w:rsidRDefault="00157ED1">
        <w:pPr>
          <w:pStyle w:val="Footer"/>
        </w:pPr>
        <w:r>
          <w:rPr>
            <w:noProof/>
          </w:rPr>
          <mc:AlternateContent>
            <mc:Choice Requires="wps">
              <w:drawing>
                <wp:anchor distT="0" distB="0" distL="114300" distR="114300" simplePos="0" relativeHeight="251660288" behindDoc="0" locked="0" layoutInCell="1" allowOverlap="1" wp14:anchorId="2B143E99" wp14:editId="42B2434E">
                  <wp:simplePos x="0" y="0"/>
                  <wp:positionH relativeFrom="margin">
                    <wp:align>center</wp:align>
                  </wp:positionH>
                  <wp:positionV relativeFrom="bottomMargin">
                    <wp:align>center</wp:align>
                  </wp:positionV>
                  <wp:extent cx="555625" cy="238760"/>
                  <wp:effectExtent l="19050" t="19050" r="19685" b="18415"/>
                  <wp:wrapNone/>
                  <wp:docPr id="940333776"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5625" cy="238760"/>
                          </a:xfrm>
                          <a:prstGeom prst="bracketPair">
                            <a:avLst>
                              <a:gd name="adj" fmla="val 16667"/>
                            </a:avLst>
                          </a:prstGeom>
                          <a:solidFill>
                            <a:srgbClr val="FFFFFF"/>
                          </a:solidFill>
                          <a:ln w="28575">
                            <a:solidFill>
                              <a:srgbClr val="808080"/>
                            </a:solidFill>
                            <a:round/>
                            <a:headEnd/>
                            <a:tailEnd/>
                          </a:ln>
                        </wps:spPr>
                        <wps:txbx>
                          <w:txbxContent>
                            <w:p w14:paraId="307003F4" w14:textId="77777777" w:rsidR="00157ED1" w:rsidRDefault="00157ED1">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wps:wsp>
                    </a:graphicData>
                  </a:graphic>
                  <wp14:sizeRelH relativeFrom="margin">
                    <wp14:pctWidth>10000</wp14:pctWidth>
                  </wp14:sizeRelH>
                  <wp14:sizeRelV relativeFrom="bottomMargin">
                    <wp14:pctHeight>0</wp14:pctHeight>
                  </wp14:sizeRelV>
                </wp:anchor>
              </w:drawing>
            </mc:Choice>
            <mc:Fallback>
              <w:pict>
                <v:shapetype w14:anchorId="2B143E99"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26" type="#_x0000_t185" style="position:absolute;margin-left:0;margin-top:0;width:43.7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" filled="t" strokecolor="gray" strokeweight="2.25pt">
                  <v:textbox inset=",0,,0">
                    <w:txbxContent>
                      <w:p w14:paraId="307003F4" w14:textId="77777777" w:rsidR="00157ED1" w:rsidRDefault="00157ED1">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4BCCEB5D" wp14:editId="0F6E3B6F">
                  <wp:simplePos x="0" y="0"/>
                  <wp:positionH relativeFrom="margin">
                    <wp:align>center</wp:align>
                  </wp:positionH>
                  <wp:positionV relativeFrom="bottomMargin">
                    <wp:align>center</wp:align>
                  </wp:positionV>
                  <wp:extent cx="5518150" cy="0"/>
                  <wp:effectExtent l="9525" t="9525" r="6350" b="9525"/>
                  <wp:wrapNone/>
                  <wp:docPr id="1264975274"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1BB21E19"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5487B2" w14:textId="77777777" w:rsidR="0025576B" w:rsidRDefault="0025576B">
      <w:pPr>
        <w:spacing w:after="0" w:line="240" w:lineRule="auto"/>
      </w:pPr>
      <w:r>
        <w:separator/>
      </w:r>
    </w:p>
  </w:footnote>
  <w:footnote w:type="continuationSeparator" w:id="0">
    <w:p w14:paraId="041186EC" w14:textId="77777777" w:rsidR="0025576B" w:rsidRDefault="0025576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7"/>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7ED1"/>
    <w:rsid w:val="00157ED1"/>
    <w:rsid w:val="001978E3"/>
    <w:rsid w:val="0025576B"/>
    <w:rsid w:val="0037213A"/>
    <w:rsid w:val="00472424"/>
    <w:rsid w:val="004B20C7"/>
    <w:rsid w:val="00720CAF"/>
    <w:rsid w:val="00824990"/>
    <w:rsid w:val="008415BA"/>
    <w:rsid w:val="00942894"/>
    <w:rsid w:val="009C6C41"/>
    <w:rsid w:val="00A415E9"/>
    <w:rsid w:val="00B04208"/>
    <w:rsid w:val="00B41CCD"/>
    <w:rsid w:val="00B666C2"/>
    <w:rsid w:val="00E11EAD"/>
    <w:rsid w:val="00EF4D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49D4D"/>
  <w15:chartTrackingRefBased/>
  <w15:docId w15:val="{303CA589-2A7D-4308-A5E2-062F87569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2894"/>
    <w:rPr>
      <w:rFonts w:ascii="Arial" w:hAnsi="Arial"/>
      <w:color w:val="000000" w:themeColor="text1"/>
      <w:lang w:val="en-GB"/>
    </w:rPr>
  </w:style>
  <w:style w:type="paragraph" w:styleId="Heading1">
    <w:name w:val="heading 1"/>
    <w:basedOn w:val="Normal"/>
    <w:next w:val="Normal"/>
    <w:link w:val="Heading1Char"/>
    <w:uiPriority w:val="9"/>
    <w:qFormat/>
    <w:rsid w:val="00157ED1"/>
    <w:pPr>
      <w:keepNext/>
      <w:keepLines/>
      <w:spacing w:before="360" w:after="80"/>
      <w:outlineLvl w:val="0"/>
    </w:pPr>
    <w:rPr>
      <w:rFonts w:eastAsiaTheme="majorEastAsia" w:cstheme="majorBidi"/>
      <w:b/>
      <w:sz w:val="24"/>
      <w:szCs w:val="40"/>
    </w:rPr>
  </w:style>
  <w:style w:type="paragraph" w:styleId="Heading2">
    <w:name w:val="heading 2"/>
    <w:basedOn w:val="Normal"/>
    <w:next w:val="Normal"/>
    <w:link w:val="Heading2Char"/>
    <w:uiPriority w:val="9"/>
    <w:unhideWhenUsed/>
    <w:qFormat/>
    <w:rsid w:val="00157ED1"/>
    <w:pPr>
      <w:keepNext/>
      <w:keepLines/>
      <w:spacing w:before="160" w:after="80"/>
      <w:outlineLvl w:val="1"/>
    </w:pPr>
    <w:rPr>
      <w:rFonts w:eastAsiaTheme="majorEastAsia" w:cstheme="majorBidi"/>
      <w:b/>
      <w:i/>
      <w:szCs w:val="32"/>
    </w:rPr>
  </w:style>
  <w:style w:type="paragraph" w:styleId="Heading3">
    <w:name w:val="heading 3"/>
    <w:basedOn w:val="Normal"/>
    <w:next w:val="Normal"/>
    <w:link w:val="Heading3Char"/>
    <w:uiPriority w:val="9"/>
    <w:semiHidden/>
    <w:unhideWhenUsed/>
    <w:qFormat/>
    <w:rsid w:val="00157ED1"/>
    <w:pPr>
      <w:keepNext/>
      <w:keepLines/>
      <w:spacing w:before="160" w:after="80"/>
      <w:outlineLvl w:val="2"/>
    </w:pPr>
    <w:rPr>
      <w:rFonts w:eastAsiaTheme="majorEastAsia" w:cstheme="majorBidi"/>
      <w:b/>
      <w:i/>
      <w:szCs w:val="28"/>
      <w:u w:val="single"/>
    </w:rPr>
  </w:style>
  <w:style w:type="paragraph" w:styleId="Heading4">
    <w:name w:val="heading 4"/>
    <w:basedOn w:val="Normal"/>
    <w:next w:val="Normal"/>
    <w:link w:val="Heading4Char"/>
    <w:uiPriority w:val="9"/>
    <w:semiHidden/>
    <w:unhideWhenUsed/>
    <w:qFormat/>
    <w:rsid w:val="00157ED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57ED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57E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7E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7E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7E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7ED1"/>
    <w:rPr>
      <w:rFonts w:ascii="Arial" w:eastAsiaTheme="majorEastAsia" w:hAnsi="Arial" w:cstheme="majorBidi"/>
      <w:b/>
      <w:color w:val="000000" w:themeColor="text1"/>
      <w:sz w:val="24"/>
      <w:szCs w:val="40"/>
      <w:lang w:val="en-GB"/>
    </w:rPr>
  </w:style>
  <w:style w:type="character" w:customStyle="1" w:styleId="Heading2Char">
    <w:name w:val="Heading 2 Char"/>
    <w:basedOn w:val="DefaultParagraphFont"/>
    <w:link w:val="Heading2"/>
    <w:uiPriority w:val="9"/>
    <w:rsid w:val="00157ED1"/>
    <w:rPr>
      <w:rFonts w:ascii="Arial" w:eastAsiaTheme="majorEastAsia" w:hAnsi="Arial" w:cstheme="majorBidi"/>
      <w:b/>
      <w:i/>
      <w:color w:val="000000" w:themeColor="text1"/>
      <w:szCs w:val="32"/>
      <w:lang w:val="en-GB"/>
    </w:rPr>
  </w:style>
  <w:style w:type="character" w:customStyle="1" w:styleId="Heading3Char">
    <w:name w:val="Heading 3 Char"/>
    <w:basedOn w:val="DefaultParagraphFont"/>
    <w:link w:val="Heading3"/>
    <w:uiPriority w:val="9"/>
    <w:semiHidden/>
    <w:rsid w:val="00157ED1"/>
    <w:rPr>
      <w:rFonts w:ascii="Arial" w:eastAsiaTheme="majorEastAsia" w:hAnsi="Arial" w:cstheme="majorBidi"/>
      <w:b/>
      <w:i/>
      <w:color w:val="000000" w:themeColor="text1"/>
      <w:szCs w:val="28"/>
      <w:u w:val="single"/>
      <w:lang w:val="en-GB"/>
    </w:rPr>
  </w:style>
  <w:style w:type="character" w:customStyle="1" w:styleId="Heading4Char">
    <w:name w:val="Heading 4 Char"/>
    <w:basedOn w:val="DefaultParagraphFont"/>
    <w:link w:val="Heading4"/>
    <w:uiPriority w:val="9"/>
    <w:semiHidden/>
    <w:rsid w:val="00157ED1"/>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157ED1"/>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157ED1"/>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157ED1"/>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157ED1"/>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157ED1"/>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157E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7ED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57E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7ED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157ED1"/>
    <w:pPr>
      <w:spacing w:before="160"/>
      <w:jc w:val="center"/>
    </w:pPr>
    <w:rPr>
      <w:i/>
      <w:iCs/>
      <w:color w:val="404040" w:themeColor="text1" w:themeTint="BF"/>
    </w:rPr>
  </w:style>
  <w:style w:type="character" w:customStyle="1" w:styleId="QuoteChar">
    <w:name w:val="Quote Char"/>
    <w:basedOn w:val="DefaultParagraphFont"/>
    <w:link w:val="Quote"/>
    <w:uiPriority w:val="29"/>
    <w:rsid w:val="00157ED1"/>
    <w:rPr>
      <w:i/>
      <w:iCs/>
      <w:color w:val="404040" w:themeColor="text1" w:themeTint="BF"/>
      <w:lang w:val="en-GB"/>
    </w:rPr>
  </w:style>
  <w:style w:type="paragraph" w:styleId="ListParagraph">
    <w:name w:val="List Paragraph"/>
    <w:basedOn w:val="Normal"/>
    <w:uiPriority w:val="34"/>
    <w:qFormat/>
    <w:rsid w:val="00157ED1"/>
    <w:pPr>
      <w:ind w:left="720"/>
      <w:contextualSpacing/>
    </w:pPr>
  </w:style>
  <w:style w:type="character" w:styleId="IntenseEmphasis">
    <w:name w:val="Intense Emphasis"/>
    <w:basedOn w:val="DefaultParagraphFont"/>
    <w:uiPriority w:val="21"/>
    <w:qFormat/>
    <w:rsid w:val="00157ED1"/>
    <w:rPr>
      <w:i/>
      <w:iCs/>
      <w:color w:val="2F5496" w:themeColor="accent1" w:themeShade="BF"/>
    </w:rPr>
  </w:style>
  <w:style w:type="paragraph" w:styleId="IntenseQuote">
    <w:name w:val="Intense Quote"/>
    <w:basedOn w:val="Normal"/>
    <w:next w:val="Normal"/>
    <w:link w:val="IntenseQuoteChar"/>
    <w:uiPriority w:val="30"/>
    <w:qFormat/>
    <w:rsid w:val="00157ED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57ED1"/>
    <w:rPr>
      <w:i/>
      <w:iCs/>
      <w:color w:val="2F5496" w:themeColor="accent1" w:themeShade="BF"/>
      <w:lang w:val="en-GB"/>
    </w:rPr>
  </w:style>
  <w:style w:type="character" w:styleId="IntenseReference">
    <w:name w:val="Intense Reference"/>
    <w:basedOn w:val="DefaultParagraphFont"/>
    <w:uiPriority w:val="32"/>
    <w:qFormat/>
    <w:rsid w:val="00157ED1"/>
    <w:rPr>
      <w:b/>
      <w:bCs/>
      <w:smallCaps/>
      <w:color w:val="2F5496" w:themeColor="accent1" w:themeShade="BF"/>
      <w:spacing w:val="5"/>
    </w:rPr>
  </w:style>
  <w:style w:type="paragraph" w:styleId="Footer">
    <w:name w:val="footer"/>
    <w:basedOn w:val="Normal"/>
    <w:link w:val="FooterChar"/>
    <w:uiPriority w:val="99"/>
    <w:unhideWhenUsed/>
    <w:rsid w:val="00157E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7ED1"/>
    <w:rPr>
      <w:rFonts w:ascii="Arial" w:hAnsi="Arial"/>
      <w:color w:val="000000" w:themeColor="text1"/>
      <w:lang w:val="en-GB"/>
    </w:rPr>
  </w:style>
  <w:style w:type="character" w:styleId="Hyperlink">
    <w:name w:val="Hyperlink"/>
    <w:basedOn w:val="DefaultParagraphFont"/>
    <w:uiPriority w:val="99"/>
    <w:unhideWhenUsed/>
    <w:rsid w:val="00157ED1"/>
    <w:rPr>
      <w:color w:val="0563C1" w:themeColor="hyperlink"/>
      <w:u w:val="single"/>
    </w:rPr>
  </w:style>
  <w:style w:type="paragraph" w:styleId="TOCHeading">
    <w:name w:val="TOC Heading"/>
    <w:basedOn w:val="Heading1"/>
    <w:next w:val="Normal"/>
    <w:uiPriority w:val="39"/>
    <w:unhideWhenUsed/>
    <w:qFormat/>
    <w:rsid w:val="00157ED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157ED1"/>
    <w:pPr>
      <w:spacing w:after="100"/>
    </w:pPr>
  </w:style>
  <w:style w:type="character" w:styleId="UnresolvedMention">
    <w:name w:val="Unresolved Mention"/>
    <w:basedOn w:val="DefaultParagraphFont"/>
    <w:uiPriority w:val="99"/>
    <w:semiHidden/>
    <w:unhideWhenUsed/>
    <w:rsid w:val="00B41C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abetes.org.uk/about-us/about-the-charity/our-strategy/statistics" TargetMode="External" /><Relationship Id="rId13" Type="http://schemas.openxmlformats.org/officeDocument/2006/relationships/hyperlink" Target="https://www.nice.org.uk/guidance/ng17" TargetMode="External" /><Relationship Id="rId3" Type="http://schemas.openxmlformats.org/officeDocument/2006/relationships/webSettings" Target="webSettings.xml" /><Relationship Id="rId7" Type="http://schemas.openxmlformats.org/officeDocument/2006/relationships/hyperlink" Target="https://www.dafne.uk.com/" TargetMode="External" /><Relationship Id="rId12" Type="http://schemas.openxmlformats.org/officeDocument/2006/relationships/hyperlink" Target="https://www.england.nhs.uk/long-term-plan/" TargetMode="External" /><Relationship Id="rId17" Type="http://schemas.openxmlformats.org/officeDocument/2006/relationships/theme" Target="theme/theme1.xml" /><Relationship Id="rId2" Type="http://schemas.openxmlformats.org/officeDocument/2006/relationships/settings" Target="settings.xml" /><Relationship Id="rId16" Type="http://schemas.openxmlformats.org/officeDocument/2006/relationships/fontTable" Target="fontTable.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hyperlink" Target="https://digital.nhs.uk/data-and-information/publications/statistical/national-diabetes-audit-type-1-diabetes/nda-type-1-2021-22-overview" TargetMode="External" /><Relationship Id="rId5" Type="http://schemas.openxmlformats.org/officeDocument/2006/relationships/endnotes" Target="endnotes.xml" /><Relationship Id="rId15" Type="http://schemas.openxmlformats.org/officeDocument/2006/relationships/footer" Target="footer1.xml" /><Relationship Id="rId10" Type="http://schemas.openxmlformats.org/officeDocument/2006/relationships/hyperlink" Target="https://pdfs.semanticscholar.org/7b27/e2d28439148f0b0a14ae01dd10db605549f0.pdf" TargetMode="External" /><Relationship Id="rId4" Type="http://schemas.openxmlformats.org/officeDocument/2006/relationships/footnotes" Target="footnotes.xml" /><Relationship Id="rId9" Type="http://schemas.openxmlformats.org/officeDocument/2006/relationships/hyperlink" Target="https://international-diabetes-federation.s3.eu-west-1.amazonaws.com/media/uploads/sites/3/2025/10/IDF_Diabetes_Atlas_11th_Edition_2025_WEB.pdf" TargetMode="External" /><Relationship Id="rId14" Type="http://schemas.openxmlformats.org/officeDocument/2006/relationships/hyperlink" Target="https://www.who.int/news-room/fact-sheets/detail/diabete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2460</Words>
  <Characters>14027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mhammed tale</cp:lastModifiedBy>
  <cp:revision>2</cp:revision>
  <dcterms:created xsi:type="dcterms:W3CDTF">2026-08-04T23:25:00Z</dcterms:created>
  <dcterms:modified xsi:type="dcterms:W3CDTF">2026-08-04T23:25:00Z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4607b18c-6c98-429f-9a12-38682f621757</vt:lpwstr>
  </property>
</Properties>
</file>