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F96379" w14:textId="77777777" w:rsidR="00A5034D" w:rsidRDefault="00A5034D" w:rsidP="00A5034D">
      <w:pPr>
        <w:pStyle w:val="NormalWeb"/>
        <w:rPr>
          <w:rStyle w:val="Strong"/>
          <w:rFonts w:ascii="Arial" w:hAnsi="Arial" w:cs="Arial"/>
        </w:rPr>
      </w:pPr>
    </w:p>
    <w:p w14:paraId="1469FD84" w14:textId="77777777" w:rsidR="00A5034D" w:rsidRDefault="00A5034D" w:rsidP="00A5034D">
      <w:pPr>
        <w:rPr>
          <w:rFonts w:ascii="Arial" w:hAnsi="Arial" w:cs="Arial"/>
          <w:sz w:val="24"/>
          <w:szCs w:val="24"/>
          <w:lang w:val="en-US"/>
        </w:rPr>
      </w:pPr>
      <w:r>
        <w:rPr>
          <w:rFonts w:ascii="Arial" w:hAnsi="Arial" w:cs="Arial"/>
          <w:sz w:val="24"/>
          <w:szCs w:val="24"/>
          <w:lang w:val="en-US"/>
        </w:rPr>
        <w:t>Irina-Diana Buture</w:t>
      </w:r>
    </w:p>
    <w:p w14:paraId="412F5B4A" w14:textId="77777777" w:rsidR="00A5034D" w:rsidRPr="0061617B" w:rsidRDefault="00A5034D" w:rsidP="00A5034D">
      <w:pPr>
        <w:rPr>
          <w:rFonts w:ascii="Arial" w:hAnsi="Arial" w:cs="Arial"/>
          <w:color w:val="242130"/>
          <w:sz w:val="24"/>
          <w:szCs w:val="24"/>
          <w:shd w:val="clear" w:color="auto" w:fill="FFFFFF"/>
        </w:rPr>
      </w:pPr>
      <w:r w:rsidRPr="0061617B">
        <w:rPr>
          <w:rFonts w:ascii="Arial" w:hAnsi="Arial" w:cs="Arial"/>
          <w:color w:val="242130"/>
          <w:sz w:val="24"/>
          <w:szCs w:val="24"/>
          <w:shd w:val="clear" w:color="auto" w:fill="FFFFFF"/>
        </w:rPr>
        <w:t>2239006</w:t>
      </w:r>
    </w:p>
    <w:p w14:paraId="50CDF169" w14:textId="77777777" w:rsidR="00A5034D" w:rsidRDefault="00A5034D" w:rsidP="00A5034D">
      <w:pPr>
        <w:rPr>
          <w:rFonts w:ascii="Arial" w:hAnsi="Arial" w:cs="Arial"/>
          <w:sz w:val="24"/>
          <w:szCs w:val="24"/>
        </w:rPr>
      </w:pPr>
      <w:r w:rsidRPr="0061617B">
        <w:rPr>
          <w:rFonts w:ascii="Arial" w:hAnsi="Arial" w:cs="Arial"/>
          <w:sz w:val="24"/>
          <w:szCs w:val="24"/>
        </w:rPr>
        <w:t>Foreign Languages and Cultural Awareness</w:t>
      </w:r>
    </w:p>
    <w:p w14:paraId="07B32695" w14:textId="77777777" w:rsidR="00A5034D" w:rsidRDefault="00A5034D" w:rsidP="00A5034D">
      <w:pPr>
        <w:rPr>
          <w:rFonts w:ascii="Arial" w:hAnsi="Arial" w:cs="Arial"/>
          <w:sz w:val="24"/>
          <w:szCs w:val="24"/>
        </w:rPr>
      </w:pPr>
      <w:r w:rsidRPr="0061617B">
        <w:rPr>
          <w:rFonts w:ascii="Arial" w:hAnsi="Arial" w:cs="Arial"/>
          <w:sz w:val="24"/>
          <w:szCs w:val="24"/>
        </w:rPr>
        <w:t>BMIH5003</w:t>
      </w:r>
    </w:p>
    <w:p w14:paraId="7EDBE902" w14:textId="77777777" w:rsidR="00A5034D" w:rsidRPr="0061617B" w:rsidRDefault="00A5034D" w:rsidP="00A5034D">
      <w:pPr>
        <w:rPr>
          <w:rFonts w:ascii="Arial" w:hAnsi="Arial" w:cs="Arial"/>
          <w:sz w:val="24"/>
          <w:szCs w:val="24"/>
          <w:lang w:val="en-US"/>
        </w:rPr>
      </w:pPr>
      <w:r>
        <w:rPr>
          <w:rFonts w:ascii="Arial" w:hAnsi="Arial" w:cs="Arial"/>
          <w:sz w:val="24"/>
          <w:szCs w:val="24"/>
        </w:rPr>
        <w:t xml:space="preserve">Giulia </w:t>
      </w:r>
      <w:proofErr w:type="spellStart"/>
      <w:r>
        <w:rPr>
          <w:rFonts w:ascii="Arial" w:hAnsi="Arial" w:cs="Arial"/>
          <w:sz w:val="24"/>
          <w:szCs w:val="24"/>
        </w:rPr>
        <w:t>Chifari</w:t>
      </w:r>
      <w:proofErr w:type="spellEnd"/>
    </w:p>
    <w:p w14:paraId="5586EB7C" w14:textId="77777777" w:rsidR="00A5034D" w:rsidRDefault="00A5034D" w:rsidP="00A5034D">
      <w:pPr>
        <w:jc w:val="center"/>
        <w:rPr>
          <w:rFonts w:ascii="Arial" w:hAnsi="Arial" w:cs="Arial"/>
          <w:sz w:val="28"/>
          <w:szCs w:val="28"/>
          <w:lang w:val="en-US"/>
        </w:rPr>
      </w:pPr>
    </w:p>
    <w:p w14:paraId="3404D455" w14:textId="77777777" w:rsidR="00A5034D" w:rsidRDefault="00A5034D" w:rsidP="00A5034D">
      <w:pPr>
        <w:jc w:val="center"/>
        <w:rPr>
          <w:rFonts w:ascii="Arial" w:hAnsi="Arial" w:cs="Arial"/>
          <w:sz w:val="28"/>
          <w:szCs w:val="28"/>
          <w:lang w:val="en-US"/>
        </w:rPr>
      </w:pPr>
      <w:proofErr w:type="spellStart"/>
      <w:r w:rsidRPr="0061617B">
        <w:rPr>
          <w:rFonts w:ascii="Arial" w:hAnsi="Arial" w:cs="Arial"/>
          <w:sz w:val="28"/>
          <w:szCs w:val="28"/>
          <w:lang w:val="en-US"/>
        </w:rPr>
        <w:t>Portofolio</w:t>
      </w:r>
      <w:proofErr w:type="spellEnd"/>
    </w:p>
    <w:p w14:paraId="38528404" w14:textId="77777777" w:rsidR="00A5034D" w:rsidRDefault="00A5034D" w:rsidP="00A5034D">
      <w:pPr>
        <w:jc w:val="center"/>
        <w:rPr>
          <w:rFonts w:ascii="Arial" w:hAnsi="Arial" w:cs="Arial"/>
          <w:sz w:val="28"/>
          <w:szCs w:val="28"/>
          <w:lang w:val="en-US"/>
        </w:rPr>
      </w:pPr>
    </w:p>
    <w:p w14:paraId="509F5DB3" w14:textId="77777777" w:rsidR="00A5034D" w:rsidRDefault="00A5034D" w:rsidP="00A5034D">
      <w:pPr>
        <w:rPr>
          <w:rFonts w:ascii="Arial" w:hAnsi="Arial" w:cs="Arial"/>
          <w:sz w:val="24"/>
          <w:szCs w:val="24"/>
          <w:lang w:val="en-US"/>
        </w:rPr>
      </w:pPr>
      <w:r>
        <w:rPr>
          <w:rFonts w:ascii="Arial" w:hAnsi="Arial" w:cs="Arial"/>
          <w:sz w:val="24"/>
          <w:szCs w:val="24"/>
          <w:lang w:val="en-US"/>
        </w:rPr>
        <w:t xml:space="preserve">Component 1- </w:t>
      </w:r>
      <w:proofErr w:type="spellStart"/>
      <w:r>
        <w:rPr>
          <w:rFonts w:ascii="Arial" w:hAnsi="Arial" w:cs="Arial"/>
          <w:sz w:val="24"/>
          <w:szCs w:val="24"/>
          <w:lang w:val="en-US"/>
        </w:rPr>
        <w:t>Proffesional</w:t>
      </w:r>
      <w:proofErr w:type="spellEnd"/>
      <w:r>
        <w:rPr>
          <w:rFonts w:ascii="Arial" w:hAnsi="Arial" w:cs="Arial"/>
          <w:sz w:val="24"/>
          <w:szCs w:val="24"/>
          <w:lang w:val="en-US"/>
        </w:rPr>
        <w:t xml:space="preserve"> Reflection</w:t>
      </w:r>
    </w:p>
    <w:p w14:paraId="160DF0D0" w14:textId="77777777" w:rsidR="00FC55DE" w:rsidRPr="00061B63" w:rsidRDefault="00FC55DE" w:rsidP="00FC55DE">
      <w:pPr>
        <w:pStyle w:val="NormalWeb"/>
        <w:rPr>
          <w:rFonts w:ascii="Arial" w:hAnsi="Arial" w:cs="Arial"/>
        </w:rPr>
      </w:pPr>
      <w:r w:rsidRPr="00061B63">
        <w:rPr>
          <w:rFonts w:ascii="Arial" w:hAnsi="Arial" w:cs="Arial"/>
          <w:b/>
          <w:bCs/>
        </w:rPr>
        <w:t>Introduction</w:t>
      </w:r>
      <w:r w:rsidRPr="00061B63">
        <w:rPr>
          <w:rFonts w:ascii="Arial" w:hAnsi="Arial" w:cs="Arial"/>
        </w:rPr>
        <w:br/>
        <w:t>The hospitality industry is an important space for cultural exchange, where people from diverse backgrounds gather to enjoy food and make social connections (</w:t>
      </w:r>
      <w:proofErr w:type="spellStart"/>
      <w:r w:rsidRPr="00061B63">
        <w:rPr>
          <w:rFonts w:ascii="Arial" w:hAnsi="Arial" w:cs="Arial"/>
        </w:rPr>
        <w:t>Pizam</w:t>
      </w:r>
      <w:proofErr w:type="spellEnd"/>
      <w:r w:rsidRPr="00061B63">
        <w:rPr>
          <w:rFonts w:ascii="Arial" w:hAnsi="Arial" w:cs="Arial"/>
        </w:rPr>
        <w:t xml:space="preserve"> &amp; Shani, 2009). Restaurants are central to this experience, offering distinctive dining environments through flavours, ambiance, and service (Bharwani &amp; Jauhari, 2013). However, language barriers can present challenges for both staff and guests, impacting the flow of service (Lloyd-Jones, 2020). This study explores a Mediterranean restaurant scenario where language skills and communication dynamics play crucial roles. Through examining staff-customer interactions, we explore the complexities of cross-cultural communication and its effect on service and satisfaction (Hofstede, Hofstede, &amp; Minkov, 2010).</w:t>
      </w:r>
    </w:p>
    <w:p w14:paraId="2FDC16E8" w14:textId="77777777" w:rsidR="00FC55DE" w:rsidRPr="00061B63" w:rsidRDefault="00FC55DE" w:rsidP="00FC55DE">
      <w:pPr>
        <w:pStyle w:val="NormalWeb"/>
        <w:rPr>
          <w:rFonts w:ascii="Arial" w:hAnsi="Arial" w:cs="Arial"/>
        </w:rPr>
      </w:pPr>
      <w:r w:rsidRPr="00061B63">
        <w:rPr>
          <w:rFonts w:ascii="Arial" w:hAnsi="Arial" w:cs="Arial"/>
          <w:b/>
          <w:bCs/>
        </w:rPr>
        <w:t>Scenario Description</w:t>
      </w:r>
      <w:r w:rsidRPr="00061B63">
        <w:rPr>
          <w:rFonts w:ascii="Arial" w:hAnsi="Arial" w:cs="Arial"/>
        </w:rPr>
        <w:br/>
        <w:t>Set in a Mediterranean restaurant, this scenario follows a new staff member with limited English proficiency serving a table of six celebrating Christmas. Supported by a manager who shares their first language, the staff member learns the menu and strives to deliver excellent service. As the evening progresses, a guest ambiguously orders "lamb" without specifying between Rack of Lamb or Lamb Chops, leading to a misunderstanding when the dish is served. The guest’s disappointment prompts the protagonist to improve their communication skills.</w:t>
      </w:r>
    </w:p>
    <w:p w14:paraId="296796BA" w14:textId="77777777" w:rsidR="00FC55DE" w:rsidRPr="00061B63" w:rsidRDefault="00FC55DE" w:rsidP="00FC55DE">
      <w:pPr>
        <w:pStyle w:val="NormalWeb"/>
        <w:rPr>
          <w:rFonts w:ascii="Arial" w:hAnsi="Arial" w:cs="Arial"/>
        </w:rPr>
      </w:pPr>
      <w:r w:rsidRPr="00061B63">
        <w:rPr>
          <w:rFonts w:ascii="Arial" w:hAnsi="Arial" w:cs="Arial"/>
          <w:b/>
          <w:bCs/>
        </w:rPr>
        <w:t>Analytical Thinking</w:t>
      </w:r>
      <w:r w:rsidRPr="00061B63">
        <w:rPr>
          <w:rFonts w:ascii="Arial" w:hAnsi="Arial" w:cs="Arial"/>
        </w:rPr>
        <w:br/>
        <w:t xml:space="preserve">This scenario underscores the importance of language skills in cross-cultural hospitality, where language gaps can lead to misunderstandings that impact customer satisfaction (Gursoy, Chi, &amp; Karadag, 2013). The issue goes beyond language alone, as cultural nuances—like tone and non-verbal cues—shape service expectations (Hall, 1976). The protagonist’s challenges illustrate not only linguistic barriers but cultural nuances that require sensitivity (Kim &amp; </w:t>
      </w:r>
      <w:proofErr w:type="spellStart"/>
      <w:r w:rsidRPr="00061B63">
        <w:rPr>
          <w:rFonts w:ascii="Arial" w:hAnsi="Arial" w:cs="Arial"/>
        </w:rPr>
        <w:t>Gudykunst</w:t>
      </w:r>
      <w:proofErr w:type="spellEnd"/>
      <w:r w:rsidRPr="00061B63">
        <w:rPr>
          <w:rFonts w:ascii="Arial" w:hAnsi="Arial" w:cs="Arial"/>
        </w:rPr>
        <w:t>, 1988).</w:t>
      </w:r>
    </w:p>
    <w:p w14:paraId="060E2C40" w14:textId="77777777" w:rsidR="00FC55DE" w:rsidRPr="00061B63" w:rsidRDefault="00FC55DE" w:rsidP="00FC55DE">
      <w:pPr>
        <w:pStyle w:val="NormalWeb"/>
        <w:rPr>
          <w:rFonts w:ascii="Arial" w:hAnsi="Arial" w:cs="Arial"/>
        </w:rPr>
      </w:pPr>
      <w:r w:rsidRPr="00061B63">
        <w:rPr>
          <w:rFonts w:ascii="Arial" w:hAnsi="Arial" w:cs="Arial"/>
          <w:b/>
          <w:bCs/>
        </w:rPr>
        <w:t>Evaluation</w:t>
      </w:r>
      <w:r w:rsidRPr="00061B63">
        <w:rPr>
          <w:rFonts w:ascii="Arial" w:hAnsi="Arial" w:cs="Arial"/>
        </w:rPr>
        <w:br/>
        <w:t xml:space="preserve">Language barriers can affect service quality, impacting both customer experiences and staff confidence. The guest’s ambiguous order for "lamb" highlights the need for </w:t>
      </w:r>
      <w:r w:rsidRPr="00061B63">
        <w:rPr>
          <w:rFonts w:ascii="Arial" w:hAnsi="Arial" w:cs="Arial"/>
        </w:rPr>
        <w:lastRenderedPageBreak/>
        <w:t>clear communication to meet customer expectations (Gronroos, 1988). There is also a power dynamic where customers may expect staff to adapt to their language and cultural norms, putting extra pressure on employees still mastering English (Baum, 2006). Proactive steps like asking clarifying questions and using visual aids could have helped avoid miscommunication, while the manager’s support underlines the importance of guidance and training (</w:t>
      </w:r>
      <w:proofErr w:type="spellStart"/>
      <w:r w:rsidRPr="00061B63">
        <w:rPr>
          <w:rFonts w:ascii="Arial" w:hAnsi="Arial" w:cs="Arial"/>
        </w:rPr>
        <w:t>Kandampully</w:t>
      </w:r>
      <w:proofErr w:type="spellEnd"/>
      <w:r w:rsidRPr="00061B63">
        <w:rPr>
          <w:rFonts w:ascii="Arial" w:hAnsi="Arial" w:cs="Arial"/>
        </w:rPr>
        <w:t xml:space="preserve">, Zhang, &amp; </w:t>
      </w:r>
      <w:proofErr w:type="spellStart"/>
      <w:r w:rsidRPr="00061B63">
        <w:rPr>
          <w:rFonts w:ascii="Arial" w:hAnsi="Arial" w:cs="Arial"/>
        </w:rPr>
        <w:t>Bilgihan</w:t>
      </w:r>
      <w:proofErr w:type="spellEnd"/>
      <w:r w:rsidRPr="00061B63">
        <w:rPr>
          <w:rFonts w:ascii="Arial" w:hAnsi="Arial" w:cs="Arial"/>
        </w:rPr>
        <w:t>, 2015).</w:t>
      </w:r>
    </w:p>
    <w:p w14:paraId="68C43C15" w14:textId="77777777" w:rsidR="00FC55DE" w:rsidRPr="00061B63" w:rsidRDefault="00FC55DE" w:rsidP="00FC55DE">
      <w:pPr>
        <w:pStyle w:val="NormalWeb"/>
        <w:rPr>
          <w:rFonts w:ascii="Arial" w:hAnsi="Arial" w:cs="Arial"/>
        </w:rPr>
      </w:pPr>
      <w:r w:rsidRPr="00061B63">
        <w:rPr>
          <w:rFonts w:ascii="Arial" w:hAnsi="Arial" w:cs="Arial"/>
          <w:b/>
          <w:bCs/>
        </w:rPr>
        <w:t>Synthesis</w:t>
      </w:r>
      <w:r w:rsidRPr="00061B63">
        <w:rPr>
          <w:rFonts w:ascii="Arial" w:hAnsi="Arial" w:cs="Arial"/>
        </w:rPr>
        <w:br/>
        <w:t>The key issue in this scenario is not merely a language barrier but a wider cross-cultural communication challenge. Cultural misunderstandings occur when people interpret language, gestures, and service expectations differently (</w:t>
      </w:r>
      <w:proofErr w:type="spellStart"/>
      <w:r w:rsidRPr="00061B63">
        <w:rPr>
          <w:rFonts w:ascii="Arial" w:hAnsi="Arial" w:cs="Arial"/>
        </w:rPr>
        <w:t>Gudykunst</w:t>
      </w:r>
      <w:proofErr w:type="spellEnd"/>
      <w:r w:rsidRPr="00061B63">
        <w:rPr>
          <w:rFonts w:ascii="Arial" w:hAnsi="Arial" w:cs="Arial"/>
        </w:rPr>
        <w:t xml:space="preserve"> &amp; Ting-Toomey, 1988). Here, the ambiguity of the guest’s order highlights differences in how much detail is expected in communication (Hall, 1976). Effective training that addresses both language and cultural nuances can help staff minimise misunderstandings, facilitating smoother interactions with a diverse clientele (Altinay, Paraskevas, &amp; Jang, 2015).</w:t>
      </w:r>
    </w:p>
    <w:p w14:paraId="4B41F19B" w14:textId="77777777" w:rsidR="00FC55DE" w:rsidRDefault="00FC55DE" w:rsidP="00FC55DE">
      <w:pPr>
        <w:pStyle w:val="NormalWeb"/>
        <w:rPr>
          <w:rFonts w:ascii="Arial" w:hAnsi="Arial" w:cs="Arial"/>
        </w:rPr>
      </w:pPr>
      <w:r w:rsidRPr="00061B63">
        <w:rPr>
          <w:rFonts w:ascii="Arial" w:hAnsi="Arial" w:cs="Arial"/>
          <w:b/>
          <w:bCs/>
        </w:rPr>
        <w:t>Conclusion</w:t>
      </w:r>
      <w:r w:rsidRPr="00061B63">
        <w:rPr>
          <w:rFonts w:ascii="Arial" w:hAnsi="Arial" w:cs="Arial"/>
        </w:rPr>
        <w:br/>
        <w:t xml:space="preserve">This scenario illustrates how language barriers and cultural differences can complicate service delivery. The protagonist’s limited English and the guest’s ambiguous request show the potential for miscommunication in cross-cultural hospitality settings. Investing in both linguistic and cultural training is essential to provide seamless service. Proactive communication strategies can help meet guest expectations and turn misunderstandings into </w:t>
      </w:r>
      <w:r>
        <w:rPr>
          <w:rFonts w:ascii="Arial" w:hAnsi="Arial" w:cs="Arial"/>
        </w:rPr>
        <w:t xml:space="preserve">growth </w:t>
      </w:r>
      <w:r w:rsidRPr="00061B63">
        <w:rPr>
          <w:rFonts w:ascii="Arial" w:hAnsi="Arial" w:cs="Arial"/>
        </w:rPr>
        <w:t>opportunities, enhancing staff and guests</w:t>
      </w:r>
      <w:r>
        <w:rPr>
          <w:rFonts w:ascii="Arial" w:hAnsi="Arial" w:cs="Arial"/>
        </w:rPr>
        <w:t>' satisfaction</w:t>
      </w:r>
      <w:r w:rsidRPr="00061B63">
        <w:rPr>
          <w:rFonts w:ascii="Arial" w:hAnsi="Arial" w:cs="Arial"/>
        </w:rPr>
        <w:t xml:space="preserve"> (Mattila, 2000).</w:t>
      </w:r>
    </w:p>
    <w:p w14:paraId="61040FD0" w14:textId="77777777" w:rsidR="00926831" w:rsidRDefault="00926831" w:rsidP="00FC55DE">
      <w:pPr>
        <w:pStyle w:val="NormalWeb"/>
        <w:rPr>
          <w:rFonts w:ascii="Arial" w:hAnsi="Arial" w:cs="Arial"/>
        </w:rPr>
      </w:pPr>
    </w:p>
    <w:p w14:paraId="60C16614" w14:textId="77777777" w:rsidR="00926831" w:rsidRDefault="00926831" w:rsidP="00FC55DE">
      <w:pPr>
        <w:pStyle w:val="NormalWeb"/>
        <w:rPr>
          <w:rFonts w:ascii="Arial" w:hAnsi="Arial" w:cs="Arial"/>
        </w:rPr>
      </w:pPr>
    </w:p>
    <w:p w14:paraId="2554FB4B" w14:textId="77777777" w:rsidR="00926831" w:rsidRDefault="00926831" w:rsidP="00FC55DE">
      <w:pPr>
        <w:pStyle w:val="NormalWeb"/>
        <w:rPr>
          <w:rFonts w:ascii="Arial" w:hAnsi="Arial" w:cs="Arial"/>
        </w:rPr>
      </w:pPr>
    </w:p>
    <w:p w14:paraId="52B0CBCF" w14:textId="77777777" w:rsidR="00926831" w:rsidRPr="00061B63" w:rsidRDefault="00926831" w:rsidP="00FC55DE">
      <w:pPr>
        <w:pStyle w:val="NormalWeb"/>
        <w:rPr>
          <w:rFonts w:ascii="Arial" w:hAnsi="Arial" w:cs="Arial"/>
        </w:rPr>
      </w:pPr>
    </w:p>
    <w:p w14:paraId="377B7395" w14:textId="77777777" w:rsidR="00FC55DE" w:rsidRDefault="00FC55DE" w:rsidP="00A5034D">
      <w:pPr>
        <w:rPr>
          <w:rFonts w:ascii="Arial" w:hAnsi="Arial" w:cs="Arial"/>
          <w:sz w:val="24"/>
          <w:szCs w:val="24"/>
          <w:lang w:val="en-US"/>
        </w:rPr>
      </w:pPr>
    </w:p>
    <w:p w14:paraId="4BF11FA9" w14:textId="77777777" w:rsidR="00FC55DE" w:rsidRPr="00FC55DE" w:rsidRDefault="00757F85" w:rsidP="00FC55DE">
      <w:pPr>
        <w:pStyle w:val="NormalWeb"/>
        <w:rPr>
          <w:rFonts w:ascii="Arial" w:hAnsi="Arial" w:cs="Arial"/>
          <w:lang w:val="en-US"/>
        </w:rPr>
      </w:pPr>
      <w:r>
        <w:rPr>
          <w:rFonts w:ascii="Arial" w:hAnsi="Arial" w:cs="Arial"/>
          <w:lang w:val="en-US"/>
        </w:rPr>
        <w:t xml:space="preserve">Reference List : </w:t>
      </w:r>
      <w:r w:rsidR="00FC55DE" w:rsidRPr="00FC55DE">
        <w:rPr>
          <w:rFonts w:ascii="Arial" w:hAnsi="Arial" w:cs="Arial"/>
          <w:lang w:val="en-US"/>
        </w:rPr>
        <w:t>Baum, T., &amp; Devine, F. (2007). Skills and training in the hospitality sector: evidence from A new survey. Tourism and Hospitality Research, 7(3-4), 229-241</w:t>
      </w:r>
    </w:p>
    <w:p w14:paraId="7C5867B0" w14:textId="77777777" w:rsidR="00FC55DE" w:rsidRPr="00FC55DE" w:rsidRDefault="00FC55DE" w:rsidP="00FC55DE">
      <w:pPr>
        <w:pStyle w:val="NormalWeb"/>
        <w:rPr>
          <w:rFonts w:ascii="Arial" w:hAnsi="Arial" w:cs="Arial"/>
          <w:lang w:val="en-US"/>
        </w:rPr>
      </w:pPr>
      <w:r w:rsidRPr="00FC55DE">
        <w:rPr>
          <w:rFonts w:ascii="Arial" w:hAnsi="Arial" w:cs="Arial"/>
          <w:lang w:val="en-US"/>
        </w:rPr>
        <w:t xml:space="preserve">Reisinger, Y., &amp; Turner, L. (2003). Cross-Cultural </w:t>
      </w:r>
      <w:proofErr w:type="spellStart"/>
      <w:r w:rsidRPr="00FC55DE">
        <w:rPr>
          <w:rFonts w:ascii="Arial" w:hAnsi="Arial" w:cs="Arial"/>
          <w:lang w:val="en-US"/>
        </w:rPr>
        <w:t>Behaviour</w:t>
      </w:r>
      <w:proofErr w:type="spellEnd"/>
      <w:r w:rsidRPr="00FC55DE">
        <w:rPr>
          <w:rFonts w:ascii="Arial" w:hAnsi="Arial" w:cs="Arial"/>
          <w:lang w:val="en-US"/>
        </w:rPr>
        <w:t xml:space="preserve"> in Tourism: Concepts and Analysis. Butterworth-Heinemann.</w:t>
      </w:r>
    </w:p>
    <w:p w14:paraId="668ECE36" w14:textId="77777777" w:rsidR="00FC55DE" w:rsidRPr="00FC55DE" w:rsidRDefault="00FC55DE" w:rsidP="00FC55DE">
      <w:pPr>
        <w:pStyle w:val="NormalWeb"/>
        <w:rPr>
          <w:rFonts w:ascii="Arial" w:hAnsi="Arial" w:cs="Arial"/>
          <w:lang w:val="en-US"/>
        </w:rPr>
      </w:pPr>
      <w:r w:rsidRPr="00FC55DE">
        <w:rPr>
          <w:rFonts w:ascii="Arial" w:hAnsi="Arial" w:cs="Arial"/>
          <w:lang w:val="en-US"/>
        </w:rPr>
        <w:t>King, C. A. (1995). What is hospitality? International Journal of Hospitality Management, 14(3-4), 219-234.</w:t>
      </w:r>
    </w:p>
    <w:p w14:paraId="0F89D073" w14:textId="77777777" w:rsidR="00FC55DE" w:rsidRPr="00FC55DE" w:rsidRDefault="00FC55DE" w:rsidP="00FC55DE">
      <w:pPr>
        <w:pStyle w:val="NormalWeb"/>
        <w:rPr>
          <w:rFonts w:ascii="Arial" w:hAnsi="Arial" w:cs="Arial"/>
          <w:lang w:val="en-US"/>
        </w:rPr>
      </w:pPr>
      <w:r w:rsidRPr="00FC55DE">
        <w:rPr>
          <w:rFonts w:ascii="Arial" w:hAnsi="Arial" w:cs="Arial"/>
          <w:lang w:val="en-US"/>
        </w:rPr>
        <w:t>Nickson, D., &amp; Baum, T. (2000). Human Resource Management in Hospitality and Tourism: A Comparative Study. International Journal of Contemporary Hospitality Management, 12(3), 189-195.</w:t>
      </w:r>
    </w:p>
    <w:p w14:paraId="350E95A8" w14:textId="77777777" w:rsidR="00FC55DE" w:rsidRPr="00FC55DE" w:rsidRDefault="00FC55DE" w:rsidP="00FC55DE">
      <w:pPr>
        <w:pStyle w:val="NormalWeb"/>
        <w:rPr>
          <w:rFonts w:ascii="Arial" w:hAnsi="Arial" w:cs="Arial"/>
          <w:lang w:val="en-US"/>
        </w:rPr>
      </w:pPr>
      <w:r w:rsidRPr="00FC55DE">
        <w:rPr>
          <w:rFonts w:ascii="Arial" w:hAnsi="Arial" w:cs="Arial"/>
          <w:lang w:val="en-US"/>
        </w:rPr>
        <w:lastRenderedPageBreak/>
        <w:t>Altinay, L., Paraskevas, A., &amp; Jang, S. (2015). Planning Research in Hospitality and Tourism. Oxford: Routledge.</w:t>
      </w:r>
    </w:p>
    <w:p w14:paraId="0B902B9F" w14:textId="77777777" w:rsidR="00FC55DE" w:rsidRPr="00FC55DE" w:rsidRDefault="00FC55DE" w:rsidP="00FC55DE">
      <w:pPr>
        <w:pStyle w:val="NormalWeb"/>
        <w:rPr>
          <w:rFonts w:ascii="Arial" w:hAnsi="Arial" w:cs="Arial"/>
          <w:lang w:val="en-US"/>
        </w:rPr>
      </w:pPr>
      <w:r w:rsidRPr="00FC55DE">
        <w:rPr>
          <w:rFonts w:ascii="Arial" w:hAnsi="Arial" w:cs="Arial"/>
          <w:lang w:val="en-US"/>
        </w:rPr>
        <w:t>Baum, T. (2006). Human Resource Management for Tourism, Hospitality and Leisure: An International Perspective. London: Thomson Learning.</w:t>
      </w:r>
    </w:p>
    <w:p w14:paraId="34E62138" w14:textId="77777777" w:rsidR="00FC55DE" w:rsidRPr="00FC55DE" w:rsidRDefault="00FC55DE" w:rsidP="00FC55DE">
      <w:pPr>
        <w:pStyle w:val="NormalWeb"/>
        <w:rPr>
          <w:rFonts w:ascii="Arial" w:hAnsi="Arial" w:cs="Arial"/>
          <w:lang w:val="en-US"/>
        </w:rPr>
      </w:pPr>
      <w:r w:rsidRPr="00FC55DE">
        <w:rPr>
          <w:rFonts w:ascii="Arial" w:hAnsi="Arial" w:cs="Arial"/>
          <w:lang w:val="en-US"/>
        </w:rPr>
        <w:t>Bharwani, S., &amp; Jauhari, V. (2013). "An Exploratory Study of Competencies Required to Co-Create Memorable Customer Experiences in the Hospitality Industry." International Journal of Contemporary Hospitality Management, 25(2), 123-143.</w:t>
      </w:r>
    </w:p>
    <w:p w14:paraId="7B952C7E" w14:textId="77777777" w:rsidR="00FC55DE" w:rsidRPr="00FC55DE" w:rsidRDefault="00FC55DE" w:rsidP="00FC55DE">
      <w:pPr>
        <w:pStyle w:val="NormalWeb"/>
        <w:rPr>
          <w:rFonts w:ascii="Arial" w:hAnsi="Arial" w:cs="Arial"/>
          <w:lang w:val="en-US"/>
        </w:rPr>
      </w:pPr>
      <w:r w:rsidRPr="00FC55DE">
        <w:rPr>
          <w:rFonts w:ascii="Arial" w:hAnsi="Arial" w:cs="Arial"/>
          <w:lang w:val="en-US"/>
        </w:rPr>
        <w:t>Fischer, R. (2012). "Cross-Cultural Training Effects on Cultural Essentialism Beliefs and Cultural Intelligence." International Journal of Intercultural Relations, 36(2), 195-206.</w:t>
      </w:r>
    </w:p>
    <w:p w14:paraId="24D8E519" w14:textId="77777777" w:rsidR="00FC55DE" w:rsidRPr="00FC55DE" w:rsidRDefault="00FC55DE" w:rsidP="00FC55DE">
      <w:pPr>
        <w:pStyle w:val="NormalWeb"/>
        <w:rPr>
          <w:rFonts w:ascii="Arial" w:hAnsi="Arial" w:cs="Arial"/>
          <w:lang w:val="en-US"/>
        </w:rPr>
      </w:pPr>
      <w:r w:rsidRPr="00FC55DE">
        <w:rPr>
          <w:rFonts w:ascii="Arial" w:hAnsi="Arial" w:cs="Arial"/>
          <w:lang w:val="en-US"/>
        </w:rPr>
        <w:t>Gronroos, C. (1988). "Service Quality: The Six Criteria of Good Perceived Service Quality." Review of Business, 9(3), 10-13.</w:t>
      </w:r>
    </w:p>
    <w:p w14:paraId="2FD9A55B" w14:textId="77777777" w:rsidR="00FC55DE" w:rsidRPr="00FC55DE" w:rsidRDefault="00FC55DE" w:rsidP="00FC55DE">
      <w:pPr>
        <w:pStyle w:val="NormalWeb"/>
        <w:rPr>
          <w:rFonts w:ascii="Arial" w:hAnsi="Arial" w:cs="Arial"/>
          <w:lang w:val="en-US"/>
        </w:rPr>
      </w:pPr>
      <w:r w:rsidRPr="00FC55DE">
        <w:rPr>
          <w:rFonts w:ascii="Arial" w:hAnsi="Arial" w:cs="Arial"/>
          <w:lang w:val="en-US"/>
        </w:rPr>
        <w:t>Gursoy, D., Chi, C. G., &amp; Karadag, E. (2013). "Generational Differences in Work Values and Attitudes Among Frontline and Service Contact Employees." International Journal of Hospitality Management, 32, 40-48.</w:t>
      </w:r>
    </w:p>
    <w:p w14:paraId="4BA97384" w14:textId="77777777" w:rsidR="00FC55DE" w:rsidRPr="00FC55DE" w:rsidRDefault="00FC55DE" w:rsidP="00FC55DE">
      <w:pPr>
        <w:pStyle w:val="NormalWeb"/>
        <w:rPr>
          <w:rFonts w:ascii="Arial" w:hAnsi="Arial" w:cs="Arial"/>
          <w:lang w:val="en-US"/>
        </w:rPr>
      </w:pPr>
      <w:r w:rsidRPr="00FC55DE">
        <w:rPr>
          <w:rFonts w:ascii="Arial" w:hAnsi="Arial" w:cs="Arial"/>
          <w:lang w:val="en-US"/>
        </w:rPr>
        <w:t>Hall, E. T. (1976). Beyond Culture. Garden City, NY: Anchor Press.</w:t>
      </w:r>
    </w:p>
    <w:p w14:paraId="3EC17887" w14:textId="77777777" w:rsidR="00FC55DE" w:rsidRPr="00FC55DE" w:rsidRDefault="00FC55DE" w:rsidP="00FC55DE">
      <w:pPr>
        <w:pStyle w:val="NormalWeb"/>
        <w:rPr>
          <w:rFonts w:ascii="Arial" w:hAnsi="Arial" w:cs="Arial"/>
          <w:lang w:val="en-US"/>
        </w:rPr>
      </w:pPr>
      <w:r w:rsidRPr="00FC55DE">
        <w:rPr>
          <w:rFonts w:ascii="Arial" w:hAnsi="Arial" w:cs="Arial"/>
          <w:lang w:val="en-US"/>
        </w:rPr>
        <w:t>Hofstede, G., Hofstede, G. J., &amp; Minkov, M. (2010). Cultures and Organizations: Software of the Mind. New York: McGraw-Hill.</w:t>
      </w:r>
    </w:p>
    <w:p w14:paraId="1F39AA43" w14:textId="77777777" w:rsidR="00FC55DE" w:rsidRPr="00FC55DE" w:rsidRDefault="00FC55DE" w:rsidP="00FC55DE">
      <w:pPr>
        <w:pStyle w:val="NormalWeb"/>
        <w:rPr>
          <w:rFonts w:ascii="Arial" w:hAnsi="Arial" w:cs="Arial"/>
          <w:lang w:val="en-US"/>
        </w:rPr>
      </w:pPr>
      <w:proofErr w:type="spellStart"/>
      <w:r w:rsidRPr="00FC55DE">
        <w:rPr>
          <w:rFonts w:ascii="Arial" w:hAnsi="Arial" w:cs="Arial"/>
          <w:lang w:val="en-US"/>
        </w:rPr>
        <w:t>Kandampully</w:t>
      </w:r>
      <w:proofErr w:type="spellEnd"/>
      <w:r w:rsidRPr="00FC55DE">
        <w:rPr>
          <w:rFonts w:ascii="Arial" w:hAnsi="Arial" w:cs="Arial"/>
          <w:lang w:val="en-US"/>
        </w:rPr>
        <w:t xml:space="preserve">, J., Zhang, T., &amp; </w:t>
      </w:r>
      <w:proofErr w:type="spellStart"/>
      <w:r w:rsidRPr="00FC55DE">
        <w:rPr>
          <w:rFonts w:ascii="Arial" w:hAnsi="Arial" w:cs="Arial"/>
          <w:lang w:val="en-US"/>
        </w:rPr>
        <w:t>Bilgihan</w:t>
      </w:r>
      <w:proofErr w:type="spellEnd"/>
      <w:r w:rsidRPr="00FC55DE">
        <w:rPr>
          <w:rFonts w:ascii="Arial" w:hAnsi="Arial" w:cs="Arial"/>
          <w:lang w:val="en-US"/>
        </w:rPr>
        <w:t>, A. (2015). "Customer Loyalty: A Review and Future Directions with a Focus on the Hospitality Industry." International Journal of Contemporary Hospitality Management, 27(3), 379-414.</w:t>
      </w:r>
    </w:p>
    <w:p w14:paraId="0245904E" w14:textId="77777777" w:rsidR="00FC55DE" w:rsidRPr="00FC55DE" w:rsidRDefault="00FC55DE" w:rsidP="00FC55DE">
      <w:pPr>
        <w:pStyle w:val="NormalWeb"/>
        <w:rPr>
          <w:rFonts w:ascii="Arial" w:hAnsi="Arial" w:cs="Arial"/>
          <w:lang w:val="en-US"/>
        </w:rPr>
      </w:pPr>
      <w:r w:rsidRPr="00FC55DE">
        <w:rPr>
          <w:rFonts w:ascii="Arial" w:hAnsi="Arial" w:cs="Arial"/>
          <w:lang w:val="en-US"/>
        </w:rPr>
        <w:t xml:space="preserve">Kim, Y. Y., &amp; </w:t>
      </w:r>
      <w:proofErr w:type="spellStart"/>
      <w:r w:rsidRPr="00FC55DE">
        <w:rPr>
          <w:rFonts w:ascii="Arial" w:hAnsi="Arial" w:cs="Arial"/>
          <w:lang w:val="en-US"/>
        </w:rPr>
        <w:t>Gudykunst</w:t>
      </w:r>
      <w:proofErr w:type="spellEnd"/>
      <w:r w:rsidRPr="00FC55DE">
        <w:rPr>
          <w:rFonts w:ascii="Arial" w:hAnsi="Arial" w:cs="Arial"/>
          <w:lang w:val="en-US"/>
        </w:rPr>
        <w:t>, W. B. (1988). Cross-Cultural Adaptation: Current Approaches. Newbury Park, CA: Sage.</w:t>
      </w:r>
    </w:p>
    <w:p w14:paraId="41BDAA25" w14:textId="77777777" w:rsidR="00FC55DE" w:rsidRPr="00FC55DE" w:rsidRDefault="00FC55DE" w:rsidP="00FC55DE">
      <w:pPr>
        <w:pStyle w:val="NormalWeb"/>
        <w:rPr>
          <w:rFonts w:ascii="Arial" w:hAnsi="Arial" w:cs="Arial"/>
          <w:lang w:val="en-US"/>
        </w:rPr>
      </w:pPr>
      <w:r w:rsidRPr="00FC55DE">
        <w:rPr>
          <w:rFonts w:ascii="Arial" w:hAnsi="Arial" w:cs="Arial"/>
          <w:lang w:val="en-US"/>
        </w:rPr>
        <w:t>Lloyd-Jones, R. (2020). The Hospitality Industry and Language Training Needs: A Study. London: Hospitality Institute Press.</w:t>
      </w:r>
    </w:p>
    <w:p w14:paraId="243534EC" w14:textId="77777777" w:rsidR="00FC55DE" w:rsidRPr="00FC55DE" w:rsidRDefault="00FC55DE" w:rsidP="00FC55DE">
      <w:pPr>
        <w:pStyle w:val="NormalWeb"/>
        <w:rPr>
          <w:rFonts w:ascii="Arial" w:hAnsi="Arial" w:cs="Arial"/>
          <w:lang w:val="en-US"/>
        </w:rPr>
      </w:pPr>
      <w:r w:rsidRPr="00FC55DE">
        <w:rPr>
          <w:rFonts w:ascii="Arial" w:hAnsi="Arial" w:cs="Arial"/>
          <w:lang w:val="en-US"/>
        </w:rPr>
        <w:t>Mattila, A. S. (2000). "The Role of Culture in the Service Evaluation Process." Journal of Service Research, 3(3), 250-261.</w:t>
      </w:r>
    </w:p>
    <w:p w14:paraId="683D7070" w14:textId="283C064C" w:rsidR="00FC55DE" w:rsidRDefault="00FC55DE" w:rsidP="00FC55DE">
      <w:pPr>
        <w:pStyle w:val="NormalWeb"/>
        <w:rPr>
          <w:rFonts w:ascii="Arial" w:hAnsi="Arial" w:cs="Arial"/>
          <w:lang w:val="en-US"/>
        </w:rPr>
      </w:pPr>
      <w:proofErr w:type="spellStart"/>
      <w:r w:rsidRPr="00FC55DE">
        <w:rPr>
          <w:rFonts w:ascii="Arial" w:hAnsi="Arial" w:cs="Arial"/>
          <w:lang w:val="en-US"/>
        </w:rPr>
        <w:t>Pizam</w:t>
      </w:r>
      <w:proofErr w:type="spellEnd"/>
      <w:r w:rsidRPr="00FC55DE">
        <w:rPr>
          <w:rFonts w:ascii="Arial" w:hAnsi="Arial" w:cs="Arial"/>
          <w:lang w:val="en-US"/>
        </w:rPr>
        <w:t>, A., &amp; Shani, A. (2009). "The Nature of the Hospitality Industry: Present and Future Managers' Perspectives." Journal of Hospitality and Tourism Education, 21(2), 40-46.</w:t>
      </w:r>
    </w:p>
    <w:p w14:paraId="58E03CB1" w14:textId="77777777" w:rsidR="00757F85" w:rsidRPr="00757F85" w:rsidRDefault="00757F85" w:rsidP="00757F85">
      <w:pPr>
        <w:rPr>
          <w:rFonts w:ascii="Arial" w:hAnsi="Arial" w:cs="Arial"/>
        </w:rPr>
      </w:pPr>
    </w:p>
    <w:sectPr w:rsidR="00757F85" w:rsidRPr="00757F85">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C8257D"/>
    <w:multiLevelType w:val="multilevel"/>
    <w:tmpl w:val="F17E24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88171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034D"/>
    <w:rsid w:val="003720C4"/>
    <w:rsid w:val="0059519C"/>
    <w:rsid w:val="00757F85"/>
    <w:rsid w:val="008E6A62"/>
    <w:rsid w:val="00926831"/>
    <w:rsid w:val="00A5034D"/>
    <w:rsid w:val="00FC55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508618"/>
  <w15:chartTrackingRefBased/>
  <w15:docId w15:val="{408F84C9-6FDC-4D03-B101-EA7E23602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5034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A5034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9551514">
      <w:bodyDiv w:val="1"/>
      <w:marLeft w:val="0"/>
      <w:marRight w:val="0"/>
      <w:marTop w:val="0"/>
      <w:marBottom w:val="0"/>
      <w:divBdr>
        <w:top w:val="none" w:sz="0" w:space="0" w:color="auto"/>
        <w:left w:val="none" w:sz="0" w:space="0" w:color="auto"/>
        <w:bottom w:val="none" w:sz="0" w:space="0" w:color="auto"/>
        <w:right w:val="none" w:sz="0" w:space="0" w:color="auto"/>
      </w:divBdr>
    </w:div>
    <w:div w:id="855114740">
      <w:bodyDiv w:val="1"/>
      <w:marLeft w:val="0"/>
      <w:marRight w:val="0"/>
      <w:marTop w:val="0"/>
      <w:marBottom w:val="0"/>
      <w:divBdr>
        <w:top w:val="none" w:sz="0" w:space="0" w:color="auto"/>
        <w:left w:val="none" w:sz="0" w:space="0" w:color="auto"/>
        <w:bottom w:val="none" w:sz="0" w:space="0" w:color="auto"/>
        <w:right w:val="none" w:sz="0" w:space="0" w:color="auto"/>
      </w:divBdr>
    </w:div>
    <w:div w:id="946078077">
      <w:bodyDiv w:val="1"/>
      <w:marLeft w:val="0"/>
      <w:marRight w:val="0"/>
      <w:marTop w:val="0"/>
      <w:marBottom w:val="0"/>
      <w:divBdr>
        <w:top w:val="none" w:sz="0" w:space="0" w:color="auto"/>
        <w:left w:val="none" w:sz="0" w:space="0" w:color="auto"/>
        <w:bottom w:val="none" w:sz="0" w:space="0" w:color="auto"/>
        <w:right w:val="none" w:sz="0" w:space="0" w:color="auto"/>
      </w:divBdr>
    </w:div>
    <w:div w:id="1111169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839</Words>
  <Characters>5499</Characters>
  <Application>Microsoft Office Word</Application>
  <DocSecurity>0</DocSecurity>
  <Lines>124</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Buture</dc:creator>
  <cp:keywords/>
  <dc:description/>
  <cp:lastModifiedBy>Irina Buture</cp:lastModifiedBy>
  <cp:revision>3</cp:revision>
  <dcterms:created xsi:type="dcterms:W3CDTF">2024-10-10T17:07:00Z</dcterms:created>
  <dcterms:modified xsi:type="dcterms:W3CDTF">2024-11-07T11:55:00Z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e0003633-ba08-4256-bfd5-39246ec38c38</vt:lpwstr>
  </property>
</Properties>
</file>