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49684" w14:textId="77777777" w:rsidR="00A918D7" w:rsidRDefault="00A918D7" w:rsidP="00BC116C">
      <w:pPr>
        <w:spacing w:after="0" w:line="360" w:lineRule="auto"/>
        <w:outlineLvl w:val="0"/>
        <w:rPr>
          <w:rFonts w:asciiTheme="majorBidi" w:eastAsia="Times New Roman" w:hAnsiTheme="majorBidi" w:cstheme="majorBidi"/>
          <w:b/>
          <w:bCs/>
          <w:kern w:val="36"/>
          <w:sz w:val="36"/>
          <w:szCs w:val="36"/>
          <w14:ligatures w14:val="none"/>
        </w:rPr>
      </w:pPr>
    </w:p>
    <w:p w14:paraId="10CB73CA" w14:textId="1F420FB3" w:rsidR="00A918D7" w:rsidRPr="00BC116C" w:rsidRDefault="00A918D7" w:rsidP="003D11B9">
      <w:pPr>
        <w:spacing w:after="0" w:line="360" w:lineRule="auto"/>
        <w:outlineLvl w:val="0"/>
        <w:rPr>
          <w:rFonts w:ascii="Arial" w:eastAsia="Times New Roman" w:hAnsi="Arial" w:cs="Arial"/>
          <w:b/>
          <w:bCs/>
          <w:kern w:val="36"/>
          <w:sz w:val="22"/>
          <w:szCs w:val="22"/>
          <w14:ligatures w14:val="none"/>
        </w:rPr>
      </w:pPr>
      <w:r w:rsidRPr="00BC116C">
        <w:rPr>
          <w:rFonts w:ascii="Arial" w:eastAsia="Times New Roman" w:hAnsi="Arial" w:cs="Arial"/>
          <w:b/>
          <w:bCs/>
          <w:kern w:val="36"/>
          <w:sz w:val="22"/>
          <w:szCs w:val="22"/>
          <w14:ligatures w14:val="none"/>
        </w:rPr>
        <w:t>Title: Personal Action Plan, Skill Analysis, and Reflective Practice for the Role of Social Worker</w:t>
      </w:r>
      <w:r w:rsidR="003D11B9">
        <w:rPr>
          <w:rFonts w:ascii="Arial" w:eastAsia="Times New Roman" w:hAnsi="Arial" w:cs="Arial"/>
          <w:b/>
          <w:bCs/>
          <w:kern w:val="36"/>
          <w:sz w:val="22"/>
          <w:szCs w:val="22"/>
          <w14:ligatures w14:val="none"/>
        </w:rPr>
        <w:t>.</w:t>
      </w:r>
    </w:p>
    <w:p w14:paraId="6825D73C" w14:textId="5D05B56C" w:rsidR="00A918D7" w:rsidRPr="00BC116C" w:rsidRDefault="003D11B9" w:rsidP="00A918D7">
      <w:pPr>
        <w:spacing w:after="0" w:line="360" w:lineRule="auto"/>
        <w:jc w:val="center"/>
        <w:outlineLvl w:val="0"/>
        <w:rPr>
          <w:rFonts w:ascii="Arial" w:eastAsia="Times New Roman" w:hAnsi="Arial" w:cs="Arial"/>
          <w:b/>
          <w:bCs/>
          <w:kern w:val="36"/>
          <w:sz w:val="22"/>
          <w:szCs w:val="22"/>
          <w14:ligatures w14:val="none"/>
        </w:rPr>
      </w:pPr>
      <w:r>
        <w:rPr>
          <w:rFonts w:ascii="Arial" w:eastAsia="Times New Roman" w:hAnsi="Arial" w:cs="Arial"/>
          <w:b/>
          <w:bCs/>
          <w:kern w:val="36"/>
          <w:sz w:val="22"/>
          <w:szCs w:val="22"/>
          <w14:ligatures w14:val="none"/>
        </w:rPr>
        <w:t>ASSIGGNMENT 2</w:t>
      </w:r>
    </w:p>
    <w:p w14:paraId="0EBF043F" w14:textId="77777777" w:rsidR="00A918D7" w:rsidRPr="00BC116C" w:rsidRDefault="00A918D7" w:rsidP="00A918D7">
      <w:pPr>
        <w:spacing w:after="0" w:line="360" w:lineRule="auto"/>
        <w:jc w:val="center"/>
        <w:outlineLvl w:val="0"/>
        <w:rPr>
          <w:rFonts w:ascii="Arial" w:eastAsia="Times New Roman" w:hAnsi="Arial" w:cs="Arial"/>
          <w:b/>
          <w:bCs/>
          <w:kern w:val="36"/>
          <w:sz w:val="22"/>
          <w:szCs w:val="22"/>
          <w14:ligatures w14:val="none"/>
        </w:rPr>
      </w:pPr>
    </w:p>
    <w:p w14:paraId="5112AA7F" w14:textId="77777777" w:rsidR="00A918D7" w:rsidRPr="00BC116C" w:rsidRDefault="00A918D7" w:rsidP="00A918D7">
      <w:pPr>
        <w:spacing w:after="0" w:line="360" w:lineRule="auto"/>
        <w:jc w:val="center"/>
        <w:outlineLvl w:val="0"/>
        <w:rPr>
          <w:rFonts w:ascii="Arial" w:eastAsia="Times New Roman" w:hAnsi="Arial" w:cs="Arial"/>
          <w:b/>
          <w:bCs/>
          <w:kern w:val="36"/>
          <w:sz w:val="22"/>
          <w:szCs w:val="22"/>
          <w14:ligatures w14:val="none"/>
        </w:rPr>
      </w:pPr>
    </w:p>
    <w:p w14:paraId="54239A29" w14:textId="5CBA521F" w:rsidR="00A918D7" w:rsidRPr="00BC116C" w:rsidRDefault="003D11B9" w:rsidP="003D11B9">
      <w:pPr>
        <w:spacing w:after="0" w:line="360" w:lineRule="auto"/>
        <w:outlineLvl w:val="0"/>
        <w:rPr>
          <w:rFonts w:ascii="Arial" w:eastAsia="Times New Roman" w:hAnsi="Arial" w:cs="Arial"/>
          <w:b/>
          <w:bCs/>
          <w:kern w:val="36"/>
          <w:sz w:val="22"/>
          <w:szCs w:val="22"/>
          <w14:ligatures w14:val="none"/>
        </w:rPr>
      </w:pPr>
      <w:r>
        <w:rPr>
          <w:rFonts w:ascii="Arial" w:eastAsia="Times New Roman" w:hAnsi="Arial" w:cs="Arial"/>
          <w:b/>
          <w:bCs/>
          <w:kern w:val="36"/>
          <w:sz w:val="22"/>
          <w:szCs w:val="22"/>
          <w14:ligatures w14:val="none"/>
        </w:rPr>
        <w:t xml:space="preserve">                                                         </w:t>
      </w:r>
      <w:r w:rsidR="00A918D7" w:rsidRPr="00BC116C">
        <w:rPr>
          <w:rFonts w:ascii="Arial" w:eastAsia="Times New Roman" w:hAnsi="Arial" w:cs="Arial"/>
          <w:b/>
          <w:bCs/>
          <w:kern w:val="36"/>
          <w:sz w:val="22"/>
          <w:szCs w:val="22"/>
          <w14:ligatures w14:val="none"/>
        </w:rPr>
        <w:t>Module: LCHS4009</w:t>
      </w:r>
    </w:p>
    <w:p w14:paraId="74DDF06E" w14:textId="0C89F127" w:rsidR="00A918D7" w:rsidRPr="00BC116C" w:rsidRDefault="00A918D7" w:rsidP="00A918D7">
      <w:pPr>
        <w:spacing w:after="0" w:line="360" w:lineRule="auto"/>
        <w:jc w:val="center"/>
        <w:outlineLvl w:val="0"/>
        <w:rPr>
          <w:rFonts w:ascii="Arial" w:eastAsia="Times New Roman" w:hAnsi="Arial" w:cs="Arial"/>
          <w:b/>
          <w:bCs/>
          <w:kern w:val="36"/>
          <w:sz w:val="22"/>
          <w:szCs w:val="22"/>
          <w14:ligatures w14:val="none"/>
        </w:rPr>
      </w:pPr>
      <w:r w:rsidRPr="00BC116C">
        <w:rPr>
          <w:rFonts w:ascii="Arial" w:eastAsia="Times New Roman" w:hAnsi="Arial" w:cs="Arial"/>
          <w:b/>
          <w:bCs/>
          <w:kern w:val="36"/>
          <w:sz w:val="22"/>
          <w:szCs w:val="22"/>
          <w14:ligatures w14:val="none"/>
        </w:rPr>
        <w:t>Student Name:</w:t>
      </w:r>
      <w:r w:rsidR="00BC116C">
        <w:rPr>
          <w:rFonts w:ascii="Arial" w:eastAsia="Times New Roman" w:hAnsi="Arial" w:cs="Arial"/>
          <w:b/>
          <w:bCs/>
          <w:kern w:val="36"/>
          <w:sz w:val="22"/>
          <w:szCs w:val="22"/>
          <w14:ligatures w14:val="none"/>
        </w:rPr>
        <w:t xml:space="preserve"> Nuria Muge Balde</w:t>
      </w:r>
    </w:p>
    <w:p w14:paraId="015DAE7D" w14:textId="15814E65" w:rsidR="00A918D7" w:rsidRPr="00BC116C" w:rsidRDefault="00BC116C" w:rsidP="00BC116C">
      <w:pPr>
        <w:tabs>
          <w:tab w:val="left" w:pos="3660"/>
        </w:tabs>
        <w:spacing w:after="0" w:line="360" w:lineRule="auto"/>
        <w:outlineLvl w:val="0"/>
        <w:rPr>
          <w:rFonts w:ascii="Arial" w:eastAsia="Times New Roman" w:hAnsi="Arial" w:cs="Arial"/>
          <w:b/>
          <w:bCs/>
          <w:kern w:val="36"/>
          <w:sz w:val="22"/>
          <w:szCs w:val="22"/>
          <w14:ligatures w14:val="none"/>
        </w:rPr>
      </w:pPr>
      <w:r>
        <w:rPr>
          <w:rFonts w:ascii="Arial" w:eastAsia="Times New Roman" w:hAnsi="Arial" w:cs="Arial"/>
          <w:b/>
          <w:bCs/>
          <w:kern w:val="36"/>
          <w:sz w:val="22"/>
          <w:szCs w:val="22"/>
          <w14:ligatures w14:val="none"/>
        </w:rPr>
        <w:tab/>
        <w:t>I.D.Number: 2426749</w:t>
      </w:r>
    </w:p>
    <w:p w14:paraId="01FBB4ED" w14:textId="54F3CF1F" w:rsidR="00A918D7" w:rsidRDefault="003D11B9">
      <w:pPr>
        <w:rPr>
          <w:rFonts w:ascii="Arial" w:eastAsia="Times New Roman" w:hAnsi="Arial" w:cs="Arial"/>
          <w:b/>
          <w:bCs/>
          <w:kern w:val="36"/>
          <w:sz w:val="22"/>
          <w:szCs w:val="22"/>
          <w14:ligatures w14:val="none"/>
        </w:rPr>
      </w:pPr>
      <w:r>
        <w:rPr>
          <w:rFonts w:ascii="Arial" w:eastAsia="Times New Roman" w:hAnsi="Arial" w:cs="Arial"/>
          <w:b/>
          <w:bCs/>
          <w:kern w:val="36"/>
          <w:sz w:val="22"/>
          <w:szCs w:val="22"/>
          <w14:ligatures w14:val="none"/>
        </w:rPr>
        <w:t xml:space="preserve">                                                   </w:t>
      </w:r>
      <w:proofErr w:type="spellStart"/>
      <w:r>
        <w:rPr>
          <w:rFonts w:ascii="Arial" w:eastAsia="Times New Roman" w:hAnsi="Arial" w:cs="Arial"/>
          <w:b/>
          <w:bCs/>
          <w:kern w:val="36"/>
          <w:sz w:val="22"/>
          <w:szCs w:val="22"/>
          <w14:ligatures w14:val="none"/>
        </w:rPr>
        <w:t>Lacturer</w:t>
      </w:r>
      <w:proofErr w:type="spellEnd"/>
      <w:r>
        <w:rPr>
          <w:rFonts w:ascii="Arial" w:eastAsia="Times New Roman" w:hAnsi="Arial" w:cs="Arial"/>
          <w:b/>
          <w:bCs/>
          <w:kern w:val="36"/>
          <w:sz w:val="22"/>
          <w:szCs w:val="22"/>
          <w14:ligatures w14:val="none"/>
        </w:rPr>
        <w:t xml:space="preserve"> name: </w:t>
      </w:r>
      <w:proofErr w:type="spellStart"/>
      <w:r>
        <w:rPr>
          <w:rFonts w:ascii="Arial" w:eastAsia="Times New Roman" w:hAnsi="Arial" w:cs="Arial"/>
          <w:b/>
          <w:bCs/>
          <w:kern w:val="36"/>
          <w:sz w:val="22"/>
          <w:szCs w:val="22"/>
          <w14:ligatures w14:val="none"/>
        </w:rPr>
        <w:t>Amitave</w:t>
      </w:r>
      <w:proofErr w:type="spellEnd"/>
      <w:r>
        <w:rPr>
          <w:rFonts w:ascii="Arial" w:eastAsia="Times New Roman" w:hAnsi="Arial" w:cs="Arial"/>
          <w:b/>
          <w:bCs/>
          <w:kern w:val="36"/>
          <w:sz w:val="22"/>
          <w:szCs w:val="22"/>
          <w14:ligatures w14:val="none"/>
        </w:rPr>
        <w:t xml:space="preserve"> Banik</w:t>
      </w:r>
    </w:p>
    <w:p w14:paraId="5E2FD4F7" w14:textId="77777777" w:rsidR="003D11B9" w:rsidRPr="00BC116C" w:rsidRDefault="003D11B9">
      <w:pPr>
        <w:rPr>
          <w:rFonts w:ascii="Arial" w:eastAsia="Times New Roman" w:hAnsi="Arial" w:cs="Arial"/>
          <w:b/>
          <w:bCs/>
          <w:kern w:val="36"/>
          <w:sz w:val="22"/>
          <w:szCs w:val="22"/>
          <w14:ligatures w14:val="none"/>
        </w:rPr>
      </w:pPr>
    </w:p>
    <w:p w14:paraId="35658899" w14:textId="13362DDA" w:rsidR="003D11B9" w:rsidRPr="00BC116C" w:rsidRDefault="00A97906" w:rsidP="003D11B9">
      <w:pPr>
        <w:spacing w:after="0" w:line="360" w:lineRule="auto"/>
        <w:jc w:val="center"/>
        <w:outlineLvl w:val="0"/>
        <w:rPr>
          <w:rFonts w:ascii="Arial" w:eastAsia="Times New Roman" w:hAnsi="Arial" w:cs="Arial"/>
          <w:b/>
          <w:bCs/>
          <w:kern w:val="36"/>
          <w:sz w:val="22"/>
          <w:szCs w:val="22"/>
          <w14:ligatures w14:val="none"/>
        </w:rPr>
      </w:pPr>
      <w:r w:rsidRPr="00BC116C">
        <w:rPr>
          <w:rFonts w:ascii="Arial" w:eastAsia="Times New Roman" w:hAnsi="Arial" w:cs="Arial"/>
          <w:b/>
          <w:bCs/>
          <w:kern w:val="36"/>
          <w:sz w:val="22"/>
          <w:szCs w:val="22"/>
          <w14:ligatures w14:val="none"/>
        </w:rPr>
        <w:t xml:space="preserve">Task 1: Personal Action Plan </w:t>
      </w:r>
    </w:p>
    <w:p w14:paraId="505E2A34" w14:textId="77777777" w:rsidR="00A97906" w:rsidRPr="00BC116C" w:rsidRDefault="00A97906" w:rsidP="00A97906">
      <w:pPr>
        <w:pStyle w:val="ListParagraph"/>
        <w:numPr>
          <w:ilvl w:val="0"/>
          <w:numId w:val="3"/>
        </w:num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 xml:space="preserve">Overview of the Social Worker Role in the UK </w:t>
      </w:r>
    </w:p>
    <w:p w14:paraId="4785FC92" w14:textId="037503F1" w:rsidR="00A97906" w:rsidRPr="00BC116C" w:rsidRDefault="00771450"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 xml:space="preserve">Social workers in the UK have an essential role of supporting vulnerable people </w:t>
      </w:r>
      <w:proofErr w:type="gramStart"/>
      <w:r w:rsidRPr="00BC116C">
        <w:rPr>
          <w:rFonts w:ascii="Arial" w:eastAsia="Times New Roman" w:hAnsi="Arial" w:cs="Arial"/>
          <w:kern w:val="0"/>
          <w:sz w:val="22"/>
          <w:szCs w:val="22"/>
          <w14:ligatures w14:val="none"/>
        </w:rPr>
        <w:t>by the use of</w:t>
      </w:r>
      <w:proofErr w:type="gramEnd"/>
      <w:r w:rsidRPr="00BC116C">
        <w:rPr>
          <w:rFonts w:ascii="Arial" w:eastAsia="Times New Roman" w:hAnsi="Arial" w:cs="Arial"/>
          <w:kern w:val="0"/>
          <w:sz w:val="22"/>
          <w:szCs w:val="22"/>
          <w14:ligatures w14:val="none"/>
        </w:rPr>
        <w:t xml:space="preserve"> safeguarding, assessment, care planning, advocacy, and multi-agency. They deal with children, families, and adults who are at risk, harm, or experiencing social hardships and strive to enhance wellbeing, safety, and autonomy (Thompson, 2023). </w:t>
      </w:r>
      <w:r w:rsidR="00336DD5" w:rsidRPr="00BC116C">
        <w:rPr>
          <w:rFonts w:ascii="Arial" w:eastAsia="Times New Roman" w:hAnsi="Arial" w:cs="Arial"/>
          <w:kern w:val="0"/>
          <w:sz w:val="22"/>
          <w:szCs w:val="22"/>
          <w14:ligatures w14:val="none"/>
        </w:rPr>
        <w:t>My</w:t>
      </w:r>
      <w:r w:rsidRPr="00BC116C">
        <w:rPr>
          <w:rFonts w:ascii="Arial" w:eastAsia="Times New Roman" w:hAnsi="Arial" w:cs="Arial"/>
          <w:kern w:val="0"/>
          <w:sz w:val="22"/>
          <w:szCs w:val="22"/>
          <w14:ligatures w14:val="none"/>
        </w:rPr>
        <w:t xml:space="preserve"> job will position to several main professional and ethical standards, such as the Social Work England Professional Standards that prioritize safeguarding, professional integrity, communication, and person-centred practice (Social Work England, 2019), and the BASW Code of Ethics, which advocates human rights, social justice, and high-quality practice (BASW, 2018)</w:t>
      </w:r>
      <w:r w:rsidR="00A97906" w:rsidRPr="00BC116C">
        <w:rPr>
          <w:rFonts w:ascii="Arial" w:eastAsia="Times New Roman" w:hAnsi="Arial" w:cs="Arial"/>
          <w:kern w:val="0"/>
          <w:sz w:val="22"/>
          <w:szCs w:val="22"/>
          <w14:ligatures w14:val="none"/>
        </w:rPr>
        <w:t>.</w:t>
      </w:r>
    </w:p>
    <w:p w14:paraId="7A374FF1"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 xml:space="preserve">2. Key Skills Required and How I Meet Them </w:t>
      </w:r>
    </w:p>
    <w:p w14:paraId="3702C7C3" w14:textId="77777777" w:rsidR="00A97906" w:rsidRPr="00BC116C" w:rsidRDefault="00A97906"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b/>
          <w:bCs/>
          <w:kern w:val="0"/>
          <w:sz w:val="22"/>
          <w:szCs w:val="22"/>
          <w14:ligatures w14:val="none"/>
        </w:rPr>
        <w:t>2.1 Communication and Active Listening:</w:t>
      </w:r>
      <w:r w:rsidRPr="00BC116C">
        <w:rPr>
          <w:rFonts w:ascii="Arial" w:eastAsia="Times New Roman" w:hAnsi="Arial" w:cs="Arial"/>
          <w:kern w:val="0"/>
          <w:sz w:val="22"/>
          <w:szCs w:val="22"/>
          <w14:ligatures w14:val="none"/>
        </w:rPr>
        <w:br/>
      </w:r>
      <w:r w:rsidR="00771450" w:rsidRPr="00BC116C">
        <w:rPr>
          <w:rFonts w:ascii="Arial" w:eastAsia="Times New Roman" w:hAnsi="Arial" w:cs="Arial"/>
          <w:kern w:val="0"/>
          <w:sz w:val="22"/>
          <w:szCs w:val="22"/>
          <w14:ligatures w14:val="none"/>
        </w:rPr>
        <w:t>Rapid communication is at the heart of rapport, the collection and creation of trust with service users (Reith-Hall, 2022). In social work, effective communication has a direct impact on the quality of the assessment and family outcomes (Forrester et al., 2019). My active listening skills are quite developed as I have been involved in academic presentations and group projects where I have learnt to paraphrase and summarize to attain understanding. I am also articulate in the written work, and this is useful in creating precise and efficient case notes</w:t>
      </w:r>
      <w:r w:rsidRPr="00BC116C">
        <w:rPr>
          <w:rFonts w:ascii="Arial" w:eastAsia="Times New Roman" w:hAnsi="Arial" w:cs="Arial"/>
          <w:kern w:val="0"/>
          <w:sz w:val="22"/>
          <w:szCs w:val="22"/>
          <w14:ligatures w14:val="none"/>
        </w:rPr>
        <w:t>.</w:t>
      </w:r>
    </w:p>
    <w:p w14:paraId="00B65D62" w14:textId="3B24E64E" w:rsidR="00A97906" w:rsidRPr="00BC116C" w:rsidRDefault="00A97906"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b/>
          <w:bCs/>
          <w:kern w:val="0"/>
          <w:sz w:val="22"/>
          <w:szCs w:val="22"/>
          <w14:ligatures w14:val="none"/>
        </w:rPr>
        <w:t>2.2 Empathy and Interpersonal Skills:</w:t>
      </w:r>
      <w:r w:rsidRPr="00BC116C">
        <w:rPr>
          <w:rFonts w:ascii="Arial" w:eastAsia="Times New Roman" w:hAnsi="Arial" w:cs="Arial"/>
          <w:kern w:val="0"/>
          <w:sz w:val="22"/>
          <w:szCs w:val="22"/>
          <w14:ligatures w14:val="none"/>
        </w:rPr>
        <w:br/>
      </w:r>
      <w:r w:rsidR="00771450" w:rsidRPr="00BC116C">
        <w:rPr>
          <w:rFonts w:ascii="Arial" w:eastAsia="Times New Roman" w:hAnsi="Arial" w:cs="Arial"/>
          <w:kern w:val="0"/>
          <w:sz w:val="22"/>
          <w:szCs w:val="22"/>
          <w14:ligatures w14:val="none"/>
        </w:rPr>
        <w:t xml:space="preserve">Empathy enables social workers to appreciate the views and emotions of the service users and to engage with them in a meaningful way (BASW, 2018). Child and family work also relates to better results when empathy is involved (Forrester et al., 2019). The interpersonal qualities necessary in practice that have been cultivated through voluntary experience assisting </w:t>
      </w:r>
      <w:proofErr w:type="gramStart"/>
      <w:r w:rsidR="00771450" w:rsidRPr="00BC116C">
        <w:rPr>
          <w:rFonts w:ascii="Arial" w:eastAsia="Times New Roman" w:hAnsi="Arial" w:cs="Arial"/>
          <w:kern w:val="0"/>
          <w:sz w:val="22"/>
          <w:szCs w:val="22"/>
          <w14:ligatures w14:val="none"/>
        </w:rPr>
        <w:t>peers</w:t>
      </w:r>
      <w:proofErr w:type="gramEnd"/>
      <w:r w:rsidR="00771450" w:rsidRPr="00BC116C">
        <w:rPr>
          <w:rFonts w:ascii="Arial" w:eastAsia="Times New Roman" w:hAnsi="Arial" w:cs="Arial"/>
          <w:kern w:val="0"/>
          <w:sz w:val="22"/>
          <w:szCs w:val="22"/>
          <w14:ligatures w14:val="none"/>
        </w:rPr>
        <w:t xml:space="preserve"> wellbeing activities include caring and affirming feelings and establishing a safe environment in which other people are, which, as described above, can be demonstrated</w:t>
      </w:r>
      <w:r w:rsidR="00325BAD" w:rsidRPr="00BC116C">
        <w:rPr>
          <w:rFonts w:ascii="Arial" w:eastAsia="Times New Roman" w:hAnsi="Arial" w:cs="Arial"/>
          <w:kern w:val="0"/>
          <w:sz w:val="22"/>
          <w:szCs w:val="22"/>
          <w14:ligatures w14:val="none"/>
        </w:rPr>
        <w:t xml:space="preserve"> by me</w:t>
      </w:r>
      <w:r w:rsidRPr="00BC116C">
        <w:rPr>
          <w:rFonts w:ascii="Arial" w:eastAsia="Times New Roman" w:hAnsi="Arial" w:cs="Arial"/>
          <w:kern w:val="0"/>
          <w:sz w:val="22"/>
          <w:szCs w:val="22"/>
          <w14:ligatures w14:val="none"/>
        </w:rPr>
        <w:t>.</w:t>
      </w:r>
    </w:p>
    <w:p w14:paraId="6F292E66" w14:textId="77777777" w:rsidR="00A97906" w:rsidRPr="00BC116C" w:rsidRDefault="00A97906"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b/>
          <w:bCs/>
          <w:kern w:val="0"/>
          <w:sz w:val="22"/>
          <w:szCs w:val="22"/>
          <w14:ligatures w14:val="none"/>
        </w:rPr>
        <w:t>2.3 Problem-Solving and Critical Thinking:</w:t>
      </w:r>
      <w:r w:rsidRPr="00BC116C">
        <w:rPr>
          <w:rFonts w:ascii="Arial" w:eastAsia="Times New Roman" w:hAnsi="Arial" w:cs="Arial"/>
          <w:kern w:val="0"/>
          <w:sz w:val="22"/>
          <w:szCs w:val="22"/>
          <w14:ligatures w14:val="none"/>
        </w:rPr>
        <w:br/>
      </w:r>
      <w:r w:rsidR="00771450" w:rsidRPr="00BC116C">
        <w:rPr>
          <w:rFonts w:ascii="Arial" w:eastAsia="Times New Roman" w:hAnsi="Arial" w:cs="Arial"/>
          <w:kern w:val="0"/>
          <w:sz w:val="22"/>
          <w:szCs w:val="22"/>
          <w14:ligatures w14:val="none"/>
        </w:rPr>
        <w:t xml:space="preserve">Social workers are required to interpret ambiguous circumstances, reconcile risks, and make evidence-based decisions based on the legislation and policy (Payne and Reith-Hall, 2019). Effective safeguarding and early intervention are supported by critical thinking (NICE, 2021). Coursework involving the analysis of case scenarios, risk assessment, and the implementation of professional frameworks has enabled me to revise my problem-solving skills. This will enable me to think logically and </w:t>
      </w:r>
      <w:proofErr w:type="gramStart"/>
      <w:r w:rsidR="00771450" w:rsidRPr="00BC116C">
        <w:rPr>
          <w:rFonts w:ascii="Arial" w:eastAsia="Times New Roman" w:hAnsi="Arial" w:cs="Arial"/>
          <w:kern w:val="0"/>
          <w:sz w:val="22"/>
          <w:szCs w:val="22"/>
          <w14:ligatures w14:val="none"/>
        </w:rPr>
        <w:t>take into account</w:t>
      </w:r>
      <w:proofErr w:type="gramEnd"/>
      <w:r w:rsidR="00771450" w:rsidRPr="00BC116C">
        <w:rPr>
          <w:rFonts w:ascii="Arial" w:eastAsia="Times New Roman" w:hAnsi="Arial" w:cs="Arial"/>
          <w:kern w:val="0"/>
          <w:sz w:val="22"/>
          <w:szCs w:val="22"/>
          <w14:ligatures w14:val="none"/>
        </w:rPr>
        <w:t xml:space="preserve"> different positions</w:t>
      </w:r>
      <w:r w:rsidRPr="00BC116C">
        <w:rPr>
          <w:rFonts w:ascii="Arial" w:eastAsia="Times New Roman" w:hAnsi="Arial" w:cs="Arial"/>
          <w:kern w:val="0"/>
          <w:sz w:val="22"/>
          <w:szCs w:val="22"/>
          <w14:ligatures w14:val="none"/>
        </w:rPr>
        <w:t>.</w:t>
      </w:r>
    </w:p>
    <w:p w14:paraId="19E5E8EF" w14:textId="77777777" w:rsidR="00A97906" w:rsidRPr="00BC116C" w:rsidRDefault="00A97906"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b/>
          <w:bCs/>
          <w:kern w:val="0"/>
          <w:sz w:val="22"/>
          <w:szCs w:val="22"/>
          <w14:ligatures w14:val="none"/>
        </w:rPr>
        <w:t>2.4 Record-Keeping and Report Writing:</w:t>
      </w:r>
      <w:r w:rsidRPr="00BC116C">
        <w:rPr>
          <w:rFonts w:ascii="Arial" w:eastAsia="Times New Roman" w:hAnsi="Arial" w:cs="Arial"/>
          <w:kern w:val="0"/>
          <w:sz w:val="22"/>
          <w:szCs w:val="22"/>
          <w14:ligatures w14:val="none"/>
        </w:rPr>
        <w:br/>
      </w:r>
      <w:r w:rsidR="00771450" w:rsidRPr="00BC116C">
        <w:rPr>
          <w:rFonts w:ascii="Arial" w:eastAsia="Times New Roman" w:hAnsi="Arial" w:cs="Arial"/>
          <w:kern w:val="0"/>
          <w:sz w:val="22"/>
          <w:szCs w:val="22"/>
          <w14:ligatures w14:val="none"/>
        </w:rPr>
        <w:t xml:space="preserve">Precise, prompt, and thoughtful recording is necessary due to accountability, protection, and continuity of care (Social Work England, 2020). Risk analysis and multi-agency work are supported by good records (SCIE, 2024). Academic writing skills: I have already proven that I </w:t>
      </w:r>
      <w:proofErr w:type="gramStart"/>
      <w:r w:rsidR="00771450" w:rsidRPr="00BC116C">
        <w:rPr>
          <w:rFonts w:ascii="Arial" w:eastAsia="Times New Roman" w:hAnsi="Arial" w:cs="Arial"/>
          <w:kern w:val="0"/>
          <w:sz w:val="22"/>
          <w:szCs w:val="22"/>
          <w14:ligatures w14:val="none"/>
        </w:rPr>
        <w:t>am capable of writing</w:t>
      </w:r>
      <w:proofErr w:type="gramEnd"/>
      <w:r w:rsidR="00771450" w:rsidRPr="00BC116C">
        <w:rPr>
          <w:rFonts w:ascii="Arial" w:eastAsia="Times New Roman" w:hAnsi="Arial" w:cs="Arial"/>
          <w:kern w:val="0"/>
          <w:sz w:val="22"/>
          <w:szCs w:val="22"/>
          <w14:ligatures w14:val="none"/>
        </w:rPr>
        <w:t xml:space="preserve"> well-structured essays and research assignments in an organized manner, and this indicates that I am able to write coherent, factual, and well-arranged pieces of writing</w:t>
      </w:r>
      <w:r w:rsidRPr="00BC116C">
        <w:rPr>
          <w:rFonts w:ascii="Arial" w:eastAsia="Times New Roman" w:hAnsi="Arial" w:cs="Arial"/>
          <w:kern w:val="0"/>
          <w:sz w:val="22"/>
          <w:szCs w:val="22"/>
          <w14:ligatures w14:val="none"/>
        </w:rPr>
        <w:t>.</w:t>
      </w:r>
    </w:p>
    <w:p w14:paraId="2425CAA7"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 xml:space="preserve">3. Identified Skill Gaps &amp; Personal Development Plan </w:t>
      </w:r>
    </w:p>
    <w:p w14:paraId="58DC3A7D" w14:textId="77777777" w:rsidR="00771450" w:rsidRPr="00BC116C" w:rsidRDefault="00771450" w:rsidP="00771450">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Despite the few strengths that I have, I am aware that I have some significant skill gaps that I need to work on before practicing professionally. The first one is the ability to manage complicated caseloads, which is core to frontline social work, particularly in the child protection or adult safeguarding context (Ferguson et al., 2021). Knowledge of the laws will guarantee safe decision-making, fairness, and adherence to professional guidelines (Social Work England, 2019).</w:t>
      </w:r>
    </w:p>
    <w:p w14:paraId="13BCB4BD" w14:textId="77777777" w:rsidR="00771450" w:rsidRPr="00BC116C" w:rsidRDefault="00771450" w:rsidP="00771450">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Emotional resilience is another development area that is necessary in maintaining wellbeing, professional boundaries, and dealing with emotionally difficult cases (Martineau et al., 2021). Social work may deal with trauma, conflict, and distress, and resilience assists in the ethical and person-centred practice.</w:t>
      </w:r>
    </w:p>
    <w:p w14:paraId="496E7CA5" w14:textId="77777777" w:rsidR="00A97906" w:rsidRPr="00BC116C" w:rsidRDefault="00771450" w:rsidP="00771450">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To overcome these gaps, I will participate in organized learning, supervision opportunities, and practical experiences. The Personal Development Plan (PDP) below provides the details of the steps that I will follow</w:t>
      </w:r>
      <w:r w:rsidR="00A97906" w:rsidRPr="00BC116C">
        <w:rPr>
          <w:rFonts w:ascii="Arial" w:eastAsia="Times New Roman" w:hAnsi="Arial" w:cs="Arial"/>
          <w:kern w:val="0"/>
          <w:sz w:val="22"/>
          <w:szCs w:val="22"/>
          <w14:ligatures w14:val="none"/>
        </w:rPr>
        <w:t>:</w:t>
      </w:r>
    </w:p>
    <w:p w14:paraId="2EB09272" w14:textId="77777777" w:rsidR="00A97906" w:rsidRPr="00BC116C" w:rsidRDefault="00A97906" w:rsidP="00A97906">
      <w:pPr>
        <w:spacing w:after="0" w:line="360" w:lineRule="auto"/>
        <w:jc w:val="center"/>
        <w:outlineLvl w:val="2"/>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Table 1: Personal Development Plan (PDP)</w:t>
      </w:r>
    </w:p>
    <w:tbl>
      <w:tblPr>
        <w:tblStyle w:val="TableGrid"/>
        <w:tblW w:w="0" w:type="auto"/>
        <w:tblLook w:val="04A0" w:firstRow="1" w:lastRow="0" w:firstColumn="1" w:lastColumn="0" w:noHBand="0" w:noVBand="1"/>
      </w:tblPr>
      <w:tblGrid>
        <w:gridCol w:w="1576"/>
        <w:gridCol w:w="1737"/>
        <w:gridCol w:w="1755"/>
        <w:gridCol w:w="1441"/>
        <w:gridCol w:w="1330"/>
        <w:gridCol w:w="1511"/>
      </w:tblGrid>
      <w:tr w:rsidR="00A97906" w:rsidRPr="00BC116C" w14:paraId="6E483CCB" w14:textId="77777777" w:rsidTr="00A97906">
        <w:tc>
          <w:tcPr>
            <w:tcW w:w="0" w:type="auto"/>
            <w:hideMark/>
          </w:tcPr>
          <w:p w14:paraId="46EEE459" w14:textId="77777777" w:rsidR="00A97906" w:rsidRPr="00BC116C" w:rsidRDefault="00A97906" w:rsidP="00A97906">
            <w:pPr>
              <w:spacing w:line="360" w:lineRule="auto"/>
              <w:jc w:val="center"/>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Skill Area</w:t>
            </w:r>
          </w:p>
        </w:tc>
        <w:tc>
          <w:tcPr>
            <w:tcW w:w="0" w:type="auto"/>
            <w:hideMark/>
          </w:tcPr>
          <w:p w14:paraId="55BB085E" w14:textId="77777777" w:rsidR="00A97906" w:rsidRPr="00BC116C" w:rsidRDefault="00A97906" w:rsidP="00A97906">
            <w:pPr>
              <w:spacing w:line="360" w:lineRule="auto"/>
              <w:jc w:val="center"/>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Improvement Goal</w:t>
            </w:r>
          </w:p>
        </w:tc>
        <w:tc>
          <w:tcPr>
            <w:tcW w:w="0" w:type="auto"/>
            <w:hideMark/>
          </w:tcPr>
          <w:p w14:paraId="033CD66B" w14:textId="77777777" w:rsidR="00A97906" w:rsidRPr="00BC116C" w:rsidRDefault="00A97906" w:rsidP="00A97906">
            <w:pPr>
              <w:spacing w:line="360" w:lineRule="auto"/>
              <w:jc w:val="center"/>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Actions / Strategies</w:t>
            </w:r>
          </w:p>
        </w:tc>
        <w:tc>
          <w:tcPr>
            <w:tcW w:w="0" w:type="auto"/>
            <w:hideMark/>
          </w:tcPr>
          <w:p w14:paraId="4FFA794C" w14:textId="77777777" w:rsidR="00A97906" w:rsidRPr="00BC116C" w:rsidRDefault="00A97906" w:rsidP="00A97906">
            <w:pPr>
              <w:spacing w:line="360" w:lineRule="auto"/>
              <w:jc w:val="center"/>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Resources Needed</w:t>
            </w:r>
          </w:p>
        </w:tc>
        <w:tc>
          <w:tcPr>
            <w:tcW w:w="0" w:type="auto"/>
            <w:hideMark/>
          </w:tcPr>
          <w:p w14:paraId="570C3BD1" w14:textId="77777777" w:rsidR="00A97906" w:rsidRPr="00BC116C" w:rsidRDefault="00A97906" w:rsidP="00A97906">
            <w:pPr>
              <w:spacing w:line="360" w:lineRule="auto"/>
              <w:jc w:val="center"/>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Timeframe</w:t>
            </w:r>
          </w:p>
        </w:tc>
        <w:tc>
          <w:tcPr>
            <w:tcW w:w="0" w:type="auto"/>
            <w:hideMark/>
          </w:tcPr>
          <w:p w14:paraId="0B5F9E4A" w14:textId="77777777" w:rsidR="00A97906" w:rsidRPr="00BC116C" w:rsidRDefault="00A97906" w:rsidP="00A97906">
            <w:pPr>
              <w:spacing w:line="360" w:lineRule="auto"/>
              <w:jc w:val="center"/>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Success Indicators</w:t>
            </w:r>
          </w:p>
        </w:tc>
      </w:tr>
      <w:tr w:rsidR="00A97906" w:rsidRPr="00BC116C" w14:paraId="42F2AA30" w14:textId="77777777" w:rsidTr="00A97906">
        <w:tc>
          <w:tcPr>
            <w:tcW w:w="0" w:type="auto"/>
            <w:hideMark/>
          </w:tcPr>
          <w:p w14:paraId="645135A0"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Caseload management</w:t>
            </w:r>
          </w:p>
        </w:tc>
        <w:tc>
          <w:tcPr>
            <w:tcW w:w="0" w:type="auto"/>
            <w:hideMark/>
          </w:tcPr>
          <w:p w14:paraId="1A831AF6"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Develop ability to prioritise and organise workload</w:t>
            </w:r>
          </w:p>
        </w:tc>
        <w:tc>
          <w:tcPr>
            <w:tcW w:w="0" w:type="auto"/>
            <w:hideMark/>
          </w:tcPr>
          <w:p w14:paraId="32AE0F0F"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Attend time-management workshops; practise prioritisation using case studies</w:t>
            </w:r>
          </w:p>
        </w:tc>
        <w:tc>
          <w:tcPr>
            <w:tcW w:w="0" w:type="auto"/>
            <w:hideMark/>
          </w:tcPr>
          <w:p w14:paraId="5A84750F"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University workshops; online training</w:t>
            </w:r>
          </w:p>
        </w:tc>
        <w:tc>
          <w:tcPr>
            <w:tcW w:w="0" w:type="auto"/>
            <w:hideMark/>
          </w:tcPr>
          <w:p w14:paraId="268BACA6"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3–6 months</w:t>
            </w:r>
          </w:p>
        </w:tc>
        <w:tc>
          <w:tcPr>
            <w:tcW w:w="0" w:type="auto"/>
            <w:hideMark/>
          </w:tcPr>
          <w:p w14:paraId="576B1ADE"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Improved ability to structure tasks and meet deadlines</w:t>
            </w:r>
          </w:p>
        </w:tc>
      </w:tr>
      <w:tr w:rsidR="00A97906" w:rsidRPr="00BC116C" w14:paraId="0B399B91" w14:textId="77777777" w:rsidTr="00A97906">
        <w:tc>
          <w:tcPr>
            <w:tcW w:w="0" w:type="auto"/>
            <w:hideMark/>
          </w:tcPr>
          <w:p w14:paraId="7277D0B8"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Safeguarding &amp; legislation</w:t>
            </w:r>
          </w:p>
        </w:tc>
        <w:tc>
          <w:tcPr>
            <w:tcW w:w="0" w:type="auto"/>
            <w:hideMark/>
          </w:tcPr>
          <w:p w14:paraId="798F2883" w14:textId="77777777" w:rsidR="00A97906" w:rsidRPr="00BC116C" w:rsidRDefault="00A97906" w:rsidP="00A97906">
            <w:pPr>
              <w:spacing w:line="360" w:lineRule="auto"/>
              <w:rPr>
                <w:rFonts w:ascii="Arial" w:eastAsia="Times New Roman" w:hAnsi="Arial" w:cs="Arial"/>
                <w:kern w:val="0"/>
                <w:sz w:val="22"/>
                <w:szCs w:val="22"/>
                <w14:ligatures w14:val="none"/>
              </w:rPr>
            </w:pPr>
            <w:proofErr w:type="gramStart"/>
            <w:r w:rsidRPr="00BC116C">
              <w:rPr>
                <w:rFonts w:ascii="Arial" w:eastAsia="Times New Roman" w:hAnsi="Arial" w:cs="Arial"/>
                <w:kern w:val="0"/>
                <w:sz w:val="22"/>
                <w:szCs w:val="22"/>
                <w14:ligatures w14:val="none"/>
              </w:rPr>
              <w:t>Strengthen</w:t>
            </w:r>
            <w:proofErr w:type="gramEnd"/>
            <w:r w:rsidRPr="00BC116C">
              <w:rPr>
                <w:rFonts w:ascii="Arial" w:eastAsia="Times New Roman" w:hAnsi="Arial" w:cs="Arial"/>
                <w:kern w:val="0"/>
                <w:sz w:val="22"/>
                <w:szCs w:val="22"/>
                <w14:ligatures w14:val="none"/>
              </w:rPr>
              <w:t xml:space="preserve"> knowledge of key laws and policies</w:t>
            </w:r>
          </w:p>
        </w:tc>
        <w:tc>
          <w:tcPr>
            <w:tcW w:w="0" w:type="auto"/>
            <w:hideMark/>
          </w:tcPr>
          <w:p w14:paraId="04122B98"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Study relevant Acts; complete safeguarding e-learning; review NICE guidance</w:t>
            </w:r>
          </w:p>
        </w:tc>
        <w:tc>
          <w:tcPr>
            <w:tcW w:w="0" w:type="auto"/>
            <w:hideMark/>
          </w:tcPr>
          <w:p w14:paraId="481F1F64"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NICE (2021) guidance; textbooks</w:t>
            </w:r>
          </w:p>
        </w:tc>
        <w:tc>
          <w:tcPr>
            <w:tcW w:w="0" w:type="auto"/>
            <w:hideMark/>
          </w:tcPr>
          <w:p w14:paraId="6D040981"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6 months</w:t>
            </w:r>
          </w:p>
        </w:tc>
        <w:tc>
          <w:tcPr>
            <w:tcW w:w="0" w:type="auto"/>
            <w:hideMark/>
          </w:tcPr>
          <w:p w14:paraId="4EED9352"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Confident application of legislation in case scenarios</w:t>
            </w:r>
          </w:p>
        </w:tc>
      </w:tr>
      <w:tr w:rsidR="00A97906" w:rsidRPr="00BC116C" w14:paraId="64C6E43B" w14:textId="77777777" w:rsidTr="00A97906">
        <w:tc>
          <w:tcPr>
            <w:tcW w:w="0" w:type="auto"/>
            <w:hideMark/>
          </w:tcPr>
          <w:p w14:paraId="3C11B6EF"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Emotional resilience</w:t>
            </w:r>
          </w:p>
        </w:tc>
        <w:tc>
          <w:tcPr>
            <w:tcW w:w="0" w:type="auto"/>
            <w:hideMark/>
          </w:tcPr>
          <w:p w14:paraId="0EA3BD94"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Improve coping skills for challenging situations</w:t>
            </w:r>
          </w:p>
        </w:tc>
        <w:tc>
          <w:tcPr>
            <w:tcW w:w="0" w:type="auto"/>
            <w:hideMark/>
          </w:tcPr>
          <w:p w14:paraId="3AAC8692"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Use reflective practice; attend wellbeing sessions; seek mentorship</w:t>
            </w:r>
          </w:p>
        </w:tc>
        <w:tc>
          <w:tcPr>
            <w:tcW w:w="0" w:type="auto"/>
            <w:hideMark/>
          </w:tcPr>
          <w:p w14:paraId="07B36489"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Student wellbeing services</w:t>
            </w:r>
          </w:p>
        </w:tc>
        <w:tc>
          <w:tcPr>
            <w:tcW w:w="0" w:type="auto"/>
            <w:hideMark/>
          </w:tcPr>
          <w:p w14:paraId="082498EA"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Ongoing</w:t>
            </w:r>
          </w:p>
        </w:tc>
        <w:tc>
          <w:tcPr>
            <w:tcW w:w="0" w:type="auto"/>
            <w:hideMark/>
          </w:tcPr>
          <w:p w14:paraId="7F0B04DF" w14:textId="77777777" w:rsidR="00A97906" w:rsidRPr="00BC116C" w:rsidRDefault="00A97906" w:rsidP="00A97906">
            <w:pPr>
              <w:spacing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Greater confidence and reduced stress during demanding tasks</w:t>
            </w:r>
          </w:p>
        </w:tc>
      </w:tr>
    </w:tbl>
    <w:p w14:paraId="3D2EA9FD"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p>
    <w:p w14:paraId="423C20BB"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 xml:space="preserve">4. Interview Preparation: Questions and Responses </w:t>
      </w:r>
    </w:p>
    <w:p w14:paraId="17C08D43" w14:textId="11A40931" w:rsidR="00A97906" w:rsidRPr="00BC116C" w:rsidRDefault="00A97906"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b/>
          <w:bCs/>
          <w:kern w:val="0"/>
          <w:sz w:val="22"/>
          <w:szCs w:val="22"/>
          <w14:ligatures w14:val="none"/>
        </w:rPr>
        <w:t>4.1 “Can you describe a time you supported someone facing a difficult situation?”</w:t>
      </w:r>
      <w:r w:rsidRPr="00BC116C">
        <w:rPr>
          <w:rFonts w:ascii="Arial" w:eastAsia="Times New Roman" w:hAnsi="Arial" w:cs="Arial"/>
          <w:kern w:val="0"/>
          <w:sz w:val="22"/>
          <w:szCs w:val="22"/>
          <w14:ligatures w14:val="none"/>
        </w:rPr>
        <w:br/>
        <w:t>Using STAR</w:t>
      </w:r>
      <w:r w:rsidR="003A7962" w:rsidRPr="00BC116C">
        <w:rPr>
          <w:rFonts w:ascii="Arial" w:eastAsia="Times New Roman" w:hAnsi="Arial" w:cs="Arial"/>
          <w:kern w:val="0"/>
          <w:sz w:val="22"/>
          <w:szCs w:val="22"/>
          <w14:ligatures w14:val="none"/>
        </w:rPr>
        <w:t xml:space="preserve"> method </w:t>
      </w:r>
      <w:r w:rsidR="00771450" w:rsidRPr="00BC116C">
        <w:rPr>
          <w:rFonts w:ascii="Arial" w:eastAsia="Times New Roman" w:hAnsi="Arial" w:cs="Arial"/>
          <w:kern w:val="0"/>
          <w:sz w:val="22"/>
          <w:szCs w:val="22"/>
          <w14:ligatures w14:val="none"/>
        </w:rPr>
        <w:t xml:space="preserve">I intervened to support an academically struggling peer by listening to his worries (Situation/Task), assisted him with setting up a study plan (Action), and he was able to improve his grades (Result) as a result, exhibiting empathy and communication skills </w:t>
      </w:r>
    </w:p>
    <w:p w14:paraId="50F80952" w14:textId="56BD33ED" w:rsidR="00A97906" w:rsidRPr="00BC116C" w:rsidRDefault="00A97906"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b/>
          <w:bCs/>
          <w:kern w:val="0"/>
          <w:sz w:val="22"/>
          <w:szCs w:val="22"/>
          <w14:ligatures w14:val="none"/>
        </w:rPr>
        <w:t>4.2 “How would you manage a safeguarding concern?”</w:t>
      </w:r>
      <w:r w:rsidRPr="00BC116C">
        <w:rPr>
          <w:rFonts w:ascii="Arial" w:eastAsia="Times New Roman" w:hAnsi="Arial" w:cs="Arial"/>
          <w:kern w:val="0"/>
          <w:sz w:val="22"/>
          <w:szCs w:val="22"/>
          <w14:ligatures w14:val="none"/>
        </w:rPr>
        <w:br/>
      </w:r>
      <w:r w:rsidR="00771450" w:rsidRPr="00BC116C">
        <w:rPr>
          <w:rFonts w:ascii="Arial" w:eastAsia="Times New Roman" w:hAnsi="Arial" w:cs="Arial"/>
          <w:kern w:val="0"/>
          <w:sz w:val="22"/>
          <w:szCs w:val="22"/>
          <w14:ligatures w14:val="none"/>
        </w:rPr>
        <w:t>I would abide by legal requirements by obtaining information, keeping calm, and reporting issues as soon as possible in accordance with the precepts of safeguarding. I would collaborate with other agencies</w:t>
      </w:r>
      <w:r w:rsidR="00336DD5" w:rsidRPr="00BC116C">
        <w:rPr>
          <w:rFonts w:ascii="Arial" w:eastAsia="Times New Roman" w:hAnsi="Arial" w:cs="Arial"/>
          <w:kern w:val="0"/>
          <w:sz w:val="22"/>
          <w:szCs w:val="22"/>
          <w14:ligatures w14:val="none"/>
        </w:rPr>
        <w:t>.</w:t>
      </w:r>
    </w:p>
    <w:p w14:paraId="568A81A7" w14:textId="40E16F06" w:rsidR="00A97906" w:rsidRPr="00BC116C" w:rsidRDefault="00A97906"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b/>
          <w:bCs/>
          <w:kern w:val="0"/>
          <w:sz w:val="22"/>
          <w:szCs w:val="22"/>
          <w14:ligatures w14:val="none"/>
        </w:rPr>
        <w:t>4.3 “How do you handle stress or emotionally challenging cases?”</w:t>
      </w:r>
      <w:r w:rsidRPr="00BC116C">
        <w:rPr>
          <w:rFonts w:ascii="Arial" w:eastAsia="Times New Roman" w:hAnsi="Arial" w:cs="Arial"/>
          <w:kern w:val="0"/>
          <w:sz w:val="22"/>
          <w:szCs w:val="22"/>
          <w14:ligatures w14:val="none"/>
        </w:rPr>
        <w:br/>
      </w:r>
      <w:r w:rsidR="00771450" w:rsidRPr="00BC116C">
        <w:rPr>
          <w:rFonts w:ascii="Arial" w:eastAsia="Times New Roman" w:hAnsi="Arial" w:cs="Arial"/>
          <w:kern w:val="0"/>
          <w:sz w:val="22"/>
          <w:szCs w:val="22"/>
          <w14:ligatures w14:val="none"/>
        </w:rPr>
        <w:t>I apply reflective practice, time management, and wellbeing strategies. I ask to be supervised and uphold professional boundaries</w:t>
      </w:r>
      <w:r w:rsidR="00336DD5" w:rsidRPr="00BC116C">
        <w:rPr>
          <w:rFonts w:ascii="Arial" w:eastAsia="Times New Roman" w:hAnsi="Arial" w:cs="Arial"/>
          <w:kern w:val="0"/>
          <w:sz w:val="22"/>
          <w:szCs w:val="22"/>
          <w14:ligatures w14:val="none"/>
        </w:rPr>
        <w:t>.</w:t>
      </w:r>
    </w:p>
    <w:p w14:paraId="1A9CCEF8" w14:textId="77777777" w:rsidR="00A97906" w:rsidRPr="00BC116C" w:rsidRDefault="00A97906" w:rsidP="00A97906">
      <w:pPr>
        <w:spacing w:after="0" w:line="360" w:lineRule="auto"/>
        <w:rPr>
          <w:rFonts w:ascii="Arial" w:eastAsia="Times New Roman" w:hAnsi="Arial" w:cs="Arial"/>
          <w:kern w:val="0"/>
          <w:sz w:val="22"/>
          <w:szCs w:val="22"/>
          <w14:ligatures w14:val="none"/>
        </w:rPr>
      </w:pPr>
      <w:r w:rsidRPr="00BC116C">
        <w:rPr>
          <w:rFonts w:ascii="Arial" w:hAnsi="Arial" w:cs="Arial"/>
          <w:sz w:val="22"/>
          <w:szCs w:val="22"/>
        </w:rPr>
        <w:br w:type="page"/>
      </w:r>
    </w:p>
    <w:p w14:paraId="0CBCB7C5" w14:textId="77777777" w:rsidR="00A97906" w:rsidRPr="00BC116C" w:rsidRDefault="00A97906" w:rsidP="00A97906">
      <w:pPr>
        <w:spacing w:after="0" w:line="360" w:lineRule="auto"/>
        <w:jc w:val="center"/>
        <w:outlineLvl w:val="0"/>
        <w:rPr>
          <w:rFonts w:ascii="Arial" w:eastAsia="Times New Roman" w:hAnsi="Arial" w:cs="Arial"/>
          <w:b/>
          <w:bCs/>
          <w:kern w:val="36"/>
          <w:sz w:val="22"/>
          <w:szCs w:val="22"/>
          <w14:ligatures w14:val="none"/>
        </w:rPr>
      </w:pPr>
      <w:r w:rsidRPr="00BC116C">
        <w:rPr>
          <w:rFonts w:ascii="Arial" w:eastAsia="Times New Roman" w:hAnsi="Arial" w:cs="Arial"/>
          <w:b/>
          <w:bCs/>
          <w:kern w:val="36"/>
          <w:sz w:val="22"/>
          <w:szCs w:val="22"/>
          <w14:ligatures w14:val="none"/>
        </w:rPr>
        <w:t xml:space="preserve">Task 2: Academic Report – Communication Skills in Social Care </w:t>
      </w:r>
    </w:p>
    <w:p w14:paraId="3EE2B278"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 xml:space="preserve">1. Introduction </w:t>
      </w:r>
    </w:p>
    <w:p w14:paraId="19E57E63" w14:textId="77777777" w:rsidR="00A97906" w:rsidRPr="00BC116C" w:rsidRDefault="00771450"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Effective assessment, relationship-building, safeguarding, and multi-agency collaboration are all essential professional skills in the UK health and social care industry that rely on communication. It includes verbal, non-verbal, and written skills, active listening, empathy, and clarity of information exchange (Reith-Hall, 2022). Good communication in social care guarantees that service users have their needs identified by practitioners, their preferences considered, and ethical and person-centred practice observed according to the BASW Code of Ethics (2018). Social Work England also places the value of communication as a professional standard that practitioners must meet by fostering open, respectful, and transparent communication to enhance safety, trust, and positive results (Social Work England, 2019).</w:t>
      </w:r>
    </w:p>
    <w:p w14:paraId="142E58CF"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 xml:space="preserve">2. Importance of the Skill in Professional Practice </w:t>
      </w:r>
    </w:p>
    <w:p w14:paraId="5111C38E" w14:textId="236D0A54" w:rsidR="00A97906" w:rsidRPr="00BC116C" w:rsidRDefault="00771450"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High-quality practice in social care is based on effective communication, which leads to compassionate, accurate, and person-focused interactions with the service users. Effective communication allows practitioners to build trustful relations, compile reliable data and insights into lived experiences, which is vital to meaningful assessment and intervention (Thompson, 2023). It has been revealed that the quality of communication is closely connected with better outcomes, where social workers who communicate effectively and empathically tend to be more effective in encouraging engagement and risk mitigation (Forrester et al., 2019).</w:t>
      </w:r>
    </w:p>
    <w:p w14:paraId="31880DEE" w14:textId="77777777" w:rsidR="00B20E6A" w:rsidRPr="00BC116C" w:rsidRDefault="00B20E6A"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 xml:space="preserve">Trauma-informed practice can also be supported by active listening and empathetic dialogue to allow the service users to feel heard, respected, and valued. Communication is the essential </w:t>
      </w:r>
      <w:r w:rsidRPr="00BC116C">
        <w:rPr>
          <w:rFonts w:ascii="Arial" w:eastAsia="Times New Roman" w:hAnsi="Arial" w:cs="Arial"/>
          <w:kern w:val="0"/>
          <w:sz w:val="22"/>
          <w:szCs w:val="22"/>
          <w14:ligatures w14:val="none"/>
        </w:rPr>
        <w:lastRenderedPageBreak/>
        <w:t xml:space="preserve">element to protect, and NICE (2021) highlights that effective exchange of information, and, accordingly, clear exchange of information, is important to identify potential risks and organize protective efforts. </w:t>
      </w:r>
    </w:p>
    <w:p w14:paraId="4B8B3A27" w14:textId="77777777" w:rsidR="00A97906" w:rsidRPr="00BC116C" w:rsidRDefault="00B20E6A"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Teamwork also requires a significant amount of communication. According to the SCIE (2024), integrated care depends on effective communication between agencies that is clear, respectful, and timely so that the decision-making process is consistent and continuity of care is guaranteed. In this, the social workers are obliged to communicate according to the Professional Standards of Social Work England (2019), wherein the professional is expected to adjust the communication to various audiences and apply the right language and proper writing form</w:t>
      </w:r>
      <w:r w:rsidR="00A97906" w:rsidRPr="00BC116C">
        <w:rPr>
          <w:rFonts w:ascii="Arial" w:eastAsia="Times New Roman" w:hAnsi="Arial" w:cs="Arial"/>
          <w:kern w:val="0"/>
          <w:sz w:val="22"/>
          <w:szCs w:val="22"/>
          <w14:ligatures w14:val="none"/>
        </w:rPr>
        <w:t>.</w:t>
      </w:r>
    </w:p>
    <w:p w14:paraId="3742CA14" w14:textId="77777777" w:rsidR="00A97906" w:rsidRPr="00BC116C" w:rsidRDefault="00A97906" w:rsidP="00A97906">
      <w:pPr>
        <w:spacing w:after="0" w:line="360" w:lineRule="auto"/>
        <w:rPr>
          <w:rFonts w:ascii="Arial" w:eastAsia="Times New Roman" w:hAnsi="Arial" w:cs="Arial"/>
          <w:kern w:val="0"/>
          <w:sz w:val="22"/>
          <w:szCs w:val="22"/>
          <w14:ligatures w14:val="none"/>
        </w:rPr>
      </w:pPr>
    </w:p>
    <w:p w14:paraId="184F27ED"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 xml:space="preserve">3. Consequences of Poor Skill Performance </w:t>
      </w:r>
    </w:p>
    <w:p w14:paraId="2FBB6D97" w14:textId="77777777" w:rsidR="00B20E6A" w:rsidRPr="00BC116C" w:rsidRDefault="00A97906"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 xml:space="preserve">Poor </w:t>
      </w:r>
      <w:r w:rsidR="00B20E6A" w:rsidRPr="00BC116C">
        <w:rPr>
          <w:rFonts w:ascii="Arial" w:eastAsia="Times New Roman" w:hAnsi="Arial" w:cs="Arial"/>
          <w:kern w:val="0"/>
          <w:sz w:val="22"/>
          <w:szCs w:val="22"/>
          <w14:ligatures w14:val="none"/>
        </w:rPr>
        <w:t xml:space="preserve">communication may severely jeopardize professional practice and expose the service users to harm. The lack of purpose or incoherent communication may, in turn, result in misunderstood needs, risk assessment not </w:t>
      </w:r>
      <w:proofErr w:type="gramStart"/>
      <w:r w:rsidR="00B20E6A" w:rsidRPr="00BC116C">
        <w:rPr>
          <w:rFonts w:ascii="Arial" w:eastAsia="Times New Roman" w:hAnsi="Arial" w:cs="Arial"/>
          <w:kern w:val="0"/>
          <w:sz w:val="22"/>
          <w:szCs w:val="22"/>
          <w14:ligatures w14:val="none"/>
        </w:rPr>
        <w:t>taken into account</w:t>
      </w:r>
      <w:proofErr w:type="gramEnd"/>
      <w:r w:rsidR="00B20E6A" w:rsidRPr="00BC116C">
        <w:rPr>
          <w:rFonts w:ascii="Arial" w:eastAsia="Times New Roman" w:hAnsi="Arial" w:cs="Arial"/>
          <w:kern w:val="0"/>
          <w:sz w:val="22"/>
          <w:szCs w:val="22"/>
          <w14:ligatures w14:val="none"/>
        </w:rPr>
        <w:t>, or safeguarding concerns not identified, thus resulting in harm or neglect (NICE, 2021). Poor or incomplete information disclosure among agencies has been pointed out in numerous serious case studies as being one of the most important contributors to safeguarding failures.</w:t>
      </w:r>
    </w:p>
    <w:p w14:paraId="44680010" w14:textId="77777777" w:rsidR="00B20E6A" w:rsidRPr="00BC116C" w:rsidRDefault="00B20E6A"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Defective communication also harms trust so that service users are less willing to participate, share sensitive data, or adhere to support strategies (Forrester et al., 2019). Lack of empathy or incomplete listening may make people think that they are dismissed or not understood, which decreases the efficiency of interventions.</w:t>
      </w:r>
    </w:p>
    <w:p w14:paraId="64D74738" w14:textId="77777777" w:rsidR="00A97906" w:rsidRPr="00BC116C" w:rsidRDefault="00B20E6A"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Regarding professional accountability, poor written communication, including case notes that are not written or comprehensible, can undermine decision-making, continuity of care, and legal compliance (Social Work England, 2020). This then impacts the work of multi-agency operations, which results in disconnected care and worse outcomes in vulnerable people (SCIE, 2024).</w:t>
      </w:r>
    </w:p>
    <w:p w14:paraId="31D40E47"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4</w:t>
      </w:r>
      <w:r w:rsidR="00A918D7" w:rsidRPr="00BC116C">
        <w:rPr>
          <w:rFonts w:ascii="Arial" w:eastAsia="Times New Roman" w:hAnsi="Arial" w:cs="Arial"/>
          <w:b/>
          <w:bCs/>
          <w:kern w:val="0"/>
          <w:sz w:val="22"/>
          <w:szCs w:val="22"/>
          <w14:ligatures w14:val="none"/>
        </w:rPr>
        <w:t>.</w:t>
      </w:r>
      <w:r w:rsidRPr="00BC116C">
        <w:rPr>
          <w:rFonts w:ascii="Arial" w:eastAsia="Times New Roman" w:hAnsi="Arial" w:cs="Arial"/>
          <w:b/>
          <w:bCs/>
          <w:kern w:val="0"/>
          <w:sz w:val="22"/>
          <w:szCs w:val="22"/>
          <w14:ligatures w14:val="none"/>
        </w:rPr>
        <w:t xml:space="preserve"> Strategies to Develop and Maintain the Skill </w:t>
      </w:r>
    </w:p>
    <w:p w14:paraId="2F3498F4" w14:textId="77777777" w:rsidR="00A97906" w:rsidRPr="00BC116C" w:rsidRDefault="00B20E6A"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 xml:space="preserve">Constant professional development, systematic training, and practice of reflection can reinforce communication skills. Motivational </w:t>
      </w:r>
      <w:proofErr w:type="gramStart"/>
      <w:r w:rsidRPr="00BC116C">
        <w:rPr>
          <w:rFonts w:ascii="Arial" w:eastAsia="Times New Roman" w:hAnsi="Arial" w:cs="Arial"/>
          <w:kern w:val="0"/>
          <w:sz w:val="22"/>
          <w:szCs w:val="22"/>
          <w14:ligatures w14:val="none"/>
        </w:rPr>
        <w:t>interviewing</w:t>
      </w:r>
      <w:proofErr w:type="gramEnd"/>
      <w:r w:rsidRPr="00BC116C">
        <w:rPr>
          <w:rFonts w:ascii="Arial" w:eastAsia="Times New Roman" w:hAnsi="Arial" w:cs="Arial"/>
          <w:kern w:val="0"/>
          <w:sz w:val="22"/>
          <w:szCs w:val="22"/>
          <w14:ligatures w14:val="none"/>
        </w:rPr>
        <w:t xml:space="preserve"> training facilitates effective collaboration and aids in behaviour change (Bischof et al., 2021; Boyle et al., 2019). Frequent supervision is a chance to reflect on the difficulty of communication, better understand oneself, and get constructive feedback (Social Work England, 2020). Participation in the CPD, like workshops on active listening, trauma-informed communication, or safety, can keep practitioners informed </w:t>
      </w:r>
      <w:r w:rsidRPr="00BC116C">
        <w:rPr>
          <w:rFonts w:ascii="Arial" w:eastAsia="Times New Roman" w:hAnsi="Arial" w:cs="Arial"/>
          <w:kern w:val="0"/>
          <w:sz w:val="22"/>
          <w:szCs w:val="22"/>
          <w14:ligatures w14:val="none"/>
        </w:rPr>
        <w:lastRenderedPageBreak/>
        <w:t>about the best practices. Reflective models can also facilitate continuous learning and help professionals to interpret interactions, identify biases, and tailor communication strategies to the service user's needs (Payne and Reith-Hall, 2019).</w:t>
      </w:r>
    </w:p>
    <w:p w14:paraId="0FDC9658" w14:textId="77777777" w:rsidR="00A97906" w:rsidRPr="00BC116C" w:rsidRDefault="00A97906" w:rsidP="00A97906">
      <w:pPr>
        <w:spacing w:after="0" w:line="360" w:lineRule="auto"/>
        <w:rPr>
          <w:rFonts w:ascii="Arial" w:eastAsia="Times New Roman" w:hAnsi="Arial" w:cs="Arial"/>
          <w:kern w:val="0"/>
          <w:sz w:val="22"/>
          <w:szCs w:val="22"/>
          <w14:ligatures w14:val="none"/>
        </w:rPr>
      </w:pPr>
      <w:r w:rsidRPr="00BC116C">
        <w:rPr>
          <w:rFonts w:ascii="Arial" w:hAnsi="Arial" w:cs="Arial"/>
          <w:sz w:val="22"/>
          <w:szCs w:val="22"/>
        </w:rPr>
        <w:br w:type="page"/>
      </w:r>
    </w:p>
    <w:p w14:paraId="1C806F4F" w14:textId="77777777" w:rsidR="00A97906" w:rsidRPr="00BC116C" w:rsidRDefault="00A97906" w:rsidP="00A918D7">
      <w:pPr>
        <w:spacing w:after="0" w:line="360" w:lineRule="auto"/>
        <w:jc w:val="center"/>
        <w:outlineLvl w:val="0"/>
        <w:rPr>
          <w:rFonts w:ascii="Arial" w:eastAsia="Times New Roman" w:hAnsi="Arial" w:cs="Arial"/>
          <w:b/>
          <w:bCs/>
          <w:kern w:val="36"/>
          <w:sz w:val="22"/>
          <w:szCs w:val="22"/>
          <w14:ligatures w14:val="none"/>
        </w:rPr>
      </w:pPr>
      <w:r w:rsidRPr="00BC116C">
        <w:rPr>
          <w:rFonts w:ascii="Arial" w:eastAsia="Times New Roman" w:hAnsi="Arial" w:cs="Arial"/>
          <w:b/>
          <w:bCs/>
          <w:kern w:val="36"/>
          <w:sz w:val="22"/>
          <w:szCs w:val="22"/>
          <w14:ligatures w14:val="none"/>
        </w:rPr>
        <w:lastRenderedPageBreak/>
        <w:t>Task 3: Critical Reflection Using the ERA Model</w:t>
      </w:r>
      <w:r w:rsidR="00A918D7" w:rsidRPr="00BC116C">
        <w:rPr>
          <w:rFonts w:ascii="Arial" w:eastAsia="Times New Roman" w:hAnsi="Arial" w:cs="Arial"/>
          <w:b/>
          <w:bCs/>
          <w:kern w:val="36"/>
          <w:sz w:val="22"/>
          <w:szCs w:val="22"/>
          <w14:ligatures w14:val="none"/>
        </w:rPr>
        <w:t xml:space="preserve"> - </w:t>
      </w:r>
      <w:r w:rsidRPr="00BC116C">
        <w:rPr>
          <w:rFonts w:ascii="Arial" w:eastAsia="Times New Roman" w:hAnsi="Arial" w:cs="Arial"/>
          <w:b/>
          <w:bCs/>
          <w:kern w:val="0"/>
          <w:sz w:val="22"/>
          <w:szCs w:val="22"/>
          <w14:ligatures w14:val="none"/>
        </w:rPr>
        <w:t>Reflecting on LCHS4009 Component 1 Presentation</w:t>
      </w:r>
    </w:p>
    <w:p w14:paraId="063AEC2A"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1</w:t>
      </w:r>
      <w:r w:rsidR="00A918D7" w:rsidRPr="00BC116C">
        <w:rPr>
          <w:rFonts w:ascii="Arial" w:eastAsia="Times New Roman" w:hAnsi="Arial" w:cs="Arial"/>
          <w:b/>
          <w:bCs/>
          <w:kern w:val="0"/>
          <w:sz w:val="22"/>
          <w:szCs w:val="22"/>
          <w14:ligatures w14:val="none"/>
        </w:rPr>
        <w:t>.</w:t>
      </w:r>
      <w:r w:rsidRPr="00BC116C">
        <w:rPr>
          <w:rFonts w:ascii="Arial" w:eastAsia="Times New Roman" w:hAnsi="Arial" w:cs="Arial"/>
          <w:b/>
          <w:bCs/>
          <w:kern w:val="0"/>
          <w:sz w:val="22"/>
          <w:szCs w:val="22"/>
          <w14:ligatures w14:val="none"/>
        </w:rPr>
        <w:t xml:space="preserve"> Experience </w:t>
      </w:r>
    </w:p>
    <w:p w14:paraId="1D82BF28" w14:textId="2773E5EC" w:rsidR="00A97906" w:rsidRPr="00BC116C" w:rsidRDefault="00B20E6A" w:rsidP="00A97906">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In the LCHS4009 Component 1 assessment, I gave a</w:t>
      </w:r>
      <w:r w:rsidR="00BC116C">
        <w:rPr>
          <w:rFonts w:ascii="Arial" w:eastAsia="Times New Roman" w:hAnsi="Arial" w:cs="Arial"/>
          <w:kern w:val="0"/>
          <w:sz w:val="22"/>
          <w:szCs w:val="22"/>
          <w14:ligatures w14:val="none"/>
        </w:rPr>
        <w:t>n individual</w:t>
      </w:r>
      <w:r w:rsidRPr="00BC116C">
        <w:rPr>
          <w:rFonts w:ascii="Arial" w:eastAsia="Times New Roman" w:hAnsi="Arial" w:cs="Arial"/>
          <w:kern w:val="0"/>
          <w:sz w:val="22"/>
          <w:szCs w:val="22"/>
          <w14:ligatures w14:val="none"/>
        </w:rPr>
        <w:t xml:space="preserve"> presentation on </w:t>
      </w:r>
      <w:r w:rsidR="00804CB1" w:rsidRPr="00BC116C">
        <w:rPr>
          <w:rFonts w:ascii="Arial" w:eastAsia="Times New Roman" w:hAnsi="Arial" w:cs="Arial"/>
          <w:kern w:val="0"/>
          <w:sz w:val="22"/>
          <w:szCs w:val="22"/>
          <w14:ligatures w14:val="none"/>
        </w:rPr>
        <w:t>the</w:t>
      </w:r>
      <w:r w:rsidRPr="00BC116C">
        <w:rPr>
          <w:rFonts w:ascii="Arial" w:eastAsia="Times New Roman" w:hAnsi="Arial" w:cs="Arial"/>
          <w:kern w:val="0"/>
          <w:sz w:val="22"/>
          <w:szCs w:val="22"/>
          <w14:ligatures w14:val="none"/>
        </w:rPr>
        <w:t xml:space="preserve"> chosen health and social care topic . I was required to present some of the main arguments, clarify research results, and make sure that the slides were understandable. All in all, the presentation itself was smooth, but I realized that I had instances of talking too fast and that at times I would lose</w:t>
      </w:r>
      <w:r w:rsidR="009C7E9D" w:rsidRPr="00BC116C">
        <w:rPr>
          <w:rFonts w:ascii="Arial" w:eastAsia="Times New Roman" w:hAnsi="Arial" w:cs="Arial"/>
          <w:kern w:val="0"/>
          <w:sz w:val="22"/>
          <w:szCs w:val="22"/>
          <w14:ligatures w14:val="none"/>
        </w:rPr>
        <w:t xml:space="preserve"> the trac of</w:t>
      </w:r>
      <w:r w:rsidRPr="00BC116C">
        <w:rPr>
          <w:rFonts w:ascii="Arial" w:eastAsia="Times New Roman" w:hAnsi="Arial" w:cs="Arial"/>
          <w:kern w:val="0"/>
          <w:sz w:val="22"/>
          <w:szCs w:val="22"/>
          <w14:ligatures w14:val="none"/>
        </w:rPr>
        <w:t xml:space="preserve"> time. My lecturer also gave verbal feedback and noted the following strengths: The clarity of explanation of my research and the confident beginning. Nevertheless, they also established ground on where </w:t>
      </w:r>
      <w:r w:rsidR="001C6CB5" w:rsidRPr="00BC116C">
        <w:rPr>
          <w:rFonts w:ascii="Arial" w:eastAsia="Times New Roman" w:hAnsi="Arial" w:cs="Arial"/>
          <w:kern w:val="0"/>
          <w:sz w:val="22"/>
          <w:szCs w:val="22"/>
          <w14:ligatures w14:val="none"/>
        </w:rPr>
        <w:t>I</w:t>
      </w:r>
      <w:r w:rsidRPr="00BC116C">
        <w:rPr>
          <w:rFonts w:ascii="Arial" w:eastAsia="Times New Roman" w:hAnsi="Arial" w:cs="Arial"/>
          <w:kern w:val="0"/>
          <w:sz w:val="22"/>
          <w:szCs w:val="22"/>
          <w14:ligatures w14:val="none"/>
        </w:rPr>
        <w:t xml:space="preserve"> can improve, especially on pacing, better organisation of slides, and eye contact with the audience. Moreover, they noted that communication must be clear and </w:t>
      </w:r>
      <w:proofErr w:type="gramStart"/>
      <w:r w:rsidRPr="00BC116C">
        <w:rPr>
          <w:rFonts w:ascii="Arial" w:eastAsia="Times New Roman" w:hAnsi="Arial" w:cs="Arial"/>
          <w:kern w:val="0"/>
          <w:sz w:val="22"/>
          <w:szCs w:val="22"/>
          <w14:ligatures w14:val="none"/>
        </w:rPr>
        <w:t>organized at all times</w:t>
      </w:r>
      <w:proofErr w:type="gramEnd"/>
      <w:r w:rsidRPr="00BC116C">
        <w:rPr>
          <w:rFonts w:ascii="Arial" w:eastAsia="Times New Roman" w:hAnsi="Arial" w:cs="Arial"/>
          <w:kern w:val="0"/>
          <w:sz w:val="22"/>
          <w:szCs w:val="22"/>
          <w14:ligatures w14:val="none"/>
        </w:rPr>
        <w:t xml:space="preserve">, which is close to the expectations of social work practice in a professional environment (Social Work England, 2019). </w:t>
      </w:r>
    </w:p>
    <w:p w14:paraId="3BEC2857"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2</w:t>
      </w:r>
      <w:r w:rsidR="00A918D7" w:rsidRPr="00BC116C">
        <w:rPr>
          <w:rFonts w:ascii="Arial" w:eastAsia="Times New Roman" w:hAnsi="Arial" w:cs="Arial"/>
          <w:b/>
          <w:bCs/>
          <w:kern w:val="0"/>
          <w:sz w:val="22"/>
          <w:szCs w:val="22"/>
          <w14:ligatures w14:val="none"/>
        </w:rPr>
        <w:t>.</w:t>
      </w:r>
      <w:r w:rsidRPr="00BC116C">
        <w:rPr>
          <w:rFonts w:ascii="Arial" w:eastAsia="Times New Roman" w:hAnsi="Arial" w:cs="Arial"/>
          <w:b/>
          <w:bCs/>
          <w:kern w:val="0"/>
          <w:sz w:val="22"/>
          <w:szCs w:val="22"/>
          <w14:ligatures w14:val="none"/>
        </w:rPr>
        <w:t xml:space="preserve"> Reflection </w:t>
      </w:r>
    </w:p>
    <w:p w14:paraId="6DD45E08" w14:textId="32DB1CBE" w:rsidR="00B20E6A" w:rsidRPr="00BC116C" w:rsidRDefault="00B20E6A"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 xml:space="preserve">My emotions before the presentation were mixed, with confidence and anxiety. I also believed in the quality of our research content since I had preplanned and made sure that the evidence was of quality, as it is expected of social workers to argue using well-grounded evidence-based reasoning (Payne and Reith-Hall, 2019). Nevertheless, I was also anxious while speaking to the audience, and the anxiety was reflected in the </w:t>
      </w:r>
      <w:r w:rsidR="001C6CB5" w:rsidRPr="00BC116C">
        <w:rPr>
          <w:rFonts w:ascii="Arial" w:eastAsia="Times New Roman" w:hAnsi="Arial" w:cs="Arial"/>
          <w:kern w:val="0"/>
          <w:sz w:val="22"/>
          <w:szCs w:val="22"/>
          <w14:ligatures w14:val="none"/>
        </w:rPr>
        <w:t>p</w:t>
      </w:r>
      <w:r w:rsidRPr="00BC116C">
        <w:rPr>
          <w:rFonts w:ascii="Arial" w:eastAsia="Times New Roman" w:hAnsi="Arial" w:cs="Arial"/>
          <w:kern w:val="0"/>
          <w:sz w:val="22"/>
          <w:szCs w:val="22"/>
          <w14:ligatures w14:val="none"/>
        </w:rPr>
        <w:t>acing of the presentation. This is indicative of a study that has found that communication performance can be affected by emotional control, which is also a mandated skill in social work (Thompson, 2023).</w:t>
      </w:r>
    </w:p>
    <w:p w14:paraId="07283D3D" w14:textId="77777777" w:rsidR="00B20E6A" w:rsidRPr="00BC116C" w:rsidRDefault="00B20E6A"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Throughout the delivery, I was interested in what I was presenting, and I noticed that sometimes I tended to hurry, which diminished the clarity of some of my explanations. I realised the feedback provided by my lecturer showed me that proper content is not everything: it should be provided in a systematic and straightforward way to fulfill the requirements of the audience. This is reflective of the results of Reith-Hall (2022), who indicated that the possibility of communication training in social work should be placed between performance and knowledge.</w:t>
      </w:r>
    </w:p>
    <w:p w14:paraId="2DC20908" w14:textId="77777777" w:rsidR="00B20E6A" w:rsidRPr="00BC116C" w:rsidRDefault="00B20E6A"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I was relieved yet thoughtful after the presentation on my ways to improve. The feedback on the visibility of the slides made me understand that my visual aid might have been overloaded with text, making the viewer less able to follow my argument logically. Communication is a core component of academic performance and safe and ethical professional practice, especially in delivering the assessment or protecting the concerns (NICE, 2021).</w:t>
      </w:r>
    </w:p>
    <w:p w14:paraId="07E13068" w14:textId="77777777" w:rsidR="00A97906" w:rsidRPr="00BC116C" w:rsidRDefault="00A97906" w:rsidP="00A97906">
      <w:pPr>
        <w:spacing w:after="0" w:line="360" w:lineRule="auto"/>
        <w:outlineLvl w:val="1"/>
        <w:rPr>
          <w:rFonts w:ascii="Arial" w:eastAsia="Times New Roman" w:hAnsi="Arial" w:cs="Arial"/>
          <w:b/>
          <w:bCs/>
          <w:kern w:val="0"/>
          <w:sz w:val="22"/>
          <w:szCs w:val="22"/>
          <w14:ligatures w14:val="none"/>
        </w:rPr>
      </w:pPr>
      <w:r w:rsidRPr="00BC116C">
        <w:rPr>
          <w:rFonts w:ascii="Arial" w:eastAsia="Times New Roman" w:hAnsi="Arial" w:cs="Arial"/>
          <w:b/>
          <w:bCs/>
          <w:kern w:val="0"/>
          <w:sz w:val="22"/>
          <w:szCs w:val="22"/>
          <w14:ligatures w14:val="none"/>
        </w:rPr>
        <w:t xml:space="preserve">3. Action </w:t>
      </w:r>
    </w:p>
    <w:p w14:paraId="650AB79B" w14:textId="77777777" w:rsidR="00B20E6A" w:rsidRPr="00BC116C" w:rsidRDefault="00B20E6A"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lastRenderedPageBreak/>
        <w:t>This self-reflection has assisted me in determining some learning objectives. To improve my delivery of the presentation, I would like to begin by practicing better pacing and confidence. I will train myself to speak more slowly, I will attend communication training, and I will rehearse to enable me to handle the anxiety a bit better. This is consistent with the fact that Social Work England (2020) expects its practitioners to actively engage in building professional communication by means of continuous learning and reflection.</w:t>
      </w:r>
    </w:p>
    <w:p w14:paraId="6732AD7E" w14:textId="77777777" w:rsidR="00B20E6A" w:rsidRPr="00BC116C" w:rsidRDefault="00B20E6A"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Second, I will sharpen my slide design experience through the help of clearer images, less text, and logical flow. The reason is that social work could be characterized as the delivery of information to multi-disciplinary teams, and clarity promotes an efficient decision-making process (SCIE, 2024).</w:t>
      </w:r>
    </w:p>
    <w:p w14:paraId="1E36A21A" w14:textId="77777777" w:rsidR="00A97906" w:rsidRPr="00BC116C" w:rsidRDefault="00B20E6A" w:rsidP="00B20E6A">
      <w:pPr>
        <w:spacing w:after="0" w:line="360" w:lineRule="auto"/>
        <w:rPr>
          <w:rFonts w:ascii="Arial" w:eastAsia="Times New Roman" w:hAnsi="Arial" w:cs="Arial"/>
          <w:kern w:val="0"/>
          <w:sz w:val="22"/>
          <w:szCs w:val="22"/>
          <w14:ligatures w14:val="none"/>
        </w:rPr>
      </w:pPr>
      <w:r w:rsidRPr="00BC116C">
        <w:rPr>
          <w:rFonts w:ascii="Arial" w:eastAsia="Times New Roman" w:hAnsi="Arial" w:cs="Arial"/>
          <w:kern w:val="0"/>
          <w:sz w:val="22"/>
          <w:szCs w:val="22"/>
          <w14:ligatures w14:val="none"/>
        </w:rPr>
        <w:t>Thirdly, I will engage in reflective practice more frequently. To analyse performance, track emotion-driven behaviours, and work on professional development, reflective tools are crucial (Thompson, 2023). Routine reflections will assist me in training emotional control, which is a great consideration when interacting in difficult safeguarding or high-stress environments, which have been emphasized by Ferguson et al. (2021).</w:t>
      </w:r>
    </w:p>
    <w:p w14:paraId="30F5856E" w14:textId="77777777" w:rsidR="00A97906" w:rsidRPr="00BC116C" w:rsidRDefault="00A97906" w:rsidP="00A97906">
      <w:pPr>
        <w:pStyle w:val="NormalWeb"/>
        <w:spacing w:before="0" w:beforeAutospacing="0" w:after="0" w:afterAutospacing="0" w:line="360" w:lineRule="auto"/>
        <w:ind w:left="360"/>
        <w:rPr>
          <w:rFonts w:ascii="Arial" w:hAnsi="Arial" w:cs="Arial"/>
          <w:sz w:val="22"/>
          <w:szCs w:val="22"/>
        </w:rPr>
      </w:pPr>
    </w:p>
    <w:p w14:paraId="560C9976" w14:textId="77777777" w:rsidR="00A97906" w:rsidRPr="00BC116C" w:rsidRDefault="00A97906" w:rsidP="00A97906">
      <w:pPr>
        <w:spacing w:after="0" w:line="360" w:lineRule="auto"/>
        <w:rPr>
          <w:rFonts w:ascii="Arial" w:eastAsia="Times New Roman" w:hAnsi="Arial" w:cs="Arial"/>
          <w:kern w:val="0"/>
          <w:sz w:val="22"/>
          <w:szCs w:val="22"/>
          <w14:ligatures w14:val="none"/>
        </w:rPr>
      </w:pPr>
      <w:r w:rsidRPr="00BC116C">
        <w:rPr>
          <w:rFonts w:ascii="Arial" w:hAnsi="Arial" w:cs="Arial"/>
          <w:sz w:val="22"/>
          <w:szCs w:val="22"/>
        </w:rPr>
        <w:br w:type="page"/>
      </w:r>
    </w:p>
    <w:p w14:paraId="3C682F2A" w14:textId="77777777" w:rsidR="00A918D7" w:rsidRPr="00BC116C" w:rsidRDefault="00A918D7" w:rsidP="00A918D7">
      <w:pPr>
        <w:pStyle w:val="NormalWeb"/>
        <w:spacing w:before="0" w:beforeAutospacing="0" w:after="0" w:afterAutospacing="0" w:line="360" w:lineRule="auto"/>
        <w:rPr>
          <w:rFonts w:ascii="Arial" w:hAnsi="Arial" w:cs="Arial"/>
          <w:b/>
          <w:bCs/>
          <w:sz w:val="22"/>
          <w:szCs w:val="22"/>
        </w:rPr>
      </w:pPr>
      <w:r w:rsidRPr="00BC116C">
        <w:rPr>
          <w:rFonts w:ascii="Arial" w:hAnsi="Arial" w:cs="Arial"/>
          <w:b/>
          <w:bCs/>
          <w:sz w:val="22"/>
          <w:szCs w:val="22"/>
        </w:rPr>
        <w:lastRenderedPageBreak/>
        <w:t>References</w:t>
      </w:r>
    </w:p>
    <w:p w14:paraId="03E63C4C" w14:textId="77777777" w:rsidR="00351E63" w:rsidRPr="00BC116C" w:rsidRDefault="00351E63"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British Association of Social Workers (BASW) (2018) </w:t>
      </w:r>
      <w:r w:rsidRPr="00BC116C">
        <w:rPr>
          <w:rStyle w:val="Strong"/>
          <w:rFonts w:ascii="Arial" w:eastAsiaTheme="majorEastAsia" w:hAnsi="Arial" w:cs="Arial"/>
          <w:b w:val="0"/>
          <w:bCs w:val="0"/>
          <w:i/>
          <w:iCs/>
          <w:sz w:val="22"/>
          <w:szCs w:val="22"/>
        </w:rPr>
        <w:t>The Code of Ethics for Social Work</w:t>
      </w:r>
      <w:r w:rsidRPr="00BC116C">
        <w:rPr>
          <w:rFonts w:ascii="Arial" w:hAnsi="Arial" w:cs="Arial"/>
          <w:sz w:val="22"/>
          <w:szCs w:val="22"/>
        </w:rPr>
        <w:t xml:space="preserve">. Available at: </w:t>
      </w:r>
      <w:hyperlink r:id="rId9" w:history="1">
        <w:r w:rsidRPr="00BC116C">
          <w:rPr>
            <w:rStyle w:val="Hyperlink"/>
            <w:rFonts w:ascii="Arial" w:hAnsi="Arial" w:cs="Arial"/>
            <w:sz w:val="22"/>
            <w:szCs w:val="22"/>
          </w:rPr>
          <w:t>https://basw.co.uk/sites/default/files/resources/Code%20of%20Ethics%20Aug18.pdf</w:t>
        </w:r>
      </w:hyperlink>
      <w:r w:rsidRPr="00BC116C">
        <w:rPr>
          <w:rFonts w:ascii="Arial" w:hAnsi="Arial" w:cs="Arial"/>
          <w:sz w:val="22"/>
          <w:szCs w:val="22"/>
        </w:rPr>
        <w:t xml:space="preserve"> (Accessed: 25 Nov 2025).</w:t>
      </w:r>
    </w:p>
    <w:p w14:paraId="32A3E183" w14:textId="77777777" w:rsidR="00A918D7" w:rsidRPr="00BC116C" w:rsidRDefault="00A918D7"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Bischof, G., Bischof, A. and Rumpf, H.-J. (2021) “Motivational Interviewing: An Evidence-Based Approach for Use in Medical practice,” </w:t>
      </w:r>
      <w:proofErr w:type="spellStart"/>
      <w:r w:rsidRPr="00BC116C">
        <w:rPr>
          <w:rFonts w:ascii="Arial" w:hAnsi="Arial" w:cs="Arial"/>
          <w:i/>
          <w:iCs/>
          <w:sz w:val="22"/>
          <w:szCs w:val="22"/>
        </w:rPr>
        <w:t>Deutsches</w:t>
      </w:r>
      <w:proofErr w:type="spellEnd"/>
      <w:r w:rsidRPr="00BC116C">
        <w:rPr>
          <w:rFonts w:ascii="Arial" w:hAnsi="Arial" w:cs="Arial"/>
          <w:i/>
          <w:iCs/>
          <w:sz w:val="22"/>
          <w:szCs w:val="22"/>
        </w:rPr>
        <w:t xml:space="preserve"> </w:t>
      </w:r>
      <w:proofErr w:type="spellStart"/>
      <w:r w:rsidRPr="00BC116C">
        <w:rPr>
          <w:rFonts w:ascii="Arial" w:hAnsi="Arial" w:cs="Arial"/>
          <w:i/>
          <w:iCs/>
          <w:sz w:val="22"/>
          <w:szCs w:val="22"/>
        </w:rPr>
        <w:t>Ärzteblatt</w:t>
      </w:r>
      <w:proofErr w:type="spellEnd"/>
      <w:r w:rsidRPr="00BC116C">
        <w:rPr>
          <w:rFonts w:ascii="Arial" w:hAnsi="Arial" w:cs="Arial"/>
          <w:i/>
          <w:iCs/>
          <w:sz w:val="22"/>
          <w:szCs w:val="22"/>
        </w:rPr>
        <w:t xml:space="preserve"> International</w:t>
      </w:r>
      <w:r w:rsidRPr="00BC116C">
        <w:rPr>
          <w:rFonts w:ascii="Arial" w:hAnsi="Arial" w:cs="Arial"/>
          <w:sz w:val="22"/>
          <w:szCs w:val="22"/>
        </w:rPr>
        <w:t xml:space="preserve">, 118(7), pp. 109–115. Available at: </w:t>
      </w:r>
      <w:r w:rsidRPr="00BC116C">
        <w:rPr>
          <w:rStyle w:val="url"/>
          <w:rFonts w:ascii="Arial" w:eastAsiaTheme="majorEastAsia" w:hAnsi="Arial" w:cs="Arial"/>
          <w:sz w:val="22"/>
          <w:szCs w:val="22"/>
        </w:rPr>
        <w:t>https://doi.org/10.3238/arztebl.m2021.0014</w:t>
      </w:r>
      <w:r w:rsidRPr="00BC116C">
        <w:rPr>
          <w:rFonts w:ascii="Arial" w:hAnsi="Arial" w:cs="Arial"/>
          <w:sz w:val="22"/>
          <w:szCs w:val="22"/>
        </w:rPr>
        <w:t>.</w:t>
      </w:r>
    </w:p>
    <w:p w14:paraId="540F3761" w14:textId="77777777" w:rsidR="00A918D7" w:rsidRPr="00BC116C" w:rsidRDefault="00A918D7"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Boyle, S., Vseteckova, J. and Higgins, M. (2019) “Impact of motivational interviewing by social workers on service Users: A Systematic review,” </w:t>
      </w:r>
      <w:r w:rsidRPr="00BC116C">
        <w:rPr>
          <w:rFonts w:ascii="Arial" w:hAnsi="Arial" w:cs="Arial"/>
          <w:i/>
          <w:iCs/>
          <w:sz w:val="22"/>
          <w:szCs w:val="22"/>
        </w:rPr>
        <w:t>Research on Social Work Practice</w:t>
      </w:r>
      <w:r w:rsidRPr="00BC116C">
        <w:rPr>
          <w:rFonts w:ascii="Arial" w:hAnsi="Arial" w:cs="Arial"/>
          <w:sz w:val="22"/>
          <w:szCs w:val="22"/>
        </w:rPr>
        <w:t xml:space="preserve">, 29(8), pp. 863–875. Available at: </w:t>
      </w:r>
      <w:r w:rsidRPr="00BC116C">
        <w:rPr>
          <w:rStyle w:val="url"/>
          <w:rFonts w:ascii="Arial" w:eastAsiaTheme="majorEastAsia" w:hAnsi="Arial" w:cs="Arial"/>
          <w:sz w:val="22"/>
          <w:szCs w:val="22"/>
        </w:rPr>
        <w:t>https://doi.org/10.1177/1049731519827377</w:t>
      </w:r>
      <w:r w:rsidRPr="00BC116C">
        <w:rPr>
          <w:rFonts w:ascii="Arial" w:hAnsi="Arial" w:cs="Arial"/>
          <w:sz w:val="22"/>
          <w:szCs w:val="22"/>
        </w:rPr>
        <w:t>.</w:t>
      </w:r>
    </w:p>
    <w:p w14:paraId="66CC6771" w14:textId="77777777" w:rsidR="00A918D7" w:rsidRPr="00BC116C" w:rsidRDefault="00A918D7"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Forrester, D., Westlake, D., Killian, M., Antonopolou, V., McCann, M., </w:t>
      </w:r>
      <w:proofErr w:type="spellStart"/>
      <w:r w:rsidRPr="00BC116C">
        <w:rPr>
          <w:rFonts w:ascii="Arial" w:hAnsi="Arial" w:cs="Arial"/>
          <w:sz w:val="22"/>
          <w:szCs w:val="22"/>
        </w:rPr>
        <w:t>Thurnham</w:t>
      </w:r>
      <w:proofErr w:type="spellEnd"/>
      <w:r w:rsidRPr="00BC116C">
        <w:rPr>
          <w:rFonts w:ascii="Arial" w:hAnsi="Arial" w:cs="Arial"/>
          <w:sz w:val="22"/>
          <w:szCs w:val="22"/>
        </w:rPr>
        <w:t xml:space="preserve">, A., Thomas, R., Waits, C., Whittaker, C. and Hutchison, D. (2019) “What Is the Relationship between Worker Skills and Outcomes for Families in Child and Family Social Work?,” </w:t>
      </w:r>
      <w:r w:rsidRPr="00BC116C">
        <w:rPr>
          <w:rFonts w:ascii="Arial" w:hAnsi="Arial" w:cs="Arial"/>
          <w:i/>
          <w:iCs/>
          <w:sz w:val="22"/>
          <w:szCs w:val="22"/>
        </w:rPr>
        <w:t>The British Journal of Social Work</w:t>
      </w:r>
      <w:r w:rsidRPr="00BC116C">
        <w:rPr>
          <w:rFonts w:ascii="Arial" w:hAnsi="Arial" w:cs="Arial"/>
          <w:sz w:val="22"/>
          <w:szCs w:val="22"/>
        </w:rPr>
        <w:t xml:space="preserve">, 49(8), pp. 2148–2167. Available at: </w:t>
      </w:r>
      <w:r w:rsidRPr="00BC116C">
        <w:rPr>
          <w:rStyle w:val="url"/>
          <w:rFonts w:ascii="Arial" w:eastAsiaTheme="majorEastAsia" w:hAnsi="Arial" w:cs="Arial"/>
          <w:sz w:val="22"/>
          <w:szCs w:val="22"/>
        </w:rPr>
        <w:t>https://doi.org/10.1093/bjsw/bcy126</w:t>
      </w:r>
      <w:r w:rsidRPr="00BC116C">
        <w:rPr>
          <w:rFonts w:ascii="Arial" w:hAnsi="Arial" w:cs="Arial"/>
          <w:sz w:val="22"/>
          <w:szCs w:val="22"/>
        </w:rPr>
        <w:t>.</w:t>
      </w:r>
    </w:p>
    <w:p w14:paraId="4AA946C5" w14:textId="77777777" w:rsidR="00A918D7" w:rsidRPr="00BC116C" w:rsidRDefault="00A918D7"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Ferguson, H., Kelly, L. and Pink, S. (2021) “Social work and child protection for a post-pandemic world: the re-making of practice during COVID-19 and its renewal beyond it,” </w:t>
      </w:r>
      <w:r w:rsidRPr="00BC116C">
        <w:rPr>
          <w:rFonts w:ascii="Arial" w:hAnsi="Arial" w:cs="Arial"/>
          <w:i/>
          <w:iCs/>
          <w:sz w:val="22"/>
          <w:szCs w:val="22"/>
        </w:rPr>
        <w:t>Journal of Social Work Practice</w:t>
      </w:r>
      <w:r w:rsidRPr="00BC116C">
        <w:rPr>
          <w:rFonts w:ascii="Arial" w:hAnsi="Arial" w:cs="Arial"/>
          <w:sz w:val="22"/>
          <w:szCs w:val="22"/>
        </w:rPr>
        <w:t xml:space="preserve">, 36(1), pp. 5–24. Available at: </w:t>
      </w:r>
      <w:r w:rsidRPr="00BC116C">
        <w:rPr>
          <w:rStyle w:val="url"/>
          <w:rFonts w:ascii="Arial" w:eastAsiaTheme="majorEastAsia" w:hAnsi="Arial" w:cs="Arial"/>
          <w:sz w:val="22"/>
          <w:szCs w:val="22"/>
        </w:rPr>
        <w:t>https://doi.org/10.1080/02650533.2021.1922368</w:t>
      </w:r>
      <w:r w:rsidRPr="00BC116C">
        <w:rPr>
          <w:rFonts w:ascii="Arial" w:hAnsi="Arial" w:cs="Arial"/>
          <w:sz w:val="22"/>
          <w:szCs w:val="22"/>
        </w:rPr>
        <w:t>.</w:t>
      </w:r>
    </w:p>
    <w:p w14:paraId="5B0CE2E9" w14:textId="77777777" w:rsidR="00A918D7" w:rsidRPr="00BC116C" w:rsidRDefault="00A918D7"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Martineau, S., Manthorpe, J., Woolham, J., </w:t>
      </w:r>
      <w:proofErr w:type="spellStart"/>
      <w:r w:rsidRPr="00BC116C">
        <w:rPr>
          <w:rFonts w:ascii="Arial" w:hAnsi="Arial" w:cs="Arial"/>
          <w:sz w:val="22"/>
          <w:szCs w:val="22"/>
        </w:rPr>
        <w:t>Steils</w:t>
      </w:r>
      <w:proofErr w:type="spellEnd"/>
      <w:r w:rsidRPr="00BC116C">
        <w:rPr>
          <w:rFonts w:ascii="Arial" w:hAnsi="Arial" w:cs="Arial"/>
          <w:sz w:val="22"/>
          <w:szCs w:val="22"/>
        </w:rPr>
        <w:t xml:space="preserve">, N., Stevens, M., Owen, J. and Tinelli, M. (2021) “Social care responses to self-neglect among older people: an evidence review of what works in practice,” </w:t>
      </w:r>
      <w:r w:rsidRPr="00BC116C">
        <w:rPr>
          <w:rFonts w:ascii="Arial" w:hAnsi="Arial" w:cs="Arial"/>
          <w:i/>
          <w:iCs/>
          <w:sz w:val="22"/>
          <w:szCs w:val="22"/>
        </w:rPr>
        <w:t>King’s College London</w:t>
      </w:r>
      <w:r w:rsidRPr="00BC116C">
        <w:rPr>
          <w:rFonts w:ascii="Arial" w:hAnsi="Arial" w:cs="Arial"/>
          <w:sz w:val="22"/>
          <w:szCs w:val="22"/>
        </w:rPr>
        <w:t xml:space="preserve"> [Preprint]. Available at: </w:t>
      </w:r>
      <w:r w:rsidRPr="00BC116C">
        <w:rPr>
          <w:rStyle w:val="url"/>
          <w:rFonts w:ascii="Arial" w:eastAsiaTheme="majorEastAsia" w:hAnsi="Arial" w:cs="Arial"/>
          <w:sz w:val="22"/>
          <w:szCs w:val="22"/>
        </w:rPr>
        <w:t>https://doi.org/10.18742/pub01-047</w:t>
      </w:r>
      <w:r w:rsidRPr="00BC116C">
        <w:rPr>
          <w:rFonts w:ascii="Arial" w:hAnsi="Arial" w:cs="Arial"/>
          <w:sz w:val="22"/>
          <w:szCs w:val="22"/>
        </w:rPr>
        <w:t>.</w:t>
      </w:r>
    </w:p>
    <w:p w14:paraId="1869DB57" w14:textId="77777777" w:rsidR="00351E63" w:rsidRPr="00BC116C" w:rsidRDefault="00351E63"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National Institute for Health and Care Excellence (NICE) (2021) </w:t>
      </w:r>
      <w:r w:rsidRPr="00BC116C">
        <w:rPr>
          <w:rStyle w:val="Strong"/>
          <w:rFonts w:ascii="Arial" w:eastAsiaTheme="majorEastAsia" w:hAnsi="Arial" w:cs="Arial"/>
          <w:b w:val="0"/>
          <w:bCs w:val="0"/>
          <w:i/>
          <w:iCs/>
          <w:sz w:val="22"/>
          <w:szCs w:val="22"/>
        </w:rPr>
        <w:t>Safeguarding adults in care homes (NG189)</w:t>
      </w:r>
      <w:r w:rsidRPr="00BC116C">
        <w:rPr>
          <w:rFonts w:ascii="Arial" w:hAnsi="Arial" w:cs="Arial"/>
          <w:b/>
          <w:bCs/>
          <w:i/>
          <w:iCs/>
          <w:sz w:val="22"/>
          <w:szCs w:val="22"/>
        </w:rPr>
        <w:t>.</w:t>
      </w:r>
      <w:r w:rsidRPr="00BC116C">
        <w:rPr>
          <w:rFonts w:ascii="Arial" w:hAnsi="Arial" w:cs="Arial"/>
          <w:sz w:val="22"/>
          <w:szCs w:val="22"/>
        </w:rPr>
        <w:t xml:space="preserve"> Available at: https://www.nice.org.uk/guidance/ng189</w:t>
      </w:r>
    </w:p>
    <w:p w14:paraId="30105227" w14:textId="77777777" w:rsidR="00A918D7" w:rsidRPr="00BC116C" w:rsidRDefault="00A918D7"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Payne, M. and Reith-Hall, E. (eds.) (2019) </w:t>
      </w:r>
      <w:r w:rsidRPr="00BC116C">
        <w:rPr>
          <w:rStyle w:val="Strong"/>
          <w:rFonts w:ascii="Arial" w:eastAsiaTheme="majorEastAsia" w:hAnsi="Arial" w:cs="Arial"/>
          <w:b w:val="0"/>
          <w:bCs w:val="0"/>
          <w:i/>
          <w:iCs/>
          <w:sz w:val="22"/>
          <w:szCs w:val="22"/>
        </w:rPr>
        <w:t>The Routledge Handbook of Social Work Theory</w:t>
      </w:r>
      <w:r w:rsidRPr="00BC116C">
        <w:rPr>
          <w:rFonts w:ascii="Arial" w:hAnsi="Arial" w:cs="Arial"/>
          <w:sz w:val="22"/>
          <w:szCs w:val="22"/>
        </w:rPr>
        <w:t xml:space="preserve">. London: Routledge. </w:t>
      </w:r>
    </w:p>
    <w:p w14:paraId="7D2C68D2" w14:textId="77777777" w:rsidR="00351E63" w:rsidRPr="00BC116C" w:rsidRDefault="00351E63"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Reith-Hall, E. (2022) “The teaching and learning of communication skills for social work students: a realist synthesis protocol,” </w:t>
      </w:r>
      <w:r w:rsidRPr="00BC116C">
        <w:rPr>
          <w:rFonts w:ascii="Arial" w:hAnsi="Arial" w:cs="Arial"/>
          <w:i/>
          <w:iCs/>
          <w:sz w:val="22"/>
          <w:szCs w:val="22"/>
        </w:rPr>
        <w:t>Systematic Reviews</w:t>
      </w:r>
      <w:r w:rsidRPr="00BC116C">
        <w:rPr>
          <w:rFonts w:ascii="Arial" w:hAnsi="Arial" w:cs="Arial"/>
          <w:sz w:val="22"/>
          <w:szCs w:val="22"/>
        </w:rPr>
        <w:t xml:space="preserve">, 11(1), p. 266. Available at: </w:t>
      </w:r>
      <w:r w:rsidRPr="00BC116C">
        <w:rPr>
          <w:rStyle w:val="url"/>
          <w:rFonts w:ascii="Arial" w:eastAsiaTheme="majorEastAsia" w:hAnsi="Arial" w:cs="Arial"/>
          <w:sz w:val="22"/>
          <w:szCs w:val="22"/>
        </w:rPr>
        <w:t>https://doi.org/10.1186/s13643-022-02125-w</w:t>
      </w:r>
      <w:r w:rsidRPr="00BC116C">
        <w:rPr>
          <w:rFonts w:ascii="Arial" w:hAnsi="Arial" w:cs="Arial"/>
          <w:sz w:val="22"/>
          <w:szCs w:val="22"/>
        </w:rPr>
        <w:t>.</w:t>
      </w:r>
    </w:p>
    <w:p w14:paraId="2BBE4B82" w14:textId="77777777" w:rsidR="00A918D7" w:rsidRPr="00BC116C" w:rsidRDefault="00A918D7"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Social Work England (2019) </w:t>
      </w:r>
      <w:r w:rsidRPr="00BC116C">
        <w:rPr>
          <w:rStyle w:val="Strong"/>
          <w:rFonts w:ascii="Arial" w:eastAsiaTheme="majorEastAsia" w:hAnsi="Arial" w:cs="Arial"/>
          <w:b w:val="0"/>
          <w:bCs w:val="0"/>
          <w:i/>
          <w:iCs/>
          <w:sz w:val="22"/>
          <w:szCs w:val="22"/>
        </w:rPr>
        <w:t>Professional Standards</w:t>
      </w:r>
      <w:r w:rsidRPr="00BC116C">
        <w:rPr>
          <w:rFonts w:ascii="Arial" w:hAnsi="Arial" w:cs="Arial"/>
          <w:b/>
          <w:bCs/>
          <w:i/>
          <w:iCs/>
          <w:sz w:val="22"/>
          <w:szCs w:val="22"/>
        </w:rPr>
        <w:t xml:space="preserve">. </w:t>
      </w:r>
      <w:r w:rsidRPr="00BC116C">
        <w:rPr>
          <w:rFonts w:ascii="Arial" w:hAnsi="Arial" w:cs="Arial"/>
          <w:sz w:val="22"/>
          <w:szCs w:val="22"/>
        </w:rPr>
        <w:t xml:space="preserve">Available at: </w:t>
      </w:r>
      <w:hyperlink r:id="rId10" w:history="1">
        <w:r w:rsidRPr="00BC116C">
          <w:rPr>
            <w:rStyle w:val="Hyperlink"/>
            <w:rFonts w:ascii="Arial" w:hAnsi="Arial" w:cs="Arial"/>
            <w:sz w:val="22"/>
            <w:szCs w:val="22"/>
          </w:rPr>
          <w:t>https://www.socialworkengland.org.uk/standards/professional-standards/</w:t>
        </w:r>
      </w:hyperlink>
      <w:r w:rsidRPr="00BC116C">
        <w:rPr>
          <w:rFonts w:ascii="Arial" w:hAnsi="Arial" w:cs="Arial"/>
          <w:sz w:val="22"/>
          <w:szCs w:val="22"/>
        </w:rPr>
        <w:t xml:space="preserve"> (Accessed: 25 Nov 2025).</w:t>
      </w:r>
    </w:p>
    <w:p w14:paraId="3E63806F" w14:textId="77777777" w:rsidR="00A918D7" w:rsidRPr="00BC116C" w:rsidRDefault="00A918D7"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lastRenderedPageBreak/>
        <w:t xml:space="preserve">Social Work England (2020) </w:t>
      </w:r>
      <w:r w:rsidRPr="00BC116C">
        <w:rPr>
          <w:rStyle w:val="Strong"/>
          <w:rFonts w:ascii="Arial" w:eastAsiaTheme="majorEastAsia" w:hAnsi="Arial" w:cs="Arial"/>
          <w:b w:val="0"/>
          <w:bCs w:val="0"/>
          <w:i/>
          <w:iCs/>
          <w:sz w:val="22"/>
          <w:szCs w:val="22"/>
        </w:rPr>
        <w:t>Professional standards: guidance</w:t>
      </w:r>
      <w:r w:rsidRPr="00BC116C">
        <w:rPr>
          <w:rFonts w:ascii="Arial" w:hAnsi="Arial" w:cs="Arial"/>
          <w:sz w:val="22"/>
          <w:szCs w:val="22"/>
        </w:rPr>
        <w:t xml:space="preserve">. Available at: </w:t>
      </w:r>
      <w:hyperlink r:id="rId11" w:history="1">
        <w:r w:rsidRPr="00BC116C">
          <w:rPr>
            <w:rStyle w:val="Hyperlink"/>
            <w:rFonts w:ascii="Arial" w:hAnsi="Arial" w:cs="Arial"/>
            <w:sz w:val="22"/>
            <w:szCs w:val="22"/>
          </w:rPr>
          <w:t>https://www.socialworkengland.org.uk/media/3453/professional-standards-guidance.pdf</w:t>
        </w:r>
      </w:hyperlink>
      <w:r w:rsidRPr="00BC116C">
        <w:rPr>
          <w:rFonts w:ascii="Arial" w:hAnsi="Arial" w:cs="Arial"/>
          <w:sz w:val="22"/>
          <w:szCs w:val="22"/>
        </w:rPr>
        <w:t xml:space="preserve">  (Accessed: 25 Nov 2025).</w:t>
      </w:r>
    </w:p>
    <w:p w14:paraId="0A4303BC" w14:textId="77777777" w:rsidR="00351E63" w:rsidRPr="00BC116C" w:rsidRDefault="00351E63"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Social Care Institute for Excellence (SCIE) (2024) </w:t>
      </w:r>
      <w:r w:rsidRPr="00BC116C">
        <w:rPr>
          <w:rStyle w:val="Strong"/>
          <w:rFonts w:ascii="Arial" w:eastAsiaTheme="majorEastAsia" w:hAnsi="Arial" w:cs="Arial"/>
          <w:b w:val="0"/>
          <w:bCs w:val="0"/>
          <w:i/>
          <w:iCs/>
          <w:sz w:val="22"/>
          <w:szCs w:val="22"/>
        </w:rPr>
        <w:t>Multidisciplinary teams: integrating care in places and services</w:t>
      </w:r>
      <w:r w:rsidRPr="00BC116C">
        <w:rPr>
          <w:rFonts w:ascii="Arial" w:hAnsi="Arial" w:cs="Arial"/>
          <w:b/>
          <w:bCs/>
          <w:i/>
          <w:iCs/>
          <w:sz w:val="22"/>
          <w:szCs w:val="22"/>
        </w:rPr>
        <w:t xml:space="preserve">. </w:t>
      </w:r>
      <w:r w:rsidRPr="00BC116C">
        <w:rPr>
          <w:rFonts w:ascii="Arial" w:hAnsi="Arial" w:cs="Arial"/>
          <w:sz w:val="22"/>
          <w:szCs w:val="22"/>
        </w:rPr>
        <w:t xml:space="preserve">London: SCIE. Available at: </w:t>
      </w:r>
      <w:r w:rsidR="00A97906" w:rsidRPr="00BC116C">
        <w:rPr>
          <w:rFonts w:ascii="Arial" w:hAnsi="Arial" w:cs="Arial"/>
          <w:sz w:val="22"/>
          <w:szCs w:val="22"/>
        </w:rPr>
        <w:t>https://www.scie.org.uk/integrated-care/multidisciplinary-teams/</w:t>
      </w:r>
    </w:p>
    <w:p w14:paraId="47F2FBDE" w14:textId="77777777" w:rsidR="00A918D7" w:rsidRPr="00BC116C" w:rsidRDefault="00A918D7"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Thompson, N. (2023) </w:t>
      </w:r>
      <w:r w:rsidRPr="00BC116C">
        <w:rPr>
          <w:rStyle w:val="Strong"/>
          <w:rFonts w:ascii="Arial" w:eastAsiaTheme="majorEastAsia" w:hAnsi="Arial" w:cs="Arial"/>
          <w:b w:val="0"/>
          <w:bCs w:val="0"/>
          <w:i/>
          <w:iCs/>
          <w:sz w:val="22"/>
          <w:szCs w:val="22"/>
        </w:rPr>
        <w:t>The Social Worker’s Practice Manual</w:t>
      </w:r>
      <w:r w:rsidRPr="00BC116C">
        <w:rPr>
          <w:rFonts w:ascii="Arial" w:hAnsi="Arial" w:cs="Arial"/>
          <w:b/>
          <w:bCs/>
          <w:i/>
          <w:iCs/>
          <w:sz w:val="22"/>
          <w:szCs w:val="22"/>
        </w:rPr>
        <w:t>.</w:t>
      </w:r>
      <w:r w:rsidRPr="00BC116C">
        <w:rPr>
          <w:rFonts w:ascii="Arial" w:hAnsi="Arial" w:cs="Arial"/>
          <w:sz w:val="22"/>
          <w:szCs w:val="22"/>
        </w:rPr>
        <w:t xml:space="preserve"> London: Jessica Kingsley Publishers. </w:t>
      </w:r>
    </w:p>
    <w:p w14:paraId="4FB552CF" w14:textId="77777777" w:rsidR="00351E63" w:rsidRPr="00BC116C" w:rsidRDefault="00351E63" w:rsidP="00A918D7">
      <w:pPr>
        <w:pStyle w:val="NormalWeb"/>
        <w:spacing w:before="0" w:beforeAutospacing="0" w:after="0" w:afterAutospacing="0" w:line="360" w:lineRule="auto"/>
        <w:ind w:left="720" w:hanging="720"/>
        <w:rPr>
          <w:rFonts w:ascii="Arial" w:hAnsi="Arial" w:cs="Arial"/>
          <w:sz w:val="22"/>
          <w:szCs w:val="22"/>
        </w:rPr>
      </w:pPr>
      <w:r w:rsidRPr="00BC116C">
        <w:rPr>
          <w:rFonts w:ascii="Arial" w:hAnsi="Arial" w:cs="Arial"/>
          <w:sz w:val="22"/>
          <w:szCs w:val="22"/>
        </w:rPr>
        <w:t xml:space="preserve">Zhang, M.L., Boyd, A., Cheung, S.Y., Sharland, E. and Scourfield, J. (2020) “Social work contact in a UK cohort study: Under-reporting, predictors of contact and the emotional and behavioural problems of children,” </w:t>
      </w:r>
      <w:r w:rsidRPr="00BC116C">
        <w:rPr>
          <w:rFonts w:ascii="Arial" w:hAnsi="Arial" w:cs="Arial"/>
          <w:i/>
          <w:iCs/>
          <w:sz w:val="22"/>
          <w:szCs w:val="22"/>
        </w:rPr>
        <w:t>Children and Youth Services Review</w:t>
      </w:r>
      <w:r w:rsidRPr="00BC116C">
        <w:rPr>
          <w:rFonts w:ascii="Arial" w:hAnsi="Arial" w:cs="Arial"/>
          <w:sz w:val="22"/>
          <w:szCs w:val="22"/>
        </w:rPr>
        <w:t xml:space="preserve">, 115, p. 105071. Available at: </w:t>
      </w:r>
      <w:r w:rsidRPr="00BC116C">
        <w:rPr>
          <w:rStyle w:val="url"/>
          <w:rFonts w:ascii="Arial" w:eastAsiaTheme="majorEastAsia" w:hAnsi="Arial" w:cs="Arial"/>
          <w:sz w:val="22"/>
          <w:szCs w:val="22"/>
        </w:rPr>
        <w:t>https://doi.org/10.1016/j.childyouth.2020.105071</w:t>
      </w:r>
      <w:r w:rsidRPr="00BC116C">
        <w:rPr>
          <w:rFonts w:ascii="Arial" w:hAnsi="Arial" w:cs="Arial"/>
          <w:sz w:val="22"/>
          <w:szCs w:val="22"/>
        </w:rPr>
        <w:t>.</w:t>
      </w:r>
    </w:p>
    <w:p w14:paraId="7A369CE6" w14:textId="77777777" w:rsidR="00F64E5D" w:rsidRPr="00BC116C" w:rsidRDefault="00F64E5D" w:rsidP="00A97906">
      <w:pPr>
        <w:spacing w:after="0" w:line="360" w:lineRule="auto"/>
        <w:rPr>
          <w:rFonts w:ascii="Arial" w:hAnsi="Arial" w:cs="Arial"/>
          <w:sz w:val="22"/>
          <w:szCs w:val="22"/>
        </w:rPr>
      </w:pPr>
    </w:p>
    <w:sectPr w:rsidR="00F64E5D" w:rsidRPr="00BC11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66096"/>
    <w:multiLevelType w:val="hybridMultilevel"/>
    <w:tmpl w:val="48868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12291"/>
    <w:multiLevelType w:val="hybridMultilevel"/>
    <w:tmpl w:val="C59205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6513BD8"/>
    <w:multiLevelType w:val="hybridMultilevel"/>
    <w:tmpl w:val="6B54D0B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5883285">
    <w:abstractNumId w:val="0"/>
  </w:num>
  <w:num w:numId="2" w16cid:durableId="1014383644">
    <w:abstractNumId w:val="2"/>
  </w:num>
  <w:num w:numId="3" w16cid:durableId="21125797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E63"/>
    <w:rsid w:val="000430B8"/>
    <w:rsid w:val="00132318"/>
    <w:rsid w:val="0018568C"/>
    <w:rsid w:val="001C6CB5"/>
    <w:rsid w:val="001D08B3"/>
    <w:rsid w:val="002E7059"/>
    <w:rsid w:val="00305952"/>
    <w:rsid w:val="00325BAD"/>
    <w:rsid w:val="00336DD5"/>
    <w:rsid w:val="00351E63"/>
    <w:rsid w:val="003A7962"/>
    <w:rsid w:val="003D11B9"/>
    <w:rsid w:val="0045415B"/>
    <w:rsid w:val="005371A8"/>
    <w:rsid w:val="0057511D"/>
    <w:rsid w:val="006204DF"/>
    <w:rsid w:val="006B6BB5"/>
    <w:rsid w:val="00771450"/>
    <w:rsid w:val="00804CB1"/>
    <w:rsid w:val="00810697"/>
    <w:rsid w:val="008E03D0"/>
    <w:rsid w:val="009A56B9"/>
    <w:rsid w:val="009C7E9D"/>
    <w:rsid w:val="009F2C46"/>
    <w:rsid w:val="00A4314B"/>
    <w:rsid w:val="00A918D7"/>
    <w:rsid w:val="00A97906"/>
    <w:rsid w:val="00B20E6A"/>
    <w:rsid w:val="00B80389"/>
    <w:rsid w:val="00BC116C"/>
    <w:rsid w:val="00CB390B"/>
    <w:rsid w:val="00CB6B97"/>
    <w:rsid w:val="00D2579B"/>
    <w:rsid w:val="00EF73B0"/>
    <w:rsid w:val="00F55F00"/>
    <w:rsid w:val="00F64E5D"/>
    <w:rsid w:val="00F857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AB3AF"/>
  <w15:chartTrackingRefBased/>
  <w15:docId w15:val="{10D9351A-2B2B-2E48-8D69-DB9CD0D63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E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51E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51E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1E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1E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1E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E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E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E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E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51E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51E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1E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1E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1E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E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E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E63"/>
    <w:rPr>
      <w:rFonts w:eastAsiaTheme="majorEastAsia" w:cstheme="majorBidi"/>
      <w:color w:val="272727" w:themeColor="text1" w:themeTint="D8"/>
    </w:rPr>
  </w:style>
  <w:style w:type="paragraph" w:styleId="Title">
    <w:name w:val="Title"/>
    <w:basedOn w:val="Normal"/>
    <w:next w:val="Normal"/>
    <w:link w:val="TitleChar"/>
    <w:uiPriority w:val="10"/>
    <w:qFormat/>
    <w:rsid w:val="00351E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E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E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E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E63"/>
    <w:pPr>
      <w:spacing w:before="160"/>
      <w:jc w:val="center"/>
    </w:pPr>
    <w:rPr>
      <w:i/>
      <w:iCs/>
      <w:color w:val="404040" w:themeColor="text1" w:themeTint="BF"/>
    </w:rPr>
  </w:style>
  <w:style w:type="character" w:customStyle="1" w:styleId="QuoteChar">
    <w:name w:val="Quote Char"/>
    <w:basedOn w:val="DefaultParagraphFont"/>
    <w:link w:val="Quote"/>
    <w:uiPriority w:val="29"/>
    <w:rsid w:val="00351E63"/>
    <w:rPr>
      <w:i/>
      <w:iCs/>
      <w:color w:val="404040" w:themeColor="text1" w:themeTint="BF"/>
    </w:rPr>
  </w:style>
  <w:style w:type="paragraph" w:styleId="ListParagraph">
    <w:name w:val="List Paragraph"/>
    <w:basedOn w:val="Normal"/>
    <w:uiPriority w:val="34"/>
    <w:qFormat/>
    <w:rsid w:val="00351E63"/>
    <w:pPr>
      <w:ind w:left="720"/>
      <w:contextualSpacing/>
    </w:pPr>
  </w:style>
  <w:style w:type="character" w:styleId="IntenseEmphasis">
    <w:name w:val="Intense Emphasis"/>
    <w:basedOn w:val="DefaultParagraphFont"/>
    <w:uiPriority w:val="21"/>
    <w:qFormat/>
    <w:rsid w:val="00351E63"/>
    <w:rPr>
      <w:i/>
      <w:iCs/>
      <w:color w:val="2F5496" w:themeColor="accent1" w:themeShade="BF"/>
    </w:rPr>
  </w:style>
  <w:style w:type="paragraph" w:styleId="IntenseQuote">
    <w:name w:val="Intense Quote"/>
    <w:basedOn w:val="Normal"/>
    <w:next w:val="Normal"/>
    <w:link w:val="IntenseQuoteChar"/>
    <w:uiPriority w:val="30"/>
    <w:qFormat/>
    <w:rsid w:val="00351E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1E63"/>
    <w:rPr>
      <w:i/>
      <w:iCs/>
      <w:color w:val="2F5496" w:themeColor="accent1" w:themeShade="BF"/>
    </w:rPr>
  </w:style>
  <w:style w:type="character" w:styleId="IntenseReference">
    <w:name w:val="Intense Reference"/>
    <w:basedOn w:val="DefaultParagraphFont"/>
    <w:uiPriority w:val="32"/>
    <w:qFormat/>
    <w:rsid w:val="00351E63"/>
    <w:rPr>
      <w:b/>
      <w:bCs/>
      <w:smallCaps/>
      <w:color w:val="2F5496" w:themeColor="accent1" w:themeShade="BF"/>
      <w:spacing w:val="5"/>
    </w:rPr>
  </w:style>
  <w:style w:type="paragraph" w:styleId="NormalWeb">
    <w:name w:val="Normal (Web)"/>
    <w:basedOn w:val="Normal"/>
    <w:uiPriority w:val="99"/>
    <w:semiHidden/>
    <w:unhideWhenUsed/>
    <w:rsid w:val="00351E6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51E63"/>
    <w:rPr>
      <w:b/>
      <w:bCs/>
    </w:rPr>
  </w:style>
  <w:style w:type="character" w:customStyle="1" w:styleId="ms-1">
    <w:name w:val="ms-1"/>
    <w:basedOn w:val="DefaultParagraphFont"/>
    <w:rsid w:val="00351E63"/>
  </w:style>
  <w:style w:type="character" w:customStyle="1" w:styleId="max-w-15ch">
    <w:name w:val="max-w-[15ch]"/>
    <w:basedOn w:val="DefaultParagraphFont"/>
    <w:rsid w:val="00351E63"/>
  </w:style>
  <w:style w:type="character" w:customStyle="1" w:styleId="-me-1">
    <w:name w:val="-me-1"/>
    <w:basedOn w:val="DefaultParagraphFont"/>
    <w:rsid w:val="00351E63"/>
  </w:style>
  <w:style w:type="character" w:styleId="Emphasis">
    <w:name w:val="Emphasis"/>
    <w:basedOn w:val="DefaultParagraphFont"/>
    <w:uiPriority w:val="20"/>
    <w:qFormat/>
    <w:rsid w:val="00351E63"/>
    <w:rPr>
      <w:i/>
      <w:iCs/>
    </w:rPr>
  </w:style>
  <w:style w:type="character" w:styleId="Hyperlink">
    <w:name w:val="Hyperlink"/>
    <w:basedOn w:val="DefaultParagraphFont"/>
    <w:uiPriority w:val="99"/>
    <w:unhideWhenUsed/>
    <w:rsid w:val="00351E63"/>
    <w:rPr>
      <w:color w:val="0563C1" w:themeColor="hyperlink"/>
      <w:u w:val="single"/>
    </w:rPr>
  </w:style>
  <w:style w:type="character" w:styleId="UnresolvedMention">
    <w:name w:val="Unresolved Mention"/>
    <w:basedOn w:val="DefaultParagraphFont"/>
    <w:uiPriority w:val="99"/>
    <w:semiHidden/>
    <w:unhideWhenUsed/>
    <w:rsid w:val="00351E63"/>
    <w:rPr>
      <w:color w:val="605E5C"/>
      <w:shd w:val="clear" w:color="auto" w:fill="E1DFDD"/>
    </w:rPr>
  </w:style>
  <w:style w:type="character" w:customStyle="1" w:styleId="url">
    <w:name w:val="url"/>
    <w:basedOn w:val="DefaultParagraphFont"/>
    <w:rsid w:val="00351E63"/>
  </w:style>
  <w:style w:type="table" w:styleId="TableGrid">
    <w:name w:val="Table Grid"/>
    <w:basedOn w:val="TableNormal"/>
    <w:uiPriority w:val="39"/>
    <w:rsid w:val="00A97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204DF"/>
    <w:rPr>
      <w:sz w:val="16"/>
      <w:szCs w:val="16"/>
    </w:rPr>
  </w:style>
  <w:style w:type="paragraph" w:styleId="CommentText">
    <w:name w:val="annotation text"/>
    <w:basedOn w:val="Normal"/>
    <w:link w:val="CommentTextChar"/>
    <w:uiPriority w:val="99"/>
    <w:unhideWhenUsed/>
    <w:rsid w:val="006204DF"/>
    <w:pPr>
      <w:spacing w:line="240" w:lineRule="auto"/>
    </w:pPr>
    <w:rPr>
      <w:sz w:val="20"/>
      <w:szCs w:val="20"/>
    </w:rPr>
  </w:style>
  <w:style w:type="character" w:customStyle="1" w:styleId="CommentTextChar">
    <w:name w:val="Comment Text Char"/>
    <w:basedOn w:val="DefaultParagraphFont"/>
    <w:link w:val="CommentText"/>
    <w:uiPriority w:val="99"/>
    <w:rsid w:val="006204DF"/>
    <w:rPr>
      <w:sz w:val="20"/>
      <w:szCs w:val="20"/>
    </w:rPr>
  </w:style>
  <w:style w:type="paragraph" w:styleId="CommentSubject">
    <w:name w:val="annotation subject"/>
    <w:basedOn w:val="CommentText"/>
    <w:next w:val="CommentText"/>
    <w:link w:val="CommentSubjectChar"/>
    <w:uiPriority w:val="99"/>
    <w:semiHidden/>
    <w:unhideWhenUsed/>
    <w:rsid w:val="006204DF"/>
    <w:rPr>
      <w:b/>
      <w:bCs/>
    </w:rPr>
  </w:style>
  <w:style w:type="character" w:customStyle="1" w:styleId="CommentSubjectChar">
    <w:name w:val="Comment Subject Char"/>
    <w:basedOn w:val="CommentTextChar"/>
    <w:link w:val="CommentSubject"/>
    <w:uiPriority w:val="99"/>
    <w:semiHidden/>
    <w:rsid w:val="006204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ocialworkengland.org.uk/media/3453/professional-standards-guidance.pdf" TargetMode="External"/><Relationship Id="rId5" Type="http://schemas.openxmlformats.org/officeDocument/2006/relationships/numbering" Target="numbering.xml"/><Relationship Id="rId10" Type="http://schemas.openxmlformats.org/officeDocument/2006/relationships/hyperlink" Target="https://www.socialworkengland.org.uk/standards/professional-standards/" TargetMode="External"/><Relationship Id="rId4" Type="http://schemas.openxmlformats.org/officeDocument/2006/relationships/customXml" Target="../customXml/item4.xml"/><Relationship Id="rId9" Type="http://schemas.openxmlformats.org/officeDocument/2006/relationships/hyperlink" Target="https://basw.co.uk/sites/default/files/resources/Code%20of%20Ethics%20Aug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436bb072769d20ebdccb8b4f30af62a2">
  <xsd:schema xmlns:xsd="http://www.w3.org/2001/XMLSchema" xmlns:xs="http://www.w3.org/2001/XMLSchema" xmlns:p="http://schemas.microsoft.com/office/2006/metadata/properties" xmlns:ns3="dd86abe3-ec21-467e-8687-9d211c569818" targetNamespace="http://schemas.microsoft.com/office/2006/metadata/properties" ma:root="true" ma:fieldsID="e0f1281dba82c54885c36b905361b8b9"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355E0C4F-3325-BE48-89B9-2E8032E7922E}">
  <ds:schemaRefs>
    <ds:schemaRef ds:uri="http://schemas.openxmlformats.org/officeDocument/2006/bibliography"/>
  </ds:schemaRefs>
</ds:datastoreItem>
</file>

<file path=customXml/itemProps2.xml><?xml version="1.0" encoding="utf-8"?>
<ds:datastoreItem xmlns:ds="http://schemas.openxmlformats.org/officeDocument/2006/customXml" ds:itemID="{C2511551-0D0F-419C-82C7-E06DF84EB9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AB0261-5A9B-4071-8F45-BDD100366BFD}">
  <ds:schemaRefs>
    <ds:schemaRef ds:uri="http://schemas.microsoft.com/sharepoint/v3/contenttype/forms"/>
  </ds:schemaRefs>
</ds:datastoreItem>
</file>

<file path=customXml/itemProps4.xml><?xml version="1.0" encoding="utf-8"?>
<ds:datastoreItem xmlns:ds="http://schemas.openxmlformats.org/officeDocument/2006/customXml" ds:itemID="{72E65C04-DE60-4831-8122-7AF08AED1B8D}">
  <ds:schemaRefs>
    <ds:schemaRef ds:uri="http://www.w3.org/XML/1998/namespace"/>
    <ds:schemaRef ds:uri="http://purl.org/dc/terms/"/>
    <ds:schemaRef ds:uri="http://purl.org/dc/dcmitype/"/>
    <ds:schemaRef ds:uri="http://schemas.openxmlformats.org/package/2006/metadata/core-properties"/>
    <ds:schemaRef ds:uri="http://purl.org/dc/elements/1.1/"/>
    <ds:schemaRef ds:uri="dd86abe3-ec21-467e-8687-9d211c569818"/>
    <ds:schemaRef ds:uri="http://schemas.microsoft.com/office/2006/documentManagement/typ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3091</Words>
  <Characters>15148</Characters>
  <Application>Microsoft Office Word</Application>
  <DocSecurity>0</DocSecurity>
  <Lines>561</Lines>
  <Paragraphs>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Nuria Muge Balde (2426749)</cp:lastModifiedBy>
  <cp:revision>2</cp:revision>
  <dcterms:created xsi:type="dcterms:W3CDTF">2025-12-08T10:52:00Z</dcterms:created>
  <dcterms:modified xsi:type="dcterms:W3CDTF">2025-12-08T10:52:00Z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