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2B65DED" w14:textId="77777777" w:rsidR="001F1B72" w:rsidRDefault="001F1B72"/>
    <w:p w14:paraId="1BC6053F" w14:textId="77777777" w:rsidR="002464E5" w:rsidRDefault="002464E5"/>
    <w:p w14:paraId="2DA5F85E" w14:textId="77777777" w:rsidR="002464E5" w:rsidRPr="001A346D" w:rsidRDefault="002464E5" w:rsidP="002464E5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1A346D">
        <w:rPr>
          <w:rFonts w:ascii="Arial" w:hAnsi="Arial" w:cs="Arial"/>
          <w:b/>
          <w:bCs/>
          <w:sz w:val="36"/>
          <w:szCs w:val="36"/>
        </w:rPr>
        <w:t>Student: Azra Bi</w:t>
      </w:r>
    </w:p>
    <w:p w14:paraId="533604C4" w14:textId="77777777" w:rsidR="002464E5" w:rsidRPr="001A346D" w:rsidRDefault="002464E5" w:rsidP="002464E5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5A61AC24" w14:textId="77777777" w:rsidR="002464E5" w:rsidRPr="001A346D" w:rsidRDefault="002464E5" w:rsidP="002464E5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1A346D">
        <w:rPr>
          <w:rFonts w:ascii="Arial" w:hAnsi="Arial" w:cs="Arial"/>
          <w:b/>
          <w:bCs/>
          <w:sz w:val="36"/>
          <w:szCs w:val="36"/>
        </w:rPr>
        <w:t>Student ID: 2312900</w:t>
      </w:r>
    </w:p>
    <w:p w14:paraId="7015D238" w14:textId="77777777" w:rsidR="002464E5" w:rsidRPr="00215D76" w:rsidRDefault="002464E5" w:rsidP="002464E5">
      <w:pPr>
        <w:spacing w:line="360" w:lineRule="auto"/>
        <w:jc w:val="center"/>
        <w:rPr>
          <w:rFonts w:ascii="Arial" w:hAnsi="Arial" w:cs="Arial"/>
          <w:b/>
          <w:bCs/>
          <w:color w:val="242130"/>
          <w:sz w:val="36"/>
          <w:szCs w:val="36"/>
          <w:shd w:val="clear" w:color="auto" w:fill="FFFFFF"/>
        </w:rPr>
      </w:pPr>
      <w:r w:rsidRPr="001A346D">
        <w:rPr>
          <w:rFonts w:ascii="Arial" w:hAnsi="Arial" w:cs="Arial"/>
          <w:b/>
          <w:bCs/>
          <w:sz w:val="36"/>
          <w:szCs w:val="36"/>
        </w:rPr>
        <w:t>Lecturer</w:t>
      </w:r>
      <w:r w:rsidRPr="00215D76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: </w:t>
      </w:r>
      <w:r w:rsidRPr="00FE01AD">
        <w:rPr>
          <w:rFonts w:ascii="Arial" w:hAnsi="Arial" w:cs="Arial"/>
          <w:b/>
          <w:bCs/>
          <w:sz w:val="36"/>
          <w:szCs w:val="36"/>
          <w:shd w:val="clear" w:color="auto" w:fill="FFFFFF"/>
        </w:rPr>
        <w:t>Chloe Harries</w:t>
      </w:r>
    </w:p>
    <w:p w14:paraId="102E92D3" w14:textId="77777777" w:rsidR="002464E5" w:rsidRPr="00215D76" w:rsidRDefault="002464E5" w:rsidP="002464E5">
      <w:pPr>
        <w:spacing w:before="120" w:after="120"/>
        <w:jc w:val="center"/>
        <w:rPr>
          <w:rFonts w:ascii="Arial" w:hAnsi="Arial" w:cs="Arial"/>
          <w:b/>
          <w:sz w:val="36"/>
          <w:szCs w:val="36"/>
        </w:rPr>
      </w:pPr>
      <w:r w:rsidRPr="001A346D">
        <w:rPr>
          <w:rFonts w:ascii="Arial" w:hAnsi="Arial" w:cs="Arial"/>
          <w:b/>
          <w:bCs/>
          <w:sz w:val="36"/>
          <w:szCs w:val="36"/>
        </w:rPr>
        <w:t xml:space="preserve">Module: </w:t>
      </w:r>
      <w:r w:rsidRPr="00215D76">
        <w:rPr>
          <w:rFonts w:ascii="Arial" w:hAnsi="Arial" w:cs="Arial"/>
          <w:b/>
          <w:bCs/>
          <w:sz w:val="36"/>
          <w:szCs w:val="36"/>
        </w:rPr>
        <w:t>Independent Project</w:t>
      </w:r>
    </w:p>
    <w:p w14:paraId="65C37274" w14:textId="77777777" w:rsidR="002464E5" w:rsidRDefault="002464E5" w:rsidP="002464E5">
      <w:pPr>
        <w:spacing w:line="360" w:lineRule="auto"/>
        <w:jc w:val="center"/>
        <w:rPr>
          <w:rFonts w:ascii="Arial" w:hAnsi="Arial" w:cs="Arial"/>
          <w:b/>
        </w:rPr>
      </w:pPr>
    </w:p>
    <w:p w14:paraId="160AC920" w14:textId="77777777" w:rsidR="002464E5" w:rsidRPr="00215D76" w:rsidRDefault="002464E5" w:rsidP="002464E5">
      <w:pPr>
        <w:spacing w:before="120" w:after="120"/>
        <w:jc w:val="center"/>
        <w:rPr>
          <w:rFonts w:ascii="Arial" w:hAnsi="Arial" w:cs="Arial"/>
          <w:b/>
          <w:sz w:val="36"/>
          <w:szCs w:val="36"/>
        </w:rPr>
      </w:pPr>
      <w:r>
        <w:rPr>
          <w:rFonts w:ascii="Arial" w:hAnsi="Arial" w:cs="Arial"/>
          <w:b/>
        </w:rPr>
        <w:t xml:space="preserve"> </w:t>
      </w:r>
      <w:r w:rsidRPr="001A346D">
        <w:rPr>
          <w:rFonts w:ascii="Arial" w:hAnsi="Arial" w:cs="Arial"/>
          <w:b/>
          <w:bCs/>
          <w:sz w:val="36"/>
          <w:szCs w:val="36"/>
        </w:rPr>
        <w:t xml:space="preserve">Module </w:t>
      </w:r>
      <w:r w:rsidRPr="00861355">
        <w:rPr>
          <w:rFonts w:ascii="Arial" w:hAnsi="Arial" w:cs="Arial"/>
          <w:b/>
          <w:bCs/>
          <w:sz w:val="36"/>
          <w:szCs w:val="36"/>
        </w:rPr>
        <w:t>code</w:t>
      </w:r>
      <w:r w:rsidRPr="00215D76">
        <w:rPr>
          <w:rFonts w:ascii="Arial" w:hAnsi="Arial" w:cs="Arial"/>
          <w:b/>
          <w:bCs/>
          <w:sz w:val="36"/>
          <w:szCs w:val="36"/>
        </w:rPr>
        <w:t xml:space="preserve">: </w:t>
      </w:r>
      <w:r w:rsidRPr="00215D76">
        <w:rPr>
          <w:rFonts w:ascii="Arial" w:hAnsi="Arial" w:cs="Arial"/>
          <w:b/>
          <w:sz w:val="36"/>
          <w:szCs w:val="36"/>
        </w:rPr>
        <w:t>BMHP6020</w:t>
      </w:r>
    </w:p>
    <w:p w14:paraId="36D28334" w14:textId="77777777" w:rsidR="002464E5" w:rsidRPr="001A346D" w:rsidRDefault="002464E5" w:rsidP="002464E5">
      <w:pPr>
        <w:spacing w:line="360" w:lineRule="auto"/>
        <w:jc w:val="center"/>
        <w:rPr>
          <w:rFonts w:ascii="Arial" w:hAnsi="Arial" w:cs="Arial"/>
          <w:b/>
          <w:sz w:val="36"/>
          <w:szCs w:val="36"/>
        </w:rPr>
      </w:pPr>
    </w:p>
    <w:p w14:paraId="45002CAB" w14:textId="77777777" w:rsidR="002464E5" w:rsidRPr="00215D76" w:rsidRDefault="002464E5" w:rsidP="002464E5">
      <w:pPr>
        <w:spacing w:line="256" w:lineRule="auto"/>
        <w:rPr>
          <w:rFonts w:ascii="Arial" w:hAnsi="Arial" w:cs="Arial"/>
          <w:b/>
          <w:bCs/>
          <w:sz w:val="36"/>
          <w:szCs w:val="36"/>
        </w:rPr>
      </w:pPr>
      <w:r w:rsidRPr="001A346D">
        <w:rPr>
          <w:rFonts w:ascii="Arial" w:hAnsi="Arial" w:cs="Arial"/>
          <w:b/>
          <w:bCs/>
          <w:sz w:val="36"/>
          <w:szCs w:val="36"/>
        </w:rPr>
        <w:t>Assignment title</w:t>
      </w:r>
      <w:r w:rsidRPr="00215D76">
        <w:rPr>
          <w:rFonts w:ascii="Arial" w:hAnsi="Arial" w:cs="Arial"/>
          <w:b/>
          <w:bCs/>
          <w:sz w:val="36"/>
          <w:szCs w:val="36"/>
        </w:rPr>
        <w:t>:</w:t>
      </w:r>
      <w:r w:rsidRPr="00215D76">
        <w:rPr>
          <w:rFonts w:ascii="Arial" w:hAnsi="Arial" w:cs="Arial"/>
          <w:b/>
          <w:sz w:val="36"/>
          <w:szCs w:val="36"/>
        </w:rPr>
        <w:t xml:space="preserve"> </w:t>
      </w:r>
      <w:r w:rsidRPr="00215D76">
        <w:rPr>
          <w:rFonts w:ascii="Arial" w:hAnsi="Arial" w:cs="Arial"/>
          <w:b/>
          <w:bCs/>
          <w:sz w:val="36"/>
          <w:szCs w:val="36"/>
        </w:rPr>
        <w:t>Component 1: Portfolio (including 3 elements)</w:t>
      </w:r>
    </w:p>
    <w:p w14:paraId="7A351996" w14:textId="77777777" w:rsidR="002464E5" w:rsidRDefault="002464E5"/>
    <w:p w14:paraId="098BAE92" w14:textId="77777777" w:rsidR="002464E5" w:rsidRDefault="002464E5"/>
    <w:p w14:paraId="07AD686F" w14:textId="77777777" w:rsidR="002464E5" w:rsidRDefault="002464E5"/>
    <w:p w14:paraId="72354C1A" w14:textId="77777777" w:rsidR="002464E5" w:rsidRDefault="002464E5"/>
    <w:p w14:paraId="29A08179" w14:textId="77777777" w:rsidR="002464E5" w:rsidRDefault="002464E5"/>
    <w:p w14:paraId="7833BDD9" w14:textId="77777777" w:rsidR="002464E5" w:rsidRDefault="002464E5"/>
    <w:p w14:paraId="4FC08092" w14:textId="77777777" w:rsidR="002464E5" w:rsidRDefault="002464E5"/>
    <w:p w14:paraId="5D400210" w14:textId="77777777" w:rsidR="002464E5" w:rsidRDefault="002464E5"/>
    <w:p w14:paraId="296391BD" w14:textId="77777777" w:rsidR="002464E5" w:rsidRDefault="002464E5"/>
    <w:p w14:paraId="43C5ECF8" w14:textId="77777777" w:rsidR="002464E5" w:rsidRDefault="002464E5"/>
    <w:p w14:paraId="510B9588" w14:textId="77777777" w:rsidR="002464E5" w:rsidRDefault="002464E5"/>
    <w:p w14:paraId="40C9DA20" w14:textId="77777777" w:rsidR="002464E5" w:rsidRDefault="002464E5"/>
    <w:p w14:paraId="5EDBF697" w14:textId="77777777" w:rsidR="004048F4" w:rsidRDefault="004048F4"/>
    <w:p w14:paraId="66DF4E23" w14:textId="77777777" w:rsidR="002464E5" w:rsidRDefault="002464E5"/>
    <w:p w14:paraId="2CCE41FB" w14:textId="77777777" w:rsidR="002464E5" w:rsidRPr="00B217F0" w:rsidRDefault="002464E5" w:rsidP="00B217F0">
      <w:pPr>
        <w:spacing w:line="360" w:lineRule="auto"/>
        <w:rPr>
          <w:rFonts w:ascii="Arial" w:hAnsi="Arial" w:cs="Arial"/>
        </w:rPr>
      </w:pPr>
      <w:r w:rsidRPr="00B217F0">
        <w:rPr>
          <w:rFonts w:ascii="Arial" w:hAnsi="Arial" w:cs="Arial"/>
        </w:rPr>
        <w:lastRenderedPageBreak/>
        <w:t>Table of Contents</w:t>
      </w:r>
    </w:p>
    <w:p w14:paraId="7FC6002A" w14:textId="1D773746" w:rsidR="002464E5" w:rsidRPr="00B217F0" w:rsidRDefault="002464E5" w:rsidP="00B217F0">
      <w:pPr>
        <w:spacing w:line="360" w:lineRule="auto"/>
        <w:rPr>
          <w:rFonts w:ascii="Arial" w:hAnsi="Arial" w:cs="Arial"/>
        </w:rPr>
      </w:pPr>
      <w:r w:rsidRPr="00506B8E">
        <w:rPr>
          <w:rFonts w:ascii="Arial" w:hAnsi="Arial" w:cs="Arial"/>
          <w:b/>
          <w:bCs/>
        </w:rPr>
        <w:t>Chapter 1: Introduction</w:t>
      </w:r>
      <w:r w:rsidRPr="00B217F0">
        <w:rPr>
          <w:rFonts w:ascii="Arial" w:hAnsi="Arial" w:cs="Arial"/>
        </w:rPr>
        <w:t xml:space="preserve"> ...................................................................................................... 3</w:t>
      </w:r>
    </w:p>
    <w:p w14:paraId="6A013E1F" w14:textId="62C2A8DE" w:rsidR="002464E5" w:rsidRPr="00B217F0" w:rsidRDefault="002464E5" w:rsidP="00B217F0">
      <w:pPr>
        <w:spacing w:line="360" w:lineRule="auto"/>
        <w:rPr>
          <w:rFonts w:ascii="Arial" w:hAnsi="Arial" w:cs="Arial"/>
        </w:rPr>
      </w:pPr>
      <w:r w:rsidRPr="00B217F0">
        <w:rPr>
          <w:rFonts w:ascii="Arial" w:hAnsi="Arial" w:cs="Arial"/>
        </w:rPr>
        <w:t>Introduction............................................................................................................................ 3</w:t>
      </w:r>
    </w:p>
    <w:p w14:paraId="4CB916A2" w14:textId="79CEDBE3" w:rsidR="002464E5" w:rsidRPr="00B217F0" w:rsidRDefault="002464E5" w:rsidP="00B217F0">
      <w:pPr>
        <w:spacing w:line="360" w:lineRule="auto"/>
        <w:rPr>
          <w:rFonts w:ascii="Arial" w:hAnsi="Arial" w:cs="Arial"/>
        </w:rPr>
      </w:pPr>
      <w:r w:rsidRPr="00B217F0">
        <w:rPr>
          <w:rFonts w:ascii="Arial" w:hAnsi="Arial" w:cs="Arial"/>
        </w:rPr>
        <w:t>Definitions and Terminology................................................................................................... 3</w:t>
      </w:r>
    </w:p>
    <w:p w14:paraId="73A629DA" w14:textId="7AB273FF" w:rsidR="002464E5" w:rsidRPr="00B217F0" w:rsidRDefault="002464E5" w:rsidP="00B217F0">
      <w:pPr>
        <w:spacing w:line="360" w:lineRule="auto"/>
        <w:rPr>
          <w:rFonts w:ascii="Arial" w:hAnsi="Arial" w:cs="Arial"/>
        </w:rPr>
      </w:pPr>
      <w:r w:rsidRPr="00B217F0">
        <w:rPr>
          <w:rFonts w:ascii="Arial" w:hAnsi="Arial" w:cs="Arial"/>
        </w:rPr>
        <w:t xml:space="preserve">Rationale for Research.......................................................................................................... </w:t>
      </w:r>
      <w:r w:rsidR="00506B8E">
        <w:rPr>
          <w:rFonts w:ascii="Arial" w:hAnsi="Arial" w:cs="Arial"/>
        </w:rPr>
        <w:t>4</w:t>
      </w:r>
    </w:p>
    <w:p w14:paraId="48A08AB4" w14:textId="76E648D6" w:rsidR="002464E5" w:rsidRPr="00B217F0" w:rsidRDefault="002464E5" w:rsidP="00B217F0">
      <w:pPr>
        <w:spacing w:line="360" w:lineRule="auto"/>
        <w:rPr>
          <w:rFonts w:ascii="Arial" w:hAnsi="Arial" w:cs="Arial"/>
        </w:rPr>
      </w:pPr>
      <w:r w:rsidRPr="00B217F0">
        <w:rPr>
          <w:rFonts w:ascii="Arial" w:hAnsi="Arial" w:cs="Arial"/>
        </w:rPr>
        <w:t xml:space="preserve">Research Aim......................................................................................................................... </w:t>
      </w:r>
      <w:r w:rsidR="00506B8E">
        <w:rPr>
          <w:rFonts w:ascii="Arial" w:hAnsi="Arial" w:cs="Arial"/>
        </w:rPr>
        <w:t>5</w:t>
      </w:r>
    </w:p>
    <w:p w14:paraId="51F5F4A1" w14:textId="7DE5F5D0" w:rsidR="002464E5" w:rsidRPr="00B217F0" w:rsidRDefault="002464E5" w:rsidP="00B217F0">
      <w:pPr>
        <w:spacing w:line="360" w:lineRule="auto"/>
        <w:rPr>
          <w:rFonts w:ascii="Arial" w:hAnsi="Arial" w:cs="Arial"/>
        </w:rPr>
      </w:pPr>
      <w:r w:rsidRPr="00B217F0">
        <w:rPr>
          <w:rFonts w:ascii="Arial" w:hAnsi="Arial" w:cs="Arial"/>
        </w:rPr>
        <w:t>Research Objectives.............................................................................................................. 5</w:t>
      </w:r>
    </w:p>
    <w:p w14:paraId="63B6AB23" w14:textId="1AD20D3D" w:rsidR="002464E5" w:rsidRPr="00B217F0" w:rsidRDefault="002464E5" w:rsidP="00B217F0">
      <w:pPr>
        <w:spacing w:line="360" w:lineRule="auto"/>
        <w:rPr>
          <w:rFonts w:ascii="Arial" w:hAnsi="Arial" w:cs="Arial"/>
        </w:rPr>
      </w:pPr>
      <w:r w:rsidRPr="00B217F0">
        <w:rPr>
          <w:rFonts w:ascii="Arial" w:hAnsi="Arial" w:cs="Arial"/>
        </w:rPr>
        <w:t>Conclusion ............................................................................................................................ 5</w:t>
      </w:r>
    </w:p>
    <w:p w14:paraId="71D05812" w14:textId="15DD8C28" w:rsidR="002464E5" w:rsidRPr="00B217F0" w:rsidRDefault="002464E5" w:rsidP="00B217F0">
      <w:pPr>
        <w:spacing w:line="360" w:lineRule="auto"/>
        <w:rPr>
          <w:rFonts w:ascii="Arial" w:hAnsi="Arial" w:cs="Arial"/>
        </w:rPr>
      </w:pPr>
      <w:r w:rsidRPr="00506B8E">
        <w:rPr>
          <w:rFonts w:ascii="Arial" w:hAnsi="Arial" w:cs="Arial"/>
          <w:b/>
          <w:bCs/>
        </w:rPr>
        <w:t>Chapter 2: Background Information and Analysis</w:t>
      </w:r>
      <w:r w:rsidRPr="00B217F0">
        <w:rPr>
          <w:rFonts w:ascii="Arial" w:hAnsi="Arial" w:cs="Arial"/>
        </w:rPr>
        <w:t xml:space="preserve"> .......................................................... 6</w:t>
      </w:r>
    </w:p>
    <w:p w14:paraId="60CF9C21" w14:textId="19CD305A" w:rsidR="002464E5" w:rsidRPr="00B217F0" w:rsidRDefault="002464E5" w:rsidP="00B217F0">
      <w:pPr>
        <w:spacing w:line="360" w:lineRule="auto"/>
        <w:rPr>
          <w:rFonts w:ascii="Arial" w:hAnsi="Arial" w:cs="Arial"/>
        </w:rPr>
      </w:pPr>
      <w:r w:rsidRPr="00B217F0">
        <w:rPr>
          <w:rFonts w:ascii="Arial" w:hAnsi="Arial" w:cs="Arial"/>
        </w:rPr>
        <w:t>Introduction............................................................................................................................ 6</w:t>
      </w:r>
    </w:p>
    <w:p w14:paraId="17A585EB" w14:textId="7E67104E" w:rsidR="002464E5" w:rsidRPr="00B217F0" w:rsidRDefault="002464E5" w:rsidP="00B217F0">
      <w:pPr>
        <w:spacing w:line="360" w:lineRule="auto"/>
        <w:rPr>
          <w:rFonts w:ascii="Arial" w:hAnsi="Arial" w:cs="Arial"/>
        </w:rPr>
      </w:pPr>
      <w:r w:rsidRPr="00B217F0">
        <w:rPr>
          <w:rFonts w:ascii="Arial" w:hAnsi="Arial" w:cs="Arial"/>
        </w:rPr>
        <w:t>Historical Background ........................................................................................................... 6</w:t>
      </w:r>
    </w:p>
    <w:p w14:paraId="440F3960" w14:textId="01E71550" w:rsidR="002464E5" w:rsidRPr="00B217F0" w:rsidRDefault="002464E5" w:rsidP="00B217F0">
      <w:pPr>
        <w:spacing w:line="360" w:lineRule="auto"/>
        <w:rPr>
          <w:rFonts w:ascii="Arial" w:hAnsi="Arial" w:cs="Arial"/>
        </w:rPr>
      </w:pPr>
      <w:r w:rsidRPr="00B217F0">
        <w:rPr>
          <w:rFonts w:ascii="Arial" w:hAnsi="Arial" w:cs="Arial"/>
        </w:rPr>
        <w:t>Theoretical Background.......................................................................................................... 7</w:t>
      </w:r>
    </w:p>
    <w:p w14:paraId="1718E9C6" w14:textId="28694F58" w:rsidR="002464E5" w:rsidRPr="00B217F0" w:rsidRDefault="002464E5" w:rsidP="00B217F0">
      <w:pPr>
        <w:spacing w:line="360" w:lineRule="auto"/>
        <w:rPr>
          <w:rFonts w:ascii="Arial" w:hAnsi="Arial" w:cs="Arial"/>
        </w:rPr>
      </w:pPr>
      <w:r w:rsidRPr="00B217F0">
        <w:rPr>
          <w:rFonts w:ascii="Arial" w:hAnsi="Arial" w:cs="Arial"/>
        </w:rPr>
        <w:t>International Context ............................................................................................................. 8</w:t>
      </w:r>
    </w:p>
    <w:p w14:paraId="31CD18DD" w14:textId="01DD83D6" w:rsidR="002464E5" w:rsidRPr="00B217F0" w:rsidRDefault="002464E5" w:rsidP="00B217F0">
      <w:pPr>
        <w:spacing w:line="360" w:lineRule="auto"/>
        <w:rPr>
          <w:rFonts w:ascii="Arial" w:hAnsi="Arial" w:cs="Arial"/>
        </w:rPr>
      </w:pPr>
      <w:r w:rsidRPr="00B217F0">
        <w:rPr>
          <w:rFonts w:ascii="Arial" w:hAnsi="Arial" w:cs="Arial"/>
        </w:rPr>
        <w:t>National/Local UK Context .......................................................</w:t>
      </w:r>
      <w:r w:rsidR="00B217F0">
        <w:rPr>
          <w:rFonts w:ascii="Arial" w:hAnsi="Arial" w:cs="Arial"/>
        </w:rPr>
        <w:t>.</w:t>
      </w:r>
      <w:r w:rsidRPr="00B217F0">
        <w:rPr>
          <w:rFonts w:ascii="Arial" w:hAnsi="Arial" w:cs="Arial"/>
        </w:rPr>
        <w:t>............................................ 9</w:t>
      </w:r>
    </w:p>
    <w:p w14:paraId="243F9826" w14:textId="3835AA32" w:rsidR="002464E5" w:rsidRPr="00B217F0" w:rsidRDefault="002464E5" w:rsidP="00B217F0">
      <w:pPr>
        <w:spacing w:line="360" w:lineRule="auto"/>
        <w:rPr>
          <w:rFonts w:ascii="Arial" w:hAnsi="Arial" w:cs="Arial"/>
        </w:rPr>
      </w:pPr>
      <w:r w:rsidRPr="00B217F0">
        <w:rPr>
          <w:rFonts w:ascii="Arial" w:hAnsi="Arial" w:cs="Arial"/>
        </w:rPr>
        <w:t>Conclusion ........................................................................................................................... 10</w:t>
      </w:r>
    </w:p>
    <w:p w14:paraId="75544210" w14:textId="7B24ABCF" w:rsidR="002464E5" w:rsidRPr="00B217F0" w:rsidRDefault="002464E5" w:rsidP="00B217F0">
      <w:pPr>
        <w:spacing w:line="360" w:lineRule="auto"/>
        <w:rPr>
          <w:rFonts w:ascii="Arial" w:hAnsi="Arial" w:cs="Arial"/>
        </w:rPr>
      </w:pPr>
      <w:r w:rsidRPr="00B217F0">
        <w:rPr>
          <w:rFonts w:ascii="Arial" w:hAnsi="Arial" w:cs="Arial"/>
        </w:rPr>
        <w:t>References............................................................................................................................ 11</w:t>
      </w:r>
    </w:p>
    <w:p w14:paraId="24539805" w14:textId="77777777" w:rsidR="004048F4" w:rsidRPr="004048F4" w:rsidRDefault="004048F4" w:rsidP="004048F4"/>
    <w:p w14:paraId="151D7472" w14:textId="77777777" w:rsidR="004048F4" w:rsidRPr="004048F4" w:rsidRDefault="004048F4" w:rsidP="004048F4"/>
    <w:p w14:paraId="3E74E403" w14:textId="77777777" w:rsidR="004048F4" w:rsidRPr="004048F4" w:rsidRDefault="004048F4" w:rsidP="004048F4"/>
    <w:p w14:paraId="57D01A02" w14:textId="77777777" w:rsidR="004048F4" w:rsidRPr="004048F4" w:rsidRDefault="004048F4" w:rsidP="004048F4"/>
    <w:p w14:paraId="5D017168" w14:textId="77777777" w:rsidR="004048F4" w:rsidRPr="004048F4" w:rsidRDefault="004048F4" w:rsidP="004048F4"/>
    <w:p w14:paraId="1752D9F5" w14:textId="77777777" w:rsidR="004048F4" w:rsidRPr="004048F4" w:rsidRDefault="004048F4" w:rsidP="004048F4"/>
    <w:p w14:paraId="328349B2" w14:textId="77777777" w:rsidR="004048F4" w:rsidRPr="004048F4" w:rsidRDefault="004048F4" w:rsidP="004048F4"/>
    <w:p w14:paraId="5F0C3711" w14:textId="77777777" w:rsidR="004048F4" w:rsidRPr="004048F4" w:rsidRDefault="004048F4" w:rsidP="004048F4"/>
    <w:p w14:paraId="67BF1F54" w14:textId="77777777" w:rsidR="004048F4" w:rsidRPr="004048F4" w:rsidRDefault="004048F4" w:rsidP="004048F4"/>
    <w:p w14:paraId="6DDE4E35" w14:textId="77777777" w:rsidR="004048F4" w:rsidRDefault="004048F4" w:rsidP="004048F4"/>
    <w:p w14:paraId="1DE41BD4" w14:textId="77777777" w:rsidR="004048F4" w:rsidRDefault="004048F4" w:rsidP="004048F4">
      <w:pPr>
        <w:ind w:firstLine="720"/>
      </w:pPr>
    </w:p>
    <w:p w14:paraId="03C6AC13" w14:textId="77777777" w:rsidR="00697337" w:rsidRDefault="00697337" w:rsidP="004048F4">
      <w:pPr>
        <w:pStyle w:val="NoSpacing"/>
        <w:spacing w:line="360" w:lineRule="auto"/>
        <w:rPr>
          <w:rFonts w:ascii="Arial" w:hAnsi="Arial" w:cs="Arial"/>
          <w:b/>
          <w:bCs/>
          <w:i/>
          <w:iCs/>
        </w:rPr>
      </w:pPr>
    </w:p>
    <w:p w14:paraId="0CA9CE4A" w14:textId="54094C73" w:rsidR="004048F4" w:rsidRPr="004048F4" w:rsidRDefault="004048F4" w:rsidP="004048F4">
      <w:pPr>
        <w:pStyle w:val="NoSpacing"/>
        <w:spacing w:line="360" w:lineRule="auto"/>
        <w:rPr>
          <w:rFonts w:ascii="Arial" w:hAnsi="Arial" w:cs="Arial"/>
          <w:b/>
          <w:bCs/>
          <w:i/>
          <w:iCs/>
        </w:rPr>
      </w:pPr>
      <w:r w:rsidRPr="004048F4">
        <w:rPr>
          <w:rFonts w:ascii="Arial" w:hAnsi="Arial" w:cs="Arial"/>
          <w:b/>
          <w:bCs/>
          <w:i/>
          <w:iCs/>
        </w:rPr>
        <w:lastRenderedPageBreak/>
        <w:t>Chapter 1: Introduction</w:t>
      </w:r>
    </w:p>
    <w:p w14:paraId="0AB336CD" w14:textId="77777777" w:rsidR="004048F4" w:rsidRPr="004048F4" w:rsidRDefault="004048F4" w:rsidP="004048F4">
      <w:pPr>
        <w:pStyle w:val="NoSpacing"/>
        <w:spacing w:line="360" w:lineRule="auto"/>
        <w:rPr>
          <w:rFonts w:ascii="Arial" w:hAnsi="Arial" w:cs="Arial"/>
        </w:rPr>
      </w:pPr>
    </w:p>
    <w:p w14:paraId="695B9F62" w14:textId="77777777" w:rsidR="004048F4" w:rsidRPr="00697337" w:rsidRDefault="004048F4" w:rsidP="004048F4">
      <w:pPr>
        <w:pStyle w:val="NoSpacing"/>
        <w:spacing w:line="360" w:lineRule="auto"/>
        <w:rPr>
          <w:rFonts w:ascii="Arial" w:hAnsi="Arial" w:cs="Arial"/>
          <w:i/>
          <w:iCs/>
        </w:rPr>
      </w:pPr>
      <w:r w:rsidRPr="00697337">
        <w:rPr>
          <w:rFonts w:ascii="Arial" w:hAnsi="Arial" w:cs="Arial"/>
          <w:i/>
          <w:iCs/>
        </w:rPr>
        <w:t>Introduction</w:t>
      </w:r>
    </w:p>
    <w:p w14:paraId="0973DF7F" w14:textId="7CA7A260" w:rsidR="004048F4" w:rsidRPr="004048F4" w:rsidRDefault="004048F4" w:rsidP="004048F4">
      <w:pPr>
        <w:pStyle w:val="NoSpacing"/>
        <w:spacing w:line="360" w:lineRule="auto"/>
        <w:rPr>
          <w:rFonts w:ascii="Arial" w:hAnsi="Arial" w:cs="Arial"/>
        </w:rPr>
      </w:pPr>
      <w:r w:rsidRPr="004048F4">
        <w:rPr>
          <w:rFonts w:ascii="Arial" w:hAnsi="Arial" w:cs="Arial"/>
        </w:rPr>
        <w:t>The rapid growth of digital health technologies has had an impact on the mental health service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provision with applications in online mental health interventions such as the use of online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cognitive behavioural therapy (CBT), mobile health tools, telepsychiatry, and online self-help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platforms. In the UK, the innovations have been proactively marketed to implement the growing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mental health requirements and service pressures to the National Health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Service, especially after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the impact of COVID-19, which increased the uptake of remote care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(Behar et al., 2020). Elderly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people constitute a cohort of people who have special mental health requirements, such as the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increased risk of loneliness, anxiety, and depression, whereas they are a relatively low-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represented population in the use of digital health applications.</w:t>
      </w:r>
    </w:p>
    <w:p w14:paraId="3D51B386" w14:textId="77777777" w:rsidR="004048F4" w:rsidRPr="004048F4" w:rsidRDefault="004048F4" w:rsidP="004048F4">
      <w:pPr>
        <w:pStyle w:val="NoSpacing"/>
        <w:spacing w:line="360" w:lineRule="auto"/>
        <w:rPr>
          <w:rFonts w:ascii="Arial" w:hAnsi="Arial" w:cs="Arial"/>
        </w:rPr>
      </w:pPr>
    </w:p>
    <w:p w14:paraId="49228519" w14:textId="19DB131D" w:rsidR="004048F4" w:rsidRDefault="004048F4" w:rsidP="004048F4">
      <w:pPr>
        <w:pStyle w:val="NoSpacing"/>
        <w:spacing w:line="360" w:lineRule="auto"/>
        <w:rPr>
          <w:rFonts w:ascii="Arial" w:hAnsi="Arial" w:cs="Arial"/>
        </w:rPr>
      </w:pPr>
      <w:r w:rsidRPr="004048F4">
        <w:rPr>
          <w:rFonts w:ascii="Arial" w:hAnsi="Arial" w:cs="Arial"/>
        </w:rPr>
        <w:t>Although digital interventions may have similar outcomes as face-to-face therapies, especially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when applied to minor to moderate depression (Moshe et al., 2021), structural and personal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barriers to accessing online therapy, for example, digital literacy, access restriction, and mistrust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towards technology, exist. remain among older adults (Pywell et al., 2020). Accordingly, it is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necessary to comprehend the quality of these interventions and their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availability to provide equal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mental health assistance. This dissertation will be an attempt to understand the effectiveness and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accessibility of digital mental health interventions in the UK for older adults through the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synthesis of available secondary evidence. It aims to define the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major forms of intervention,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determine their effects on mental health outcomes, and discuss the challenges and enabling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factors in a critical way. Finally, the study aims to inform policy and practice by providing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evidence-based suggestions to support inclusivity and the maximisation of the delivery of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digital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mental health services to ageing populations.</w:t>
      </w:r>
    </w:p>
    <w:p w14:paraId="30B8F89F" w14:textId="77777777" w:rsidR="004048F4" w:rsidRDefault="004048F4" w:rsidP="004048F4">
      <w:pPr>
        <w:pStyle w:val="NoSpacing"/>
        <w:spacing w:line="360" w:lineRule="auto"/>
        <w:rPr>
          <w:rFonts w:ascii="Arial" w:hAnsi="Arial" w:cs="Arial"/>
        </w:rPr>
      </w:pPr>
    </w:p>
    <w:p w14:paraId="31E81A07" w14:textId="77777777" w:rsidR="004048F4" w:rsidRPr="00697337" w:rsidRDefault="004048F4" w:rsidP="004048F4">
      <w:pPr>
        <w:pStyle w:val="NoSpacing"/>
        <w:spacing w:line="360" w:lineRule="auto"/>
        <w:rPr>
          <w:rFonts w:ascii="Arial" w:hAnsi="Arial" w:cs="Arial"/>
          <w:i/>
          <w:iCs/>
        </w:rPr>
      </w:pPr>
      <w:r w:rsidRPr="00697337">
        <w:rPr>
          <w:rFonts w:ascii="Arial" w:hAnsi="Arial" w:cs="Arial"/>
          <w:i/>
          <w:iCs/>
        </w:rPr>
        <w:t>Definitions and Terminology</w:t>
      </w:r>
    </w:p>
    <w:p w14:paraId="303B5B01" w14:textId="77777777" w:rsidR="004048F4" w:rsidRPr="004048F4" w:rsidRDefault="004048F4" w:rsidP="004048F4">
      <w:pPr>
        <w:pStyle w:val="NoSpacing"/>
        <w:spacing w:line="360" w:lineRule="auto"/>
        <w:rPr>
          <w:rFonts w:ascii="Arial" w:hAnsi="Arial" w:cs="Arial"/>
        </w:rPr>
      </w:pPr>
      <w:r w:rsidRPr="004048F4">
        <w:rPr>
          <w:rFonts w:ascii="Arial" w:hAnsi="Arial" w:cs="Arial"/>
        </w:rPr>
        <w:t>Digital mental health interventions (DMHIs) are using digital technologies (internet-based</w:t>
      </w:r>
    </w:p>
    <w:p w14:paraId="701F14BF" w14:textId="77777777" w:rsidR="004048F4" w:rsidRPr="004048F4" w:rsidRDefault="004048F4" w:rsidP="004048F4">
      <w:pPr>
        <w:pStyle w:val="NoSpacing"/>
        <w:spacing w:line="360" w:lineRule="auto"/>
        <w:rPr>
          <w:rFonts w:ascii="Arial" w:hAnsi="Arial" w:cs="Arial"/>
        </w:rPr>
      </w:pPr>
      <w:r w:rsidRPr="004048F4">
        <w:rPr>
          <w:rFonts w:ascii="Arial" w:hAnsi="Arial" w:cs="Arial"/>
        </w:rPr>
        <w:t>solutions, mobile apps, telecommunication and others) to provide mental health support,</w:t>
      </w:r>
    </w:p>
    <w:p w14:paraId="736BC5FD" w14:textId="77777777" w:rsidR="004048F4" w:rsidRPr="004048F4" w:rsidRDefault="004048F4" w:rsidP="004048F4">
      <w:pPr>
        <w:pStyle w:val="NoSpacing"/>
        <w:spacing w:line="360" w:lineRule="auto"/>
        <w:rPr>
          <w:rFonts w:ascii="Arial" w:hAnsi="Arial" w:cs="Arial"/>
        </w:rPr>
      </w:pPr>
      <w:r w:rsidRPr="004048F4">
        <w:rPr>
          <w:rFonts w:ascii="Arial" w:hAnsi="Arial" w:cs="Arial"/>
        </w:rPr>
        <w:t>assessment, or treatment (Balcombe and De Leo, 2022). In this research, DMHIs include</w:t>
      </w:r>
    </w:p>
    <w:p w14:paraId="7D024DF6" w14:textId="3E8010F7" w:rsidR="004048F4" w:rsidRPr="004048F4" w:rsidRDefault="004048F4" w:rsidP="004048F4">
      <w:pPr>
        <w:pStyle w:val="NoSpacing"/>
        <w:spacing w:line="360" w:lineRule="auto"/>
        <w:rPr>
          <w:rFonts w:ascii="Arial" w:hAnsi="Arial" w:cs="Arial"/>
        </w:rPr>
      </w:pPr>
      <w:r w:rsidRPr="004048F4">
        <w:rPr>
          <w:rFonts w:ascii="Arial" w:hAnsi="Arial" w:cs="Arial"/>
        </w:rPr>
        <w:t>structured programmes, which include internet-delivered cognitive behavioural therapy (iCBT),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telepsychiatry consultation, and guided self-help resources. The criterion of accessibility, which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includes the aspects of digital literacy, affordability, usability, and infrastructural availability,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defines how well such services can be used and be accessible to older adults (Hollimon et al.,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2025). The effectiveness is defined as the capacity of such interventions to achieve quantifiable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 xml:space="preserve">changes in mental health endpoints (such as the </w:t>
      </w:r>
      <w:r w:rsidRPr="004048F4">
        <w:rPr>
          <w:rFonts w:ascii="Arial" w:hAnsi="Arial" w:cs="Arial"/>
        </w:rPr>
        <w:lastRenderedPageBreak/>
        <w:t>decrease in the symptoms of depression, anxiety,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and social isolation) demonstrated in clinical and real-world conditions (Kazdin, 2024).</w:t>
      </w:r>
    </w:p>
    <w:p w14:paraId="5C75CC9A" w14:textId="77777777" w:rsidR="004048F4" w:rsidRPr="004048F4" w:rsidRDefault="004048F4" w:rsidP="004048F4">
      <w:pPr>
        <w:pStyle w:val="NoSpacing"/>
        <w:spacing w:line="360" w:lineRule="auto"/>
        <w:rPr>
          <w:rFonts w:ascii="Arial" w:hAnsi="Arial" w:cs="Arial"/>
        </w:rPr>
      </w:pPr>
    </w:p>
    <w:p w14:paraId="41FBB0AB" w14:textId="3C099934" w:rsidR="004048F4" w:rsidRDefault="004048F4" w:rsidP="004048F4">
      <w:pPr>
        <w:pStyle w:val="NoSpacing"/>
        <w:spacing w:line="360" w:lineRule="auto"/>
        <w:rPr>
          <w:rFonts w:ascii="Arial" w:hAnsi="Arial" w:cs="Arial"/>
        </w:rPr>
      </w:pPr>
      <w:r w:rsidRPr="004048F4">
        <w:rPr>
          <w:rFonts w:ascii="Arial" w:hAnsi="Arial" w:cs="Arial"/>
        </w:rPr>
        <w:t>Older adults are generally characterised as 65 years old and older, who often experience special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obstacles, including cognitive issues, sensory loss, and poor digital access (Czaja et al., 2025).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To remain consistent and precise, several important acronyms are employed in this dissertation.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DMHIs refer to digital mental health interventions, and iCBT is a specific form of internet-based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cognitive behavioural therapy. NHS is the National Health Service, which is the main provider of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health care in the United Kingdom, and it has been adopting digital mental health services. The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WHO is the name of the World Health Organisation, the frameworks of which are used to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implement digital health all over the world (World Health Organisation, 2022). Moreover, ICT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or information and communication technology is employed in defining the whole technological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infrastructure behind digital interventions.</w:t>
      </w:r>
    </w:p>
    <w:p w14:paraId="50B40D4F" w14:textId="77777777" w:rsidR="004048F4" w:rsidRDefault="004048F4" w:rsidP="004048F4">
      <w:pPr>
        <w:rPr>
          <w:rFonts w:ascii="Arial" w:hAnsi="Arial" w:cs="Arial"/>
        </w:rPr>
      </w:pPr>
    </w:p>
    <w:p w14:paraId="25B347EE" w14:textId="77777777" w:rsidR="004048F4" w:rsidRPr="00697337" w:rsidRDefault="004048F4" w:rsidP="004048F4">
      <w:pPr>
        <w:spacing w:line="360" w:lineRule="auto"/>
        <w:rPr>
          <w:rFonts w:ascii="Arial" w:hAnsi="Arial" w:cs="Arial"/>
          <w:i/>
          <w:iCs/>
        </w:rPr>
      </w:pPr>
      <w:r w:rsidRPr="00697337">
        <w:rPr>
          <w:rFonts w:ascii="Arial" w:hAnsi="Arial" w:cs="Arial"/>
          <w:i/>
          <w:iCs/>
        </w:rPr>
        <w:t>Rationale for Research</w:t>
      </w:r>
    </w:p>
    <w:p w14:paraId="5F5AF1D5" w14:textId="77777777" w:rsidR="004048F4" w:rsidRDefault="004048F4" w:rsidP="004048F4">
      <w:pPr>
        <w:spacing w:line="360" w:lineRule="auto"/>
        <w:rPr>
          <w:rFonts w:ascii="Arial" w:hAnsi="Arial" w:cs="Arial"/>
        </w:rPr>
      </w:pPr>
      <w:r w:rsidRPr="004048F4">
        <w:rPr>
          <w:rFonts w:ascii="Arial" w:hAnsi="Arial" w:cs="Arial"/>
        </w:rPr>
        <w:t>The current study is informed by the increased use of online mental health services in the UK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and a rapidly ageing demographic whose requirements were not addressed by existing service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policies. Although policy models like the NHS Long Term Plan focus on digital-first strategies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as a means of increasing access and decreasing service demands, it still remains unclear whether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these innovations are fairly serving the needs of older adults (England, 2023). According to the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available literature, digital interventions, especially iCBT and telehealth services, can be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clinically effective in addressing the symptoms of depression and anxiety (Krzyzaniak et al.,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2024). Nonetheless, their adoption frequently depends on user interaction, and it is much lower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among the older groups of users because of, among other factors, limited digital literacy,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challenges in accessing them, and distrust of technology (Wang and Wu, 2022).</w:t>
      </w:r>
      <w:r>
        <w:rPr>
          <w:rFonts w:ascii="Arial" w:hAnsi="Arial" w:cs="Arial"/>
        </w:rPr>
        <w:t xml:space="preserve"> </w:t>
      </w:r>
    </w:p>
    <w:p w14:paraId="1E6F6DD1" w14:textId="319D05D9" w:rsidR="004048F4" w:rsidRDefault="004048F4" w:rsidP="004048F4">
      <w:pPr>
        <w:spacing w:line="360" w:lineRule="auto"/>
        <w:rPr>
          <w:rFonts w:ascii="Arial" w:hAnsi="Arial" w:cs="Arial"/>
        </w:rPr>
      </w:pPr>
      <w:r w:rsidRPr="004048F4">
        <w:rPr>
          <w:rFonts w:ascii="Arial" w:hAnsi="Arial" w:cs="Arial"/>
        </w:rPr>
        <w:t>One of the research gaps is in the piecemeal evidence regarding effectiveness and accessibility in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the same context in the UK. Most of the studies are centred on clinical results or technological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adoption, with little synergy between both facets among the older adults. Moreover, recent post-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pandemic evidence is under-synthesised, and since COVID-19 has strongly accelerated the use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of digital health and revealed disparities in access, this needs to be addressed (Waheduzzaman,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2026). The dissertation manages to fill these gaps by providing a more systematic review of the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outcomes and usability of digital mental health interventions to provide a more holistic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perspective on the subject. Therefore, it leads to continuous discussions of digital inclusion and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aids the creation of more age-inclusive, equitable mental health services.</w:t>
      </w:r>
    </w:p>
    <w:p w14:paraId="3677CB75" w14:textId="77777777" w:rsidR="004048F4" w:rsidRPr="00705F38" w:rsidRDefault="004048F4" w:rsidP="004048F4">
      <w:pPr>
        <w:spacing w:line="360" w:lineRule="auto"/>
        <w:rPr>
          <w:rFonts w:ascii="Arial" w:hAnsi="Arial" w:cs="Arial"/>
          <w:i/>
          <w:iCs/>
        </w:rPr>
      </w:pPr>
      <w:r w:rsidRPr="00705F38">
        <w:rPr>
          <w:rFonts w:ascii="Arial" w:hAnsi="Arial" w:cs="Arial"/>
          <w:i/>
          <w:iCs/>
        </w:rPr>
        <w:lastRenderedPageBreak/>
        <w:t>Research Aim</w:t>
      </w:r>
    </w:p>
    <w:p w14:paraId="549A7F55" w14:textId="6E5DF3A2" w:rsidR="004048F4" w:rsidRPr="004048F4" w:rsidRDefault="004048F4" w:rsidP="004048F4">
      <w:pPr>
        <w:spacing w:line="360" w:lineRule="auto"/>
        <w:rPr>
          <w:rFonts w:ascii="Arial" w:hAnsi="Arial" w:cs="Arial"/>
        </w:rPr>
      </w:pPr>
      <w:r w:rsidRPr="004048F4">
        <w:rPr>
          <w:rFonts w:ascii="Arial" w:hAnsi="Arial" w:cs="Arial"/>
        </w:rPr>
        <w:t>The proposed study will examine the quality and accessibility of the available mental health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interventions on the Internet among older adults in the United Kingdom, particularly on the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description of the barriers and facilitating factors of engagement and suggestions to maximise the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effects.</w:t>
      </w:r>
    </w:p>
    <w:p w14:paraId="7E415415" w14:textId="77777777" w:rsidR="004048F4" w:rsidRPr="00705F38" w:rsidRDefault="004048F4" w:rsidP="004048F4">
      <w:pPr>
        <w:spacing w:line="360" w:lineRule="auto"/>
        <w:rPr>
          <w:rFonts w:ascii="Arial" w:hAnsi="Arial" w:cs="Arial"/>
          <w:i/>
          <w:iCs/>
        </w:rPr>
      </w:pPr>
      <w:r w:rsidRPr="00705F38">
        <w:rPr>
          <w:rFonts w:ascii="Arial" w:hAnsi="Arial" w:cs="Arial"/>
          <w:i/>
          <w:iCs/>
        </w:rPr>
        <w:t>Research Objectives</w:t>
      </w:r>
    </w:p>
    <w:p w14:paraId="2B4395C1" w14:textId="77777777" w:rsidR="004048F4" w:rsidRPr="004048F4" w:rsidRDefault="004048F4" w:rsidP="004048F4">
      <w:pPr>
        <w:spacing w:line="360" w:lineRule="auto"/>
        <w:rPr>
          <w:rFonts w:ascii="Arial" w:hAnsi="Arial" w:cs="Arial"/>
        </w:rPr>
      </w:pPr>
      <w:r w:rsidRPr="004048F4">
        <w:rPr>
          <w:rFonts w:ascii="Arial" w:hAnsi="Arial" w:cs="Arial"/>
        </w:rPr>
        <w:t>• Define and examine key types of digital mental health interventions used by older people.</w:t>
      </w:r>
    </w:p>
    <w:p w14:paraId="5AD4C4C9" w14:textId="77777777" w:rsidR="004048F4" w:rsidRPr="004048F4" w:rsidRDefault="004048F4" w:rsidP="004048F4">
      <w:pPr>
        <w:spacing w:line="360" w:lineRule="auto"/>
        <w:rPr>
          <w:rFonts w:ascii="Arial" w:hAnsi="Arial" w:cs="Arial"/>
        </w:rPr>
      </w:pPr>
      <w:r w:rsidRPr="004048F4">
        <w:rPr>
          <w:rFonts w:ascii="Arial" w:hAnsi="Arial" w:cs="Arial"/>
        </w:rPr>
        <w:t>• Analyse evidence on their effectiveness in improving mental health outcomes.</w:t>
      </w:r>
    </w:p>
    <w:p w14:paraId="2F8E2B49" w14:textId="77777777" w:rsidR="004048F4" w:rsidRPr="004048F4" w:rsidRDefault="004048F4" w:rsidP="004048F4">
      <w:pPr>
        <w:spacing w:line="360" w:lineRule="auto"/>
        <w:rPr>
          <w:rFonts w:ascii="Arial" w:hAnsi="Arial" w:cs="Arial"/>
        </w:rPr>
      </w:pPr>
      <w:r w:rsidRPr="004048F4">
        <w:rPr>
          <w:rFonts w:ascii="Arial" w:hAnsi="Arial" w:cs="Arial"/>
        </w:rPr>
        <w:t>• Evaluate barriers and facilitators to uptake among older adults.</w:t>
      </w:r>
    </w:p>
    <w:p w14:paraId="7C1F684E" w14:textId="77777777" w:rsidR="004048F4" w:rsidRPr="004048F4" w:rsidRDefault="004048F4" w:rsidP="004048F4">
      <w:pPr>
        <w:spacing w:line="360" w:lineRule="auto"/>
        <w:rPr>
          <w:rFonts w:ascii="Arial" w:hAnsi="Arial" w:cs="Arial"/>
        </w:rPr>
      </w:pPr>
      <w:r w:rsidRPr="004048F4">
        <w:rPr>
          <w:rFonts w:ascii="Arial" w:hAnsi="Arial" w:cs="Arial"/>
        </w:rPr>
        <w:t>• Provide recommendations for improving inclusive digital mental health services.</w:t>
      </w:r>
    </w:p>
    <w:p w14:paraId="5BF181E7" w14:textId="77777777" w:rsidR="004048F4" w:rsidRPr="00705F38" w:rsidRDefault="004048F4" w:rsidP="004048F4">
      <w:pPr>
        <w:spacing w:line="360" w:lineRule="auto"/>
        <w:rPr>
          <w:rFonts w:ascii="Arial" w:hAnsi="Arial" w:cs="Arial"/>
          <w:i/>
          <w:iCs/>
        </w:rPr>
      </w:pPr>
    </w:p>
    <w:p w14:paraId="5B1167A3" w14:textId="77777777" w:rsidR="004048F4" w:rsidRPr="00705F38" w:rsidRDefault="004048F4" w:rsidP="004048F4">
      <w:pPr>
        <w:spacing w:line="360" w:lineRule="auto"/>
        <w:rPr>
          <w:rFonts w:ascii="Arial" w:hAnsi="Arial" w:cs="Arial"/>
          <w:i/>
          <w:iCs/>
        </w:rPr>
      </w:pPr>
      <w:r w:rsidRPr="00705F38">
        <w:rPr>
          <w:rFonts w:ascii="Arial" w:hAnsi="Arial" w:cs="Arial"/>
          <w:i/>
          <w:iCs/>
        </w:rPr>
        <w:t>Conclusion</w:t>
      </w:r>
    </w:p>
    <w:p w14:paraId="5105DCE0" w14:textId="3EEFBD3D" w:rsidR="004048F4" w:rsidRDefault="004048F4" w:rsidP="004048F4">
      <w:pPr>
        <w:spacing w:line="360" w:lineRule="auto"/>
        <w:rPr>
          <w:rFonts w:ascii="Arial" w:hAnsi="Arial" w:cs="Arial"/>
        </w:rPr>
      </w:pPr>
      <w:r w:rsidRPr="004048F4">
        <w:rPr>
          <w:rFonts w:ascii="Arial" w:hAnsi="Arial" w:cs="Arial"/>
        </w:rPr>
        <w:t>Chapter 1 has presented the research by stating the increasing significance of digital mental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health interventions in the UK context in relation to an ageing population. It outlined some of the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essential concepts, including effectiveness, accessibility and digital interventions and developed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the rationale by defining gaps in the current knowledge, especially the limited integration of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outcome effectiveness and accessibility by older adults. The chapter also defined the purpose and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the objectives of the research, since it is necessary to assess not only the effect, but also the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inclusiveness of such services. The combination of these aspects explains why more equitable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and user-centred digital mental health solutions must be created. The next chapter will provide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background and a critical review of available literature as an overview of the entire foundation of</w:t>
      </w:r>
      <w:r>
        <w:rPr>
          <w:rFonts w:ascii="Arial" w:hAnsi="Arial" w:cs="Arial"/>
        </w:rPr>
        <w:t xml:space="preserve"> </w:t>
      </w:r>
      <w:r w:rsidRPr="004048F4">
        <w:rPr>
          <w:rFonts w:ascii="Arial" w:hAnsi="Arial" w:cs="Arial"/>
        </w:rPr>
        <w:t>current evidence, trends, and discussions in the field.</w:t>
      </w:r>
    </w:p>
    <w:p w14:paraId="7D5A952A" w14:textId="77777777" w:rsidR="003074AF" w:rsidRPr="003074AF" w:rsidRDefault="003074AF" w:rsidP="003074AF">
      <w:pPr>
        <w:rPr>
          <w:rFonts w:ascii="Arial" w:hAnsi="Arial" w:cs="Arial"/>
        </w:rPr>
      </w:pPr>
    </w:p>
    <w:p w14:paraId="426BDEC2" w14:textId="77777777" w:rsidR="003074AF" w:rsidRPr="003074AF" w:rsidRDefault="003074AF" w:rsidP="003074AF">
      <w:pPr>
        <w:rPr>
          <w:rFonts w:ascii="Arial" w:hAnsi="Arial" w:cs="Arial"/>
        </w:rPr>
      </w:pPr>
    </w:p>
    <w:p w14:paraId="1B3E3E45" w14:textId="77777777" w:rsidR="003074AF" w:rsidRDefault="003074AF" w:rsidP="003074AF">
      <w:pPr>
        <w:rPr>
          <w:rFonts w:ascii="Arial" w:hAnsi="Arial" w:cs="Arial"/>
        </w:rPr>
      </w:pPr>
    </w:p>
    <w:p w14:paraId="76EBDE50" w14:textId="77777777" w:rsidR="003074AF" w:rsidRDefault="003074AF" w:rsidP="003074AF">
      <w:pPr>
        <w:ind w:firstLine="720"/>
        <w:rPr>
          <w:rFonts w:ascii="Arial" w:hAnsi="Arial" w:cs="Arial"/>
        </w:rPr>
      </w:pPr>
    </w:p>
    <w:p w14:paraId="4B68E9B1" w14:textId="77777777" w:rsidR="003074AF" w:rsidRDefault="003074AF" w:rsidP="003074AF">
      <w:pPr>
        <w:ind w:firstLine="720"/>
        <w:rPr>
          <w:rFonts w:ascii="Arial" w:hAnsi="Arial" w:cs="Arial"/>
        </w:rPr>
      </w:pPr>
    </w:p>
    <w:p w14:paraId="3B4F078C" w14:textId="77777777" w:rsidR="00705F38" w:rsidRDefault="00705F38" w:rsidP="003074AF">
      <w:pPr>
        <w:ind w:firstLine="720"/>
        <w:rPr>
          <w:rFonts w:ascii="Arial" w:hAnsi="Arial" w:cs="Arial"/>
        </w:rPr>
      </w:pPr>
    </w:p>
    <w:p w14:paraId="1D049481" w14:textId="77777777" w:rsidR="00705F38" w:rsidRDefault="00705F38" w:rsidP="003074AF">
      <w:pPr>
        <w:ind w:firstLine="720"/>
        <w:rPr>
          <w:rFonts w:ascii="Arial" w:hAnsi="Arial" w:cs="Arial"/>
        </w:rPr>
      </w:pPr>
    </w:p>
    <w:p w14:paraId="4FBF365D" w14:textId="77777777" w:rsidR="003074AF" w:rsidRDefault="003074AF" w:rsidP="003074AF">
      <w:pPr>
        <w:ind w:firstLine="720"/>
        <w:rPr>
          <w:rFonts w:ascii="Arial" w:hAnsi="Arial" w:cs="Arial"/>
        </w:rPr>
      </w:pPr>
    </w:p>
    <w:p w14:paraId="136A30C9" w14:textId="77777777" w:rsidR="003074AF" w:rsidRPr="003074AF" w:rsidRDefault="003074AF" w:rsidP="003074AF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3074AF">
        <w:rPr>
          <w:rFonts w:ascii="Arial" w:hAnsi="Arial" w:cs="Arial"/>
          <w:b/>
          <w:bCs/>
          <w:i/>
          <w:iCs/>
        </w:rPr>
        <w:lastRenderedPageBreak/>
        <w:t>Chapter 2: Background Information and Analysis</w:t>
      </w:r>
    </w:p>
    <w:p w14:paraId="6BDE40EB" w14:textId="77777777" w:rsidR="003074AF" w:rsidRPr="00705F38" w:rsidRDefault="003074AF" w:rsidP="003074AF">
      <w:pPr>
        <w:spacing w:line="360" w:lineRule="auto"/>
        <w:rPr>
          <w:rFonts w:ascii="Arial" w:hAnsi="Arial" w:cs="Arial"/>
          <w:i/>
          <w:iCs/>
        </w:rPr>
      </w:pPr>
      <w:r w:rsidRPr="00705F38">
        <w:rPr>
          <w:rFonts w:ascii="Arial" w:hAnsi="Arial" w:cs="Arial"/>
          <w:i/>
          <w:iCs/>
        </w:rPr>
        <w:t>Introduction</w:t>
      </w:r>
    </w:p>
    <w:p w14:paraId="1A507EC8" w14:textId="03A3E08D" w:rsidR="003074AF" w:rsidRDefault="003074AF" w:rsidP="003074AF">
      <w:pPr>
        <w:spacing w:line="360" w:lineRule="auto"/>
        <w:rPr>
          <w:rFonts w:ascii="Arial" w:hAnsi="Arial" w:cs="Arial"/>
        </w:rPr>
      </w:pPr>
      <w:r w:rsidRPr="003074AF">
        <w:rPr>
          <w:rFonts w:ascii="Arial" w:hAnsi="Arial" w:cs="Arial"/>
        </w:rPr>
        <w:t>This chapter aims to provide a full background of the topic of digital mental health interventions,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placing the topic in context as it relates to history, theory, and context. It investigates the history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and development of digital mental health services, notable personalities and influences that have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influenced the development of the field, and fundamental theories that inform both the adoption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of technology and mental health practises. The chapter also addresses the issue at the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international level with an emphasis on global trends, global policies, and case studies and then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shifts its attention towards the UK level, focusing on national strategies, national policies, and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local efforts. This chapter provides a good background for appreciating the applicability, extent,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and intricacy of digital mental health interventions, thus setting the stage for the research design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and methodological decisions that will be presented in the next chapter.</w:t>
      </w:r>
    </w:p>
    <w:p w14:paraId="0B7EAF56" w14:textId="77777777" w:rsidR="003074AF" w:rsidRPr="00705F38" w:rsidRDefault="003074AF" w:rsidP="003074AF">
      <w:pPr>
        <w:spacing w:line="360" w:lineRule="auto"/>
        <w:rPr>
          <w:rFonts w:ascii="Arial" w:hAnsi="Arial" w:cs="Arial"/>
          <w:i/>
          <w:iCs/>
        </w:rPr>
      </w:pPr>
      <w:r w:rsidRPr="00705F38">
        <w:rPr>
          <w:rFonts w:ascii="Arial" w:hAnsi="Arial" w:cs="Arial"/>
          <w:i/>
          <w:iCs/>
        </w:rPr>
        <w:t>Historical Background</w:t>
      </w:r>
    </w:p>
    <w:p w14:paraId="6AC16B72" w14:textId="1F6ABCAD" w:rsidR="003074AF" w:rsidRDefault="003074AF" w:rsidP="003074AF">
      <w:pPr>
        <w:spacing w:line="360" w:lineRule="auto"/>
        <w:rPr>
          <w:rFonts w:ascii="Arial" w:hAnsi="Arial" w:cs="Arial"/>
        </w:rPr>
      </w:pPr>
      <w:r w:rsidRPr="003074AF">
        <w:rPr>
          <w:rFonts w:ascii="Arial" w:hAnsi="Arial" w:cs="Arial"/>
        </w:rPr>
        <w:t>The evolution of digital mental health interventions is directly connected to both the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developments in psychological treatment and the development of information and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communication technologies. Around the late twentieth century, early antecedents were elements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such as telephone counselling and computer-assisted therapy programmes that increasingly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opened up provision of mental health support out of a clinical environment (Hebbar and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Vandana, 2023). In the 1990s, initial computerised cognitive behavioural therapy systems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became available, providing guided and self-administered care with simple software programs.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These inventions formed the basis of advanced digital interventions. One significant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advancement came in the early 2000s with the creation of cognitive behavioural therapy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delivered via the internet, in particular in Sweden, where empirical research results indicate that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internet-based interventions could produce the same results as online-based interventions deliver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success in depression and anxiety treatment (Nissling, 2024). In the UK, the Improving Access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to Psychological Therapies programme, which was launched in 2008, marked a contribution to a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major shift in policy, among which digital tools are used to expand the reach of their services and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decrease waiting periods.</w:t>
      </w:r>
    </w:p>
    <w:p w14:paraId="6F0DC2BC" w14:textId="77777777" w:rsidR="003074AF" w:rsidRDefault="003074AF" w:rsidP="003074AF">
      <w:pPr>
        <w:spacing w:line="360" w:lineRule="auto"/>
        <w:rPr>
          <w:rFonts w:ascii="Arial" w:hAnsi="Arial" w:cs="Arial"/>
        </w:rPr>
      </w:pPr>
    </w:p>
    <w:p w14:paraId="2E0BC998" w14:textId="29DC0375" w:rsidR="003074AF" w:rsidRPr="00705F38" w:rsidRDefault="003074AF" w:rsidP="003074AF">
      <w:pPr>
        <w:spacing w:line="360" w:lineRule="auto"/>
        <w:rPr>
          <w:rFonts w:ascii="Arial" w:hAnsi="Arial" w:cs="Arial"/>
          <w:i/>
          <w:iCs/>
        </w:rPr>
      </w:pPr>
      <w:r w:rsidRPr="003074AF">
        <w:rPr>
          <w:rFonts w:ascii="Arial" w:hAnsi="Arial" w:cs="Arial"/>
        </w:rPr>
        <w:t>This trend was further boosted by the rapid growth of smartphones and mobile apps in the 2010s,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which allowed for engagement in real-time monitoring, creating personalised interventions, and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providing remote communication between patients and practitioners. Another significant shift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 xml:space="preserve">harmed by the COVID-19 pandemic is the transition towards </w:t>
      </w:r>
      <w:r w:rsidRPr="003074AF">
        <w:rPr>
          <w:rFonts w:ascii="Arial" w:hAnsi="Arial" w:cs="Arial"/>
        </w:rPr>
        <w:lastRenderedPageBreak/>
        <w:t>telepsychiatry and online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interactions, which have become the default form of mental health care by most providers in the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NHS, making the digital provision of mental health services embedded in standard care (Bond et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al., 2023). A number of powerful individuals and institutions have played a significant role in the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development of this discipline. Gerhard Andersson was the pioneer in exploring internet-based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cognitive behavioural therapy and has offered strong evidence on its effectiveness, scalability,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and long-term outcomes in different populations (Andersson et al., 2024). The World Health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Organisation has been a leading role player in that it has come up with international frameworks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and guidelines that assist in establishing the safe, ethical, and equitable application of digital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health technologies (World Health Organisation, 2025). The health service in the UK, in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collaboration with NHS Digital, has played a leading role in adopting digital innovations as a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mainstream care priority, such as NHS Talking Therapies and libraries of selected digital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applications. Moreover, the knowledge in mobile mental health apps has been developed through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research, especially concerning data governance, engagement, and usability (Chan and Honey,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2022).</w:t>
      </w:r>
    </w:p>
    <w:p w14:paraId="003BCD7C" w14:textId="77777777" w:rsidR="003074AF" w:rsidRPr="00705F38" w:rsidRDefault="003074AF" w:rsidP="003074AF">
      <w:pPr>
        <w:spacing w:line="360" w:lineRule="auto"/>
        <w:rPr>
          <w:rFonts w:ascii="Arial" w:hAnsi="Arial" w:cs="Arial"/>
          <w:i/>
          <w:iCs/>
        </w:rPr>
      </w:pPr>
      <w:r w:rsidRPr="00705F38">
        <w:rPr>
          <w:rFonts w:ascii="Arial" w:hAnsi="Arial" w:cs="Arial"/>
          <w:i/>
          <w:iCs/>
        </w:rPr>
        <w:t>Theoretical Background</w:t>
      </w:r>
    </w:p>
    <w:p w14:paraId="7C60A7C8" w14:textId="705B450D" w:rsidR="003074AF" w:rsidRDefault="003074AF" w:rsidP="003074AF">
      <w:pPr>
        <w:spacing w:line="360" w:lineRule="auto"/>
        <w:rPr>
          <w:rFonts w:ascii="Arial" w:hAnsi="Arial" w:cs="Arial"/>
        </w:rPr>
      </w:pPr>
      <w:r w:rsidRPr="003074AF">
        <w:rPr>
          <w:rFonts w:ascii="Arial" w:hAnsi="Arial" w:cs="Arial"/>
        </w:rPr>
        <w:t>Digital mental health interventions are firmly attached to a number of interconnected theoretical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frameworks to understand technology adoption, behavioural change, and engagement in health.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The Technology Acceptance Model created by Davis is one of the most influential theories since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it assumes that the intention to use a new technology depends on the perceived usefulness and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the perceived ease of use. The model is especially applicable to older adults, where the digital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literacy and usability issues impact the use of online mental health services considerably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(Borghouts et al., 2022). To supplement this, the Unified Theory of Acceptance and Use of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Technology, as an extension of this theory, includes social influence and facilitating conditions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and provides a more in-depth insight into adopting technologies in healthcare settings.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Meanwhile, behavioural theories, including the Cognitive Behavioural Theory, form the clinical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basis of most digital interventions, especially internet-delivered cognitive behavioural therapy,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which aims at reconstruction of maladaptive thought processes, to enhance mental health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outcomes (Sharma, 2024). The Digital Divide Theory will also be the focus of this study, as it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seems to reveal disparities in access to technology, depending on socio-economic factors, age,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and digital skills, which are particularly strong in older age groups (Lombardi, 2023).</w:t>
      </w:r>
    </w:p>
    <w:p w14:paraId="22258BC0" w14:textId="77777777" w:rsidR="003074AF" w:rsidRDefault="003074AF" w:rsidP="003074AF">
      <w:pPr>
        <w:spacing w:line="360" w:lineRule="auto"/>
        <w:rPr>
          <w:rFonts w:ascii="Arial" w:hAnsi="Arial" w:cs="Arial"/>
        </w:rPr>
      </w:pPr>
    </w:p>
    <w:p w14:paraId="666ABA6D" w14:textId="0FB018A5" w:rsidR="003074AF" w:rsidRDefault="003074AF" w:rsidP="003074AF">
      <w:pPr>
        <w:spacing w:line="360" w:lineRule="auto"/>
        <w:rPr>
          <w:rFonts w:ascii="Arial" w:hAnsi="Arial" w:cs="Arial"/>
        </w:rPr>
      </w:pPr>
      <w:r w:rsidRPr="003074AF">
        <w:rPr>
          <w:rFonts w:ascii="Arial" w:hAnsi="Arial" w:cs="Arial"/>
        </w:rPr>
        <w:t>These theories have been extensively implemented in empirical studies of digital mental health.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 xml:space="preserve">Indicatively, Sharkiya and Hag (2024) show how perceived ease of use is a </w:t>
      </w:r>
      <w:r w:rsidRPr="003074AF">
        <w:rPr>
          <w:rFonts w:ascii="Arial" w:hAnsi="Arial" w:cs="Arial"/>
        </w:rPr>
        <w:lastRenderedPageBreak/>
        <w:t>significant predictor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of engagement with e-health platforms, especially in older adults with poor exposure to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technology in the past. Similarly, Tao et al. (2023) have also contributed strenuous evidence in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support of the practical use of Cognitive Behavioural Theory in the digital environment, in that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internet-based interventions are capable of producing equivalent results with traditional therapy,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and that structural barriers like income, education and infrastructure, as such, act as a cause of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difference in digital inclusion. Khan (2024) argues that the digital divide framework must form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an important part of the analysis of disparities in access, as income, education and infrastructure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are the structural barriers that directly translate to digital inclusion. Moreover, Jena et al. (2026)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apply these mixed structures to the study of user engagement with mobile mental health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applications, with the focus on the importance of usability and trust in long-term usage. All of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these studies depict how theoretical frameworks can inform the design and assessment of digital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mental health interventions.</w:t>
      </w:r>
    </w:p>
    <w:p w14:paraId="3FF855E4" w14:textId="5688493B" w:rsidR="003074AF" w:rsidRDefault="003074AF" w:rsidP="003074AF">
      <w:pPr>
        <w:spacing w:line="360" w:lineRule="auto"/>
        <w:rPr>
          <w:rFonts w:ascii="Arial" w:hAnsi="Arial" w:cs="Arial"/>
        </w:rPr>
      </w:pPr>
      <w:r w:rsidRPr="003074AF">
        <w:rPr>
          <w:rFonts w:ascii="Arial" w:hAnsi="Arial" w:cs="Arial"/>
        </w:rPr>
        <w:t>Nonetheless, there are limitations to these theories. The Technology Acceptance Model has been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argued to be simplistic in understanding how users behave, and as a result, it does not adequately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address more socio-cultural and contextual influences on digital access, unlike structural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inequalities, as advanced by Imran (2023). Likewise, the Cognitive Behavioural Theory appears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to be highly valid but might not be capable of responding to the complex and multifaceted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mental health requirements of older adults, especially when it comes to comorbidity or cognitive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impairment. The Unified Theory of Acceptance and Use of Technology tries to fill some of these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gaps; however, it has been criticised as complex and unable to apply to a wide range of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populations (Ursavaş, 2022).</w:t>
      </w:r>
    </w:p>
    <w:p w14:paraId="61186364" w14:textId="77777777" w:rsidR="003074AF" w:rsidRPr="00705F38" w:rsidRDefault="003074AF" w:rsidP="003074AF">
      <w:pPr>
        <w:spacing w:line="360" w:lineRule="auto"/>
        <w:rPr>
          <w:rFonts w:ascii="Arial" w:hAnsi="Arial" w:cs="Arial"/>
          <w:i/>
          <w:iCs/>
        </w:rPr>
      </w:pPr>
      <w:r w:rsidRPr="00705F38">
        <w:rPr>
          <w:rFonts w:ascii="Arial" w:hAnsi="Arial" w:cs="Arial"/>
          <w:i/>
          <w:iCs/>
        </w:rPr>
        <w:t>International Context</w:t>
      </w:r>
    </w:p>
    <w:p w14:paraId="75B40D15" w14:textId="018B94D3" w:rsidR="003074AF" w:rsidRDefault="003074AF" w:rsidP="003074AF">
      <w:pPr>
        <w:spacing w:line="360" w:lineRule="auto"/>
        <w:rPr>
          <w:rFonts w:ascii="Arial" w:hAnsi="Arial" w:cs="Arial"/>
        </w:rPr>
      </w:pPr>
      <w:r w:rsidRPr="003074AF">
        <w:rPr>
          <w:rFonts w:ascii="Arial" w:hAnsi="Arial" w:cs="Arial"/>
        </w:rPr>
        <w:t>Digital mental health interventions have gained more and more global attention, as countries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look into scalable solutions to mental health needs with accessibility. Digital interventions are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formal components of the national healthcare strategies in high-income nations like the United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States, Canada, and Australia, being supported by strong research evidence (Xiong et al. 2023).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The United States has also seen a massive deployment of mobile health applications and internet-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based cognitive behavioural therapy programmes, commonly supported by the involvement of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the private-public partnership, with outcomes in depression and anxiety improvement observed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in varied groups (Kepper et al., 2024). Likewise, the e-mental health strategy in Australia has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launched national platforms like MindSpot that provide online assessment and treatment of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anxiety and depression, with a high rate of engagement and financially free as opposed to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conventional services (Bassilios et al., 2022). Conversely, many low- and middle-income nations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 xml:space="preserve">do not have access to digital </w:t>
      </w:r>
      <w:r w:rsidRPr="003074AF">
        <w:rPr>
          <w:rFonts w:ascii="Arial" w:hAnsi="Arial" w:cs="Arial"/>
        </w:rPr>
        <w:lastRenderedPageBreak/>
        <w:t>infrastructure, digital literacy, and policy support, which is why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initiatives like the WHO Mental Health Gap Action Programme suggest integrating digital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solutions to enhance access in countries where access to traditional services is limited (Petrou et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al., 2023).</w:t>
      </w:r>
    </w:p>
    <w:p w14:paraId="26522DA8" w14:textId="69F325F9" w:rsidR="003074AF" w:rsidRPr="003074AF" w:rsidRDefault="003074AF" w:rsidP="003074AF">
      <w:pPr>
        <w:spacing w:line="360" w:lineRule="auto"/>
        <w:rPr>
          <w:rFonts w:ascii="Arial" w:hAnsi="Arial" w:cs="Arial"/>
        </w:rPr>
      </w:pPr>
      <w:r w:rsidRPr="003074AF">
        <w:rPr>
          <w:rFonts w:ascii="Arial" w:hAnsi="Arial" w:cs="Arial"/>
        </w:rPr>
        <w:t>The comparative analysis shows that, whereas in high-income nations they consider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technological sophistication and evidence-based interventions, low-income settings consider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accessibility and adaptability. For example, South Africa's family has tested mobile mental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health platforms to provide rural counselling, and issues like connectivity challenges and cultural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content adaptation have been marked (Willis and Neblett, 2023). By contrast, Scandinavian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economies, including Sweden and Norway, have incorporated digital mental health into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universal healthcare, which proves to have a high uptake among adults, has systematically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evaluated outcomes, but older adults still do not adopt it well (Lattie et al., 2022).</w:t>
      </w:r>
    </w:p>
    <w:p w14:paraId="3A335B30" w14:textId="507ECA76" w:rsidR="003074AF" w:rsidRDefault="003074AF" w:rsidP="003074AF">
      <w:pPr>
        <w:spacing w:line="360" w:lineRule="auto"/>
        <w:rPr>
          <w:rFonts w:ascii="Arial" w:hAnsi="Arial" w:cs="Arial"/>
        </w:rPr>
      </w:pPr>
      <w:r w:rsidRPr="003074AF">
        <w:rPr>
          <w:rFonts w:ascii="Arial" w:hAnsi="Arial" w:cs="Arial"/>
        </w:rPr>
        <w:t>Several examples of international cases where successes and limitations were observed. The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Wellness Together portal is a free, anonymous online mental health resource in Canada that has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shown successful levels of engagement and user satisfaction, but has also demonstrated gaps in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serving older adults with no familiarity with digital technologies (Kebede et al., 2022). Online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interventions are included in NHS Talking Therapies that have become a part of the current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healthcare system in the United Kingdom, and this predominantly became widespread during the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COVID-19 pandemic; however, they also demonstrated the ongoing disparities in internet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connectivity among older populations (Tsetoura, 2022). These illustrations stress the point that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digital mental health interventions are globally applicable; however, to be effective, they have to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respond to any context, i.e., infrastructure, digital literacy, and cultural relevance.</w:t>
      </w:r>
    </w:p>
    <w:p w14:paraId="506138BE" w14:textId="77777777" w:rsidR="003074AF" w:rsidRPr="00705F38" w:rsidRDefault="003074AF" w:rsidP="003074AF">
      <w:pPr>
        <w:spacing w:line="360" w:lineRule="auto"/>
        <w:rPr>
          <w:rFonts w:ascii="Arial" w:hAnsi="Arial" w:cs="Arial"/>
          <w:i/>
          <w:iCs/>
        </w:rPr>
      </w:pPr>
      <w:r w:rsidRPr="00705F38">
        <w:rPr>
          <w:rFonts w:ascii="Arial" w:hAnsi="Arial" w:cs="Arial"/>
          <w:i/>
          <w:iCs/>
        </w:rPr>
        <w:t>National/Local UK Context</w:t>
      </w:r>
    </w:p>
    <w:p w14:paraId="0500B231" w14:textId="1F9E706B" w:rsidR="003074AF" w:rsidRDefault="003074AF" w:rsidP="003074AF">
      <w:pPr>
        <w:spacing w:line="360" w:lineRule="auto"/>
        <w:rPr>
          <w:rFonts w:ascii="Arial" w:hAnsi="Arial" w:cs="Arial"/>
        </w:rPr>
      </w:pPr>
      <w:r w:rsidRPr="003074AF">
        <w:rPr>
          <w:rFonts w:ascii="Arial" w:hAnsi="Arial" w:cs="Arial"/>
        </w:rPr>
        <w:t>Digital mental health interventions have become a very significant element of national strategies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in the United Kingdom that strives to meet the increasing mental health demands, especially in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the baby boomer populations (Smith et al., 2023). The NHS has been very aggressive in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encouraging the use of online platforms, mobile applications, and tele psychiatry services so as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to enhance their accessibility, minimise waiting periods and to facilitate continuity of care. The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tendencies of national trends support that there is a stronger tendency toward the introduction of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digital solutions into the standard framework of mental health delivery, and programmes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involving the use of NHS Talking Therapies, IAPT Digital, and application-mediated forms of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self-help are used extensively (Hitcham et al., 2025). These services are applicable to common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mental ailments like anxiety, depression, and social isolation, that are high specifically among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 xml:space="preserve">older adults. Evidence suggests that in case </w:t>
      </w:r>
      <w:r w:rsidRPr="003074AF">
        <w:rPr>
          <w:rFonts w:ascii="Arial" w:hAnsi="Arial" w:cs="Arial"/>
        </w:rPr>
        <w:lastRenderedPageBreak/>
        <w:t>of proper design and facilitation, digital interventions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may reach similar clinical efficacy as in-person therapy and may be more flexible and convenient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(Vizza et al., 2025). Nevertheless, older adults are often affected by factors of digital literacy,</w:t>
      </w:r>
      <w:r>
        <w:rPr>
          <w:rFonts w:ascii="Arial" w:hAnsi="Arial" w:cs="Arial"/>
        </w:rPr>
        <w:t xml:space="preserve"> </w:t>
      </w:r>
      <w:r w:rsidRPr="003074AF">
        <w:rPr>
          <w:rFonts w:ascii="Arial" w:hAnsi="Arial" w:cs="Arial"/>
        </w:rPr>
        <w:t>access, and trust towards technology (Wilson et al., 2023).</w:t>
      </w:r>
    </w:p>
    <w:p w14:paraId="163362F5" w14:textId="27370077" w:rsidR="00C41589" w:rsidRDefault="00C41589" w:rsidP="00C41589">
      <w:pPr>
        <w:spacing w:line="360" w:lineRule="auto"/>
        <w:rPr>
          <w:rFonts w:ascii="Arial" w:hAnsi="Arial" w:cs="Arial"/>
        </w:rPr>
      </w:pPr>
      <w:r w:rsidRPr="00C41589">
        <w:rPr>
          <w:rFonts w:ascii="Arial" w:hAnsi="Arial" w:cs="Arial"/>
        </w:rPr>
        <w:t>The role played by policy and regulation on the development and provision of digital mental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health services in the UK is crucial. The NHS Long Term Plan focuses on the idea of a digital-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first approach where it is suggested to implement evidence-based online interventions into the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general care (England, 2023). The ethical and safe processing of patient information in digital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interventions is regulated by such regulatory frameworks as the Health and Social Care Act 2012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and the data protection laws, including, but not limited to, the UK GDPR (GOV.UK, 2012).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Moreover, NHS Digital has a controlled list of certifiable mental health apps, which guarantee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standards of clinical quality and protect data privacy. All these policies are aimed at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standardising care and reducing risks related to unregulated online platforms and encouraging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fair access to interventions, but there remain implementation issues that hinder the full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application of this service by older adults.</w:t>
      </w:r>
    </w:p>
    <w:p w14:paraId="65953748" w14:textId="77777777" w:rsidR="00C41589" w:rsidRDefault="00C41589" w:rsidP="00C41589">
      <w:pPr>
        <w:spacing w:line="360" w:lineRule="auto"/>
        <w:rPr>
          <w:rFonts w:ascii="Arial" w:hAnsi="Arial" w:cs="Arial"/>
        </w:rPr>
      </w:pPr>
    </w:p>
    <w:p w14:paraId="6D5C04AA" w14:textId="4B6EB3DA" w:rsidR="00C41589" w:rsidRDefault="00C41589" w:rsidP="00C41589">
      <w:pPr>
        <w:spacing w:line="360" w:lineRule="auto"/>
        <w:rPr>
          <w:rFonts w:ascii="Arial" w:hAnsi="Arial" w:cs="Arial"/>
        </w:rPr>
      </w:pPr>
      <w:r w:rsidRPr="00C41589">
        <w:rPr>
          <w:rFonts w:ascii="Arial" w:hAnsi="Arial" w:cs="Arial"/>
        </w:rPr>
        <w:t>Implementation is different across the regions and trusts at the local place depending on funding,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infrastructure and demographic requirements. Certain local authorities and NHS trusts have put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up specially aimed projects to enhance digital inclusion in older adults, including community-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based digital literacy projects, options of help with assistive technology, and training in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healthcare workers to facilitate remote care. For example, in Greater Manchester and East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London, pilot types of programme have introduced online mental health services and merged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them with locally-based support providers to make online engagement more relevant to older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people (Thompson et al., 2023). Even with such initiatives, inequalities continue to dominate the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regions, with rural regions tending to have difficulties based on connectivity and urban areas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being in higher demands.</w:t>
      </w:r>
    </w:p>
    <w:p w14:paraId="27B22341" w14:textId="77777777" w:rsidR="00C41589" w:rsidRPr="00705F38" w:rsidRDefault="00C41589" w:rsidP="00C41589">
      <w:pPr>
        <w:spacing w:line="360" w:lineRule="auto"/>
        <w:rPr>
          <w:rFonts w:ascii="Arial" w:hAnsi="Arial" w:cs="Arial"/>
          <w:i/>
          <w:iCs/>
        </w:rPr>
      </w:pPr>
      <w:r w:rsidRPr="00705F38">
        <w:rPr>
          <w:rFonts w:ascii="Arial" w:hAnsi="Arial" w:cs="Arial"/>
          <w:i/>
          <w:iCs/>
        </w:rPr>
        <w:t>Conclusion</w:t>
      </w:r>
    </w:p>
    <w:p w14:paraId="3CE88CA2" w14:textId="59BD6A63" w:rsidR="00C41589" w:rsidRDefault="00C41589" w:rsidP="00C41589">
      <w:pPr>
        <w:spacing w:line="360" w:lineRule="auto"/>
        <w:rPr>
          <w:rFonts w:ascii="Arial" w:hAnsi="Arial" w:cs="Arial"/>
        </w:rPr>
      </w:pPr>
      <w:r w:rsidRPr="00C41589">
        <w:rPr>
          <w:rFonts w:ascii="Arial" w:hAnsi="Arial" w:cs="Arial"/>
        </w:rPr>
        <w:t>This chapter has described the history of digital mental health interventions, theories,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international and national settings. It has followed the development of technology-mediated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mental health services, with landmarks and contributions of notable researchers and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organisations. Theoretical perspectives, such as technology acceptance and behavioural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theories,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were studied in their capability to appreciate adoption and participation. An international image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showed policy differences, availability, and enforcement whereas UK scenario focused on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national priorities, laws and local plans to foster digital inclusion and service efficacy. Together,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 xml:space="preserve">this background is a helpful insight into the reasons behind digital </w:t>
      </w:r>
      <w:r w:rsidRPr="00C41589">
        <w:rPr>
          <w:rFonts w:ascii="Arial" w:hAnsi="Arial" w:cs="Arial"/>
        </w:rPr>
        <w:lastRenderedPageBreak/>
        <w:t>interventions in mental health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and establishing important considerations across older adult groups. The insights discussed will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be brought directly to the approach of the following chapter to help make research design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decisions, data collection decisions, and data analysis decisions to respond to the aims and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objectives of the study.</w:t>
      </w:r>
    </w:p>
    <w:p w14:paraId="6EB7F698" w14:textId="77777777" w:rsidR="00C41589" w:rsidRDefault="00C41589" w:rsidP="00C41589">
      <w:pPr>
        <w:spacing w:line="360" w:lineRule="auto"/>
        <w:rPr>
          <w:rFonts w:ascii="Arial" w:hAnsi="Arial" w:cs="Arial"/>
        </w:rPr>
      </w:pPr>
    </w:p>
    <w:p w14:paraId="6A122867" w14:textId="77777777" w:rsidR="00C41589" w:rsidRPr="00C41589" w:rsidRDefault="00C41589" w:rsidP="00C41589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C41589">
        <w:rPr>
          <w:rFonts w:ascii="Arial" w:hAnsi="Arial" w:cs="Arial"/>
          <w:b/>
          <w:bCs/>
          <w:i/>
          <w:iCs/>
        </w:rPr>
        <w:t>References</w:t>
      </w:r>
    </w:p>
    <w:p w14:paraId="55A4EA6F" w14:textId="77777777" w:rsidR="00C41589" w:rsidRDefault="00C41589" w:rsidP="00C41589">
      <w:pPr>
        <w:spacing w:line="360" w:lineRule="auto"/>
        <w:rPr>
          <w:rFonts w:ascii="Arial" w:hAnsi="Arial" w:cs="Arial"/>
        </w:rPr>
      </w:pPr>
      <w:r w:rsidRPr="00C41589">
        <w:rPr>
          <w:rFonts w:ascii="Arial" w:hAnsi="Arial" w:cs="Arial"/>
        </w:rPr>
        <w:t>Andersson, G., (2024). Internet-delivered CBT: Distinctive features. Routledge.</w:t>
      </w:r>
    </w:p>
    <w:p w14:paraId="067A17F3" w14:textId="77777777" w:rsidR="00705F38" w:rsidRDefault="00705F38" w:rsidP="00C41589">
      <w:pPr>
        <w:spacing w:line="360" w:lineRule="auto"/>
        <w:rPr>
          <w:rFonts w:ascii="Arial" w:hAnsi="Arial" w:cs="Arial"/>
        </w:rPr>
      </w:pPr>
    </w:p>
    <w:p w14:paraId="50E1ED6D" w14:textId="7C6721FA" w:rsidR="00C41589" w:rsidRDefault="00C41589" w:rsidP="00C41589">
      <w:pPr>
        <w:spacing w:line="360" w:lineRule="auto"/>
        <w:rPr>
          <w:rFonts w:ascii="Arial" w:hAnsi="Arial" w:cs="Arial"/>
        </w:rPr>
      </w:pPr>
      <w:r w:rsidRPr="00C41589">
        <w:rPr>
          <w:rFonts w:ascii="Arial" w:hAnsi="Arial" w:cs="Arial"/>
        </w:rPr>
        <w:t>Balcombe, L. and De Leo, D., (2022). Evaluation of the use of digital mental health platforms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and interventions: scoping review. International journal of environmental research and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public health, 20(1), p.362.</w:t>
      </w:r>
    </w:p>
    <w:p w14:paraId="6B6564DA" w14:textId="77777777" w:rsidR="00705F38" w:rsidRDefault="00705F38" w:rsidP="00C41589">
      <w:pPr>
        <w:spacing w:line="360" w:lineRule="auto"/>
        <w:rPr>
          <w:rFonts w:ascii="Arial" w:hAnsi="Arial" w:cs="Arial"/>
        </w:rPr>
      </w:pPr>
    </w:p>
    <w:p w14:paraId="7E8D7DBE" w14:textId="25D3D9CE" w:rsidR="00C41589" w:rsidRDefault="00C41589" w:rsidP="00C41589">
      <w:pPr>
        <w:spacing w:line="360" w:lineRule="auto"/>
        <w:rPr>
          <w:rFonts w:ascii="Arial" w:hAnsi="Arial" w:cs="Arial"/>
        </w:rPr>
      </w:pPr>
      <w:r w:rsidRPr="00C41589">
        <w:rPr>
          <w:rFonts w:ascii="Arial" w:hAnsi="Arial" w:cs="Arial"/>
        </w:rPr>
        <w:t>Bassilios, B., Ftanou, M., Tan, A., Morgan, A., Machlin, A., Mangelsdorf, S., Le, L., Banfield,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M., Spittal, M., Mihalopoulos, C. and Pirkis, J., (2022). Environmental scan of digital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mental health services. Australian Government Department of Health and Aged Care.</w:t>
      </w:r>
    </w:p>
    <w:p w14:paraId="505DEE06" w14:textId="77777777" w:rsidR="00705F38" w:rsidRDefault="00705F38" w:rsidP="00C41589">
      <w:pPr>
        <w:spacing w:line="360" w:lineRule="auto"/>
        <w:rPr>
          <w:rFonts w:ascii="Arial" w:hAnsi="Arial" w:cs="Arial"/>
        </w:rPr>
      </w:pPr>
    </w:p>
    <w:p w14:paraId="511646F0" w14:textId="53C1E43E" w:rsidR="00C41589" w:rsidRDefault="00C41589" w:rsidP="00C41589">
      <w:pPr>
        <w:spacing w:line="360" w:lineRule="auto"/>
        <w:rPr>
          <w:rFonts w:ascii="Arial" w:hAnsi="Arial" w:cs="Arial"/>
        </w:rPr>
      </w:pPr>
      <w:r w:rsidRPr="00C41589">
        <w:rPr>
          <w:rFonts w:ascii="Arial" w:hAnsi="Arial" w:cs="Arial"/>
        </w:rPr>
        <w:t>Behar, J.A., Liu, C., Kotzen, K., Tsutsui, K., Corino, V.D., Singh, J., Pimentel, M.A., Warrick,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P., Zaunseder, S., Andreotti, F. and Sebag, D., (2020). Remote health diagnosis and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monitoring in the time of COVID-19. Physiological measurement, 41(10), p.10TR01.</w:t>
      </w:r>
    </w:p>
    <w:p w14:paraId="221B0508" w14:textId="77777777" w:rsidR="00C41589" w:rsidRDefault="00C41589" w:rsidP="00C41589">
      <w:pPr>
        <w:spacing w:line="360" w:lineRule="auto"/>
        <w:rPr>
          <w:rFonts w:ascii="Arial" w:hAnsi="Arial" w:cs="Arial"/>
        </w:rPr>
      </w:pPr>
    </w:p>
    <w:p w14:paraId="129F57F6" w14:textId="764D8416" w:rsidR="00C41589" w:rsidRDefault="00C41589" w:rsidP="00C41589">
      <w:pPr>
        <w:spacing w:line="360" w:lineRule="auto"/>
        <w:rPr>
          <w:rFonts w:ascii="Arial" w:hAnsi="Arial" w:cs="Arial"/>
        </w:rPr>
      </w:pPr>
      <w:r w:rsidRPr="00C41589">
        <w:rPr>
          <w:rFonts w:ascii="Arial" w:hAnsi="Arial" w:cs="Arial"/>
        </w:rPr>
        <w:t>Bond, R.R., Mulvenna, M.D., Potts, C., O’Neill, S., Ennis, E. and Torous, J., (2023). Digital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transformation of mental health services. Npj Mental Health Research, 2(1), p.13.</w:t>
      </w:r>
    </w:p>
    <w:p w14:paraId="7D48E415" w14:textId="77777777" w:rsidR="00C41589" w:rsidRPr="00C41589" w:rsidRDefault="00C41589" w:rsidP="00C41589">
      <w:pPr>
        <w:spacing w:line="360" w:lineRule="auto"/>
        <w:rPr>
          <w:rFonts w:ascii="Arial" w:hAnsi="Arial" w:cs="Arial"/>
        </w:rPr>
      </w:pPr>
    </w:p>
    <w:p w14:paraId="28445B44" w14:textId="0C9755E5" w:rsidR="00C41589" w:rsidRDefault="00C41589" w:rsidP="00C41589">
      <w:pPr>
        <w:spacing w:line="360" w:lineRule="auto"/>
        <w:rPr>
          <w:rFonts w:ascii="Arial" w:hAnsi="Arial" w:cs="Arial"/>
        </w:rPr>
      </w:pPr>
      <w:r w:rsidRPr="00C41589">
        <w:rPr>
          <w:rFonts w:ascii="Arial" w:hAnsi="Arial" w:cs="Arial"/>
        </w:rPr>
        <w:t>Borghouts, J., Eikey, E.V., De Leon, C., Schueller, S.M., Schneider, M., Stadnick, N.A., Zheng,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K., Wilson, L., Caro, D., Mukamel, D.B. and Sorkin, D.H., (2022). Understanding the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role of support in digital mental health programs with older adults: users’ perspective and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mixed methods study. JMIR Formative Research, 6(12), p.e43192.</w:t>
      </w:r>
    </w:p>
    <w:p w14:paraId="302D37C1" w14:textId="77777777" w:rsidR="00C41589" w:rsidRDefault="00C41589" w:rsidP="00C41589">
      <w:pPr>
        <w:spacing w:line="360" w:lineRule="auto"/>
        <w:rPr>
          <w:rFonts w:ascii="Arial" w:hAnsi="Arial" w:cs="Arial"/>
        </w:rPr>
      </w:pPr>
    </w:p>
    <w:p w14:paraId="5441C46C" w14:textId="4B470D03" w:rsidR="00C41589" w:rsidRDefault="00C41589" w:rsidP="00C41589">
      <w:pPr>
        <w:spacing w:line="360" w:lineRule="auto"/>
        <w:rPr>
          <w:rFonts w:ascii="Arial" w:hAnsi="Arial" w:cs="Arial"/>
        </w:rPr>
      </w:pPr>
      <w:r w:rsidRPr="00C41589">
        <w:rPr>
          <w:rFonts w:ascii="Arial" w:hAnsi="Arial" w:cs="Arial"/>
        </w:rPr>
        <w:lastRenderedPageBreak/>
        <w:t>Chan, A.H.Y. and Honey, M.L., (2022). User perceptions of mobile digital apps for mental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health: Acceptability and usability</w:t>
      </w:r>
      <w:r w:rsidRPr="00C41589">
        <w:rPr>
          <w:rFonts w:ascii="Cambria Math" w:hAnsi="Cambria Math" w:cs="Cambria Math"/>
        </w:rPr>
        <w:t>‐</w:t>
      </w:r>
      <w:r w:rsidRPr="00C41589">
        <w:rPr>
          <w:rFonts w:ascii="Arial" w:hAnsi="Arial" w:cs="Arial"/>
        </w:rPr>
        <w:t>An integrative review. Journal of psychiatric and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mental health nursing, 29(1), pp.147-168.</w:t>
      </w:r>
    </w:p>
    <w:p w14:paraId="2B6464FD" w14:textId="77777777" w:rsidR="00C41589" w:rsidRDefault="00C41589" w:rsidP="00C41589">
      <w:pPr>
        <w:spacing w:line="360" w:lineRule="auto"/>
        <w:rPr>
          <w:rFonts w:ascii="Arial" w:hAnsi="Arial" w:cs="Arial"/>
        </w:rPr>
      </w:pPr>
    </w:p>
    <w:p w14:paraId="7DFBADDD" w14:textId="23779394" w:rsidR="00C41589" w:rsidRDefault="00C41589" w:rsidP="00C41589">
      <w:pPr>
        <w:spacing w:line="360" w:lineRule="auto"/>
        <w:rPr>
          <w:rFonts w:ascii="Arial" w:hAnsi="Arial" w:cs="Arial"/>
        </w:rPr>
      </w:pPr>
      <w:r w:rsidRPr="00C41589">
        <w:rPr>
          <w:rFonts w:ascii="Arial" w:hAnsi="Arial" w:cs="Arial"/>
        </w:rPr>
        <w:t>Czaja, S.J., Boot, W.R., Charness, N. and Rogers, W.A., (2025). The use of technology to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support cognitive diversity among older adults. The Gerontologist, 65(7), p.gnaf114.</w:t>
      </w:r>
    </w:p>
    <w:p w14:paraId="74CD1EF2" w14:textId="77777777" w:rsidR="00C41589" w:rsidRPr="00C41589" w:rsidRDefault="00C41589" w:rsidP="00C41589">
      <w:pPr>
        <w:spacing w:line="360" w:lineRule="auto"/>
        <w:rPr>
          <w:rFonts w:ascii="Arial" w:hAnsi="Arial" w:cs="Arial"/>
        </w:rPr>
      </w:pPr>
    </w:p>
    <w:p w14:paraId="4CBAE5E5" w14:textId="3B4A03A0" w:rsidR="00C41589" w:rsidRDefault="00C41589" w:rsidP="00C41589">
      <w:pPr>
        <w:spacing w:line="360" w:lineRule="auto"/>
        <w:rPr>
          <w:rFonts w:ascii="Arial" w:hAnsi="Arial" w:cs="Arial"/>
        </w:rPr>
      </w:pPr>
      <w:r w:rsidRPr="00C41589">
        <w:rPr>
          <w:rFonts w:ascii="Arial" w:hAnsi="Arial" w:cs="Arial"/>
        </w:rPr>
        <w:t>England, N.H.S., (2023). NHS long term workforce plan [online]</w:t>
      </w:r>
    </w:p>
    <w:p w14:paraId="39200591" w14:textId="77777777" w:rsidR="00C41589" w:rsidRDefault="00C41589" w:rsidP="00C41589">
      <w:pPr>
        <w:spacing w:line="360" w:lineRule="auto"/>
        <w:rPr>
          <w:rFonts w:ascii="Arial" w:hAnsi="Arial" w:cs="Arial"/>
        </w:rPr>
      </w:pPr>
    </w:p>
    <w:p w14:paraId="7367C4A6" w14:textId="2FEEDD5F" w:rsidR="00C41589" w:rsidRDefault="00C41589" w:rsidP="00C41589">
      <w:pPr>
        <w:spacing w:line="360" w:lineRule="auto"/>
        <w:rPr>
          <w:rFonts w:ascii="Arial" w:hAnsi="Arial" w:cs="Arial"/>
        </w:rPr>
      </w:pPr>
      <w:r w:rsidRPr="00C41589">
        <w:rPr>
          <w:rFonts w:ascii="Arial" w:hAnsi="Arial" w:cs="Arial"/>
        </w:rPr>
        <w:t>GOV.UK (2012). Health and Social Care Act 2012. Legislation.gov.uk.</w:t>
      </w:r>
      <w:r>
        <w:rPr>
          <w:rFonts w:ascii="Arial" w:hAnsi="Arial" w:cs="Arial"/>
        </w:rPr>
        <w:t xml:space="preserve"> </w:t>
      </w:r>
      <w:hyperlink r:id="rId6" w:history="1">
        <w:r w:rsidRPr="001B3E2A">
          <w:rPr>
            <w:rStyle w:val="Hyperlink"/>
            <w:rFonts w:ascii="Arial" w:hAnsi="Arial" w:cs="Arial"/>
          </w:rPr>
          <w:t>https://www.legislation.gov.uk/en/ukpga/2012/7/contents</w:t>
        </w:r>
      </w:hyperlink>
    </w:p>
    <w:p w14:paraId="4B70A2A2" w14:textId="77777777" w:rsidR="00C41589" w:rsidRPr="00C41589" w:rsidRDefault="00C41589" w:rsidP="00C41589">
      <w:pPr>
        <w:spacing w:line="360" w:lineRule="auto"/>
        <w:rPr>
          <w:rFonts w:ascii="Arial" w:hAnsi="Arial" w:cs="Arial"/>
        </w:rPr>
      </w:pPr>
    </w:p>
    <w:p w14:paraId="528C4F48" w14:textId="50EB810D" w:rsidR="00C41589" w:rsidRDefault="00C41589" w:rsidP="00C41589">
      <w:pPr>
        <w:spacing w:line="360" w:lineRule="auto"/>
        <w:rPr>
          <w:rFonts w:ascii="Arial" w:hAnsi="Arial" w:cs="Arial"/>
        </w:rPr>
      </w:pPr>
      <w:r w:rsidRPr="00C41589">
        <w:rPr>
          <w:rFonts w:ascii="Arial" w:hAnsi="Arial" w:cs="Arial"/>
        </w:rPr>
        <w:t>Hebbar, S. and Vandana, B., (2023). Artificial intelligence in future telepsychiatry and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psychotherapy for e-mental health revolution. In Computational Intelligence in Medical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Decision Making and Diagnosis (pp. 39-60). CRC Press.</w:t>
      </w:r>
    </w:p>
    <w:p w14:paraId="4EA5ED38" w14:textId="77777777" w:rsidR="00C41589" w:rsidRDefault="00C41589" w:rsidP="00C41589">
      <w:pPr>
        <w:spacing w:line="360" w:lineRule="auto"/>
        <w:rPr>
          <w:rFonts w:ascii="Arial" w:hAnsi="Arial" w:cs="Arial"/>
        </w:rPr>
      </w:pPr>
    </w:p>
    <w:p w14:paraId="786F9C54" w14:textId="6B1B2918" w:rsidR="00C41589" w:rsidRDefault="00C41589" w:rsidP="00C41589">
      <w:pPr>
        <w:spacing w:line="360" w:lineRule="auto"/>
        <w:rPr>
          <w:rFonts w:ascii="Arial" w:hAnsi="Arial" w:cs="Arial"/>
        </w:rPr>
      </w:pPr>
      <w:r w:rsidRPr="00C41589">
        <w:rPr>
          <w:rFonts w:ascii="Arial" w:hAnsi="Arial" w:cs="Arial"/>
        </w:rPr>
        <w:t>Hitcham, L., Gomez Bergin, A.D. and Ito-Jaeger, S., (2025). Adoption of Digital Mental Health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Interventions in NHS England, Scotland, and Wales: A 2025 Freedom of Information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survey. Scotland, and Wales: A.</w:t>
      </w:r>
    </w:p>
    <w:p w14:paraId="1E3553F9" w14:textId="77777777" w:rsidR="00C41589" w:rsidRPr="00C41589" w:rsidRDefault="00C41589" w:rsidP="00C41589">
      <w:pPr>
        <w:spacing w:line="360" w:lineRule="auto"/>
        <w:rPr>
          <w:rFonts w:ascii="Arial" w:hAnsi="Arial" w:cs="Arial"/>
        </w:rPr>
      </w:pPr>
    </w:p>
    <w:p w14:paraId="4B91D2E0" w14:textId="7D34D557" w:rsidR="00C41589" w:rsidRDefault="00C41589" w:rsidP="00C41589">
      <w:pPr>
        <w:spacing w:line="360" w:lineRule="auto"/>
        <w:rPr>
          <w:rFonts w:ascii="Arial" w:hAnsi="Arial" w:cs="Arial"/>
        </w:rPr>
      </w:pPr>
      <w:r w:rsidRPr="00C41589">
        <w:rPr>
          <w:rFonts w:ascii="Arial" w:hAnsi="Arial" w:cs="Arial"/>
        </w:rPr>
        <w:t>Hollimon, L.A., Taylor, K.V., Fiegenbaum, R., Carrasco, M., Garchitorena Gomez, L., Chung,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D. and Seixas, A.A., (2025). Redefining and solving the digital divide and exclusion to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improve healthcare: going beyond access to include availability, adequacy, acceptability,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and affordability. Frontiers in digital health, 7, p.1508686.</w:t>
      </w:r>
    </w:p>
    <w:p w14:paraId="0CDE4B80" w14:textId="77777777" w:rsidR="00C41589" w:rsidRDefault="00C41589" w:rsidP="00C41589">
      <w:pPr>
        <w:spacing w:line="360" w:lineRule="auto"/>
        <w:rPr>
          <w:rFonts w:ascii="Arial" w:hAnsi="Arial" w:cs="Arial"/>
        </w:rPr>
      </w:pPr>
    </w:p>
    <w:p w14:paraId="5E14E87E" w14:textId="741A09BE" w:rsidR="00C41589" w:rsidRDefault="00C41589" w:rsidP="00C41589">
      <w:pPr>
        <w:spacing w:line="360" w:lineRule="auto"/>
        <w:rPr>
          <w:rFonts w:ascii="Arial" w:hAnsi="Arial" w:cs="Arial"/>
        </w:rPr>
      </w:pPr>
      <w:r w:rsidRPr="00C41589">
        <w:rPr>
          <w:rFonts w:ascii="Arial" w:hAnsi="Arial" w:cs="Arial"/>
        </w:rPr>
        <w:t>Imran, A., (2023). Why addressing digital inequality should be a priority. The Electronic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Journal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of Information Systems in Developing Countries, 89(3), p. e12255.</w:t>
      </w:r>
    </w:p>
    <w:p w14:paraId="35FC6DCE" w14:textId="77777777" w:rsidR="00C41589" w:rsidRDefault="00C41589" w:rsidP="00C41589">
      <w:pPr>
        <w:spacing w:line="360" w:lineRule="auto"/>
        <w:rPr>
          <w:rFonts w:ascii="Arial" w:hAnsi="Arial" w:cs="Arial"/>
        </w:rPr>
      </w:pPr>
    </w:p>
    <w:p w14:paraId="096512A3" w14:textId="3D1FF728" w:rsidR="00C41589" w:rsidRDefault="00C41589" w:rsidP="00C41589">
      <w:pPr>
        <w:spacing w:line="360" w:lineRule="auto"/>
        <w:rPr>
          <w:rFonts w:ascii="Arial" w:hAnsi="Arial" w:cs="Arial"/>
        </w:rPr>
      </w:pPr>
      <w:r w:rsidRPr="00C41589">
        <w:rPr>
          <w:rFonts w:ascii="Arial" w:hAnsi="Arial" w:cs="Arial"/>
        </w:rPr>
        <w:lastRenderedPageBreak/>
        <w:t>Jena, R.K., Botella</w:t>
      </w:r>
      <w:r w:rsidRPr="00C41589">
        <w:rPr>
          <w:rFonts w:ascii="Cambria Math" w:hAnsi="Cambria Math" w:cs="Cambria Math"/>
        </w:rPr>
        <w:t>‐</w:t>
      </w:r>
      <w:r w:rsidRPr="00C41589">
        <w:rPr>
          <w:rFonts w:ascii="Arial" w:hAnsi="Arial" w:cs="Arial"/>
        </w:rPr>
        <w:t>Carrubi, D. and Currás</w:t>
      </w:r>
      <w:r w:rsidRPr="00C41589">
        <w:rPr>
          <w:rFonts w:ascii="Cambria Math" w:hAnsi="Cambria Math" w:cs="Cambria Math"/>
        </w:rPr>
        <w:t>‐</w:t>
      </w:r>
      <w:r w:rsidRPr="00C41589">
        <w:rPr>
          <w:rFonts w:ascii="Arial" w:hAnsi="Arial" w:cs="Arial"/>
        </w:rPr>
        <w:t>Móstoles, R., (2026). Driving User Engagement: A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Mixed</w:t>
      </w:r>
      <w:r w:rsidRPr="00C41589">
        <w:rPr>
          <w:rFonts w:ascii="Cambria Math" w:hAnsi="Cambria Math" w:cs="Cambria Math"/>
        </w:rPr>
        <w:t>‐</w:t>
      </w:r>
      <w:r w:rsidRPr="00C41589">
        <w:rPr>
          <w:rFonts w:ascii="Arial" w:hAnsi="Arial" w:cs="Arial"/>
        </w:rPr>
        <w:t>Method Marketing Approach for Digital Mental Health Intervention. Psychology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&amp; Marketing, 43(2), pp.343-356.</w:t>
      </w:r>
    </w:p>
    <w:p w14:paraId="1F65DEF1" w14:textId="77777777" w:rsidR="00C41589" w:rsidRDefault="00C41589" w:rsidP="00C41589">
      <w:pPr>
        <w:spacing w:line="360" w:lineRule="auto"/>
        <w:rPr>
          <w:rFonts w:ascii="Arial" w:hAnsi="Arial" w:cs="Arial"/>
        </w:rPr>
      </w:pPr>
    </w:p>
    <w:p w14:paraId="3BA23755" w14:textId="224DA235" w:rsidR="00C41589" w:rsidRDefault="00C41589" w:rsidP="00C41589">
      <w:pPr>
        <w:spacing w:line="360" w:lineRule="auto"/>
        <w:rPr>
          <w:rFonts w:ascii="Arial" w:hAnsi="Arial" w:cs="Arial"/>
        </w:rPr>
      </w:pPr>
      <w:r w:rsidRPr="00C41589">
        <w:rPr>
          <w:rFonts w:ascii="Arial" w:hAnsi="Arial" w:cs="Arial"/>
        </w:rPr>
        <w:t>Kazdin, A.E., (2024). Interventions in everyday life to improve mental health and reduce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symptoms of psychiatric disorders. American psychologist, 79(2), p.185.</w:t>
      </w:r>
    </w:p>
    <w:p w14:paraId="07C1E759" w14:textId="77777777" w:rsidR="00C41589" w:rsidRDefault="00C41589" w:rsidP="00C41589">
      <w:pPr>
        <w:spacing w:line="360" w:lineRule="auto"/>
        <w:rPr>
          <w:rFonts w:ascii="Arial" w:hAnsi="Arial" w:cs="Arial"/>
        </w:rPr>
      </w:pPr>
    </w:p>
    <w:p w14:paraId="5211FCB2" w14:textId="6B193FD7" w:rsidR="00C41589" w:rsidRDefault="00C41589" w:rsidP="00C41589">
      <w:pPr>
        <w:spacing w:line="360" w:lineRule="auto"/>
        <w:rPr>
          <w:rFonts w:ascii="Arial" w:hAnsi="Arial" w:cs="Arial"/>
        </w:rPr>
      </w:pPr>
      <w:r w:rsidRPr="00C41589">
        <w:rPr>
          <w:rFonts w:ascii="Arial" w:hAnsi="Arial" w:cs="Arial"/>
        </w:rPr>
        <w:t>Kebede, A.S., Ozolins, L.L., Holst, H. and Galvin, K., (2022). Digital engagement of older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adults: scoping review. Journal of Medical Internet Research, 24(12), p.e40192.</w:t>
      </w:r>
    </w:p>
    <w:p w14:paraId="6982362B" w14:textId="77777777" w:rsidR="00C41589" w:rsidRPr="00C41589" w:rsidRDefault="00C41589" w:rsidP="00C41589">
      <w:pPr>
        <w:spacing w:line="360" w:lineRule="auto"/>
        <w:rPr>
          <w:rFonts w:ascii="Arial" w:hAnsi="Arial" w:cs="Arial"/>
        </w:rPr>
      </w:pPr>
    </w:p>
    <w:p w14:paraId="2471055A" w14:textId="5F3540E2" w:rsidR="00C41589" w:rsidRDefault="00C41589" w:rsidP="00C41589">
      <w:pPr>
        <w:spacing w:line="360" w:lineRule="auto"/>
        <w:rPr>
          <w:rFonts w:ascii="Arial" w:hAnsi="Arial" w:cs="Arial"/>
        </w:rPr>
      </w:pPr>
      <w:r w:rsidRPr="00C41589">
        <w:rPr>
          <w:rFonts w:ascii="Arial" w:hAnsi="Arial" w:cs="Arial"/>
        </w:rPr>
        <w:t>Kepper, M.M., Fowler, L.A., Kusters, I.S., Davis, J.W., Baqer, M., Sagui-Henson, S., Xiao, Y.,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Tarfa, A., Yi, J.C., Gibson, B. and Heron, K.E., (2024). Expanding a behavioral view on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digital health access: drivers and strategies to promote equity. Journal of medical Internet</w:t>
      </w:r>
      <w:r>
        <w:rPr>
          <w:rFonts w:ascii="Arial" w:hAnsi="Arial" w:cs="Arial"/>
        </w:rPr>
        <w:t xml:space="preserve"> </w:t>
      </w:r>
      <w:r w:rsidRPr="00C41589">
        <w:rPr>
          <w:rFonts w:ascii="Arial" w:hAnsi="Arial" w:cs="Arial"/>
        </w:rPr>
        <w:t>research, 26, p.e51355.</w:t>
      </w:r>
    </w:p>
    <w:p w14:paraId="20A31575" w14:textId="77777777" w:rsidR="00C41589" w:rsidRDefault="00C41589" w:rsidP="00C41589">
      <w:pPr>
        <w:spacing w:line="360" w:lineRule="auto"/>
        <w:rPr>
          <w:rFonts w:ascii="Arial" w:hAnsi="Arial" w:cs="Arial"/>
        </w:rPr>
      </w:pPr>
    </w:p>
    <w:p w14:paraId="1A08BE08" w14:textId="2406C54F" w:rsidR="00B217F0" w:rsidRDefault="00B217F0" w:rsidP="00B217F0">
      <w:pPr>
        <w:spacing w:line="360" w:lineRule="auto"/>
        <w:rPr>
          <w:rFonts w:ascii="Arial" w:hAnsi="Arial" w:cs="Arial"/>
        </w:rPr>
      </w:pPr>
      <w:r w:rsidRPr="00B217F0">
        <w:rPr>
          <w:rFonts w:ascii="Arial" w:hAnsi="Arial" w:cs="Arial"/>
        </w:rPr>
        <w:t>Khan, S., (2024). Mapping the digital divide: Bridging inequalities in access to information and</w:t>
      </w:r>
      <w:r>
        <w:rPr>
          <w:rFonts w:ascii="Arial" w:hAnsi="Arial" w:cs="Arial"/>
        </w:rPr>
        <w:t xml:space="preserve"> </w:t>
      </w:r>
      <w:r w:rsidRPr="00B217F0">
        <w:rPr>
          <w:rFonts w:ascii="Arial" w:hAnsi="Arial" w:cs="Arial"/>
        </w:rPr>
        <w:t>technology. Policy Journal of Social Science Review, 2(02), pp.48-55.</w:t>
      </w:r>
    </w:p>
    <w:p w14:paraId="5DFBACF8" w14:textId="77777777" w:rsidR="00B217F0" w:rsidRPr="00B217F0" w:rsidRDefault="00B217F0" w:rsidP="00B217F0">
      <w:pPr>
        <w:spacing w:line="360" w:lineRule="auto"/>
        <w:rPr>
          <w:rFonts w:ascii="Arial" w:hAnsi="Arial" w:cs="Arial"/>
        </w:rPr>
      </w:pPr>
    </w:p>
    <w:p w14:paraId="3CC71A30" w14:textId="2352655F" w:rsidR="00C41589" w:rsidRDefault="00B217F0" w:rsidP="00B217F0">
      <w:pPr>
        <w:spacing w:line="360" w:lineRule="auto"/>
        <w:rPr>
          <w:rFonts w:ascii="Arial" w:hAnsi="Arial" w:cs="Arial"/>
        </w:rPr>
      </w:pPr>
      <w:r w:rsidRPr="00B217F0">
        <w:rPr>
          <w:rFonts w:ascii="Arial" w:hAnsi="Arial" w:cs="Arial"/>
        </w:rPr>
        <w:t>Krzyzaniak, N., Greenwood, H., Scott, A.M., Peiris, R., Cardona, M., Clark, J. and Glasziou, P.,</w:t>
      </w:r>
      <w:r>
        <w:rPr>
          <w:rFonts w:ascii="Arial" w:hAnsi="Arial" w:cs="Arial"/>
        </w:rPr>
        <w:t xml:space="preserve"> </w:t>
      </w:r>
      <w:r w:rsidRPr="00B217F0">
        <w:rPr>
          <w:rFonts w:ascii="Arial" w:hAnsi="Arial" w:cs="Arial"/>
        </w:rPr>
        <w:t>(2024). The effectiveness of telehealth versus face-to face interventions for anxiety</w:t>
      </w:r>
      <w:r>
        <w:rPr>
          <w:rFonts w:ascii="Arial" w:hAnsi="Arial" w:cs="Arial"/>
        </w:rPr>
        <w:t xml:space="preserve"> </w:t>
      </w:r>
      <w:r w:rsidRPr="00B217F0">
        <w:rPr>
          <w:rFonts w:ascii="Arial" w:hAnsi="Arial" w:cs="Arial"/>
        </w:rPr>
        <w:t>disorders: A systematic review and meta-analysis. Journal of Telemedicine and</w:t>
      </w:r>
      <w:r>
        <w:rPr>
          <w:rFonts w:ascii="Arial" w:hAnsi="Arial" w:cs="Arial"/>
        </w:rPr>
        <w:t xml:space="preserve"> </w:t>
      </w:r>
      <w:r w:rsidRPr="00B217F0">
        <w:rPr>
          <w:rFonts w:ascii="Arial" w:hAnsi="Arial" w:cs="Arial"/>
        </w:rPr>
        <w:t>Telecare, 30(2), pp.250-261.</w:t>
      </w:r>
    </w:p>
    <w:p w14:paraId="60FF6154" w14:textId="77777777" w:rsidR="00B217F0" w:rsidRDefault="00B217F0" w:rsidP="00B217F0">
      <w:pPr>
        <w:spacing w:line="360" w:lineRule="auto"/>
        <w:rPr>
          <w:rFonts w:ascii="Arial" w:hAnsi="Arial" w:cs="Arial"/>
        </w:rPr>
      </w:pPr>
    </w:p>
    <w:p w14:paraId="6E992976" w14:textId="3ED40D08" w:rsidR="00B217F0" w:rsidRDefault="00B217F0" w:rsidP="00B217F0">
      <w:pPr>
        <w:spacing w:line="360" w:lineRule="auto"/>
        <w:rPr>
          <w:rFonts w:ascii="Arial" w:hAnsi="Arial" w:cs="Arial"/>
        </w:rPr>
      </w:pPr>
      <w:r w:rsidRPr="00B217F0">
        <w:rPr>
          <w:rFonts w:ascii="Arial" w:hAnsi="Arial" w:cs="Arial"/>
        </w:rPr>
        <w:t>Lattie, E.G., Stiles-Shields, C. and Graham, A.K., (2022). An overview of and recommendations</w:t>
      </w:r>
      <w:r>
        <w:rPr>
          <w:rFonts w:ascii="Arial" w:hAnsi="Arial" w:cs="Arial"/>
        </w:rPr>
        <w:t xml:space="preserve"> </w:t>
      </w:r>
      <w:r w:rsidRPr="00B217F0">
        <w:rPr>
          <w:rFonts w:ascii="Arial" w:hAnsi="Arial" w:cs="Arial"/>
        </w:rPr>
        <w:t>for more accessible digital mental health services. Nature Reviews Psychology, 1(2),</w:t>
      </w:r>
      <w:r>
        <w:rPr>
          <w:rFonts w:ascii="Arial" w:hAnsi="Arial" w:cs="Arial"/>
        </w:rPr>
        <w:t xml:space="preserve"> </w:t>
      </w:r>
      <w:r w:rsidRPr="00B217F0">
        <w:rPr>
          <w:rFonts w:ascii="Arial" w:hAnsi="Arial" w:cs="Arial"/>
        </w:rPr>
        <w:t>pp.87-100.</w:t>
      </w:r>
    </w:p>
    <w:p w14:paraId="197F296F" w14:textId="77777777" w:rsidR="00B217F0" w:rsidRPr="00B217F0" w:rsidRDefault="00B217F0" w:rsidP="00B217F0">
      <w:pPr>
        <w:spacing w:line="360" w:lineRule="auto"/>
        <w:rPr>
          <w:rFonts w:ascii="Arial" w:hAnsi="Arial" w:cs="Arial"/>
        </w:rPr>
      </w:pPr>
    </w:p>
    <w:p w14:paraId="4D23A1B4" w14:textId="4D3174C6" w:rsidR="00B217F0" w:rsidRDefault="00B217F0" w:rsidP="00B217F0">
      <w:pPr>
        <w:spacing w:line="360" w:lineRule="auto"/>
        <w:rPr>
          <w:rFonts w:ascii="Arial" w:hAnsi="Arial" w:cs="Arial"/>
        </w:rPr>
      </w:pPr>
      <w:r w:rsidRPr="00B217F0">
        <w:rPr>
          <w:rFonts w:ascii="Arial" w:hAnsi="Arial" w:cs="Arial"/>
        </w:rPr>
        <w:t>Lombardi, M., (2023). Digital economy and digital divide. In Global handbook of inequality (pp.</w:t>
      </w:r>
      <w:r>
        <w:rPr>
          <w:rFonts w:ascii="Arial" w:hAnsi="Arial" w:cs="Arial"/>
        </w:rPr>
        <w:t xml:space="preserve"> </w:t>
      </w:r>
      <w:r w:rsidRPr="00B217F0">
        <w:rPr>
          <w:rFonts w:ascii="Arial" w:hAnsi="Arial" w:cs="Arial"/>
        </w:rPr>
        <w:t>1-27). Cham: Springer International Publishing.</w:t>
      </w:r>
    </w:p>
    <w:p w14:paraId="730C6529" w14:textId="77777777" w:rsidR="00B217F0" w:rsidRDefault="00B217F0" w:rsidP="00B217F0">
      <w:pPr>
        <w:spacing w:line="360" w:lineRule="auto"/>
        <w:rPr>
          <w:rFonts w:ascii="Arial" w:hAnsi="Arial" w:cs="Arial"/>
        </w:rPr>
      </w:pPr>
    </w:p>
    <w:p w14:paraId="566DCE75" w14:textId="60E003B0" w:rsidR="00B217F0" w:rsidRPr="00B217F0" w:rsidRDefault="00B217F0" w:rsidP="00B217F0">
      <w:pPr>
        <w:spacing w:line="360" w:lineRule="auto"/>
        <w:rPr>
          <w:rFonts w:ascii="Arial" w:hAnsi="Arial" w:cs="Arial"/>
        </w:rPr>
      </w:pPr>
      <w:r w:rsidRPr="00B217F0">
        <w:rPr>
          <w:rFonts w:ascii="Arial" w:hAnsi="Arial" w:cs="Arial"/>
        </w:rPr>
        <w:lastRenderedPageBreak/>
        <w:t>Moshe, I., Terhorst, Y., Philippi, P., Domhardt, M., Cuijpers, P., Cristea, I., Pulkki-Råback, L.,</w:t>
      </w:r>
      <w:r>
        <w:rPr>
          <w:rFonts w:ascii="Arial" w:hAnsi="Arial" w:cs="Arial"/>
        </w:rPr>
        <w:t xml:space="preserve"> </w:t>
      </w:r>
      <w:r w:rsidRPr="00B217F0">
        <w:rPr>
          <w:rFonts w:ascii="Arial" w:hAnsi="Arial" w:cs="Arial"/>
        </w:rPr>
        <w:t>Baumeister, H. and Sander, L.B., (2021). Digital interventions for the treatment of</w:t>
      </w:r>
      <w:r>
        <w:rPr>
          <w:rFonts w:ascii="Arial" w:hAnsi="Arial" w:cs="Arial"/>
        </w:rPr>
        <w:t xml:space="preserve"> </w:t>
      </w:r>
      <w:r w:rsidRPr="00B217F0">
        <w:rPr>
          <w:rFonts w:ascii="Arial" w:hAnsi="Arial" w:cs="Arial"/>
        </w:rPr>
        <w:t>depression: A meta-analytic review. Psychological bulletin, 147(8), p.749.</w:t>
      </w:r>
    </w:p>
    <w:p w14:paraId="4D9654E4" w14:textId="77777777" w:rsidR="00B217F0" w:rsidRPr="00B217F0" w:rsidRDefault="00B217F0" w:rsidP="00B217F0">
      <w:pPr>
        <w:spacing w:line="360" w:lineRule="auto"/>
        <w:rPr>
          <w:rFonts w:ascii="Arial" w:hAnsi="Arial" w:cs="Arial"/>
        </w:rPr>
      </w:pPr>
    </w:p>
    <w:p w14:paraId="1B5FB668" w14:textId="79E874BD" w:rsidR="00B217F0" w:rsidRDefault="00B217F0" w:rsidP="00B217F0">
      <w:pPr>
        <w:spacing w:line="360" w:lineRule="auto"/>
        <w:rPr>
          <w:rFonts w:ascii="Arial" w:hAnsi="Arial" w:cs="Arial"/>
        </w:rPr>
      </w:pPr>
      <w:r w:rsidRPr="00B217F0">
        <w:rPr>
          <w:rFonts w:ascii="Arial" w:hAnsi="Arial" w:cs="Arial"/>
        </w:rPr>
        <w:t>Nissling, L., (2024). Enhancing the Patient’s Role: Exploring patient influence in acceptance-</w:t>
      </w:r>
      <w:r>
        <w:rPr>
          <w:rFonts w:ascii="Arial" w:hAnsi="Arial" w:cs="Arial"/>
        </w:rPr>
        <w:t xml:space="preserve"> </w:t>
      </w:r>
      <w:r w:rsidRPr="00B217F0">
        <w:rPr>
          <w:rFonts w:ascii="Arial" w:hAnsi="Arial" w:cs="Arial"/>
        </w:rPr>
        <w:t>based cognitive behavior therapy delivered via internet.</w:t>
      </w:r>
    </w:p>
    <w:p w14:paraId="7A676658" w14:textId="77777777" w:rsidR="00B217F0" w:rsidRDefault="00B217F0" w:rsidP="00B217F0">
      <w:pPr>
        <w:spacing w:line="360" w:lineRule="auto"/>
        <w:rPr>
          <w:rFonts w:ascii="Arial" w:hAnsi="Arial" w:cs="Arial"/>
        </w:rPr>
      </w:pPr>
    </w:p>
    <w:p w14:paraId="13BB15BD" w14:textId="2A613248" w:rsidR="00B217F0" w:rsidRPr="00B217F0" w:rsidRDefault="00B217F0" w:rsidP="00B217F0">
      <w:pPr>
        <w:spacing w:line="360" w:lineRule="auto"/>
        <w:rPr>
          <w:rFonts w:ascii="Arial" w:hAnsi="Arial" w:cs="Arial"/>
        </w:rPr>
      </w:pPr>
      <w:r w:rsidRPr="00B217F0">
        <w:rPr>
          <w:rFonts w:ascii="Arial" w:hAnsi="Arial" w:cs="Arial"/>
        </w:rPr>
        <w:t>Petrou, C., Jameel, L., Nahabedian, N. and Kane, F., (2023). A call for digital inclusion</w:t>
      </w:r>
      <w:r>
        <w:rPr>
          <w:rFonts w:ascii="Arial" w:hAnsi="Arial" w:cs="Arial"/>
        </w:rPr>
        <w:t xml:space="preserve"> </w:t>
      </w:r>
      <w:r w:rsidRPr="00B217F0">
        <w:rPr>
          <w:rFonts w:ascii="Arial" w:hAnsi="Arial" w:cs="Arial"/>
        </w:rPr>
        <w:t>initiatives in mental health services: An integrative review. Journal of psychiatric and</w:t>
      </w:r>
      <w:r>
        <w:rPr>
          <w:rFonts w:ascii="Arial" w:hAnsi="Arial" w:cs="Arial"/>
        </w:rPr>
        <w:t xml:space="preserve"> </w:t>
      </w:r>
      <w:r w:rsidRPr="00B217F0">
        <w:rPr>
          <w:rFonts w:ascii="Arial" w:hAnsi="Arial" w:cs="Arial"/>
        </w:rPr>
        <w:t>mental health nursing, 30(5), pp.911-941.</w:t>
      </w:r>
    </w:p>
    <w:p w14:paraId="5FC7E61A" w14:textId="77777777" w:rsidR="00B217F0" w:rsidRDefault="00B217F0" w:rsidP="00B217F0">
      <w:pPr>
        <w:spacing w:line="360" w:lineRule="auto"/>
        <w:rPr>
          <w:rFonts w:ascii="Arial" w:hAnsi="Arial" w:cs="Arial"/>
        </w:rPr>
      </w:pPr>
    </w:p>
    <w:p w14:paraId="5E8DB9D6" w14:textId="52033BC4" w:rsidR="00B217F0" w:rsidRDefault="00B217F0" w:rsidP="00B217F0">
      <w:pPr>
        <w:spacing w:line="360" w:lineRule="auto"/>
        <w:rPr>
          <w:rFonts w:ascii="Arial" w:hAnsi="Arial" w:cs="Arial"/>
        </w:rPr>
      </w:pPr>
      <w:r w:rsidRPr="00B217F0">
        <w:rPr>
          <w:rFonts w:ascii="Arial" w:hAnsi="Arial" w:cs="Arial"/>
        </w:rPr>
        <w:t>Pywell, J., Vijaykumar, S., Dodd, A. and Coventry, L., (2020). Barriers to older adults’ uptake of</w:t>
      </w:r>
      <w:r>
        <w:rPr>
          <w:rFonts w:ascii="Arial" w:hAnsi="Arial" w:cs="Arial"/>
        </w:rPr>
        <w:t xml:space="preserve"> </w:t>
      </w:r>
      <w:r w:rsidRPr="00B217F0">
        <w:rPr>
          <w:rFonts w:ascii="Arial" w:hAnsi="Arial" w:cs="Arial"/>
        </w:rPr>
        <w:t>mobile-based mental health interventions. Digital health, 6, p.2055207620905422.</w:t>
      </w:r>
    </w:p>
    <w:p w14:paraId="0949E74D" w14:textId="77777777" w:rsidR="00B217F0" w:rsidRDefault="00B217F0" w:rsidP="00B217F0">
      <w:pPr>
        <w:spacing w:line="360" w:lineRule="auto"/>
        <w:rPr>
          <w:rFonts w:ascii="Arial" w:hAnsi="Arial" w:cs="Arial"/>
        </w:rPr>
      </w:pPr>
    </w:p>
    <w:p w14:paraId="7684D483" w14:textId="34DFCFAB" w:rsidR="00B217F0" w:rsidRDefault="00B217F0" w:rsidP="00B217F0">
      <w:pPr>
        <w:spacing w:line="360" w:lineRule="auto"/>
        <w:rPr>
          <w:rFonts w:ascii="Arial" w:hAnsi="Arial" w:cs="Arial"/>
        </w:rPr>
      </w:pPr>
      <w:r w:rsidRPr="00B217F0">
        <w:rPr>
          <w:rFonts w:ascii="Arial" w:hAnsi="Arial" w:cs="Arial"/>
        </w:rPr>
        <w:t>Sharkiya, S.H. and Hag, A.M., (2024). Environmental and contextual factors influencing e-</w:t>
      </w:r>
      <w:r>
        <w:rPr>
          <w:rFonts w:ascii="Arial" w:hAnsi="Arial" w:cs="Arial"/>
        </w:rPr>
        <w:t xml:space="preserve"> </w:t>
      </w:r>
      <w:r w:rsidRPr="00B217F0">
        <w:rPr>
          <w:rFonts w:ascii="Arial" w:hAnsi="Arial" w:cs="Arial"/>
        </w:rPr>
        <w:t>health use among older adults: a rapid review. International Journal of Medical</w:t>
      </w:r>
      <w:r>
        <w:rPr>
          <w:rFonts w:ascii="Arial" w:hAnsi="Arial" w:cs="Arial"/>
        </w:rPr>
        <w:t xml:space="preserve"> </w:t>
      </w:r>
      <w:r w:rsidRPr="00B217F0">
        <w:rPr>
          <w:rFonts w:ascii="Arial" w:hAnsi="Arial" w:cs="Arial"/>
        </w:rPr>
        <w:t>Informatics, 187, p.105448.</w:t>
      </w:r>
    </w:p>
    <w:p w14:paraId="5B4A1218" w14:textId="77777777" w:rsidR="00B217F0" w:rsidRPr="00B217F0" w:rsidRDefault="00B217F0" w:rsidP="00B217F0">
      <w:pPr>
        <w:spacing w:line="360" w:lineRule="auto"/>
        <w:rPr>
          <w:rFonts w:ascii="Arial" w:hAnsi="Arial" w:cs="Arial"/>
        </w:rPr>
      </w:pPr>
    </w:p>
    <w:p w14:paraId="416B9FDA" w14:textId="2DF22F2C" w:rsidR="00B217F0" w:rsidRDefault="00B217F0" w:rsidP="00B217F0">
      <w:pPr>
        <w:spacing w:line="360" w:lineRule="auto"/>
        <w:rPr>
          <w:rFonts w:ascii="Arial" w:hAnsi="Arial" w:cs="Arial"/>
        </w:rPr>
      </w:pPr>
      <w:r w:rsidRPr="00B217F0">
        <w:rPr>
          <w:rFonts w:ascii="Arial" w:hAnsi="Arial" w:cs="Arial"/>
        </w:rPr>
        <w:t>Sharma, T., (2024). Cognitive behavioral therapy: Applications and effectiveness. Paradigm</w:t>
      </w:r>
      <w:r>
        <w:rPr>
          <w:rFonts w:ascii="Arial" w:hAnsi="Arial" w:cs="Arial"/>
        </w:rPr>
        <w:t xml:space="preserve"> </w:t>
      </w:r>
      <w:r w:rsidRPr="00B217F0">
        <w:rPr>
          <w:rFonts w:ascii="Arial" w:hAnsi="Arial" w:cs="Arial"/>
        </w:rPr>
        <w:t>Shift: Multidisciplinary Research for a Changing World, 1, p.314.</w:t>
      </w:r>
    </w:p>
    <w:p w14:paraId="4127CF01" w14:textId="77777777" w:rsidR="00B217F0" w:rsidRDefault="00B217F0" w:rsidP="00B217F0">
      <w:pPr>
        <w:spacing w:line="360" w:lineRule="auto"/>
        <w:rPr>
          <w:rFonts w:ascii="Arial" w:hAnsi="Arial" w:cs="Arial"/>
        </w:rPr>
      </w:pPr>
    </w:p>
    <w:p w14:paraId="56A648CF" w14:textId="5A46CD40" w:rsidR="00B217F0" w:rsidRDefault="00B217F0" w:rsidP="00B217F0">
      <w:pPr>
        <w:spacing w:line="360" w:lineRule="auto"/>
        <w:rPr>
          <w:rFonts w:ascii="Arial" w:hAnsi="Arial" w:cs="Arial"/>
        </w:rPr>
      </w:pPr>
      <w:r w:rsidRPr="00B217F0">
        <w:rPr>
          <w:rFonts w:ascii="Arial" w:hAnsi="Arial" w:cs="Arial"/>
        </w:rPr>
        <w:t>Smith, K.A., Blease, C., Faurholt-Jepsen, M., Firth, J., Van Daele, T., Moreno, C., Carlbring, P.,</w:t>
      </w:r>
      <w:r>
        <w:rPr>
          <w:rFonts w:ascii="Arial" w:hAnsi="Arial" w:cs="Arial"/>
        </w:rPr>
        <w:t xml:space="preserve"> </w:t>
      </w:r>
      <w:r w:rsidRPr="00B217F0">
        <w:rPr>
          <w:rFonts w:ascii="Arial" w:hAnsi="Arial" w:cs="Arial"/>
        </w:rPr>
        <w:t>Ebner-Priemer, U.W., Koutsouleris, N., Riper, H. and Mouchabac, S., (2023). Digital</w:t>
      </w:r>
      <w:r>
        <w:rPr>
          <w:rFonts w:ascii="Arial" w:hAnsi="Arial" w:cs="Arial"/>
        </w:rPr>
        <w:t xml:space="preserve"> </w:t>
      </w:r>
      <w:r w:rsidRPr="00B217F0">
        <w:rPr>
          <w:rFonts w:ascii="Arial" w:hAnsi="Arial" w:cs="Arial"/>
        </w:rPr>
        <w:t>mental health: challenges and next steps. BMJ mental health, 26(1).</w:t>
      </w:r>
    </w:p>
    <w:p w14:paraId="657F3164" w14:textId="77777777" w:rsidR="00B217F0" w:rsidRDefault="00B217F0" w:rsidP="00B217F0">
      <w:pPr>
        <w:spacing w:line="360" w:lineRule="auto"/>
        <w:rPr>
          <w:rFonts w:ascii="Arial" w:hAnsi="Arial" w:cs="Arial"/>
        </w:rPr>
      </w:pPr>
    </w:p>
    <w:p w14:paraId="3E884893" w14:textId="3A68FB37" w:rsidR="00B217F0" w:rsidRDefault="00B217F0" w:rsidP="00B217F0">
      <w:pPr>
        <w:spacing w:line="360" w:lineRule="auto"/>
        <w:rPr>
          <w:rFonts w:ascii="Arial" w:hAnsi="Arial" w:cs="Arial"/>
        </w:rPr>
      </w:pPr>
      <w:r w:rsidRPr="00B217F0">
        <w:rPr>
          <w:rFonts w:ascii="Arial" w:hAnsi="Arial" w:cs="Arial"/>
        </w:rPr>
        <w:t>Tao, T.J., Lim, T.K., Yeung, E.T.F., Liu, H., Shris, P.B., Ma, L.K.Y., Lee, T.M.C. and Hou,</w:t>
      </w:r>
      <w:r>
        <w:rPr>
          <w:rFonts w:ascii="Arial" w:hAnsi="Arial" w:cs="Arial"/>
        </w:rPr>
        <w:t xml:space="preserve"> </w:t>
      </w:r>
      <w:r w:rsidRPr="00B217F0">
        <w:rPr>
          <w:rFonts w:ascii="Arial" w:hAnsi="Arial" w:cs="Arial"/>
        </w:rPr>
        <w:t>W.K., (2023). Internet-based and mobile-based cognitive behavioral therapy for chronic</w:t>
      </w:r>
      <w:r>
        <w:rPr>
          <w:rFonts w:ascii="Arial" w:hAnsi="Arial" w:cs="Arial"/>
        </w:rPr>
        <w:t xml:space="preserve"> </w:t>
      </w:r>
      <w:r w:rsidRPr="00B217F0">
        <w:rPr>
          <w:rFonts w:ascii="Arial" w:hAnsi="Arial" w:cs="Arial"/>
        </w:rPr>
        <w:t>diseases: a systematic review and meta-analysis. npj Digital Medicine, 6(1), p.80.</w:t>
      </w:r>
    </w:p>
    <w:p w14:paraId="33C29192" w14:textId="77777777" w:rsidR="00B217F0" w:rsidRDefault="00B217F0" w:rsidP="00B217F0">
      <w:pPr>
        <w:spacing w:line="360" w:lineRule="auto"/>
        <w:rPr>
          <w:rFonts w:ascii="Arial" w:hAnsi="Arial" w:cs="Arial"/>
        </w:rPr>
      </w:pPr>
    </w:p>
    <w:p w14:paraId="11F4A58F" w14:textId="58FC874B" w:rsidR="00B217F0" w:rsidRDefault="00B217F0" w:rsidP="00B217F0">
      <w:pPr>
        <w:spacing w:line="360" w:lineRule="auto"/>
        <w:rPr>
          <w:rFonts w:ascii="Arial" w:hAnsi="Arial" w:cs="Arial"/>
        </w:rPr>
      </w:pPr>
      <w:r w:rsidRPr="00B217F0">
        <w:rPr>
          <w:rFonts w:ascii="Arial" w:hAnsi="Arial" w:cs="Arial"/>
        </w:rPr>
        <w:lastRenderedPageBreak/>
        <w:t>Thompson, S., Rahmat, H., Marshall, N., Steinmetz-Weiss, C., Bishop, K., Corkery, L., Park, M.</w:t>
      </w:r>
      <w:r>
        <w:rPr>
          <w:rFonts w:ascii="Arial" w:hAnsi="Arial" w:cs="Arial"/>
        </w:rPr>
        <w:t xml:space="preserve"> </w:t>
      </w:r>
      <w:r w:rsidRPr="00B217F0">
        <w:rPr>
          <w:rFonts w:ascii="Arial" w:hAnsi="Arial" w:cs="Arial"/>
        </w:rPr>
        <w:t>and Tietz, C., (2023). Merging smart and healthy cities to support community wellbeing</w:t>
      </w:r>
      <w:r>
        <w:rPr>
          <w:rFonts w:ascii="Arial" w:hAnsi="Arial" w:cs="Arial"/>
        </w:rPr>
        <w:t xml:space="preserve"> </w:t>
      </w:r>
      <w:r w:rsidRPr="00B217F0">
        <w:rPr>
          <w:rFonts w:ascii="Arial" w:hAnsi="Arial" w:cs="Arial"/>
        </w:rPr>
        <w:t>and social connection. Encyclopedia, 3(3), pp.1067-1084.</w:t>
      </w:r>
    </w:p>
    <w:p w14:paraId="0ECC44EA" w14:textId="77777777" w:rsidR="00B217F0" w:rsidRDefault="00B217F0" w:rsidP="00B217F0">
      <w:pPr>
        <w:spacing w:line="360" w:lineRule="auto"/>
        <w:rPr>
          <w:rFonts w:ascii="Arial" w:hAnsi="Arial" w:cs="Arial"/>
        </w:rPr>
      </w:pPr>
    </w:p>
    <w:p w14:paraId="3D88634D" w14:textId="3FE2E8A8" w:rsidR="00B217F0" w:rsidRDefault="00B217F0" w:rsidP="00B217F0">
      <w:pPr>
        <w:spacing w:line="360" w:lineRule="auto"/>
        <w:rPr>
          <w:rFonts w:ascii="Arial" w:hAnsi="Arial" w:cs="Arial"/>
        </w:rPr>
      </w:pPr>
      <w:r w:rsidRPr="00B217F0">
        <w:rPr>
          <w:rFonts w:ascii="Arial" w:hAnsi="Arial" w:cs="Arial"/>
        </w:rPr>
        <w:t>Tsetoura, A., (2022). Technological inequality and social exclusion of older people during the</w:t>
      </w:r>
      <w:r>
        <w:rPr>
          <w:rFonts w:ascii="Arial" w:hAnsi="Arial" w:cs="Arial"/>
        </w:rPr>
        <w:t xml:space="preserve"> </w:t>
      </w:r>
      <w:r w:rsidRPr="00B217F0">
        <w:rPr>
          <w:rFonts w:ascii="Arial" w:hAnsi="Arial" w:cs="Arial"/>
        </w:rPr>
        <w:t>COVID-19 pandemic. The International Journal of Social Quality, 12(2), pp.72-93.</w:t>
      </w:r>
    </w:p>
    <w:p w14:paraId="60C6100A" w14:textId="77777777" w:rsidR="00B217F0" w:rsidRDefault="00B217F0" w:rsidP="00B217F0">
      <w:pPr>
        <w:spacing w:line="360" w:lineRule="auto"/>
        <w:rPr>
          <w:rFonts w:ascii="Arial" w:hAnsi="Arial" w:cs="Arial"/>
        </w:rPr>
      </w:pPr>
    </w:p>
    <w:p w14:paraId="3805BFCD" w14:textId="4BE653F8" w:rsidR="00B217F0" w:rsidRDefault="00B217F0" w:rsidP="00B217F0">
      <w:pPr>
        <w:spacing w:line="360" w:lineRule="auto"/>
        <w:rPr>
          <w:rFonts w:ascii="Arial" w:hAnsi="Arial" w:cs="Arial"/>
        </w:rPr>
      </w:pPr>
      <w:r w:rsidRPr="00B217F0">
        <w:rPr>
          <w:rFonts w:ascii="Arial" w:hAnsi="Arial" w:cs="Arial"/>
        </w:rPr>
        <w:t>Ursavaş, Ö.F., (2022). Unified theory of acceptance and use of technology model (UTAUT).</w:t>
      </w:r>
      <w:r>
        <w:rPr>
          <w:rFonts w:ascii="Arial" w:hAnsi="Arial" w:cs="Arial"/>
        </w:rPr>
        <w:t xml:space="preserve"> </w:t>
      </w:r>
      <w:r w:rsidRPr="00B217F0">
        <w:rPr>
          <w:rFonts w:ascii="Arial" w:hAnsi="Arial" w:cs="Arial"/>
        </w:rPr>
        <w:t>In Conducting technology acceptance research in education: Theory, models,</w:t>
      </w:r>
      <w:r>
        <w:rPr>
          <w:rFonts w:ascii="Arial" w:hAnsi="Arial" w:cs="Arial"/>
        </w:rPr>
        <w:t xml:space="preserve"> </w:t>
      </w:r>
      <w:r w:rsidRPr="00B217F0">
        <w:rPr>
          <w:rFonts w:ascii="Arial" w:hAnsi="Arial" w:cs="Arial"/>
        </w:rPr>
        <w:t>implementation, and analysis (pp. 111-133). Cham: Springer International Publishing.</w:t>
      </w:r>
    </w:p>
    <w:p w14:paraId="4000E3E1" w14:textId="77777777" w:rsidR="00B217F0" w:rsidRDefault="00B217F0" w:rsidP="00B217F0">
      <w:pPr>
        <w:spacing w:line="360" w:lineRule="auto"/>
        <w:rPr>
          <w:rFonts w:ascii="Arial" w:hAnsi="Arial" w:cs="Arial"/>
        </w:rPr>
      </w:pPr>
    </w:p>
    <w:p w14:paraId="2C27BD3F" w14:textId="7DA80BF3" w:rsidR="003074AF" w:rsidRDefault="00B217F0" w:rsidP="00B217F0">
      <w:pPr>
        <w:spacing w:line="360" w:lineRule="auto"/>
        <w:rPr>
          <w:rFonts w:ascii="Arial" w:hAnsi="Arial" w:cs="Arial"/>
        </w:rPr>
      </w:pPr>
      <w:r w:rsidRPr="00B217F0">
        <w:rPr>
          <w:rFonts w:ascii="Arial" w:hAnsi="Arial" w:cs="Arial"/>
        </w:rPr>
        <w:t>Vizza, J., Riahi, S., Jackson, O., Potvin, C. and Rudoler, D., (2025). Therapy in the digital age:</w:t>
      </w:r>
      <w:r>
        <w:rPr>
          <w:rFonts w:ascii="Arial" w:hAnsi="Arial" w:cs="Arial"/>
        </w:rPr>
        <w:t xml:space="preserve"> </w:t>
      </w:r>
      <w:r w:rsidRPr="00B217F0">
        <w:rPr>
          <w:rFonts w:ascii="Arial" w:hAnsi="Arial" w:cs="Arial"/>
        </w:rPr>
        <w:t>exploring in-person and virtual cognitive behavioural therapy. BMC psychiatry, 25(1),</w:t>
      </w:r>
      <w:r>
        <w:rPr>
          <w:rFonts w:ascii="Arial" w:hAnsi="Arial" w:cs="Arial"/>
        </w:rPr>
        <w:t xml:space="preserve"> </w:t>
      </w:r>
      <w:r w:rsidRPr="00B217F0">
        <w:rPr>
          <w:rFonts w:ascii="Arial" w:hAnsi="Arial" w:cs="Arial"/>
        </w:rPr>
        <w:t>p.615.</w:t>
      </w:r>
    </w:p>
    <w:p w14:paraId="30D5D224" w14:textId="77777777" w:rsidR="00B217F0" w:rsidRDefault="00B217F0" w:rsidP="00B217F0">
      <w:pPr>
        <w:spacing w:line="360" w:lineRule="auto"/>
        <w:rPr>
          <w:rFonts w:ascii="Arial" w:hAnsi="Arial" w:cs="Arial"/>
        </w:rPr>
      </w:pPr>
    </w:p>
    <w:p w14:paraId="292D8F54" w14:textId="42BE89EC" w:rsidR="00B217F0" w:rsidRDefault="00B217F0" w:rsidP="00B217F0">
      <w:pPr>
        <w:spacing w:line="360" w:lineRule="auto"/>
        <w:rPr>
          <w:rFonts w:ascii="Arial" w:hAnsi="Arial" w:cs="Arial"/>
        </w:rPr>
      </w:pPr>
      <w:r w:rsidRPr="00B217F0">
        <w:rPr>
          <w:rFonts w:ascii="Arial" w:hAnsi="Arial" w:cs="Arial"/>
        </w:rPr>
        <w:t>Waheduzzaman, W., (2026). Understanding Post-COVID Public Sector Innovation: A</w:t>
      </w:r>
      <w:r>
        <w:rPr>
          <w:rFonts w:ascii="Arial" w:hAnsi="Arial" w:cs="Arial"/>
        </w:rPr>
        <w:t xml:space="preserve"> </w:t>
      </w:r>
      <w:r w:rsidRPr="00B217F0">
        <w:rPr>
          <w:rFonts w:ascii="Arial" w:hAnsi="Arial" w:cs="Arial"/>
        </w:rPr>
        <w:t>Systematic Review of Concepts, Antecedents, Outcomes, Constraints, and Theoretical</w:t>
      </w:r>
      <w:r>
        <w:rPr>
          <w:rFonts w:ascii="Arial" w:hAnsi="Arial" w:cs="Arial"/>
        </w:rPr>
        <w:t xml:space="preserve"> </w:t>
      </w:r>
      <w:r w:rsidRPr="00B217F0">
        <w:rPr>
          <w:rFonts w:ascii="Arial" w:hAnsi="Arial" w:cs="Arial"/>
        </w:rPr>
        <w:t>Perspectives. Administrative Sciences, 16(2), p.88.</w:t>
      </w:r>
    </w:p>
    <w:p w14:paraId="281FA933" w14:textId="77777777" w:rsidR="00B217F0" w:rsidRDefault="00B217F0" w:rsidP="00B217F0">
      <w:pPr>
        <w:spacing w:line="360" w:lineRule="auto"/>
        <w:rPr>
          <w:rFonts w:ascii="Arial" w:hAnsi="Arial" w:cs="Arial"/>
        </w:rPr>
      </w:pPr>
    </w:p>
    <w:p w14:paraId="21E05D88" w14:textId="5EAEA5D9" w:rsidR="00B217F0" w:rsidRDefault="00B217F0" w:rsidP="00B217F0">
      <w:pPr>
        <w:spacing w:line="360" w:lineRule="auto"/>
        <w:rPr>
          <w:rFonts w:ascii="Arial" w:hAnsi="Arial" w:cs="Arial"/>
        </w:rPr>
      </w:pPr>
      <w:r w:rsidRPr="00B217F0">
        <w:rPr>
          <w:rFonts w:ascii="Arial" w:hAnsi="Arial" w:cs="Arial"/>
        </w:rPr>
        <w:t>Wang, C.H. and Wu, C.L., (2022). Bridging the digital divide: the smart TV as a platform for</w:t>
      </w:r>
      <w:r>
        <w:rPr>
          <w:rFonts w:ascii="Arial" w:hAnsi="Arial" w:cs="Arial"/>
        </w:rPr>
        <w:t xml:space="preserve"> </w:t>
      </w:r>
      <w:r w:rsidRPr="00B217F0">
        <w:rPr>
          <w:rFonts w:ascii="Arial" w:hAnsi="Arial" w:cs="Arial"/>
        </w:rPr>
        <w:t>digital literacy among the elderly. Behaviour &amp; Information Technology, 41(12),</w:t>
      </w:r>
      <w:r>
        <w:rPr>
          <w:rFonts w:ascii="Arial" w:hAnsi="Arial" w:cs="Arial"/>
        </w:rPr>
        <w:t xml:space="preserve"> </w:t>
      </w:r>
      <w:r w:rsidRPr="00B217F0">
        <w:rPr>
          <w:rFonts w:ascii="Arial" w:hAnsi="Arial" w:cs="Arial"/>
        </w:rPr>
        <w:t>pp.2546-2559.</w:t>
      </w:r>
    </w:p>
    <w:p w14:paraId="1DA23051" w14:textId="77777777" w:rsidR="00B217F0" w:rsidRPr="00B217F0" w:rsidRDefault="00B217F0" w:rsidP="00B217F0">
      <w:pPr>
        <w:spacing w:line="360" w:lineRule="auto"/>
        <w:rPr>
          <w:rFonts w:ascii="Arial" w:hAnsi="Arial" w:cs="Arial"/>
        </w:rPr>
      </w:pPr>
    </w:p>
    <w:p w14:paraId="6EDCD612" w14:textId="75679616" w:rsidR="00B217F0" w:rsidRDefault="00B217F0" w:rsidP="00B217F0">
      <w:pPr>
        <w:spacing w:line="360" w:lineRule="auto"/>
        <w:rPr>
          <w:rFonts w:ascii="Arial" w:hAnsi="Arial" w:cs="Arial"/>
        </w:rPr>
      </w:pPr>
      <w:r w:rsidRPr="00B217F0">
        <w:rPr>
          <w:rFonts w:ascii="Arial" w:hAnsi="Arial" w:cs="Arial"/>
        </w:rPr>
        <w:t>Willis, H.A. and Neblett, E.W., (2023). Developing culturally-adapted mobile mental health</w:t>
      </w:r>
      <w:r>
        <w:rPr>
          <w:rFonts w:ascii="Arial" w:hAnsi="Arial" w:cs="Arial"/>
        </w:rPr>
        <w:t xml:space="preserve"> </w:t>
      </w:r>
      <w:r w:rsidRPr="00B217F0">
        <w:rPr>
          <w:rFonts w:ascii="Arial" w:hAnsi="Arial" w:cs="Arial"/>
        </w:rPr>
        <w:t>interventions: a mixed methods approach. Mhealth, 9, p.1.</w:t>
      </w:r>
    </w:p>
    <w:p w14:paraId="00F35A12" w14:textId="77777777" w:rsidR="00B217F0" w:rsidRDefault="00B217F0" w:rsidP="00B217F0">
      <w:pPr>
        <w:spacing w:line="360" w:lineRule="auto"/>
        <w:rPr>
          <w:rFonts w:ascii="Arial" w:hAnsi="Arial" w:cs="Arial"/>
        </w:rPr>
      </w:pPr>
    </w:p>
    <w:p w14:paraId="6BF641F2" w14:textId="6855CD39" w:rsidR="00B217F0" w:rsidRDefault="00B217F0" w:rsidP="00B217F0">
      <w:pPr>
        <w:spacing w:line="360" w:lineRule="auto"/>
        <w:rPr>
          <w:rFonts w:ascii="Arial" w:hAnsi="Arial" w:cs="Arial"/>
        </w:rPr>
      </w:pPr>
      <w:r w:rsidRPr="00B217F0">
        <w:rPr>
          <w:rFonts w:ascii="Arial" w:hAnsi="Arial" w:cs="Arial"/>
        </w:rPr>
        <w:t>Wilson, G., Gates, J.R., Vijaykumar, S. and Morgan, D.J., (2023). Understanding older adults’</w:t>
      </w:r>
      <w:r>
        <w:rPr>
          <w:rFonts w:ascii="Arial" w:hAnsi="Arial" w:cs="Arial"/>
        </w:rPr>
        <w:t xml:space="preserve"> </w:t>
      </w:r>
      <w:r w:rsidRPr="00B217F0">
        <w:rPr>
          <w:rFonts w:ascii="Arial" w:hAnsi="Arial" w:cs="Arial"/>
        </w:rPr>
        <w:t>use of social technology and the factors influencing use. Ageing &amp; Society, 43(1), pp.222-</w:t>
      </w:r>
      <w:r>
        <w:rPr>
          <w:rFonts w:ascii="Arial" w:hAnsi="Arial" w:cs="Arial"/>
        </w:rPr>
        <w:t xml:space="preserve"> </w:t>
      </w:r>
      <w:r w:rsidRPr="00B217F0">
        <w:rPr>
          <w:rFonts w:ascii="Arial" w:hAnsi="Arial" w:cs="Arial"/>
        </w:rPr>
        <w:t>245.</w:t>
      </w:r>
    </w:p>
    <w:p w14:paraId="586733A6" w14:textId="77777777" w:rsidR="00B217F0" w:rsidRDefault="00B217F0" w:rsidP="00B217F0">
      <w:pPr>
        <w:spacing w:line="360" w:lineRule="auto"/>
        <w:rPr>
          <w:rFonts w:ascii="Arial" w:hAnsi="Arial" w:cs="Arial"/>
        </w:rPr>
      </w:pPr>
    </w:p>
    <w:p w14:paraId="372B0476" w14:textId="257551E5" w:rsidR="00B217F0" w:rsidRDefault="00B217F0" w:rsidP="00B217F0">
      <w:pPr>
        <w:spacing w:line="360" w:lineRule="auto"/>
        <w:rPr>
          <w:rFonts w:ascii="Arial" w:hAnsi="Arial" w:cs="Arial"/>
        </w:rPr>
      </w:pPr>
      <w:r w:rsidRPr="00B217F0">
        <w:rPr>
          <w:rFonts w:ascii="Arial" w:hAnsi="Arial" w:cs="Arial"/>
        </w:rPr>
        <w:lastRenderedPageBreak/>
        <w:t>World Health Organization, (2022). Equity within digital health technology within the WHO</w:t>
      </w:r>
      <w:r>
        <w:rPr>
          <w:rFonts w:ascii="Arial" w:hAnsi="Arial" w:cs="Arial"/>
        </w:rPr>
        <w:t xml:space="preserve"> </w:t>
      </w:r>
      <w:r w:rsidRPr="00B217F0">
        <w:rPr>
          <w:rFonts w:ascii="Arial" w:hAnsi="Arial" w:cs="Arial"/>
        </w:rPr>
        <w:t>European Region: a scoping review.</w:t>
      </w:r>
    </w:p>
    <w:p w14:paraId="4FEBBC89" w14:textId="77777777" w:rsidR="00B217F0" w:rsidRDefault="00B217F0" w:rsidP="00B217F0">
      <w:pPr>
        <w:spacing w:line="360" w:lineRule="auto"/>
        <w:rPr>
          <w:rFonts w:ascii="Arial" w:hAnsi="Arial" w:cs="Arial"/>
        </w:rPr>
      </w:pPr>
    </w:p>
    <w:p w14:paraId="3BEA4D18" w14:textId="77777777" w:rsidR="00B217F0" w:rsidRPr="00B217F0" w:rsidRDefault="00B217F0" w:rsidP="00B217F0">
      <w:pPr>
        <w:spacing w:line="360" w:lineRule="auto"/>
        <w:rPr>
          <w:rFonts w:ascii="Arial" w:hAnsi="Arial" w:cs="Arial"/>
        </w:rPr>
      </w:pPr>
      <w:r w:rsidRPr="00B217F0">
        <w:rPr>
          <w:rFonts w:ascii="Arial" w:hAnsi="Arial" w:cs="Arial"/>
        </w:rPr>
        <w:t>World Health Organization, (2025). Advancing the responsible use of digital technologies in</w:t>
      </w:r>
    </w:p>
    <w:p w14:paraId="269C735A" w14:textId="77777777" w:rsidR="00B217F0" w:rsidRDefault="00B217F0" w:rsidP="00B217F0">
      <w:pPr>
        <w:spacing w:line="360" w:lineRule="auto"/>
        <w:rPr>
          <w:rFonts w:ascii="Arial" w:hAnsi="Arial" w:cs="Arial"/>
        </w:rPr>
      </w:pPr>
      <w:r w:rsidRPr="00B217F0">
        <w:rPr>
          <w:rFonts w:ascii="Arial" w:hAnsi="Arial" w:cs="Arial"/>
        </w:rPr>
        <w:t>global health: A report of the WHO Science Council. World Health Organization.</w:t>
      </w:r>
    </w:p>
    <w:p w14:paraId="780E9108" w14:textId="77777777" w:rsidR="00B217F0" w:rsidRPr="00B217F0" w:rsidRDefault="00B217F0" w:rsidP="00B217F0">
      <w:pPr>
        <w:spacing w:line="360" w:lineRule="auto"/>
        <w:rPr>
          <w:rFonts w:ascii="Arial" w:hAnsi="Arial" w:cs="Arial"/>
        </w:rPr>
      </w:pPr>
    </w:p>
    <w:p w14:paraId="6BC21306" w14:textId="509CAE1B" w:rsidR="00B217F0" w:rsidRDefault="00B217F0" w:rsidP="00B217F0">
      <w:pPr>
        <w:spacing w:line="360" w:lineRule="auto"/>
        <w:rPr>
          <w:rFonts w:ascii="Arial" w:hAnsi="Arial" w:cs="Arial"/>
        </w:rPr>
      </w:pPr>
      <w:r w:rsidRPr="00B217F0">
        <w:rPr>
          <w:rFonts w:ascii="Arial" w:hAnsi="Arial" w:cs="Arial"/>
        </w:rPr>
        <w:t>Xiong, S., Lu, H., Peoples, N., Duman, E.K., Najarro, A., Ni, Z., Gong, E., Yin, R., Ostbye, T.,</w:t>
      </w:r>
      <w:r>
        <w:rPr>
          <w:rFonts w:ascii="Arial" w:hAnsi="Arial" w:cs="Arial"/>
        </w:rPr>
        <w:t xml:space="preserve"> </w:t>
      </w:r>
      <w:r w:rsidRPr="00B217F0">
        <w:rPr>
          <w:rFonts w:ascii="Arial" w:hAnsi="Arial" w:cs="Arial"/>
        </w:rPr>
        <w:t>Palileo-Villanueva, L.M. and Doma, R., (2023). Digital health interventions for non-</w:t>
      </w:r>
      <w:r>
        <w:rPr>
          <w:rFonts w:ascii="Arial" w:hAnsi="Arial" w:cs="Arial"/>
        </w:rPr>
        <w:t xml:space="preserve"> </w:t>
      </w:r>
      <w:r w:rsidRPr="00B217F0">
        <w:rPr>
          <w:rFonts w:ascii="Arial" w:hAnsi="Arial" w:cs="Arial"/>
        </w:rPr>
        <w:t>communicable disease management in primary health care in low-and middle-income</w:t>
      </w:r>
      <w:r>
        <w:rPr>
          <w:rFonts w:ascii="Arial" w:hAnsi="Arial" w:cs="Arial"/>
        </w:rPr>
        <w:t xml:space="preserve"> </w:t>
      </w:r>
      <w:r w:rsidRPr="00B217F0">
        <w:rPr>
          <w:rFonts w:ascii="Arial" w:hAnsi="Arial" w:cs="Arial"/>
        </w:rPr>
        <w:t>countries. NPJ Digital Medicine, 6(1), p.12.</w:t>
      </w:r>
    </w:p>
    <w:p w14:paraId="3B1228DE" w14:textId="77777777" w:rsidR="00B217F0" w:rsidRDefault="00B217F0" w:rsidP="00B217F0">
      <w:pPr>
        <w:spacing w:line="360" w:lineRule="auto"/>
        <w:rPr>
          <w:rFonts w:ascii="Arial" w:hAnsi="Arial" w:cs="Arial"/>
        </w:rPr>
      </w:pPr>
    </w:p>
    <w:p w14:paraId="0B2D8E65" w14:textId="77777777" w:rsidR="00B217F0" w:rsidRDefault="00B217F0" w:rsidP="00B217F0">
      <w:pPr>
        <w:spacing w:line="360" w:lineRule="auto"/>
        <w:rPr>
          <w:rFonts w:ascii="Arial" w:hAnsi="Arial" w:cs="Arial"/>
        </w:rPr>
      </w:pPr>
    </w:p>
    <w:p w14:paraId="5FAFC9FE" w14:textId="77777777" w:rsidR="00B217F0" w:rsidRDefault="00B217F0" w:rsidP="00B217F0">
      <w:pPr>
        <w:spacing w:line="360" w:lineRule="auto"/>
        <w:rPr>
          <w:rFonts w:ascii="Arial" w:hAnsi="Arial" w:cs="Arial"/>
        </w:rPr>
      </w:pPr>
    </w:p>
    <w:p w14:paraId="7919E26C" w14:textId="77777777" w:rsidR="00B217F0" w:rsidRPr="003074AF" w:rsidRDefault="00B217F0" w:rsidP="00C41589">
      <w:pPr>
        <w:spacing w:line="360" w:lineRule="auto"/>
        <w:rPr>
          <w:rFonts w:ascii="Arial" w:hAnsi="Arial" w:cs="Arial"/>
        </w:rPr>
      </w:pPr>
    </w:p>
    <w:sectPr w:rsidR="00B217F0" w:rsidRPr="003074AF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7DB59D9" w14:textId="77777777" w:rsidR="00AE4953" w:rsidRDefault="00AE4953" w:rsidP="002464E5">
      <w:pPr>
        <w:spacing w:after="0" w:line="240" w:lineRule="auto"/>
      </w:pPr>
      <w:r>
        <w:separator/>
      </w:r>
    </w:p>
  </w:endnote>
  <w:endnote w:type="continuationSeparator" w:id="0">
    <w:p w14:paraId="567E61F2" w14:textId="77777777" w:rsidR="00AE4953" w:rsidRDefault="00AE4953" w:rsidP="002464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255EE9B" w14:textId="77777777" w:rsidR="00AE4953" w:rsidRDefault="00AE4953" w:rsidP="002464E5">
      <w:pPr>
        <w:spacing w:after="0" w:line="240" w:lineRule="auto"/>
      </w:pPr>
      <w:r>
        <w:separator/>
      </w:r>
    </w:p>
  </w:footnote>
  <w:footnote w:type="continuationSeparator" w:id="0">
    <w:p w14:paraId="6AF77E1A" w14:textId="77777777" w:rsidR="00AE4953" w:rsidRDefault="00AE4953" w:rsidP="002464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2054694099"/>
      <w:docPartObj>
        <w:docPartGallery w:val="Page Numbers (Top of Page)"/>
        <w:docPartUnique/>
      </w:docPartObj>
    </w:sdtPr>
    <w:sdtEndPr>
      <w:rPr>
        <w:noProof/>
      </w:rPr>
    </w:sdtEndPr>
    <w:sdtContent>
      <w:p w14:paraId="0EFCF226" w14:textId="3CE5D061" w:rsidR="0015222B" w:rsidRDefault="0015222B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6EB5C73" w14:textId="77777777" w:rsidR="0015222B" w:rsidRDefault="0015222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64E5"/>
    <w:rsid w:val="0015222B"/>
    <w:rsid w:val="001F1B72"/>
    <w:rsid w:val="002464E5"/>
    <w:rsid w:val="003074AF"/>
    <w:rsid w:val="004048F4"/>
    <w:rsid w:val="00506B8E"/>
    <w:rsid w:val="00697337"/>
    <w:rsid w:val="00705F38"/>
    <w:rsid w:val="00AE4953"/>
    <w:rsid w:val="00B217F0"/>
    <w:rsid w:val="00C41589"/>
    <w:rsid w:val="00CC58B1"/>
    <w:rsid w:val="00DD1C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F111A4"/>
  <w15:chartTrackingRefBased/>
  <w15:docId w15:val="{CD622FBA-78F6-4726-AEC8-AAF63A7029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464E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464E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464E5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464E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464E5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464E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464E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464E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464E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464E5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464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464E5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464E5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464E5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464E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464E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464E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464E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464E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464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464E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464E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464E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464E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464E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464E5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464E5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464E5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464E5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464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464E5"/>
  </w:style>
  <w:style w:type="paragraph" w:styleId="Footer">
    <w:name w:val="footer"/>
    <w:basedOn w:val="Normal"/>
    <w:link w:val="FooterChar"/>
    <w:uiPriority w:val="99"/>
    <w:unhideWhenUsed/>
    <w:rsid w:val="002464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464E5"/>
  </w:style>
  <w:style w:type="paragraph" w:styleId="NoSpacing">
    <w:name w:val="No Spacing"/>
    <w:uiPriority w:val="1"/>
    <w:qFormat/>
    <w:rsid w:val="004048F4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C4158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4158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legislation.gov.uk/en/ukpga/2012/7/contents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16</Pages>
  <Words>4860</Words>
  <Characters>27704</Characters>
  <Application>Microsoft Office Word</Application>
  <DocSecurity>0</DocSecurity>
  <Lines>230</Lines>
  <Paragraphs>64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32500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Azra Bi (2312900)</dc:creator>
  <cp:keywords/>
  <dc:description/>
  <cp:lastModifiedBy>Azra Bi (2312900)</cp:lastModifiedBy>
  <cp:revision>5</cp:revision>
  <dcterms:created xsi:type="dcterms:W3CDTF">2026-04-01T15:18:00Z</dcterms:created>
  <dcterms:modified xsi:type="dcterms:W3CDTF">2026-04-01T16:20:00Z</dcterms:modified>
</cp:coreProperties>
</file>